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4ED59">
      <w:pPr>
        <w:rPr>
          <w:color w:val="auto"/>
          <w:szCs w:val="21"/>
        </w:rPr>
      </w:pPr>
    </w:p>
    <w:p w14:paraId="011AFAE4">
      <w:pPr>
        <w:rPr>
          <w:color w:val="auto"/>
          <w:szCs w:val="21"/>
        </w:rPr>
      </w:pPr>
    </w:p>
    <w:p w14:paraId="3D673898">
      <w:pPr>
        <w:rPr>
          <w:color w:val="auto"/>
          <w:szCs w:val="21"/>
        </w:rPr>
      </w:pPr>
    </w:p>
    <w:p w14:paraId="348110A0">
      <w:pPr>
        <w:rPr>
          <w:b/>
          <w:bCs/>
          <w:color w:val="auto"/>
          <w:szCs w:val="21"/>
        </w:rPr>
      </w:pPr>
    </w:p>
    <w:p w14:paraId="493BC6AB">
      <w:pPr>
        <w:spacing w:line="360" w:lineRule="auto"/>
        <w:jc w:val="center"/>
        <w:rPr>
          <w:color w:val="auto"/>
          <w:sz w:val="52"/>
          <w:szCs w:val="52"/>
        </w:rPr>
      </w:pPr>
      <w:r>
        <w:rPr>
          <w:color w:val="auto"/>
          <w:sz w:val="52"/>
          <w:szCs w:val="52"/>
        </w:rPr>
        <w:t>建设项目环境影响报告表</w:t>
      </w:r>
    </w:p>
    <w:p w14:paraId="70B02EF0">
      <w:pPr>
        <w:adjustRightInd w:val="0"/>
        <w:snapToGrid w:val="0"/>
        <w:spacing w:before="192" w:beforeLines="80" w:line="360" w:lineRule="auto"/>
        <w:jc w:val="center"/>
        <w:rPr>
          <w:color w:val="auto"/>
          <w:sz w:val="48"/>
          <w:szCs w:val="48"/>
        </w:rPr>
      </w:pPr>
      <w:r>
        <w:rPr>
          <w:color w:val="auto"/>
          <w:sz w:val="48"/>
          <w:szCs w:val="48"/>
        </w:rPr>
        <w:t>（污染影响类）</w:t>
      </w:r>
    </w:p>
    <w:p w14:paraId="0945AECF">
      <w:pPr>
        <w:rPr>
          <w:color w:val="auto"/>
          <w:szCs w:val="21"/>
        </w:rPr>
      </w:pPr>
    </w:p>
    <w:p w14:paraId="5D30BE9C">
      <w:pPr>
        <w:pStyle w:val="2"/>
        <w:rPr>
          <w:color w:val="auto"/>
          <w:szCs w:val="21"/>
        </w:rPr>
      </w:pPr>
    </w:p>
    <w:p w14:paraId="67E36B03">
      <w:pPr>
        <w:jc w:val="center"/>
        <w:rPr>
          <w:color w:val="auto"/>
          <w:szCs w:val="21"/>
        </w:rPr>
      </w:pPr>
    </w:p>
    <w:p w14:paraId="02FDAC1A">
      <w:pPr>
        <w:pStyle w:val="2"/>
        <w:rPr>
          <w:color w:val="auto"/>
          <w:szCs w:val="21"/>
        </w:rPr>
      </w:pPr>
    </w:p>
    <w:p w14:paraId="5ED6F499">
      <w:pPr>
        <w:rPr>
          <w:color w:val="auto"/>
        </w:rPr>
      </w:pPr>
    </w:p>
    <w:p w14:paraId="37217AAF">
      <w:pPr>
        <w:ind w:firstLine="1040"/>
        <w:rPr>
          <w:color w:val="auto"/>
          <w:szCs w:val="21"/>
        </w:rPr>
      </w:pPr>
    </w:p>
    <w:p w14:paraId="27C8228C">
      <w:pPr>
        <w:ind w:firstLine="1040"/>
        <w:rPr>
          <w:color w:val="auto"/>
          <w:szCs w:val="21"/>
        </w:rPr>
      </w:pPr>
    </w:p>
    <w:p w14:paraId="269DF06B">
      <w:pPr>
        <w:ind w:firstLine="1040"/>
        <w:rPr>
          <w:color w:val="auto"/>
          <w:szCs w:val="21"/>
        </w:rPr>
      </w:pPr>
    </w:p>
    <w:p w14:paraId="56D8CC96">
      <w:pPr>
        <w:ind w:firstLine="1040"/>
        <w:rPr>
          <w:color w:val="auto"/>
          <w:sz w:val="32"/>
          <w:szCs w:val="32"/>
        </w:rPr>
      </w:pPr>
    </w:p>
    <w:p w14:paraId="010E7BF6">
      <w:pPr>
        <w:adjustRightInd w:val="0"/>
        <w:snapToGrid w:val="0"/>
        <w:spacing w:line="360" w:lineRule="auto"/>
        <w:rPr>
          <w:color w:val="auto"/>
          <w:sz w:val="32"/>
          <w:szCs w:val="32"/>
          <w:u w:val="single"/>
        </w:rPr>
      </w:pPr>
      <w:r>
        <w:rPr>
          <w:color w:val="auto"/>
          <w:sz w:val="32"/>
          <w:szCs w:val="32"/>
        </w:rPr>
        <w:t>项  目  名  称：</w:t>
      </w:r>
      <w:r>
        <w:rPr>
          <w:color w:val="auto"/>
          <w:sz w:val="32"/>
          <w:szCs w:val="32"/>
          <w:u w:val="single"/>
        </w:rPr>
        <w:t xml:space="preserve"> </w:t>
      </w:r>
      <w:r>
        <w:rPr>
          <w:rFonts w:hint="eastAsia"/>
          <w:color w:val="auto"/>
          <w:sz w:val="32"/>
          <w:szCs w:val="32"/>
          <w:u w:val="single"/>
          <w:lang w:eastAsia="zh-CN"/>
        </w:rPr>
        <w:t>新建热塑性弹性体及汽车密封件项目</w:t>
      </w:r>
      <w:r>
        <w:rPr>
          <w:rFonts w:hint="eastAsia"/>
          <w:color w:val="auto"/>
          <w:sz w:val="32"/>
          <w:szCs w:val="32"/>
          <w:u w:val="single"/>
        </w:rPr>
        <w:t xml:space="preserve"> </w:t>
      </w:r>
      <w:r>
        <w:rPr>
          <w:rFonts w:hint="eastAsia"/>
          <w:color w:val="auto"/>
          <w:sz w:val="32"/>
          <w:szCs w:val="32"/>
          <w:u w:val="single"/>
          <w:lang w:val="en-US" w:eastAsia="zh-CN"/>
        </w:rPr>
        <w:t xml:space="preserve">     </w:t>
      </w:r>
      <w:r>
        <w:rPr>
          <w:rFonts w:hint="eastAsia"/>
          <w:color w:val="auto"/>
          <w:sz w:val="32"/>
          <w:szCs w:val="32"/>
          <w:u w:val="single"/>
        </w:rPr>
        <w:t xml:space="preserve"> </w:t>
      </w:r>
    </w:p>
    <w:p w14:paraId="5CCCD3AD">
      <w:pPr>
        <w:adjustRightInd w:val="0"/>
        <w:snapToGrid w:val="0"/>
        <w:spacing w:line="360" w:lineRule="auto"/>
        <w:rPr>
          <w:color w:val="auto"/>
          <w:sz w:val="32"/>
          <w:szCs w:val="32"/>
          <w:u w:val="single"/>
        </w:rPr>
      </w:pPr>
      <w:r>
        <w:rPr>
          <w:color w:val="auto"/>
          <w:sz w:val="32"/>
          <w:szCs w:val="32"/>
        </w:rPr>
        <w:t>建设单位（盖章）：</w:t>
      </w:r>
      <w:r>
        <w:rPr>
          <w:color w:val="auto"/>
          <w:sz w:val="32"/>
          <w:szCs w:val="32"/>
          <w:u w:val="single"/>
        </w:rPr>
        <w:t xml:space="preserve">   </w:t>
      </w:r>
      <w:r>
        <w:rPr>
          <w:rFonts w:hint="eastAsia"/>
          <w:color w:val="auto"/>
          <w:sz w:val="32"/>
          <w:szCs w:val="32"/>
          <w:u w:val="single"/>
          <w:lang w:eastAsia="zh-CN"/>
        </w:rPr>
        <w:t>常州和瑞新材料科技有限公司</w:t>
      </w:r>
      <w:r>
        <w:rPr>
          <w:rFonts w:hint="eastAsia"/>
          <w:color w:val="auto"/>
          <w:sz w:val="32"/>
          <w:szCs w:val="32"/>
          <w:u w:val="single"/>
        </w:rPr>
        <w:t xml:space="preserve">    </w:t>
      </w:r>
      <w:r>
        <w:rPr>
          <w:rFonts w:hint="eastAsia"/>
          <w:color w:val="auto"/>
          <w:sz w:val="32"/>
          <w:szCs w:val="32"/>
          <w:u w:val="single"/>
          <w:lang w:val="en-US" w:eastAsia="zh-CN"/>
        </w:rPr>
        <w:t xml:space="preserve">  </w:t>
      </w:r>
      <w:r>
        <w:rPr>
          <w:rFonts w:hint="eastAsia"/>
          <w:color w:val="auto"/>
          <w:sz w:val="32"/>
          <w:szCs w:val="32"/>
          <w:u w:val="single"/>
        </w:rPr>
        <w:t xml:space="preserve"> </w:t>
      </w:r>
    </w:p>
    <w:p w14:paraId="062A790D">
      <w:pPr>
        <w:adjustRightInd w:val="0"/>
        <w:snapToGrid w:val="0"/>
        <w:spacing w:line="288" w:lineRule="auto"/>
        <w:rPr>
          <w:color w:val="auto"/>
          <w:sz w:val="32"/>
          <w:szCs w:val="32"/>
          <w:u w:val="single"/>
        </w:rPr>
      </w:pPr>
      <w:r>
        <w:rPr>
          <w:color w:val="auto"/>
          <w:sz w:val="32"/>
          <w:szCs w:val="32"/>
        </w:rPr>
        <w:t>编  制  日  期：</w:t>
      </w:r>
      <w:r>
        <w:rPr>
          <w:color w:val="auto"/>
          <w:sz w:val="32"/>
          <w:szCs w:val="32"/>
          <w:u w:val="single"/>
        </w:rPr>
        <w:t xml:space="preserve">     20</w:t>
      </w:r>
      <w:r>
        <w:rPr>
          <w:rFonts w:hint="eastAsia"/>
          <w:color w:val="auto"/>
          <w:sz w:val="32"/>
          <w:szCs w:val="32"/>
          <w:u w:val="single"/>
          <w:lang w:val="en-US" w:eastAsia="zh-CN"/>
        </w:rPr>
        <w:t>26</w:t>
      </w:r>
      <w:r>
        <w:rPr>
          <w:color w:val="auto"/>
          <w:sz w:val="32"/>
          <w:szCs w:val="32"/>
          <w:u w:val="single"/>
        </w:rPr>
        <w:t>年</w:t>
      </w:r>
      <w:r>
        <w:rPr>
          <w:rFonts w:hint="eastAsia"/>
          <w:color w:val="auto"/>
          <w:sz w:val="32"/>
          <w:szCs w:val="32"/>
          <w:u w:val="single"/>
          <w:lang w:val="en-US" w:eastAsia="zh-CN"/>
        </w:rPr>
        <w:t>2</w:t>
      </w:r>
      <w:r>
        <w:rPr>
          <w:color w:val="auto"/>
          <w:sz w:val="32"/>
          <w:szCs w:val="32"/>
          <w:u w:val="single"/>
        </w:rPr>
        <w:t>月</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r>
        <w:rPr>
          <w:color w:val="auto"/>
          <w:sz w:val="32"/>
          <w:szCs w:val="32"/>
          <w:u w:val="single"/>
        </w:rPr>
        <w:t xml:space="preserve"> </w:t>
      </w:r>
      <w:bookmarkStart w:id="0" w:name="_Hlk57884087"/>
    </w:p>
    <w:p w14:paraId="44F37899">
      <w:pPr>
        <w:adjustRightInd w:val="0"/>
        <w:snapToGrid w:val="0"/>
        <w:spacing w:line="288" w:lineRule="auto"/>
        <w:ind w:firstLine="1040"/>
        <w:rPr>
          <w:color w:val="auto"/>
          <w:szCs w:val="21"/>
        </w:rPr>
      </w:pPr>
    </w:p>
    <w:p w14:paraId="72C3E3A9">
      <w:pPr>
        <w:pStyle w:val="6"/>
        <w:rPr>
          <w:color w:val="auto"/>
          <w:szCs w:val="21"/>
        </w:rPr>
      </w:pPr>
    </w:p>
    <w:p w14:paraId="5D5F831D">
      <w:pPr>
        <w:pStyle w:val="6"/>
        <w:ind w:left="420"/>
        <w:rPr>
          <w:color w:val="auto"/>
          <w:szCs w:val="21"/>
        </w:rPr>
      </w:pPr>
    </w:p>
    <w:p w14:paraId="05CF5C06">
      <w:pPr>
        <w:pStyle w:val="6"/>
        <w:rPr>
          <w:color w:val="auto"/>
          <w:szCs w:val="21"/>
        </w:rPr>
      </w:pPr>
    </w:p>
    <w:p w14:paraId="322BA8EF">
      <w:pPr>
        <w:pStyle w:val="6"/>
        <w:rPr>
          <w:color w:val="auto"/>
          <w:szCs w:val="21"/>
        </w:rPr>
      </w:pPr>
    </w:p>
    <w:p w14:paraId="2A1CA905">
      <w:pPr>
        <w:pStyle w:val="6"/>
        <w:rPr>
          <w:color w:val="auto"/>
          <w:szCs w:val="21"/>
        </w:rPr>
      </w:pPr>
    </w:p>
    <w:p w14:paraId="2E0E305B">
      <w:pPr>
        <w:pStyle w:val="6"/>
        <w:rPr>
          <w:color w:val="auto"/>
          <w:szCs w:val="21"/>
        </w:rPr>
      </w:pPr>
    </w:p>
    <w:p w14:paraId="6E43B7B8">
      <w:pPr>
        <w:pStyle w:val="6"/>
        <w:rPr>
          <w:color w:val="auto"/>
          <w:szCs w:val="21"/>
        </w:rPr>
      </w:pPr>
    </w:p>
    <w:p w14:paraId="541A65E4">
      <w:pPr>
        <w:pStyle w:val="6"/>
        <w:rPr>
          <w:color w:val="auto"/>
          <w:szCs w:val="21"/>
        </w:rPr>
      </w:pPr>
    </w:p>
    <w:p w14:paraId="018D7A7A">
      <w:pPr>
        <w:pStyle w:val="6"/>
        <w:rPr>
          <w:color w:val="auto"/>
          <w:szCs w:val="21"/>
        </w:rPr>
      </w:pPr>
    </w:p>
    <w:p w14:paraId="2F875D54">
      <w:pPr>
        <w:pStyle w:val="6"/>
        <w:rPr>
          <w:color w:val="auto"/>
          <w:szCs w:val="21"/>
        </w:rPr>
      </w:pPr>
    </w:p>
    <w:p w14:paraId="64002E44">
      <w:pPr>
        <w:pStyle w:val="6"/>
        <w:rPr>
          <w:color w:val="auto"/>
          <w:szCs w:val="21"/>
        </w:rPr>
      </w:pPr>
    </w:p>
    <w:p w14:paraId="710BC3FF">
      <w:pPr>
        <w:pStyle w:val="6"/>
        <w:rPr>
          <w:color w:val="auto"/>
          <w:szCs w:val="21"/>
        </w:rPr>
      </w:pPr>
    </w:p>
    <w:p w14:paraId="08D46037">
      <w:pPr>
        <w:pStyle w:val="6"/>
        <w:rPr>
          <w:color w:val="auto"/>
          <w:szCs w:val="21"/>
        </w:rPr>
      </w:pPr>
    </w:p>
    <w:p w14:paraId="13E2CD5D">
      <w:pPr>
        <w:pStyle w:val="6"/>
        <w:rPr>
          <w:color w:val="auto"/>
          <w:szCs w:val="21"/>
        </w:rPr>
      </w:pPr>
    </w:p>
    <w:p w14:paraId="6DF3662E">
      <w:pPr>
        <w:pStyle w:val="6"/>
        <w:rPr>
          <w:color w:val="auto"/>
          <w:szCs w:val="21"/>
        </w:rPr>
      </w:pPr>
    </w:p>
    <w:p w14:paraId="15543126">
      <w:pPr>
        <w:pStyle w:val="6"/>
        <w:rPr>
          <w:color w:val="auto"/>
          <w:szCs w:val="21"/>
        </w:rPr>
      </w:pPr>
    </w:p>
    <w:p w14:paraId="74447BD4">
      <w:pPr>
        <w:pStyle w:val="6"/>
        <w:rPr>
          <w:color w:val="auto"/>
          <w:szCs w:val="21"/>
        </w:rPr>
      </w:pPr>
    </w:p>
    <w:bookmarkEnd w:id="0"/>
    <w:p w14:paraId="5488B9C3">
      <w:pPr>
        <w:jc w:val="center"/>
        <w:rPr>
          <w:color w:val="auto"/>
        </w:rPr>
      </w:pPr>
      <w:r>
        <w:rPr>
          <w:color w:val="auto"/>
          <w:sz w:val="36"/>
          <w:szCs w:val="36"/>
        </w:rPr>
        <w:t>中华人民共和国生态环境部制</w:t>
      </w:r>
    </w:p>
    <w:p w14:paraId="700B8AE0">
      <w:pPr>
        <w:pStyle w:val="6"/>
        <w:rPr>
          <w:color w:val="auto"/>
        </w:rPr>
      </w:pPr>
    </w:p>
    <w:p w14:paraId="26707504">
      <w:pPr>
        <w:jc w:val="center"/>
        <w:rPr>
          <w:color w:val="auto"/>
          <w:sz w:val="36"/>
          <w:szCs w:val="36"/>
        </w:rPr>
      </w:pPr>
    </w:p>
    <w:p w14:paraId="6067DFF5">
      <w:pPr>
        <w:jc w:val="center"/>
        <w:rPr>
          <w:color w:val="auto"/>
          <w:sz w:val="36"/>
          <w:szCs w:val="36"/>
        </w:rPr>
      </w:pPr>
    </w:p>
    <w:p w14:paraId="6878A901">
      <w:pPr>
        <w:jc w:val="center"/>
        <w:rPr>
          <w:rFonts w:hint="eastAsia" w:eastAsia="宋体"/>
          <w:color w:val="auto"/>
          <w:sz w:val="36"/>
          <w:szCs w:val="36"/>
          <w:lang w:eastAsia="zh-CN"/>
        </w:rPr>
      </w:pPr>
      <w:bookmarkStart w:id="36" w:name="_GoBack"/>
      <w:r>
        <w:rPr>
          <w:rFonts w:hint="eastAsia" w:eastAsia="宋体"/>
          <w:color w:val="auto"/>
          <w:sz w:val="36"/>
          <w:szCs w:val="36"/>
          <w:lang w:eastAsia="zh-CN"/>
        </w:rPr>
        <w:drawing>
          <wp:inline distT="0" distB="0" distL="114300" distR="114300">
            <wp:extent cx="5593715" cy="7909560"/>
            <wp:effectExtent l="0" t="0" r="14605" b="0"/>
            <wp:docPr id="13" name="图片 13" descr="1、封面+资质+证书+社保+营业执照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封面+资质+证书+社保+营业执照_02"/>
                    <pic:cNvPicPr>
                      <a:picLocks noChangeAspect="1"/>
                    </pic:cNvPicPr>
                  </pic:nvPicPr>
                  <pic:blipFill>
                    <a:blip r:embed="rId8"/>
                    <a:stretch>
                      <a:fillRect/>
                    </a:stretch>
                  </pic:blipFill>
                  <pic:spPr>
                    <a:xfrm>
                      <a:off x="0" y="0"/>
                      <a:ext cx="5593715" cy="7909560"/>
                    </a:xfrm>
                    <a:prstGeom prst="rect">
                      <a:avLst/>
                    </a:prstGeom>
                  </pic:spPr>
                </pic:pic>
              </a:graphicData>
            </a:graphic>
          </wp:inline>
        </w:drawing>
      </w:r>
      <w:bookmarkEnd w:id="36"/>
    </w:p>
    <w:p w14:paraId="47CEF650">
      <w:pPr>
        <w:adjustRightInd w:val="0"/>
        <w:snapToGrid w:val="0"/>
        <w:spacing w:line="288" w:lineRule="auto"/>
        <w:ind w:firstLine="1040"/>
        <w:rPr>
          <w:color w:val="auto"/>
          <w:sz w:val="36"/>
          <w:szCs w:val="36"/>
        </w:rPr>
        <w:sectPr>
          <w:footerReference r:id="rId3"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BCBA90B">
      <w:pPr>
        <w:pStyle w:val="73"/>
        <w:jc w:val="center"/>
        <w:rPr>
          <w:rFonts w:ascii="Times New Roman" w:hAnsi="Times New Roman" w:eastAsia="宋体"/>
          <w:b/>
          <w:bCs/>
          <w:color w:val="auto"/>
        </w:rPr>
      </w:pPr>
      <w:r>
        <w:rPr>
          <w:rFonts w:ascii="Times New Roman" w:hAnsi="Times New Roman" w:eastAsia="宋体"/>
          <w:b/>
          <w:bCs/>
          <w:color w:val="auto"/>
          <w:lang w:val="zh-CN"/>
        </w:rPr>
        <w:t>目录</w:t>
      </w:r>
    </w:p>
    <w:p w14:paraId="096387D0">
      <w:pPr>
        <w:pStyle w:val="21"/>
        <w:tabs>
          <w:tab w:val="right" w:leader="dot" w:pos="8844"/>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TOC \o "1-3" \h \z \u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\l _Toc16352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bCs/>
          <w:snapToGrid w:val="0"/>
          <w:color w:val="auto"/>
          <w:sz w:val="21"/>
          <w:szCs w:val="21"/>
        </w:rPr>
        <w:t>一、建设项目基本情况</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_Toc16352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p w14:paraId="00362116">
      <w:pPr>
        <w:pStyle w:val="21"/>
        <w:tabs>
          <w:tab w:val="right" w:leader="dot" w:pos="8844"/>
        </w:tabs>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zh-CN"/>
        </w:rPr>
        <w:fldChar w:fldCharType="begin"/>
      </w:r>
      <w:r>
        <w:rPr>
          <w:rFonts w:hint="default" w:ascii="Times New Roman" w:hAnsi="Times New Roman" w:eastAsia="宋体" w:cs="Times New Roman"/>
          <w:bCs/>
          <w:color w:val="auto"/>
          <w:sz w:val="21"/>
          <w:szCs w:val="21"/>
          <w:lang w:val="zh-CN"/>
        </w:rPr>
        <w:instrText xml:space="preserve"> HYPERLINK \l _Toc518 </w:instrText>
      </w:r>
      <w:r>
        <w:rPr>
          <w:rFonts w:hint="default" w:ascii="Times New Roman" w:hAnsi="Times New Roman" w:eastAsia="宋体" w:cs="Times New Roman"/>
          <w:bCs/>
          <w:color w:val="auto"/>
          <w:sz w:val="21"/>
          <w:szCs w:val="21"/>
          <w:lang w:val="zh-CN"/>
        </w:rPr>
        <w:fldChar w:fldCharType="separate"/>
      </w:r>
      <w:r>
        <w:rPr>
          <w:rFonts w:hint="default" w:ascii="Times New Roman" w:hAnsi="Times New Roman" w:eastAsia="宋体" w:cs="Times New Roman"/>
          <w:bCs/>
          <w:snapToGrid w:val="0"/>
          <w:color w:val="auto"/>
          <w:sz w:val="21"/>
          <w:szCs w:val="21"/>
        </w:rPr>
        <w:t>二、建设项目工程分析</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_Toc518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bCs/>
          <w:color w:val="auto"/>
          <w:sz w:val="21"/>
          <w:szCs w:val="21"/>
          <w:lang w:val="zh-CN"/>
        </w:rPr>
        <w:fldChar w:fldCharType="end"/>
      </w:r>
    </w:p>
    <w:p w14:paraId="50AFBB89">
      <w:pPr>
        <w:pStyle w:val="21"/>
        <w:tabs>
          <w:tab w:val="right" w:leader="dot" w:pos="8844"/>
        </w:tabs>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zh-CN"/>
        </w:rPr>
        <w:fldChar w:fldCharType="begin"/>
      </w:r>
      <w:r>
        <w:rPr>
          <w:rFonts w:hint="default" w:ascii="Times New Roman" w:hAnsi="Times New Roman" w:eastAsia="宋体" w:cs="Times New Roman"/>
          <w:bCs/>
          <w:color w:val="auto"/>
          <w:sz w:val="21"/>
          <w:szCs w:val="21"/>
          <w:lang w:val="zh-CN"/>
        </w:rPr>
        <w:instrText xml:space="preserve"> HYPERLINK \l _Toc28743 </w:instrText>
      </w:r>
      <w:r>
        <w:rPr>
          <w:rFonts w:hint="default" w:ascii="Times New Roman" w:hAnsi="Times New Roman" w:eastAsia="宋体" w:cs="Times New Roman"/>
          <w:bCs/>
          <w:color w:val="auto"/>
          <w:sz w:val="21"/>
          <w:szCs w:val="21"/>
          <w:lang w:val="zh-CN"/>
        </w:rPr>
        <w:fldChar w:fldCharType="separate"/>
      </w:r>
      <w:r>
        <w:rPr>
          <w:rFonts w:hint="default" w:ascii="Times New Roman" w:hAnsi="Times New Roman" w:eastAsia="宋体" w:cs="Times New Roman"/>
          <w:bCs/>
          <w:snapToGrid w:val="0"/>
          <w:color w:val="auto"/>
          <w:sz w:val="21"/>
          <w:szCs w:val="21"/>
        </w:rPr>
        <w:t>三、区域环境质量现状、环境保护目标及评价标准</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_Toc28743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bCs/>
          <w:color w:val="auto"/>
          <w:sz w:val="21"/>
          <w:szCs w:val="21"/>
          <w:lang w:val="zh-CN"/>
        </w:rPr>
        <w:fldChar w:fldCharType="end"/>
      </w:r>
    </w:p>
    <w:p w14:paraId="1F4811C7">
      <w:pPr>
        <w:pStyle w:val="21"/>
        <w:tabs>
          <w:tab w:val="right" w:leader="dot" w:pos="8844"/>
        </w:tabs>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zh-CN"/>
        </w:rPr>
        <w:fldChar w:fldCharType="begin"/>
      </w:r>
      <w:r>
        <w:rPr>
          <w:rFonts w:hint="default" w:ascii="Times New Roman" w:hAnsi="Times New Roman" w:eastAsia="宋体" w:cs="Times New Roman"/>
          <w:bCs/>
          <w:color w:val="auto"/>
          <w:sz w:val="21"/>
          <w:szCs w:val="21"/>
          <w:lang w:val="zh-CN"/>
        </w:rPr>
        <w:instrText xml:space="preserve"> HYPERLINK \l _Toc27594 </w:instrText>
      </w:r>
      <w:r>
        <w:rPr>
          <w:rFonts w:hint="default" w:ascii="Times New Roman" w:hAnsi="Times New Roman" w:eastAsia="宋体" w:cs="Times New Roman"/>
          <w:bCs/>
          <w:color w:val="auto"/>
          <w:sz w:val="21"/>
          <w:szCs w:val="21"/>
          <w:lang w:val="zh-CN"/>
        </w:rPr>
        <w:fldChar w:fldCharType="separate"/>
      </w:r>
      <w:r>
        <w:rPr>
          <w:rFonts w:hint="default" w:ascii="Times New Roman" w:hAnsi="Times New Roman" w:eastAsia="宋体" w:cs="Times New Roman"/>
          <w:bCs/>
          <w:snapToGrid w:val="0"/>
          <w:color w:val="auto"/>
          <w:sz w:val="21"/>
          <w:szCs w:val="21"/>
        </w:rPr>
        <w:t>四、主要环境影响和保护措施</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_Toc27594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48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bCs/>
          <w:color w:val="auto"/>
          <w:sz w:val="21"/>
          <w:szCs w:val="21"/>
          <w:lang w:val="zh-CN"/>
        </w:rPr>
        <w:fldChar w:fldCharType="end"/>
      </w:r>
    </w:p>
    <w:p w14:paraId="386181B8">
      <w:pPr>
        <w:pStyle w:val="21"/>
        <w:tabs>
          <w:tab w:val="right" w:leader="dot" w:pos="8844"/>
        </w:tabs>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zh-CN"/>
        </w:rPr>
        <w:fldChar w:fldCharType="begin"/>
      </w:r>
      <w:r>
        <w:rPr>
          <w:rFonts w:hint="default" w:ascii="Times New Roman" w:hAnsi="Times New Roman" w:eastAsia="宋体" w:cs="Times New Roman"/>
          <w:bCs/>
          <w:color w:val="auto"/>
          <w:sz w:val="21"/>
          <w:szCs w:val="21"/>
          <w:lang w:val="zh-CN"/>
        </w:rPr>
        <w:instrText xml:space="preserve"> HYPERLINK \l _Toc22893 </w:instrText>
      </w:r>
      <w:r>
        <w:rPr>
          <w:rFonts w:hint="default" w:ascii="Times New Roman" w:hAnsi="Times New Roman" w:eastAsia="宋体" w:cs="Times New Roman"/>
          <w:bCs/>
          <w:color w:val="auto"/>
          <w:sz w:val="21"/>
          <w:szCs w:val="21"/>
          <w:lang w:val="zh-CN"/>
        </w:rPr>
        <w:fldChar w:fldCharType="separate"/>
      </w:r>
      <w:r>
        <w:rPr>
          <w:rFonts w:hint="default" w:ascii="Times New Roman" w:hAnsi="Times New Roman" w:eastAsia="宋体" w:cs="Times New Roman"/>
          <w:bCs/>
          <w:snapToGrid w:val="0"/>
          <w:color w:val="auto"/>
          <w:sz w:val="21"/>
          <w:szCs w:val="21"/>
        </w:rPr>
        <w:t>五、环境保护措施监督检查清单</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_Toc22893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79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bCs/>
          <w:color w:val="auto"/>
          <w:sz w:val="21"/>
          <w:szCs w:val="21"/>
          <w:lang w:val="zh-CN"/>
        </w:rPr>
        <w:fldChar w:fldCharType="end"/>
      </w:r>
    </w:p>
    <w:p w14:paraId="52504ED1">
      <w:pPr>
        <w:pStyle w:val="21"/>
        <w:tabs>
          <w:tab w:val="right" w:leader="dot" w:pos="8844"/>
        </w:tabs>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zh-CN"/>
        </w:rPr>
        <w:fldChar w:fldCharType="begin"/>
      </w:r>
      <w:r>
        <w:rPr>
          <w:rFonts w:hint="default" w:ascii="Times New Roman" w:hAnsi="Times New Roman" w:eastAsia="宋体" w:cs="Times New Roman"/>
          <w:bCs/>
          <w:color w:val="auto"/>
          <w:sz w:val="21"/>
          <w:szCs w:val="21"/>
          <w:lang w:val="zh-CN"/>
        </w:rPr>
        <w:instrText xml:space="preserve"> HYPERLINK \l _Toc6712 </w:instrText>
      </w:r>
      <w:r>
        <w:rPr>
          <w:rFonts w:hint="default" w:ascii="Times New Roman" w:hAnsi="Times New Roman" w:eastAsia="宋体" w:cs="Times New Roman"/>
          <w:bCs/>
          <w:color w:val="auto"/>
          <w:sz w:val="21"/>
          <w:szCs w:val="21"/>
          <w:lang w:val="zh-CN"/>
        </w:rPr>
        <w:fldChar w:fldCharType="separate"/>
      </w:r>
      <w:r>
        <w:rPr>
          <w:rFonts w:hint="default" w:ascii="Times New Roman" w:hAnsi="Times New Roman" w:eastAsia="宋体" w:cs="Times New Roman"/>
          <w:bCs/>
          <w:snapToGrid w:val="0"/>
          <w:color w:val="auto"/>
          <w:sz w:val="21"/>
          <w:szCs w:val="21"/>
        </w:rPr>
        <w:t>六、结论</w:t>
      </w:r>
      <w:r>
        <w:rPr>
          <w:rFonts w:hint="default" w:ascii="Times New Roman" w:hAnsi="Times New Roman" w:eastAsia="宋体" w:cs="Times New Roman"/>
          <w:color w:val="auto"/>
          <w:sz w:val="21"/>
          <w:szCs w:val="21"/>
        </w:rPr>
        <w:tab/>
      </w:r>
      <w:r>
        <w:rPr>
          <w:rFonts w:hint="default" w:ascii="Times New Roman" w:hAnsi="Times New Roman" w:eastAsia="宋体" w:cs="Times New Roman"/>
          <w:bCs/>
          <w:color w:val="auto"/>
          <w:sz w:val="21"/>
          <w:szCs w:val="21"/>
          <w:lang w:val="zh-CN"/>
        </w:rPr>
        <w:fldChar w:fldCharType="end"/>
      </w:r>
      <w:r>
        <w:rPr>
          <w:rFonts w:hint="eastAsia" w:ascii="Times New Roman" w:hAnsi="Times New Roman" w:eastAsia="宋体" w:cs="Times New Roman"/>
          <w:bCs/>
          <w:color w:val="auto"/>
          <w:sz w:val="21"/>
          <w:szCs w:val="21"/>
          <w:lang w:val="en-US" w:eastAsia="zh-CN"/>
        </w:rPr>
        <w:t>78</w:t>
      </w:r>
    </w:p>
    <w:p w14:paraId="03D6AA88">
      <w:pPr>
        <w:pStyle w:val="21"/>
        <w:tabs>
          <w:tab w:val="right" w:leader="dot" w:pos="8844"/>
        </w:tabs>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zh-CN"/>
        </w:rPr>
        <w:fldChar w:fldCharType="begin"/>
      </w:r>
      <w:r>
        <w:rPr>
          <w:rFonts w:hint="default" w:ascii="Times New Roman" w:hAnsi="Times New Roman" w:eastAsia="宋体" w:cs="Times New Roman"/>
          <w:bCs/>
          <w:color w:val="auto"/>
          <w:sz w:val="21"/>
          <w:szCs w:val="21"/>
          <w:lang w:val="zh-CN"/>
        </w:rPr>
        <w:instrText xml:space="preserve"> HYPERLINK \l _Toc24980 </w:instrText>
      </w:r>
      <w:r>
        <w:rPr>
          <w:rFonts w:hint="default" w:ascii="Times New Roman" w:hAnsi="Times New Roman" w:eastAsia="宋体" w:cs="Times New Roman"/>
          <w:bCs/>
          <w:color w:val="auto"/>
          <w:sz w:val="21"/>
          <w:szCs w:val="21"/>
          <w:lang w:val="zh-CN"/>
        </w:rPr>
        <w:fldChar w:fldCharType="separate"/>
      </w:r>
      <w:r>
        <w:rPr>
          <w:rFonts w:hint="default" w:ascii="Times New Roman" w:hAnsi="Times New Roman" w:eastAsia="宋体" w:cs="Times New Roman"/>
          <w:bCs/>
          <w:snapToGrid w:val="0"/>
          <w:color w:val="auto"/>
          <w:sz w:val="21"/>
          <w:szCs w:val="21"/>
        </w:rPr>
        <w:t>附表</w:t>
      </w:r>
      <w:r>
        <w:rPr>
          <w:rFonts w:hint="default" w:ascii="Times New Roman" w:hAnsi="Times New Roman" w:eastAsia="宋体" w:cs="Times New Roman"/>
          <w:color w:val="auto"/>
          <w:sz w:val="21"/>
          <w:szCs w:val="21"/>
        </w:rPr>
        <w:tab/>
      </w:r>
      <w:r>
        <w:rPr>
          <w:rFonts w:hint="default" w:ascii="Times New Roman" w:hAnsi="Times New Roman" w:eastAsia="宋体" w:cs="Times New Roman"/>
          <w:bCs/>
          <w:color w:val="auto"/>
          <w:sz w:val="21"/>
          <w:szCs w:val="21"/>
          <w:lang w:val="zh-CN"/>
        </w:rPr>
        <w:fldChar w:fldCharType="end"/>
      </w:r>
      <w:r>
        <w:rPr>
          <w:rFonts w:hint="eastAsia" w:ascii="Times New Roman" w:hAnsi="Times New Roman" w:eastAsia="宋体" w:cs="Times New Roman"/>
          <w:bCs/>
          <w:color w:val="auto"/>
          <w:sz w:val="21"/>
          <w:szCs w:val="21"/>
          <w:lang w:val="en-US" w:eastAsia="zh-CN"/>
        </w:rPr>
        <w:t>79</w:t>
      </w:r>
    </w:p>
    <w:p w14:paraId="310FE548">
      <w:pPr>
        <w:pStyle w:val="21"/>
        <w:tabs>
          <w:tab w:val="right" w:leader="dot" w:pos="8844"/>
        </w:tabs>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zh-CN"/>
        </w:rPr>
        <w:fldChar w:fldCharType="begin"/>
      </w:r>
      <w:r>
        <w:rPr>
          <w:rFonts w:hint="default" w:ascii="Times New Roman" w:hAnsi="Times New Roman" w:eastAsia="宋体" w:cs="Times New Roman"/>
          <w:bCs/>
          <w:color w:val="auto"/>
          <w:sz w:val="21"/>
          <w:szCs w:val="21"/>
          <w:lang w:val="zh-CN"/>
        </w:rPr>
        <w:instrText xml:space="preserve"> HYPERLINK \l _Toc1460 </w:instrText>
      </w:r>
      <w:r>
        <w:rPr>
          <w:rFonts w:hint="default" w:ascii="Times New Roman" w:hAnsi="Times New Roman" w:eastAsia="宋体" w:cs="Times New Roman"/>
          <w:bCs/>
          <w:color w:val="auto"/>
          <w:sz w:val="21"/>
          <w:szCs w:val="21"/>
          <w:lang w:val="zh-CN"/>
        </w:rPr>
        <w:fldChar w:fldCharType="separate"/>
      </w:r>
      <w:r>
        <w:rPr>
          <w:rFonts w:hint="default" w:ascii="Times New Roman" w:hAnsi="Times New Roman" w:eastAsia="宋体" w:cs="Times New Roman"/>
          <w:bCs/>
          <w:snapToGrid w:val="0"/>
          <w:color w:val="auto"/>
          <w:sz w:val="21"/>
          <w:szCs w:val="21"/>
        </w:rPr>
        <w:t>建设项目污染物排放量汇总表</w:t>
      </w:r>
      <w:r>
        <w:rPr>
          <w:rFonts w:hint="default" w:ascii="Times New Roman" w:hAnsi="Times New Roman" w:eastAsia="宋体" w:cs="Times New Roman"/>
          <w:color w:val="auto"/>
          <w:sz w:val="21"/>
          <w:szCs w:val="21"/>
        </w:rPr>
        <w:tab/>
      </w:r>
      <w:r>
        <w:rPr>
          <w:rFonts w:hint="default" w:ascii="Times New Roman" w:hAnsi="Times New Roman" w:eastAsia="宋体" w:cs="Times New Roman"/>
          <w:bCs/>
          <w:color w:val="auto"/>
          <w:sz w:val="21"/>
          <w:szCs w:val="21"/>
          <w:lang w:val="zh-CN"/>
        </w:rPr>
        <w:fldChar w:fldCharType="end"/>
      </w:r>
      <w:r>
        <w:rPr>
          <w:rFonts w:hint="eastAsia" w:ascii="Times New Roman" w:hAnsi="Times New Roman" w:eastAsia="宋体" w:cs="Times New Roman"/>
          <w:bCs/>
          <w:color w:val="auto"/>
          <w:sz w:val="21"/>
          <w:szCs w:val="21"/>
          <w:lang w:val="en-US" w:eastAsia="zh-CN"/>
        </w:rPr>
        <w:t>79</w:t>
      </w:r>
    </w:p>
    <w:p w14:paraId="66D41007">
      <w:pPr>
        <w:rPr>
          <w:b/>
          <w:bCs/>
          <w:color w:val="auto"/>
          <w:lang w:val="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bCs/>
          <w:color w:val="auto"/>
          <w:sz w:val="21"/>
          <w:szCs w:val="21"/>
          <w:lang w:val="zh-CN"/>
        </w:rPr>
        <w:fldChar w:fldCharType="end"/>
      </w:r>
    </w:p>
    <w:p w14:paraId="1FD96C88">
      <w:pPr>
        <w:pStyle w:val="5"/>
        <w:rPr>
          <w:rFonts w:hint="default"/>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D073C77">
      <w:pPr>
        <w:adjustRightInd w:val="0"/>
        <w:snapToGrid w:val="0"/>
        <w:spacing w:line="360" w:lineRule="auto"/>
        <w:ind w:firstLine="632" w:firstLineChars="300"/>
        <w:rPr>
          <w:b/>
          <w:bCs/>
          <w:color w:val="auto"/>
          <w:szCs w:val="21"/>
        </w:rPr>
      </w:pPr>
      <w:r>
        <w:rPr>
          <w:b/>
          <w:bCs/>
          <w:color w:val="auto"/>
          <w:szCs w:val="21"/>
        </w:rPr>
        <w:t>附图：</w:t>
      </w:r>
    </w:p>
    <w:p w14:paraId="1672906B">
      <w:pPr>
        <w:adjustRightInd w:val="0"/>
        <w:snapToGrid w:val="0"/>
        <w:spacing w:line="360" w:lineRule="auto"/>
        <w:ind w:firstLine="630" w:firstLineChars="300"/>
        <w:rPr>
          <w:color w:val="auto"/>
          <w:szCs w:val="21"/>
        </w:rPr>
      </w:pPr>
      <w:r>
        <w:rPr>
          <w:color w:val="auto"/>
          <w:szCs w:val="21"/>
        </w:rPr>
        <w:t>附图</w:t>
      </w:r>
      <w:r>
        <w:rPr>
          <w:rFonts w:hint="eastAsia"/>
          <w:color w:val="auto"/>
          <w:szCs w:val="21"/>
          <w:lang w:val="en-US" w:eastAsia="zh-CN"/>
        </w:rPr>
        <w:t>1</w:t>
      </w:r>
      <w:r>
        <w:rPr>
          <w:color w:val="auto"/>
          <w:szCs w:val="21"/>
        </w:rPr>
        <w:t xml:space="preserve">   项目地理位置图</w:t>
      </w:r>
    </w:p>
    <w:p w14:paraId="67F8380B">
      <w:pPr>
        <w:adjustRightInd w:val="0"/>
        <w:snapToGrid w:val="0"/>
        <w:spacing w:line="360" w:lineRule="auto"/>
        <w:ind w:firstLine="630" w:firstLineChars="300"/>
        <w:rPr>
          <w:color w:val="auto"/>
          <w:szCs w:val="21"/>
        </w:rPr>
      </w:pPr>
      <w:r>
        <w:rPr>
          <w:color w:val="auto"/>
          <w:szCs w:val="21"/>
        </w:rPr>
        <w:t>附图</w:t>
      </w:r>
      <w:r>
        <w:rPr>
          <w:rFonts w:hint="eastAsia"/>
          <w:color w:val="auto"/>
          <w:szCs w:val="21"/>
          <w:lang w:val="en-US" w:eastAsia="zh-CN"/>
        </w:rPr>
        <w:t>2</w:t>
      </w:r>
      <w:r>
        <w:rPr>
          <w:color w:val="auto"/>
          <w:szCs w:val="21"/>
        </w:rPr>
        <w:t xml:space="preserve">   项目周边概况</w:t>
      </w:r>
    </w:p>
    <w:p w14:paraId="287EC006">
      <w:pPr>
        <w:adjustRightInd w:val="0"/>
        <w:snapToGrid w:val="0"/>
        <w:spacing w:line="360" w:lineRule="auto"/>
        <w:ind w:firstLine="630" w:firstLineChars="300"/>
        <w:rPr>
          <w:color w:val="auto"/>
          <w:szCs w:val="21"/>
        </w:rPr>
      </w:pPr>
      <w:r>
        <w:rPr>
          <w:color w:val="auto"/>
          <w:szCs w:val="21"/>
        </w:rPr>
        <w:t>附图</w:t>
      </w:r>
      <w:r>
        <w:rPr>
          <w:rFonts w:hint="eastAsia"/>
          <w:color w:val="auto"/>
          <w:szCs w:val="21"/>
          <w:lang w:val="en-US" w:eastAsia="zh-CN"/>
        </w:rPr>
        <w:t>3</w:t>
      </w:r>
      <w:r>
        <w:rPr>
          <w:color w:val="auto"/>
          <w:szCs w:val="21"/>
        </w:rPr>
        <w:t xml:space="preserve">   项目</w:t>
      </w:r>
      <w:r>
        <w:rPr>
          <w:rFonts w:hint="eastAsia"/>
          <w:color w:val="auto"/>
          <w:szCs w:val="21"/>
          <w:lang w:val="en-US" w:eastAsia="zh-CN"/>
        </w:rPr>
        <w:t>厂区</w:t>
      </w:r>
      <w:r>
        <w:rPr>
          <w:color w:val="auto"/>
          <w:szCs w:val="21"/>
        </w:rPr>
        <w:t>平面布置图</w:t>
      </w:r>
    </w:p>
    <w:p w14:paraId="7180C56B">
      <w:pPr>
        <w:adjustRightInd w:val="0"/>
        <w:snapToGrid w:val="0"/>
        <w:spacing w:line="360" w:lineRule="auto"/>
        <w:ind w:firstLine="630" w:firstLineChars="300"/>
        <w:rPr>
          <w:color w:val="auto"/>
          <w:szCs w:val="21"/>
        </w:rPr>
      </w:pPr>
      <w:r>
        <w:rPr>
          <w:color w:val="auto"/>
          <w:szCs w:val="21"/>
        </w:rPr>
        <w:t>附图</w:t>
      </w:r>
      <w:r>
        <w:rPr>
          <w:rFonts w:hint="eastAsia"/>
          <w:color w:val="auto"/>
          <w:szCs w:val="21"/>
          <w:lang w:val="en-US" w:eastAsia="zh-CN"/>
        </w:rPr>
        <w:t>4</w:t>
      </w:r>
      <w:r>
        <w:rPr>
          <w:color w:val="auto"/>
          <w:szCs w:val="21"/>
        </w:rPr>
        <w:t xml:space="preserve">   项目</w:t>
      </w:r>
      <w:r>
        <w:rPr>
          <w:rFonts w:hint="eastAsia"/>
          <w:color w:val="auto"/>
          <w:szCs w:val="21"/>
          <w:lang w:val="en-US" w:eastAsia="zh-CN"/>
        </w:rPr>
        <w:t>车间</w:t>
      </w:r>
      <w:r>
        <w:rPr>
          <w:color w:val="auto"/>
          <w:szCs w:val="21"/>
        </w:rPr>
        <w:t>平面布置图</w:t>
      </w:r>
    </w:p>
    <w:p w14:paraId="6B818DC5">
      <w:pPr>
        <w:adjustRightInd w:val="0"/>
        <w:snapToGrid w:val="0"/>
        <w:spacing w:line="360" w:lineRule="auto"/>
        <w:ind w:firstLine="630" w:firstLineChars="300"/>
        <w:rPr>
          <w:rFonts w:hint="default" w:eastAsia="宋体"/>
          <w:color w:val="auto"/>
          <w:szCs w:val="21"/>
          <w:lang w:val="en-US" w:eastAsia="zh-CN"/>
        </w:rPr>
      </w:pPr>
      <w:r>
        <w:rPr>
          <w:color w:val="auto"/>
          <w:szCs w:val="21"/>
        </w:rPr>
        <w:t>附图</w:t>
      </w:r>
      <w:r>
        <w:rPr>
          <w:rFonts w:hint="eastAsia"/>
          <w:color w:val="auto"/>
          <w:szCs w:val="21"/>
          <w:lang w:val="en-US" w:eastAsia="zh-CN"/>
        </w:rPr>
        <w:t>5</w:t>
      </w:r>
      <w:r>
        <w:rPr>
          <w:color w:val="auto"/>
          <w:szCs w:val="21"/>
        </w:rPr>
        <w:t xml:space="preserve">   生态红线区域保护图</w:t>
      </w:r>
    </w:p>
    <w:p w14:paraId="4DE2EB0A">
      <w:pPr>
        <w:adjustRightInd w:val="0"/>
        <w:snapToGrid w:val="0"/>
        <w:spacing w:line="360" w:lineRule="auto"/>
        <w:ind w:firstLine="630" w:firstLineChars="300"/>
        <w:rPr>
          <w:color w:val="auto"/>
          <w:szCs w:val="21"/>
        </w:rPr>
      </w:pPr>
      <w:r>
        <w:rPr>
          <w:color w:val="auto"/>
          <w:szCs w:val="21"/>
        </w:rPr>
        <w:t>附图</w:t>
      </w:r>
      <w:r>
        <w:rPr>
          <w:rFonts w:hint="eastAsia"/>
          <w:color w:val="auto"/>
          <w:szCs w:val="21"/>
          <w:lang w:val="en-US" w:eastAsia="zh-CN"/>
        </w:rPr>
        <w:t>6</w:t>
      </w:r>
      <w:r>
        <w:rPr>
          <w:color w:val="auto"/>
          <w:szCs w:val="21"/>
        </w:rPr>
        <w:t xml:space="preserve">   </w:t>
      </w:r>
      <w:r>
        <w:rPr>
          <w:rFonts w:hint="eastAsia"/>
          <w:color w:val="auto"/>
          <w:szCs w:val="21"/>
          <w:lang w:val="en-US" w:eastAsia="zh-CN"/>
        </w:rPr>
        <w:t>常州市“三线一单”生态环境分区管控图</w:t>
      </w:r>
    </w:p>
    <w:p w14:paraId="13E5DE30">
      <w:pPr>
        <w:adjustRightInd w:val="0"/>
        <w:snapToGrid w:val="0"/>
        <w:spacing w:line="360" w:lineRule="auto"/>
        <w:ind w:firstLine="630" w:firstLineChars="300"/>
        <w:rPr>
          <w:color w:val="auto"/>
          <w:szCs w:val="21"/>
        </w:rPr>
      </w:pPr>
      <w:r>
        <w:rPr>
          <w:color w:val="auto"/>
          <w:szCs w:val="21"/>
        </w:rPr>
        <w:t>附图</w:t>
      </w:r>
      <w:r>
        <w:rPr>
          <w:rFonts w:hint="eastAsia"/>
          <w:color w:val="auto"/>
          <w:szCs w:val="21"/>
          <w:lang w:val="en-US" w:eastAsia="zh-CN"/>
        </w:rPr>
        <w:t>7</w:t>
      </w:r>
      <w:r>
        <w:rPr>
          <w:color w:val="auto"/>
          <w:szCs w:val="21"/>
        </w:rPr>
        <w:t xml:space="preserve">   土地利用规划图</w:t>
      </w:r>
    </w:p>
    <w:p w14:paraId="2805D1C0">
      <w:pPr>
        <w:adjustRightInd w:val="0"/>
        <w:snapToGrid w:val="0"/>
        <w:spacing w:line="360" w:lineRule="auto"/>
        <w:ind w:firstLine="630" w:firstLineChars="300"/>
        <w:rPr>
          <w:rFonts w:hint="eastAsia"/>
          <w:color w:val="auto"/>
          <w:szCs w:val="21"/>
          <w:lang w:val="en-US" w:eastAsia="zh-CN"/>
        </w:rPr>
      </w:pPr>
      <w:r>
        <w:rPr>
          <w:rFonts w:hint="eastAsia"/>
          <w:color w:val="auto"/>
          <w:szCs w:val="21"/>
          <w:lang w:val="en-US" w:eastAsia="zh-CN"/>
        </w:rPr>
        <w:t xml:space="preserve">附图8   </w:t>
      </w:r>
      <w:r>
        <w:rPr>
          <w:color w:val="auto"/>
          <w:szCs w:val="21"/>
        </w:rPr>
        <w:t>水系图</w:t>
      </w:r>
    </w:p>
    <w:p w14:paraId="4F8A75A7">
      <w:pPr>
        <w:adjustRightInd w:val="0"/>
        <w:snapToGrid w:val="0"/>
        <w:spacing w:line="360" w:lineRule="auto"/>
        <w:ind w:firstLine="630" w:firstLineChars="300"/>
        <w:rPr>
          <w:rFonts w:hint="default"/>
          <w:color w:val="auto"/>
          <w:szCs w:val="21"/>
          <w:lang w:val="en-US" w:eastAsia="zh-CN"/>
        </w:rPr>
      </w:pPr>
      <w:r>
        <w:rPr>
          <w:rFonts w:hint="eastAsia"/>
          <w:color w:val="auto"/>
          <w:szCs w:val="21"/>
          <w:lang w:val="en-US" w:eastAsia="zh-CN"/>
        </w:rPr>
        <w:t xml:space="preserve">附图9   </w:t>
      </w:r>
      <w:r>
        <w:rPr>
          <w:color w:val="auto"/>
          <w:szCs w:val="21"/>
        </w:rPr>
        <w:t>声环境功能区规划图</w:t>
      </w:r>
    </w:p>
    <w:p w14:paraId="5BD5ECE4">
      <w:pPr>
        <w:spacing w:line="360" w:lineRule="auto"/>
        <w:ind w:firstLine="630" w:firstLineChars="300"/>
        <w:rPr>
          <w:rFonts w:hint="default" w:eastAsia="宋体"/>
          <w:b w:val="0"/>
          <w:bCs w:val="0"/>
          <w:color w:val="auto"/>
          <w:szCs w:val="21"/>
          <w:lang w:val="en-US" w:eastAsia="zh-CN"/>
        </w:rPr>
      </w:pPr>
      <w:r>
        <w:rPr>
          <w:rFonts w:hint="eastAsia"/>
          <w:b w:val="0"/>
          <w:bCs w:val="0"/>
          <w:color w:val="auto"/>
          <w:szCs w:val="21"/>
          <w:lang w:val="en-US" w:eastAsia="zh-CN"/>
        </w:rPr>
        <w:t xml:space="preserve">附图10  </w:t>
      </w:r>
      <w:r>
        <w:rPr>
          <w:rFonts w:hint="eastAsia"/>
          <w:color w:val="auto"/>
          <w:szCs w:val="21"/>
          <w:lang w:val="en-US" w:eastAsia="zh-CN"/>
        </w:rPr>
        <w:t>市辖区国土空间规划分区图</w:t>
      </w:r>
    </w:p>
    <w:p w14:paraId="3CA9F375">
      <w:pPr>
        <w:spacing w:line="360" w:lineRule="auto"/>
        <w:ind w:firstLine="630" w:firstLineChars="300"/>
        <w:rPr>
          <w:rFonts w:hint="default" w:eastAsia="宋体"/>
          <w:b w:val="0"/>
          <w:bCs w:val="0"/>
          <w:color w:val="auto"/>
          <w:szCs w:val="21"/>
          <w:lang w:val="en-US" w:eastAsia="zh-CN"/>
        </w:rPr>
      </w:pPr>
      <w:r>
        <w:rPr>
          <w:rFonts w:hint="eastAsia"/>
          <w:b w:val="0"/>
          <w:bCs w:val="0"/>
          <w:color w:val="auto"/>
          <w:szCs w:val="21"/>
          <w:lang w:val="en-US" w:eastAsia="zh-CN"/>
        </w:rPr>
        <w:t xml:space="preserve">附图11  </w:t>
      </w:r>
      <w:r>
        <w:rPr>
          <w:rFonts w:hint="eastAsia"/>
          <w:color w:val="auto"/>
          <w:szCs w:val="21"/>
          <w:lang w:val="en-US" w:eastAsia="zh-CN"/>
        </w:rPr>
        <w:t>市域国土空间控制线规划图</w:t>
      </w:r>
    </w:p>
    <w:p w14:paraId="351CE5AF">
      <w:pPr>
        <w:spacing w:line="360" w:lineRule="auto"/>
        <w:ind w:firstLine="632" w:firstLineChars="300"/>
        <w:rPr>
          <w:rFonts w:hint="default"/>
          <w:b/>
          <w:bCs/>
          <w:color w:val="auto"/>
          <w:szCs w:val="21"/>
          <w:lang w:val="en-US"/>
        </w:rPr>
      </w:pPr>
    </w:p>
    <w:p w14:paraId="00C67725">
      <w:pPr>
        <w:spacing w:line="360" w:lineRule="auto"/>
        <w:ind w:firstLine="632" w:firstLineChars="300"/>
        <w:rPr>
          <w:b/>
          <w:bCs/>
          <w:color w:val="auto"/>
          <w:szCs w:val="21"/>
        </w:rPr>
      </w:pPr>
      <w:r>
        <w:rPr>
          <w:b/>
          <w:bCs/>
          <w:color w:val="auto"/>
          <w:szCs w:val="21"/>
        </w:rPr>
        <w:t>附件：</w:t>
      </w:r>
    </w:p>
    <w:p w14:paraId="66161385">
      <w:pPr>
        <w:spacing w:line="360" w:lineRule="auto"/>
        <w:ind w:firstLine="630" w:firstLineChars="300"/>
        <w:rPr>
          <w:color w:val="auto"/>
          <w:szCs w:val="21"/>
        </w:rPr>
      </w:pPr>
      <w:r>
        <w:rPr>
          <w:color w:val="auto"/>
          <w:szCs w:val="21"/>
        </w:rPr>
        <w:t>附件</w:t>
      </w:r>
      <w:r>
        <w:rPr>
          <w:rFonts w:hint="eastAsia"/>
          <w:color w:val="auto"/>
          <w:szCs w:val="21"/>
          <w:lang w:val="en-US" w:eastAsia="zh-CN"/>
        </w:rPr>
        <w:t>1</w:t>
      </w:r>
      <w:r>
        <w:rPr>
          <w:color w:val="auto"/>
          <w:szCs w:val="21"/>
        </w:rPr>
        <w:t xml:space="preserve">   营业执照</w:t>
      </w:r>
    </w:p>
    <w:p w14:paraId="26652598">
      <w:pPr>
        <w:spacing w:line="360" w:lineRule="auto"/>
        <w:ind w:firstLine="630" w:firstLineChars="300"/>
        <w:rPr>
          <w:color w:val="auto"/>
          <w:szCs w:val="21"/>
        </w:rPr>
      </w:pPr>
      <w:r>
        <w:rPr>
          <w:color w:val="auto"/>
          <w:szCs w:val="21"/>
        </w:rPr>
        <w:t>附件</w:t>
      </w:r>
      <w:r>
        <w:rPr>
          <w:rFonts w:hint="eastAsia"/>
          <w:color w:val="auto"/>
          <w:szCs w:val="21"/>
          <w:lang w:val="en-US" w:eastAsia="zh-CN"/>
        </w:rPr>
        <w:t>2</w:t>
      </w:r>
      <w:r>
        <w:rPr>
          <w:color w:val="auto"/>
          <w:szCs w:val="21"/>
        </w:rPr>
        <w:t xml:space="preserve">   法人身份证</w:t>
      </w:r>
    </w:p>
    <w:p w14:paraId="6C071AFB">
      <w:pPr>
        <w:spacing w:line="360" w:lineRule="auto"/>
        <w:ind w:firstLine="630" w:firstLineChars="300"/>
        <w:rPr>
          <w:color w:val="auto"/>
          <w:szCs w:val="21"/>
        </w:rPr>
      </w:pPr>
      <w:r>
        <w:rPr>
          <w:color w:val="auto"/>
          <w:szCs w:val="21"/>
        </w:rPr>
        <w:t>附件</w:t>
      </w:r>
      <w:r>
        <w:rPr>
          <w:rFonts w:hint="eastAsia"/>
          <w:color w:val="auto"/>
          <w:szCs w:val="21"/>
          <w:lang w:val="en-US" w:eastAsia="zh-CN"/>
        </w:rPr>
        <w:t>3</w:t>
      </w:r>
      <w:r>
        <w:rPr>
          <w:color w:val="auto"/>
          <w:szCs w:val="21"/>
        </w:rPr>
        <w:t xml:space="preserve">   项目备案文件</w:t>
      </w:r>
    </w:p>
    <w:p w14:paraId="56978590">
      <w:pPr>
        <w:spacing w:line="360" w:lineRule="auto"/>
        <w:ind w:firstLine="630" w:firstLineChars="300"/>
        <w:rPr>
          <w:rFonts w:hint="eastAsia"/>
          <w:color w:val="auto"/>
          <w:szCs w:val="21"/>
        </w:rPr>
      </w:pPr>
      <w:r>
        <w:rPr>
          <w:color w:val="auto"/>
          <w:szCs w:val="21"/>
        </w:rPr>
        <w:t>附件</w:t>
      </w:r>
      <w:r>
        <w:rPr>
          <w:rFonts w:hint="eastAsia"/>
          <w:color w:val="auto"/>
          <w:szCs w:val="21"/>
          <w:lang w:val="en-US" w:eastAsia="zh-CN"/>
        </w:rPr>
        <w:t>4</w:t>
      </w:r>
      <w:r>
        <w:rPr>
          <w:color w:val="auto"/>
          <w:szCs w:val="21"/>
        </w:rPr>
        <w:t xml:space="preserve">   </w:t>
      </w:r>
      <w:r>
        <w:rPr>
          <w:rFonts w:hint="eastAsia"/>
          <w:color w:val="auto"/>
          <w:szCs w:val="21"/>
          <w:lang w:val="en-US" w:eastAsia="zh-CN"/>
        </w:rPr>
        <w:t>房产证、土地证、租赁</w:t>
      </w:r>
      <w:r>
        <w:rPr>
          <w:rFonts w:hint="eastAsia"/>
          <w:color w:val="auto"/>
          <w:szCs w:val="21"/>
        </w:rPr>
        <w:t>协议</w:t>
      </w:r>
    </w:p>
    <w:p w14:paraId="46E20C0E">
      <w:pPr>
        <w:spacing w:line="360" w:lineRule="auto"/>
        <w:ind w:firstLine="630" w:firstLineChars="300"/>
        <w:rPr>
          <w:rFonts w:hint="default" w:eastAsia="宋体"/>
          <w:color w:val="auto"/>
          <w:szCs w:val="21"/>
          <w:lang w:val="en-US" w:eastAsia="zh-CN"/>
        </w:rPr>
      </w:pPr>
      <w:r>
        <w:rPr>
          <w:color w:val="auto"/>
          <w:szCs w:val="21"/>
        </w:rPr>
        <w:t>附件</w:t>
      </w:r>
      <w:r>
        <w:rPr>
          <w:rFonts w:hint="eastAsia"/>
          <w:color w:val="auto"/>
          <w:szCs w:val="21"/>
          <w:lang w:val="en-US" w:eastAsia="zh-CN"/>
        </w:rPr>
        <w:t>5</w:t>
      </w:r>
      <w:r>
        <w:rPr>
          <w:color w:val="auto"/>
          <w:szCs w:val="21"/>
        </w:rPr>
        <w:t xml:space="preserve">   </w:t>
      </w:r>
      <w:r>
        <w:rPr>
          <w:rFonts w:hint="eastAsia"/>
          <w:color w:val="auto"/>
          <w:szCs w:val="21"/>
          <w:lang w:val="en-US" w:eastAsia="zh-CN"/>
        </w:rPr>
        <w:t>环评批复、验收材料、应急预案备案表、</w:t>
      </w:r>
      <w:r>
        <w:rPr>
          <w:rFonts w:hint="eastAsia"/>
          <w:color w:val="auto"/>
          <w:szCs w:val="21"/>
        </w:rPr>
        <w:t>排污许可登记</w:t>
      </w:r>
    </w:p>
    <w:p w14:paraId="052E71F3">
      <w:pPr>
        <w:spacing w:line="360" w:lineRule="auto"/>
        <w:ind w:firstLine="630" w:firstLineChars="300"/>
        <w:rPr>
          <w:color w:val="auto"/>
          <w:szCs w:val="21"/>
        </w:rPr>
      </w:pPr>
      <w:r>
        <w:rPr>
          <w:rFonts w:hint="eastAsia"/>
          <w:color w:val="auto"/>
          <w:szCs w:val="21"/>
        </w:rPr>
        <w:t>附件</w:t>
      </w:r>
      <w:r>
        <w:rPr>
          <w:rFonts w:hint="eastAsia"/>
          <w:color w:val="auto"/>
          <w:szCs w:val="21"/>
          <w:lang w:val="en-US" w:eastAsia="zh-CN"/>
        </w:rPr>
        <w:t>6</w:t>
      </w:r>
      <w:r>
        <w:rPr>
          <w:rFonts w:hint="eastAsia"/>
          <w:color w:val="auto"/>
          <w:szCs w:val="21"/>
        </w:rPr>
        <w:t xml:space="preserve">   </w:t>
      </w:r>
      <w:r>
        <w:rPr>
          <w:color w:val="auto"/>
          <w:szCs w:val="21"/>
        </w:rPr>
        <w:t>环评委托合同</w:t>
      </w:r>
    </w:p>
    <w:p w14:paraId="445AA309">
      <w:pPr>
        <w:spacing w:line="360" w:lineRule="auto"/>
        <w:ind w:firstLine="630" w:firstLineChars="300"/>
        <w:rPr>
          <w:rFonts w:hint="eastAsia" w:eastAsia="宋体"/>
          <w:color w:val="FF0000"/>
          <w:szCs w:val="21"/>
          <w:lang w:eastAsia="zh-CN"/>
        </w:rPr>
      </w:pPr>
      <w:r>
        <w:rPr>
          <w:rFonts w:hint="eastAsia"/>
          <w:color w:val="FF0000"/>
          <w:szCs w:val="21"/>
        </w:rPr>
        <w:t>附件</w:t>
      </w:r>
      <w:r>
        <w:rPr>
          <w:rFonts w:hint="eastAsia"/>
          <w:color w:val="FF0000"/>
          <w:szCs w:val="21"/>
          <w:lang w:val="en-US" w:eastAsia="zh-CN"/>
        </w:rPr>
        <w:t>7</w:t>
      </w:r>
      <w:r>
        <w:rPr>
          <w:color w:val="FF0000"/>
          <w:szCs w:val="21"/>
        </w:rPr>
        <w:t xml:space="preserve">   </w:t>
      </w:r>
      <w:r>
        <w:rPr>
          <w:rFonts w:hint="eastAsia"/>
          <w:color w:val="FF0000"/>
          <w:szCs w:val="21"/>
          <w:lang w:eastAsia="zh-CN"/>
        </w:rPr>
        <w:t>《省生态环境厅关于江苏金坛经济开发区开发建设规划（2025—2035年）环境影响报告书的审查意见》（苏环审〔2026〕17号）</w:t>
      </w:r>
    </w:p>
    <w:p w14:paraId="351E7A97">
      <w:pPr>
        <w:pStyle w:val="2"/>
        <w:ind w:firstLine="630" w:firstLineChars="300"/>
        <w:rPr>
          <w:rFonts w:hint="eastAsia" w:eastAsia="宋体"/>
          <w:color w:val="auto"/>
          <w:lang w:eastAsia="zh-CN"/>
        </w:rPr>
      </w:pPr>
      <w:r>
        <w:rPr>
          <w:color w:val="auto"/>
          <w:szCs w:val="21"/>
        </w:rPr>
        <w:t>附件</w:t>
      </w:r>
      <w:r>
        <w:rPr>
          <w:rFonts w:hint="eastAsia"/>
          <w:color w:val="auto"/>
          <w:szCs w:val="21"/>
          <w:lang w:val="en-US" w:eastAsia="zh-CN"/>
        </w:rPr>
        <w:t>8</w:t>
      </w:r>
      <w:r>
        <w:rPr>
          <w:rFonts w:hint="eastAsia"/>
          <w:color w:val="auto"/>
          <w:szCs w:val="21"/>
        </w:rPr>
        <w:t xml:space="preserve">   </w:t>
      </w:r>
      <w:r>
        <w:rPr>
          <w:color w:val="auto"/>
          <w:szCs w:val="21"/>
        </w:rPr>
        <w:t>现状检测报告及引用说明</w:t>
      </w:r>
    </w:p>
    <w:p w14:paraId="5F95613F">
      <w:pPr>
        <w:spacing w:line="360" w:lineRule="auto"/>
        <w:ind w:firstLine="630" w:firstLineChars="300"/>
        <w:rPr>
          <w:color w:val="auto"/>
          <w:szCs w:val="21"/>
        </w:rPr>
      </w:pPr>
      <w:r>
        <w:rPr>
          <w:color w:val="auto"/>
          <w:szCs w:val="21"/>
        </w:rPr>
        <w:t>附件</w:t>
      </w:r>
      <w:r>
        <w:rPr>
          <w:rFonts w:hint="eastAsia"/>
          <w:color w:val="auto"/>
          <w:szCs w:val="21"/>
          <w:lang w:val="en-US" w:eastAsia="zh-CN"/>
        </w:rPr>
        <w:t>9</w:t>
      </w:r>
      <w:r>
        <w:rPr>
          <w:color w:val="auto"/>
          <w:szCs w:val="21"/>
        </w:rPr>
        <w:t xml:space="preserve">   环评公示截图</w:t>
      </w:r>
    </w:p>
    <w:p w14:paraId="7A08FB19">
      <w:pPr>
        <w:spacing w:line="360" w:lineRule="auto"/>
        <w:ind w:firstLine="630" w:firstLineChars="300"/>
        <w:rPr>
          <w:color w:val="auto"/>
          <w:szCs w:val="21"/>
        </w:rPr>
      </w:pPr>
      <w:r>
        <w:rPr>
          <w:color w:val="auto"/>
          <w:szCs w:val="21"/>
        </w:rPr>
        <w:t>附件</w:t>
      </w:r>
      <w:r>
        <w:rPr>
          <w:rFonts w:hint="eastAsia"/>
          <w:color w:val="auto"/>
          <w:szCs w:val="21"/>
          <w:lang w:val="en-US" w:eastAsia="zh-CN"/>
        </w:rPr>
        <w:t>10</w:t>
      </w:r>
      <w:r>
        <w:rPr>
          <w:rFonts w:hint="eastAsia"/>
          <w:color w:val="auto"/>
          <w:szCs w:val="21"/>
        </w:rPr>
        <w:t xml:space="preserve">  </w:t>
      </w:r>
      <w:r>
        <w:rPr>
          <w:color w:val="auto"/>
          <w:szCs w:val="21"/>
        </w:rPr>
        <w:t>建设单位承诺书</w:t>
      </w:r>
    </w:p>
    <w:p w14:paraId="3B79650D">
      <w:pPr>
        <w:spacing w:line="360" w:lineRule="auto"/>
        <w:ind w:firstLine="630" w:firstLineChars="300"/>
        <w:rPr>
          <w:color w:val="auto"/>
          <w:szCs w:val="21"/>
        </w:rPr>
      </w:pPr>
      <w:r>
        <w:rPr>
          <w:color w:val="auto"/>
          <w:szCs w:val="21"/>
        </w:rPr>
        <w:t>附件</w:t>
      </w:r>
      <w:r>
        <w:rPr>
          <w:rFonts w:hint="eastAsia"/>
          <w:color w:val="auto"/>
          <w:szCs w:val="21"/>
          <w:lang w:val="en-US" w:eastAsia="zh-CN"/>
        </w:rPr>
        <w:t xml:space="preserve">11 </w:t>
      </w:r>
      <w:r>
        <w:rPr>
          <w:color w:val="auto"/>
          <w:szCs w:val="21"/>
        </w:rPr>
        <w:t xml:space="preserve"> 建设单位</w:t>
      </w:r>
      <w:r>
        <w:rPr>
          <w:rFonts w:hint="eastAsia"/>
          <w:color w:val="auto"/>
          <w:szCs w:val="21"/>
        </w:rPr>
        <w:t>、</w:t>
      </w:r>
      <w:r>
        <w:rPr>
          <w:color w:val="auto"/>
          <w:szCs w:val="21"/>
        </w:rPr>
        <w:t>环评单位承诺</w:t>
      </w:r>
      <w:r>
        <w:rPr>
          <w:rFonts w:hint="eastAsia"/>
          <w:color w:val="auto"/>
          <w:szCs w:val="21"/>
        </w:rPr>
        <w:t>书</w:t>
      </w:r>
    </w:p>
    <w:p w14:paraId="43203C9D">
      <w:pPr>
        <w:spacing w:line="360" w:lineRule="auto"/>
        <w:ind w:firstLine="630" w:firstLineChars="300"/>
        <w:rPr>
          <w:rFonts w:hint="eastAsia"/>
          <w:color w:val="auto"/>
          <w:szCs w:val="21"/>
        </w:rPr>
      </w:pPr>
      <w:r>
        <w:rPr>
          <w:color w:val="auto"/>
          <w:szCs w:val="21"/>
        </w:rPr>
        <w:t>附件</w:t>
      </w:r>
      <w:r>
        <w:rPr>
          <w:rFonts w:hint="eastAsia"/>
          <w:color w:val="auto"/>
          <w:szCs w:val="21"/>
          <w:lang w:val="en-US" w:eastAsia="zh-CN"/>
        </w:rPr>
        <w:t xml:space="preserve">12 </w:t>
      </w:r>
      <w:r>
        <w:rPr>
          <w:color w:val="auto"/>
          <w:szCs w:val="21"/>
        </w:rPr>
        <w:t xml:space="preserve"> 委托书</w:t>
      </w:r>
    </w:p>
    <w:p w14:paraId="241CD6B6">
      <w:pPr>
        <w:spacing w:line="360" w:lineRule="auto"/>
        <w:ind w:firstLine="630" w:firstLineChars="300"/>
        <w:rPr>
          <w:color w:val="auto"/>
          <w:szCs w:val="21"/>
        </w:rPr>
      </w:pPr>
      <w:r>
        <w:rPr>
          <w:color w:val="auto"/>
          <w:szCs w:val="21"/>
        </w:rPr>
        <w:t>附件</w:t>
      </w:r>
      <w:r>
        <w:rPr>
          <w:rFonts w:hint="eastAsia"/>
          <w:color w:val="auto"/>
          <w:szCs w:val="21"/>
          <w:lang w:val="en-US" w:eastAsia="zh-CN"/>
        </w:rPr>
        <w:t xml:space="preserve">13 </w:t>
      </w:r>
      <w:r>
        <w:rPr>
          <w:color w:val="auto"/>
          <w:szCs w:val="21"/>
        </w:rPr>
        <w:t xml:space="preserve"> 危废处置承诺书</w:t>
      </w:r>
    </w:p>
    <w:p w14:paraId="2A2A4F96">
      <w:pPr>
        <w:spacing w:line="360" w:lineRule="auto"/>
        <w:ind w:firstLine="630" w:firstLineChars="300"/>
        <w:rPr>
          <w:color w:val="auto"/>
          <w:szCs w:val="21"/>
        </w:rPr>
      </w:pPr>
      <w:r>
        <w:rPr>
          <w:color w:val="auto"/>
          <w:szCs w:val="21"/>
        </w:rPr>
        <w:t>附件</w:t>
      </w:r>
      <w:r>
        <w:rPr>
          <w:rFonts w:hint="eastAsia"/>
          <w:color w:val="auto"/>
          <w:szCs w:val="21"/>
          <w:lang w:val="en-US" w:eastAsia="zh-CN"/>
        </w:rPr>
        <w:t xml:space="preserve">14 </w:t>
      </w:r>
      <w:r>
        <w:rPr>
          <w:color w:val="auto"/>
          <w:szCs w:val="21"/>
        </w:rPr>
        <w:t xml:space="preserve"> 声明确认单</w:t>
      </w:r>
    </w:p>
    <w:p w14:paraId="1AECA664">
      <w:pPr>
        <w:spacing w:line="360" w:lineRule="auto"/>
        <w:ind w:firstLine="630" w:firstLineChars="300"/>
        <w:rPr>
          <w:rFonts w:ascii="Times New Roman" w:hAnsi="Times New Roman" w:eastAsia="宋体" w:cs="Times New Roman"/>
          <w:color w:val="auto"/>
          <w:szCs w:val="21"/>
        </w:rPr>
      </w:pPr>
      <w:r>
        <w:rPr>
          <w:color w:val="auto"/>
          <w:szCs w:val="21"/>
        </w:rPr>
        <w:t>附件</w:t>
      </w:r>
      <w:r>
        <w:rPr>
          <w:rFonts w:hint="eastAsia" w:cs="Times New Roman"/>
          <w:color w:val="auto"/>
          <w:szCs w:val="21"/>
          <w:lang w:val="en-US" w:eastAsia="zh-CN"/>
        </w:rPr>
        <w:t xml:space="preserve">15 </w:t>
      </w:r>
      <w:r>
        <w:rPr>
          <w:rFonts w:ascii="Times New Roman" w:hAnsi="Times New Roman" w:eastAsia="宋体" w:cs="Times New Roman"/>
          <w:color w:val="auto"/>
          <w:szCs w:val="21"/>
        </w:rPr>
        <w:t xml:space="preserve"> 工程师现场照</w:t>
      </w:r>
    </w:p>
    <w:p w14:paraId="520D0319">
      <w:pPr>
        <w:pStyle w:val="17"/>
        <w:numPr>
          <w:ilvl w:val="0"/>
          <w:numId w:val="0"/>
        </w:numPr>
        <w:ind w:firstLine="630" w:firstLineChars="300"/>
        <w:rPr>
          <w:rFonts w:hint="default"/>
          <w:color w:val="auto"/>
          <w:lang w:val="en-US"/>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16D4039">
      <w:pPr>
        <w:pStyle w:val="5"/>
        <w:rPr>
          <w:rFonts w:hint="default"/>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38C7165">
      <w:pPr>
        <w:pStyle w:val="25"/>
        <w:spacing w:before="0" w:beforeAutospacing="0" w:after="0" w:afterAutospacing="0"/>
        <w:outlineLvl w:val="0"/>
        <w:rPr>
          <w:rFonts w:ascii="Times New Roman" w:hAnsi="Times New Roman"/>
          <w:b/>
          <w:bCs/>
          <w:snapToGrid w:val="0"/>
          <w:color w:val="auto"/>
          <w:sz w:val="30"/>
          <w:szCs w:val="30"/>
        </w:rPr>
      </w:pPr>
      <w:bookmarkStart w:id="1" w:name="_Toc16352"/>
      <w:r>
        <w:rPr>
          <w:rFonts w:ascii="Times New Roman" w:hAnsi="Times New Roman"/>
          <w:b/>
          <w:bCs/>
          <w:snapToGrid w:val="0"/>
          <w:color w:val="auto"/>
          <w:sz w:val="30"/>
          <w:szCs w:val="30"/>
        </w:rPr>
        <w:t>一、建设项目基本情况</w:t>
      </w:r>
      <w:bookmarkEnd w:id="1"/>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54"/>
        <w:gridCol w:w="1066"/>
        <w:gridCol w:w="2298"/>
        <w:gridCol w:w="2211"/>
        <w:gridCol w:w="2639"/>
      </w:tblGrid>
      <w:tr w14:paraId="042E5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0" w:type="dxa"/>
            <w:gridSpan w:val="2"/>
            <w:noWrap w:val="0"/>
            <w:tcMar>
              <w:top w:w="16" w:type="dxa"/>
              <w:left w:w="16" w:type="dxa"/>
              <w:right w:w="16" w:type="dxa"/>
            </w:tcMar>
            <w:vAlign w:val="center"/>
          </w:tcPr>
          <w:p w14:paraId="64BB67A1">
            <w:pPr>
              <w:adjustRightInd w:val="0"/>
              <w:snapToGrid w:val="0"/>
              <w:jc w:val="center"/>
              <w:rPr>
                <w:color w:val="auto"/>
                <w:szCs w:val="21"/>
              </w:rPr>
            </w:pPr>
            <w:r>
              <w:rPr>
                <w:color w:val="auto"/>
                <w:szCs w:val="21"/>
              </w:rPr>
              <w:t>建设项目名称</w:t>
            </w:r>
          </w:p>
        </w:tc>
        <w:tc>
          <w:tcPr>
            <w:tcW w:w="7148" w:type="dxa"/>
            <w:gridSpan w:val="3"/>
            <w:noWrap w:val="0"/>
            <w:vAlign w:val="center"/>
          </w:tcPr>
          <w:p w14:paraId="057D9946">
            <w:pPr>
              <w:adjustRightInd w:val="0"/>
              <w:snapToGrid w:val="0"/>
              <w:jc w:val="center"/>
              <w:rPr>
                <w:rFonts w:hint="eastAsia" w:eastAsia="宋体"/>
                <w:color w:val="auto"/>
                <w:szCs w:val="21"/>
                <w:lang w:eastAsia="zh-CN"/>
              </w:rPr>
            </w:pPr>
            <w:r>
              <w:rPr>
                <w:rFonts w:hint="eastAsia"/>
                <w:color w:val="auto"/>
                <w:szCs w:val="21"/>
                <w:lang w:eastAsia="zh-CN"/>
              </w:rPr>
              <w:t>新建热塑性弹性体及汽车密封件项目</w:t>
            </w:r>
          </w:p>
        </w:tc>
      </w:tr>
      <w:tr w14:paraId="3EAE0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0" w:type="dxa"/>
            <w:gridSpan w:val="2"/>
            <w:noWrap w:val="0"/>
            <w:tcMar>
              <w:top w:w="16" w:type="dxa"/>
              <w:left w:w="16" w:type="dxa"/>
              <w:right w:w="16" w:type="dxa"/>
            </w:tcMar>
            <w:vAlign w:val="center"/>
          </w:tcPr>
          <w:p w14:paraId="038FA34A">
            <w:pPr>
              <w:adjustRightInd w:val="0"/>
              <w:snapToGrid w:val="0"/>
              <w:jc w:val="center"/>
              <w:rPr>
                <w:color w:val="auto"/>
                <w:szCs w:val="21"/>
              </w:rPr>
            </w:pPr>
            <w:r>
              <w:rPr>
                <w:color w:val="auto"/>
                <w:szCs w:val="21"/>
              </w:rPr>
              <w:t>项目代码</w:t>
            </w:r>
          </w:p>
        </w:tc>
        <w:tc>
          <w:tcPr>
            <w:tcW w:w="7148" w:type="dxa"/>
            <w:gridSpan w:val="3"/>
            <w:noWrap w:val="0"/>
            <w:vAlign w:val="center"/>
          </w:tcPr>
          <w:p w14:paraId="17B7EA93">
            <w:pPr>
              <w:adjustRightInd w:val="0"/>
              <w:snapToGrid w:val="0"/>
              <w:jc w:val="center"/>
              <w:rPr>
                <w:rFonts w:hint="eastAsia" w:eastAsia="宋体"/>
                <w:color w:val="auto"/>
                <w:szCs w:val="21"/>
                <w:lang w:eastAsia="zh-CN"/>
              </w:rPr>
            </w:pPr>
            <w:r>
              <w:rPr>
                <w:rFonts w:hint="eastAsia" w:eastAsia="宋体"/>
                <w:color w:val="auto"/>
                <w:szCs w:val="21"/>
                <w:lang w:eastAsia="zh-CN"/>
              </w:rPr>
              <w:t>2512-320458-89-01-873292</w:t>
            </w:r>
          </w:p>
        </w:tc>
      </w:tr>
      <w:tr w14:paraId="0FC26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0" w:type="dxa"/>
            <w:gridSpan w:val="2"/>
            <w:noWrap w:val="0"/>
            <w:tcMar>
              <w:top w:w="16" w:type="dxa"/>
              <w:left w:w="16" w:type="dxa"/>
              <w:right w:w="16" w:type="dxa"/>
            </w:tcMar>
            <w:vAlign w:val="center"/>
          </w:tcPr>
          <w:p w14:paraId="5424F720">
            <w:pPr>
              <w:adjustRightInd w:val="0"/>
              <w:snapToGrid w:val="0"/>
              <w:jc w:val="center"/>
              <w:rPr>
                <w:color w:val="auto"/>
                <w:szCs w:val="21"/>
              </w:rPr>
            </w:pPr>
            <w:r>
              <w:rPr>
                <w:color w:val="auto"/>
                <w:szCs w:val="21"/>
              </w:rPr>
              <w:t>建设单位联系人</w:t>
            </w:r>
          </w:p>
        </w:tc>
        <w:tc>
          <w:tcPr>
            <w:tcW w:w="2298" w:type="dxa"/>
            <w:noWrap w:val="0"/>
            <w:vAlign w:val="center"/>
          </w:tcPr>
          <w:p w14:paraId="3C2909A8">
            <w:pPr>
              <w:adjustRightInd w:val="0"/>
              <w:snapToGrid w:val="0"/>
              <w:jc w:val="center"/>
              <w:rPr>
                <w:rFonts w:hint="default" w:eastAsia="宋体"/>
                <w:color w:val="auto"/>
                <w:szCs w:val="21"/>
                <w:lang w:val="en-US" w:eastAsia="zh-CN"/>
              </w:rPr>
            </w:pPr>
            <w:r>
              <w:rPr>
                <w:rFonts w:hint="eastAsia"/>
                <w:color w:val="auto"/>
                <w:szCs w:val="21"/>
              </w:rPr>
              <w:t>钱</w:t>
            </w:r>
            <w:r>
              <w:rPr>
                <w:rFonts w:hint="eastAsia"/>
                <w:color w:val="auto"/>
                <w:szCs w:val="21"/>
                <w:lang w:val="en-US" w:eastAsia="zh-CN"/>
              </w:rPr>
              <w:t>**</w:t>
            </w:r>
          </w:p>
        </w:tc>
        <w:tc>
          <w:tcPr>
            <w:tcW w:w="2211" w:type="dxa"/>
            <w:noWrap w:val="0"/>
            <w:vAlign w:val="center"/>
          </w:tcPr>
          <w:p w14:paraId="22E56551">
            <w:pPr>
              <w:adjustRightInd w:val="0"/>
              <w:snapToGrid w:val="0"/>
              <w:jc w:val="center"/>
              <w:rPr>
                <w:color w:val="auto"/>
                <w:szCs w:val="21"/>
              </w:rPr>
            </w:pPr>
            <w:r>
              <w:rPr>
                <w:color w:val="auto"/>
                <w:szCs w:val="21"/>
              </w:rPr>
              <w:t>联系方式</w:t>
            </w:r>
          </w:p>
        </w:tc>
        <w:tc>
          <w:tcPr>
            <w:tcW w:w="2639" w:type="dxa"/>
            <w:noWrap w:val="0"/>
            <w:vAlign w:val="center"/>
          </w:tcPr>
          <w:p w14:paraId="7D9AD845">
            <w:pPr>
              <w:adjustRightInd w:val="0"/>
              <w:snapToGrid w:val="0"/>
              <w:jc w:val="center"/>
              <w:rPr>
                <w:color w:val="auto"/>
                <w:szCs w:val="21"/>
              </w:rPr>
            </w:pPr>
            <w:r>
              <w:rPr>
                <w:rFonts w:hint="eastAsia"/>
                <w:color w:val="auto"/>
                <w:szCs w:val="21"/>
              </w:rPr>
              <w:t>133</w:t>
            </w:r>
            <w:r>
              <w:rPr>
                <w:rFonts w:hint="eastAsia"/>
                <w:color w:val="auto"/>
                <w:szCs w:val="21"/>
                <w:lang w:val="en-US" w:eastAsia="zh-CN"/>
              </w:rPr>
              <w:t>****</w:t>
            </w:r>
            <w:r>
              <w:rPr>
                <w:rFonts w:hint="eastAsia"/>
                <w:color w:val="auto"/>
                <w:szCs w:val="21"/>
              </w:rPr>
              <w:t>3018</w:t>
            </w:r>
          </w:p>
        </w:tc>
      </w:tr>
      <w:tr w14:paraId="7463E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0" w:type="dxa"/>
            <w:gridSpan w:val="2"/>
            <w:noWrap w:val="0"/>
            <w:tcMar>
              <w:top w:w="16" w:type="dxa"/>
              <w:left w:w="16" w:type="dxa"/>
              <w:right w:w="16" w:type="dxa"/>
            </w:tcMar>
            <w:vAlign w:val="center"/>
          </w:tcPr>
          <w:p w14:paraId="1206B67B">
            <w:pPr>
              <w:adjustRightInd w:val="0"/>
              <w:snapToGrid w:val="0"/>
              <w:jc w:val="center"/>
              <w:rPr>
                <w:color w:val="auto"/>
                <w:szCs w:val="21"/>
              </w:rPr>
            </w:pPr>
            <w:r>
              <w:rPr>
                <w:color w:val="auto"/>
                <w:szCs w:val="21"/>
              </w:rPr>
              <w:t>建设地点</w:t>
            </w:r>
          </w:p>
        </w:tc>
        <w:tc>
          <w:tcPr>
            <w:tcW w:w="7148" w:type="dxa"/>
            <w:gridSpan w:val="3"/>
            <w:noWrap w:val="0"/>
            <w:vAlign w:val="center"/>
          </w:tcPr>
          <w:p w14:paraId="656B9219">
            <w:pPr>
              <w:adjustRightInd w:val="0"/>
              <w:snapToGrid w:val="0"/>
              <w:jc w:val="center"/>
              <w:rPr>
                <w:rFonts w:hint="eastAsia" w:eastAsia="宋体"/>
                <w:color w:val="auto"/>
                <w:szCs w:val="21"/>
                <w:lang w:eastAsia="zh-CN"/>
              </w:rPr>
            </w:pPr>
            <w:r>
              <w:rPr>
                <w:rFonts w:hint="eastAsia" w:eastAsia="宋体"/>
                <w:color w:val="auto"/>
                <w:szCs w:val="21"/>
                <w:lang w:val="en-US" w:eastAsia="zh-CN"/>
              </w:rPr>
              <w:t>江苏省</w:t>
            </w:r>
            <w:r>
              <w:rPr>
                <w:rFonts w:hint="eastAsia" w:eastAsia="宋体"/>
                <w:color w:val="auto"/>
                <w:szCs w:val="21"/>
                <w:lang w:eastAsia="zh-CN"/>
              </w:rPr>
              <w:t>金坛经济开发区东湖路28号</w:t>
            </w:r>
          </w:p>
        </w:tc>
      </w:tr>
      <w:tr w14:paraId="6DFF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0" w:type="dxa"/>
            <w:gridSpan w:val="2"/>
            <w:noWrap w:val="0"/>
            <w:tcMar>
              <w:top w:w="16" w:type="dxa"/>
              <w:left w:w="16" w:type="dxa"/>
              <w:right w:w="16" w:type="dxa"/>
            </w:tcMar>
            <w:vAlign w:val="center"/>
          </w:tcPr>
          <w:p w14:paraId="42E15447">
            <w:pPr>
              <w:adjustRightInd w:val="0"/>
              <w:snapToGrid w:val="0"/>
              <w:jc w:val="center"/>
              <w:rPr>
                <w:color w:val="auto"/>
                <w:szCs w:val="21"/>
              </w:rPr>
            </w:pPr>
            <w:r>
              <w:rPr>
                <w:color w:val="auto"/>
                <w:szCs w:val="21"/>
              </w:rPr>
              <w:t>地理坐标</w:t>
            </w:r>
          </w:p>
        </w:tc>
        <w:tc>
          <w:tcPr>
            <w:tcW w:w="7148" w:type="dxa"/>
            <w:gridSpan w:val="3"/>
            <w:noWrap w:val="0"/>
            <w:vAlign w:val="center"/>
          </w:tcPr>
          <w:p w14:paraId="52287A83">
            <w:pPr>
              <w:jc w:val="center"/>
              <w:rPr>
                <w:color w:val="auto"/>
                <w:szCs w:val="21"/>
              </w:rPr>
            </w:pPr>
            <w:r>
              <w:rPr>
                <w:color w:val="auto"/>
                <w:szCs w:val="21"/>
              </w:rPr>
              <w:t>（</w:t>
            </w:r>
            <w:r>
              <w:rPr>
                <w:rFonts w:hint="eastAsia"/>
                <w:color w:val="auto"/>
                <w:szCs w:val="21"/>
              </w:rPr>
              <w:t>经度119°36′32.868″，纬度31°45′32.044″</w:t>
            </w:r>
            <w:r>
              <w:rPr>
                <w:color w:val="auto"/>
                <w:szCs w:val="21"/>
              </w:rPr>
              <w:t>）‬</w:t>
            </w:r>
          </w:p>
        </w:tc>
      </w:tr>
      <w:tr w14:paraId="0C4AE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7" w:hRule="atLeast"/>
          <w:jc w:val="center"/>
        </w:trPr>
        <w:tc>
          <w:tcPr>
            <w:tcW w:w="1720" w:type="dxa"/>
            <w:gridSpan w:val="2"/>
            <w:noWrap w:val="0"/>
            <w:tcMar>
              <w:top w:w="16" w:type="dxa"/>
              <w:left w:w="16" w:type="dxa"/>
              <w:right w:w="16" w:type="dxa"/>
            </w:tcMar>
            <w:vAlign w:val="center"/>
          </w:tcPr>
          <w:p w14:paraId="37EE1C90">
            <w:pPr>
              <w:adjustRightInd w:val="0"/>
              <w:snapToGrid w:val="0"/>
              <w:jc w:val="center"/>
              <w:rPr>
                <w:color w:val="auto"/>
                <w:szCs w:val="21"/>
              </w:rPr>
            </w:pPr>
            <w:r>
              <w:rPr>
                <w:color w:val="auto"/>
                <w:szCs w:val="21"/>
              </w:rPr>
              <w:t>国民经济行业类别</w:t>
            </w:r>
          </w:p>
        </w:tc>
        <w:tc>
          <w:tcPr>
            <w:tcW w:w="2298" w:type="dxa"/>
            <w:noWrap w:val="0"/>
            <w:vAlign w:val="center"/>
          </w:tcPr>
          <w:p w14:paraId="075AB660">
            <w:pPr>
              <w:adjustRightInd w:val="0"/>
              <w:snapToGrid w:val="0"/>
              <w:jc w:val="center"/>
              <w:rPr>
                <w:rFonts w:hint="eastAsia" w:eastAsia="宋体"/>
                <w:color w:val="auto"/>
                <w:szCs w:val="21"/>
                <w:lang w:eastAsia="zh-CN"/>
              </w:rPr>
            </w:pPr>
            <w:r>
              <w:rPr>
                <w:rFonts w:hint="eastAsia" w:eastAsia="宋体"/>
                <w:color w:val="auto"/>
                <w:szCs w:val="21"/>
                <w:lang w:eastAsia="zh-CN"/>
              </w:rPr>
              <w:t>C2929塑料零件及其他塑料制品制造</w:t>
            </w:r>
          </w:p>
        </w:tc>
        <w:tc>
          <w:tcPr>
            <w:tcW w:w="2211" w:type="dxa"/>
            <w:noWrap w:val="0"/>
            <w:vAlign w:val="center"/>
          </w:tcPr>
          <w:p w14:paraId="4CD0BD39">
            <w:pPr>
              <w:adjustRightInd w:val="0"/>
              <w:snapToGrid w:val="0"/>
              <w:jc w:val="center"/>
              <w:rPr>
                <w:color w:val="auto"/>
                <w:szCs w:val="21"/>
              </w:rPr>
            </w:pPr>
            <w:bookmarkStart w:id="2" w:name="_Hlk49843745"/>
            <w:r>
              <w:rPr>
                <w:color w:val="auto"/>
                <w:szCs w:val="21"/>
              </w:rPr>
              <w:t>建设项目行业类别</w:t>
            </w:r>
            <w:bookmarkEnd w:id="2"/>
          </w:p>
        </w:tc>
        <w:tc>
          <w:tcPr>
            <w:tcW w:w="2639" w:type="dxa"/>
            <w:noWrap w:val="0"/>
            <w:vAlign w:val="center"/>
          </w:tcPr>
          <w:p w14:paraId="70D08935">
            <w:pPr>
              <w:adjustRightInd w:val="0"/>
              <w:snapToGrid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二十六</w:t>
            </w:r>
            <w:r>
              <w:rPr>
                <w:rFonts w:hint="default" w:ascii="Times New Roman" w:hAnsi="Times New Roman" w:eastAsia="宋体" w:cs="Times New Roman"/>
                <w:color w:val="auto"/>
                <w:sz w:val="21"/>
                <w:szCs w:val="21"/>
              </w:rPr>
              <w:t>、橡胶和塑料制品业</w:t>
            </w:r>
            <w:r>
              <w:rPr>
                <w:rFonts w:hint="default" w:ascii="Times New Roman" w:hAnsi="Times New Roman" w:eastAsia="宋体" w:cs="Times New Roman"/>
                <w:color w:val="auto"/>
                <w:sz w:val="21"/>
                <w:szCs w:val="21"/>
                <w:lang w:val="en-US" w:eastAsia="zh-CN"/>
              </w:rPr>
              <w:t>29</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53塑料制品业292</w:t>
            </w:r>
            <w:r>
              <w:rPr>
                <w:rFonts w:hint="default" w:ascii="Times New Roman" w:hAnsi="Times New Roman" w:eastAsia="宋体" w:cs="Times New Roman"/>
                <w:color w:val="auto"/>
                <w:sz w:val="21"/>
                <w:szCs w:val="21"/>
              </w:rPr>
              <w:t>—其他</w:t>
            </w:r>
          </w:p>
        </w:tc>
      </w:tr>
      <w:tr w14:paraId="16B6D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219" w:hRule="atLeast"/>
          <w:jc w:val="center"/>
        </w:trPr>
        <w:tc>
          <w:tcPr>
            <w:tcW w:w="1720" w:type="dxa"/>
            <w:gridSpan w:val="2"/>
            <w:noWrap w:val="0"/>
            <w:tcMar>
              <w:top w:w="16" w:type="dxa"/>
              <w:left w:w="16" w:type="dxa"/>
              <w:right w:w="16" w:type="dxa"/>
            </w:tcMar>
            <w:vAlign w:val="center"/>
          </w:tcPr>
          <w:p w14:paraId="4D40D186">
            <w:pPr>
              <w:adjustRightInd w:val="0"/>
              <w:snapToGrid w:val="0"/>
              <w:jc w:val="center"/>
              <w:rPr>
                <w:color w:val="auto"/>
                <w:szCs w:val="21"/>
              </w:rPr>
            </w:pPr>
            <w:r>
              <w:rPr>
                <w:color w:val="auto"/>
                <w:szCs w:val="21"/>
              </w:rPr>
              <w:t>建设性质</w:t>
            </w:r>
          </w:p>
        </w:tc>
        <w:tc>
          <w:tcPr>
            <w:tcW w:w="2298" w:type="dxa"/>
            <w:noWrap w:val="0"/>
            <w:vAlign w:val="center"/>
          </w:tcPr>
          <w:p w14:paraId="5D70E603">
            <w:pPr>
              <w:jc w:val="left"/>
              <w:rPr>
                <w:color w:val="auto"/>
                <w:szCs w:val="21"/>
              </w:rPr>
            </w:pPr>
            <w:r>
              <w:rPr>
                <w:color w:val="auto"/>
                <w:szCs w:val="21"/>
              </w:rPr>
              <w:sym w:font="Wingdings 2" w:char="0052"/>
            </w:r>
            <w:r>
              <w:rPr>
                <w:color w:val="auto"/>
                <w:szCs w:val="21"/>
              </w:rPr>
              <w:t>新建（迁建）</w:t>
            </w:r>
          </w:p>
          <w:p w14:paraId="66D38CAE">
            <w:pPr>
              <w:jc w:val="left"/>
              <w:rPr>
                <w:color w:val="auto"/>
                <w:szCs w:val="21"/>
              </w:rPr>
            </w:pPr>
            <w:r>
              <w:rPr>
                <w:color w:val="auto"/>
                <w:szCs w:val="21"/>
              </w:rPr>
              <w:sym w:font="Wingdings 2" w:char="00A3"/>
            </w:r>
            <w:r>
              <w:rPr>
                <w:color w:val="auto"/>
                <w:szCs w:val="21"/>
              </w:rPr>
              <w:t>改建</w:t>
            </w:r>
          </w:p>
          <w:p w14:paraId="54AB0AFB">
            <w:pPr>
              <w:jc w:val="left"/>
              <w:rPr>
                <w:color w:val="auto"/>
                <w:szCs w:val="21"/>
              </w:rPr>
            </w:pPr>
            <w:r>
              <w:rPr>
                <w:color w:val="auto"/>
                <w:szCs w:val="21"/>
              </w:rPr>
              <w:sym w:font="Wingdings 2" w:char="00A3"/>
            </w:r>
            <w:r>
              <w:rPr>
                <w:color w:val="auto"/>
                <w:szCs w:val="21"/>
              </w:rPr>
              <w:t>扩建</w:t>
            </w:r>
          </w:p>
          <w:p w14:paraId="1DC6F8AA">
            <w:pPr>
              <w:jc w:val="left"/>
              <w:rPr>
                <w:color w:val="auto"/>
                <w:szCs w:val="21"/>
              </w:rPr>
            </w:pPr>
            <w:r>
              <w:rPr>
                <w:color w:val="auto"/>
                <w:szCs w:val="21"/>
              </w:rPr>
              <w:sym w:font="Wingdings 2" w:char="00A3"/>
            </w:r>
            <w:r>
              <w:rPr>
                <w:color w:val="auto"/>
                <w:szCs w:val="21"/>
              </w:rPr>
              <w:t>技术改造</w:t>
            </w:r>
          </w:p>
        </w:tc>
        <w:tc>
          <w:tcPr>
            <w:tcW w:w="2211" w:type="dxa"/>
            <w:noWrap w:val="0"/>
            <w:vAlign w:val="center"/>
          </w:tcPr>
          <w:p w14:paraId="4078292B">
            <w:pPr>
              <w:adjustRightInd w:val="0"/>
              <w:snapToGrid w:val="0"/>
              <w:jc w:val="center"/>
              <w:rPr>
                <w:color w:val="auto"/>
                <w:szCs w:val="21"/>
              </w:rPr>
            </w:pPr>
            <w:r>
              <w:rPr>
                <w:color w:val="auto"/>
                <w:szCs w:val="21"/>
              </w:rPr>
              <w:t>建设项目申报情形</w:t>
            </w:r>
          </w:p>
        </w:tc>
        <w:tc>
          <w:tcPr>
            <w:tcW w:w="2639" w:type="dxa"/>
            <w:noWrap w:val="0"/>
            <w:vAlign w:val="center"/>
          </w:tcPr>
          <w:p w14:paraId="595D8682">
            <w:pPr>
              <w:jc w:val="left"/>
              <w:rPr>
                <w:color w:val="auto"/>
                <w:szCs w:val="21"/>
              </w:rPr>
            </w:pPr>
            <w:r>
              <w:rPr>
                <w:color w:val="auto"/>
                <w:szCs w:val="21"/>
              </w:rPr>
              <w:sym w:font="Wingdings 2" w:char="0052"/>
            </w:r>
            <w:r>
              <w:rPr>
                <w:color w:val="auto"/>
                <w:szCs w:val="21"/>
              </w:rPr>
              <w:t>首次申报项目</w:t>
            </w:r>
          </w:p>
          <w:p w14:paraId="151A751E">
            <w:pPr>
              <w:jc w:val="left"/>
              <w:rPr>
                <w:color w:val="auto"/>
                <w:szCs w:val="21"/>
              </w:rPr>
            </w:pPr>
            <w:r>
              <w:rPr>
                <w:color w:val="auto"/>
                <w:szCs w:val="21"/>
              </w:rPr>
              <w:sym w:font="Wingdings 2" w:char="00A3"/>
            </w:r>
            <w:r>
              <w:rPr>
                <w:color w:val="auto"/>
                <w:szCs w:val="21"/>
              </w:rPr>
              <w:t>不予批准后再次申报项目</w:t>
            </w:r>
          </w:p>
          <w:p w14:paraId="243C6B94">
            <w:pPr>
              <w:jc w:val="left"/>
              <w:rPr>
                <w:color w:val="auto"/>
                <w:szCs w:val="21"/>
              </w:rPr>
            </w:pPr>
            <w:r>
              <w:rPr>
                <w:color w:val="auto"/>
                <w:szCs w:val="21"/>
              </w:rPr>
              <w:sym w:font="Wingdings 2" w:char="00A3"/>
            </w:r>
            <w:r>
              <w:rPr>
                <w:color w:val="auto"/>
                <w:szCs w:val="21"/>
              </w:rPr>
              <w:t>超五年重新审核项目</w:t>
            </w:r>
          </w:p>
          <w:p w14:paraId="7B02E5B9">
            <w:pPr>
              <w:jc w:val="left"/>
              <w:rPr>
                <w:color w:val="auto"/>
                <w:szCs w:val="21"/>
              </w:rPr>
            </w:pPr>
            <w:r>
              <w:rPr>
                <w:color w:val="auto"/>
                <w:szCs w:val="21"/>
              </w:rPr>
              <w:sym w:font="Wingdings 2" w:char="00A3"/>
            </w:r>
            <w:r>
              <w:rPr>
                <w:color w:val="auto"/>
                <w:szCs w:val="21"/>
              </w:rPr>
              <w:t>重大变动重新报批项目</w:t>
            </w:r>
          </w:p>
        </w:tc>
      </w:tr>
      <w:tr w14:paraId="2A0D6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51" w:hRule="atLeast"/>
          <w:jc w:val="center"/>
        </w:trPr>
        <w:tc>
          <w:tcPr>
            <w:tcW w:w="1720" w:type="dxa"/>
            <w:gridSpan w:val="2"/>
            <w:noWrap w:val="0"/>
            <w:tcMar>
              <w:top w:w="16" w:type="dxa"/>
              <w:left w:w="16" w:type="dxa"/>
              <w:right w:w="16" w:type="dxa"/>
            </w:tcMar>
            <w:vAlign w:val="center"/>
          </w:tcPr>
          <w:p w14:paraId="2187C394">
            <w:pPr>
              <w:adjustRightInd w:val="0"/>
              <w:snapToGrid w:val="0"/>
              <w:jc w:val="center"/>
              <w:rPr>
                <w:color w:val="auto"/>
                <w:szCs w:val="21"/>
              </w:rPr>
            </w:pPr>
            <w:r>
              <w:rPr>
                <w:color w:val="auto"/>
                <w:szCs w:val="21"/>
              </w:rPr>
              <w:t>项目审批备案部门</w:t>
            </w:r>
          </w:p>
        </w:tc>
        <w:tc>
          <w:tcPr>
            <w:tcW w:w="2298" w:type="dxa"/>
            <w:noWrap w:val="0"/>
            <w:vAlign w:val="center"/>
          </w:tcPr>
          <w:p w14:paraId="033A276E">
            <w:pPr>
              <w:adjustRightInd w:val="0"/>
              <w:snapToGrid w:val="0"/>
              <w:jc w:val="center"/>
              <w:rPr>
                <w:color w:val="auto"/>
                <w:szCs w:val="21"/>
              </w:rPr>
            </w:pPr>
            <w:r>
              <w:rPr>
                <w:color w:val="auto"/>
                <w:szCs w:val="21"/>
              </w:rPr>
              <w:t>江苏金坛经济开发区经济发展局</w:t>
            </w:r>
          </w:p>
        </w:tc>
        <w:tc>
          <w:tcPr>
            <w:tcW w:w="2211" w:type="dxa"/>
            <w:noWrap w:val="0"/>
            <w:vAlign w:val="center"/>
          </w:tcPr>
          <w:p w14:paraId="08CC0890">
            <w:pPr>
              <w:adjustRightInd w:val="0"/>
              <w:snapToGrid w:val="0"/>
              <w:jc w:val="center"/>
              <w:rPr>
                <w:color w:val="auto"/>
                <w:szCs w:val="21"/>
              </w:rPr>
            </w:pPr>
            <w:r>
              <w:rPr>
                <w:color w:val="auto"/>
                <w:szCs w:val="21"/>
              </w:rPr>
              <w:t>项目审批备案文号</w:t>
            </w:r>
          </w:p>
        </w:tc>
        <w:tc>
          <w:tcPr>
            <w:tcW w:w="2639" w:type="dxa"/>
            <w:noWrap w:val="0"/>
            <w:vAlign w:val="center"/>
          </w:tcPr>
          <w:p w14:paraId="6A2BD8AF">
            <w:pPr>
              <w:adjustRightInd w:val="0"/>
              <w:snapToGrid w:val="0"/>
              <w:jc w:val="center"/>
              <w:rPr>
                <w:rFonts w:hint="eastAsia" w:eastAsia="宋体"/>
                <w:color w:val="auto"/>
                <w:szCs w:val="21"/>
                <w:lang w:eastAsia="zh-CN"/>
              </w:rPr>
            </w:pPr>
            <w:r>
              <w:rPr>
                <w:rFonts w:hint="eastAsia"/>
                <w:color w:val="auto"/>
                <w:szCs w:val="21"/>
                <w:lang w:eastAsia="zh-CN"/>
              </w:rPr>
              <w:t>坛开经发备字[2025]347号</w:t>
            </w:r>
          </w:p>
        </w:tc>
      </w:tr>
      <w:tr w14:paraId="3C8DE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0" w:type="dxa"/>
            <w:gridSpan w:val="2"/>
            <w:noWrap w:val="0"/>
            <w:tcMar>
              <w:top w:w="16" w:type="dxa"/>
              <w:left w:w="16" w:type="dxa"/>
              <w:right w:w="16" w:type="dxa"/>
            </w:tcMar>
            <w:vAlign w:val="center"/>
          </w:tcPr>
          <w:p w14:paraId="0BDCDDA7">
            <w:pPr>
              <w:adjustRightInd w:val="0"/>
              <w:snapToGrid w:val="0"/>
              <w:jc w:val="center"/>
              <w:rPr>
                <w:color w:val="auto"/>
                <w:szCs w:val="21"/>
              </w:rPr>
            </w:pPr>
            <w:r>
              <w:rPr>
                <w:color w:val="auto"/>
                <w:szCs w:val="21"/>
              </w:rPr>
              <w:t>总投资（万元）</w:t>
            </w:r>
          </w:p>
        </w:tc>
        <w:tc>
          <w:tcPr>
            <w:tcW w:w="2298" w:type="dxa"/>
            <w:noWrap w:val="0"/>
            <w:vAlign w:val="center"/>
          </w:tcPr>
          <w:p w14:paraId="740CA3EC">
            <w:pPr>
              <w:adjustRightInd w:val="0"/>
              <w:snapToGrid w:val="0"/>
              <w:jc w:val="center"/>
              <w:rPr>
                <w:rFonts w:hint="default" w:eastAsia="宋体"/>
                <w:color w:val="auto"/>
                <w:szCs w:val="21"/>
                <w:lang w:val="en-US" w:eastAsia="zh-CN"/>
              </w:rPr>
            </w:pPr>
            <w:r>
              <w:rPr>
                <w:rFonts w:hint="eastAsia"/>
                <w:color w:val="auto"/>
                <w:szCs w:val="21"/>
                <w:lang w:val="en-US" w:eastAsia="zh-CN"/>
              </w:rPr>
              <w:t>500</w:t>
            </w:r>
          </w:p>
        </w:tc>
        <w:tc>
          <w:tcPr>
            <w:tcW w:w="2211" w:type="dxa"/>
            <w:noWrap w:val="0"/>
            <w:tcMar>
              <w:top w:w="16" w:type="dxa"/>
              <w:left w:w="16" w:type="dxa"/>
              <w:right w:w="16" w:type="dxa"/>
            </w:tcMar>
            <w:vAlign w:val="center"/>
          </w:tcPr>
          <w:p w14:paraId="2279965F">
            <w:pPr>
              <w:adjustRightInd w:val="0"/>
              <w:snapToGrid w:val="0"/>
              <w:jc w:val="center"/>
              <w:rPr>
                <w:color w:val="auto"/>
                <w:szCs w:val="21"/>
              </w:rPr>
            </w:pPr>
            <w:r>
              <w:rPr>
                <w:color w:val="auto"/>
                <w:szCs w:val="21"/>
              </w:rPr>
              <w:t>环保投资（万元）</w:t>
            </w:r>
          </w:p>
        </w:tc>
        <w:tc>
          <w:tcPr>
            <w:tcW w:w="2639" w:type="dxa"/>
            <w:noWrap w:val="0"/>
            <w:vAlign w:val="center"/>
          </w:tcPr>
          <w:p w14:paraId="068F79A8">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r>
      <w:tr w14:paraId="51D34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0" w:type="dxa"/>
            <w:gridSpan w:val="2"/>
            <w:noWrap w:val="0"/>
            <w:tcMar>
              <w:top w:w="16" w:type="dxa"/>
              <w:left w:w="16" w:type="dxa"/>
              <w:right w:w="16" w:type="dxa"/>
            </w:tcMar>
            <w:vAlign w:val="center"/>
          </w:tcPr>
          <w:p w14:paraId="52337655">
            <w:pPr>
              <w:adjustRightInd w:val="0"/>
              <w:snapToGrid w:val="0"/>
              <w:jc w:val="center"/>
              <w:rPr>
                <w:color w:val="auto"/>
                <w:szCs w:val="21"/>
              </w:rPr>
            </w:pPr>
            <w:r>
              <w:rPr>
                <w:color w:val="auto"/>
                <w:szCs w:val="21"/>
              </w:rPr>
              <w:t>环保投资占比（%）</w:t>
            </w:r>
          </w:p>
        </w:tc>
        <w:tc>
          <w:tcPr>
            <w:tcW w:w="2298" w:type="dxa"/>
            <w:noWrap w:val="0"/>
            <w:vAlign w:val="center"/>
          </w:tcPr>
          <w:p w14:paraId="1A1754D8">
            <w:pPr>
              <w:adjustRightInd w:val="0"/>
              <w:snapToGrid w:val="0"/>
              <w:jc w:val="center"/>
              <w:rPr>
                <w:rFonts w:hint="default" w:eastAsia="宋体"/>
                <w:color w:val="auto"/>
                <w:szCs w:val="21"/>
                <w:lang w:val="en-US" w:eastAsia="zh-CN"/>
              </w:rPr>
            </w:pPr>
            <w:r>
              <w:rPr>
                <w:rFonts w:hint="eastAsia"/>
                <w:color w:val="auto"/>
                <w:szCs w:val="21"/>
                <w:lang w:val="en-US" w:eastAsia="zh-CN"/>
              </w:rPr>
              <w:t>2</w:t>
            </w:r>
          </w:p>
        </w:tc>
        <w:tc>
          <w:tcPr>
            <w:tcW w:w="2211" w:type="dxa"/>
            <w:noWrap w:val="0"/>
            <w:tcMar>
              <w:top w:w="16" w:type="dxa"/>
              <w:left w:w="16" w:type="dxa"/>
              <w:right w:w="16" w:type="dxa"/>
            </w:tcMar>
            <w:vAlign w:val="center"/>
          </w:tcPr>
          <w:p w14:paraId="67E67A0F">
            <w:pPr>
              <w:adjustRightInd w:val="0"/>
              <w:snapToGrid w:val="0"/>
              <w:jc w:val="center"/>
              <w:rPr>
                <w:color w:val="auto"/>
                <w:szCs w:val="21"/>
              </w:rPr>
            </w:pPr>
            <w:r>
              <w:rPr>
                <w:color w:val="auto"/>
                <w:szCs w:val="21"/>
              </w:rPr>
              <w:t>施工工期</w:t>
            </w:r>
          </w:p>
        </w:tc>
        <w:tc>
          <w:tcPr>
            <w:tcW w:w="2639" w:type="dxa"/>
            <w:noWrap w:val="0"/>
            <w:vAlign w:val="center"/>
          </w:tcPr>
          <w:p w14:paraId="49DDBA27">
            <w:pPr>
              <w:adjustRightInd w:val="0"/>
              <w:snapToGrid w:val="0"/>
              <w:jc w:val="center"/>
              <w:rPr>
                <w:color w:val="auto"/>
                <w:szCs w:val="21"/>
              </w:rPr>
            </w:pPr>
            <w:r>
              <w:rPr>
                <w:rFonts w:hint="eastAsia"/>
                <w:color w:val="auto"/>
                <w:szCs w:val="21"/>
              </w:rPr>
              <w:t>1</w:t>
            </w:r>
            <w:r>
              <w:rPr>
                <w:color w:val="auto"/>
                <w:szCs w:val="21"/>
              </w:rPr>
              <w:t>个月</w:t>
            </w:r>
          </w:p>
        </w:tc>
      </w:tr>
      <w:tr w14:paraId="4340B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0" w:type="dxa"/>
            <w:gridSpan w:val="2"/>
            <w:noWrap w:val="0"/>
            <w:tcMar>
              <w:top w:w="16" w:type="dxa"/>
              <w:left w:w="16" w:type="dxa"/>
              <w:right w:w="16" w:type="dxa"/>
            </w:tcMar>
            <w:vAlign w:val="center"/>
          </w:tcPr>
          <w:p w14:paraId="3EB712D9">
            <w:pPr>
              <w:adjustRightInd w:val="0"/>
              <w:snapToGrid w:val="0"/>
              <w:jc w:val="center"/>
              <w:rPr>
                <w:color w:val="auto"/>
                <w:szCs w:val="21"/>
              </w:rPr>
            </w:pPr>
            <w:r>
              <w:rPr>
                <w:color w:val="auto"/>
                <w:szCs w:val="21"/>
              </w:rPr>
              <w:t>是否开工建设</w:t>
            </w:r>
          </w:p>
        </w:tc>
        <w:tc>
          <w:tcPr>
            <w:tcW w:w="2298" w:type="dxa"/>
            <w:noWrap w:val="0"/>
            <w:vAlign w:val="center"/>
          </w:tcPr>
          <w:p w14:paraId="60E03DB7">
            <w:pPr>
              <w:adjustRightInd w:val="0"/>
              <w:snapToGrid w:val="0"/>
              <w:rPr>
                <w:color w:val="auto"/>
                <w:szCs w:val="21"/>
              </w:rPr>
            </w:pPr>
            <w:r>
              <w:rPr>
                <w:color w:val="auto"/>
                <w:szCs w:val="21"/>
              </w:rPr>
              <w:sym w:font="Wingdings 2" w:char="0052"/>
            </w:r>
            <w:r>
              <w:rPr>
                <w:color w:val="auto"/>
                <w:szCs w:val="21"/>
              </w:rPr>
              <w:t>否</w:t>
            </w:r>
          </w:p>
          <w:p w14:paraId="47FAF846">
            <w:pPr>
              <w:adjustRightInd w:val="0"/>
              <w:snapToGrid w:val="0"/>
              <w:rPr>
                <w:color w:val="auto"/>
                <w:szCs w:val="21"/>
              </w:rPr>
            </w:pPr>
            <w:r>
              <w:rPr>
                <w:color w:val="auto"/>
                <w:szCs w:val="21"/>
              </w:rPr>
              <w:sym w:font="Wingdings 2" w:char="00A3"/>
            </w:r>
            <w:r>
              <w:rPr>
                <w:color w:val="auto"/>
                <w:szCs w:val="21"/>
              </w:rPr>
              <w:t>是：</w:t>
            </w:r>
            <w:r>
              <w:rPr>
                <w:color w:val="auto"/>
                <w:szCs w:val="21"/>
                <w:u w:val="single"/>
              </w:rPr>
              <w:t xml:space="preserve">             </w:t>
            </w:r>
          </w:p>
        </w:tc>
        <w:tc>
          <w:tcPr>
            <w:tcW w:w="2211" w:type="dxa"/>
            <w:noWrap w:val="0"/>
            <w:tcMar>
              <w:top w:w="16" w:type="dxa"/>
              <w:left w:w="16" w:type="dxa"/>
              <w:right w:w="16" w:type="dxa"/>
            </w:tcMar>
            <w:vAlign w:val="center"/>
          </w:tcPr>
          <w:p w14:paraId="0AA7A951">
            <w:pPr>
              <w:adjustRightInd w:val="0"/>
              <w:snapToGrid w:val="0"/>
              <w:jc w:val="center"/>
              <w:rPr>
                <w:color w:val="auto"/>
                <w:szCs w:val="21"/>
              </w:rPr>
            </w:pPr>
            <w:r>
              <w:rPr>
                <w:color w:val="auto"/>
                <w:spacing w:val="-6"/>
                <w:szCs w:val="21"/>
              </w:rPr>
              <w:t>用地面积（m</w:t>
            </w:r>
            <w:r>
              <w:rPr>
                <w:color w:val="auto"/>
                <w:spacing w:val="-6"/>
                <w:szCs w:val="21"/>
                <w:vertAlign w:val="superscript"/>
              </w:rPr>
              <w:t>2</w:t>
            </w:r>
            <w:r>
              <w:rPr>
                <w:color w:val="auto"/>
                <w:spacing w:val="-6"/>
                <w:szCs w:val="21"/>
              </w:rPr>
              <w:t>）</w:t>
            </w:r>
          </w:p>
        </w:tc>
        <w:tc>
          <w:tcPr>
            <w:tcW w:w="2639" w:type="dxa"/>
            <w:noWrap w:val="0"/>
            <w:vAlign w:val="center"/>
          </w:tcPr>
          <w:p w14:paraId="4A981AA1">
            <w:pPr>
              <w:adjustRightInd w:val="0"/>
              <w:snapToGrid w:val="0"/>
              <w:jc w:val="center"/>
              <w:rPr>
                <w:rFonts w:hint="default" w:eastAsia="宋体"/>
                <w:color w:val="auto"/>
                <w:szCs w:val="21"/>
                <w:lang w:val="en-US" w:eastAsia="zh-CN"/>
              </w:rPr>
            </w:pPr>
            <w:r>
              <w:rPr>
                <w:rFonts w:hint="eastAsia"/>
                <w:color w:val="auto"/>
                <w:lang w:val="en-US" w:eastAsia="zh-CN"/>
              </w:rPr>
              <w:t>1660（建筑面积）</w:t>
            </w:r>
          </w:p>
        </w:tc>
      </w:tr>
      <w:tr w14:paraId="48488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dxa"/>
            <w:noWrap w:val="0"/>
            <w:vAlign w:val="center"/>
          </w:tcPr>
          <w:p w14:paraId="6FCBA132">
            <w:pPr>
              <w:autoSpaceDE w:val="0"/>
              <w:autoSpaceDN w:val="0"/>
              <w:adjustRightInd w:val="0"/>
              <w:snapToGrid w:val="0"/>
              <w:jc w:val="center"/>
              <w:rPr>
                <w:color w:val="auto"/>
                <w:kern w:val="0"/>
                <w:szCs w:val="21"/>
              </w:rPr>
            </w:pPr>
            <w:r>
              <w:rPr>
                <w:color w:val="auto"/>
                <w:kern w:val="0"/>
                <w:szCs w:val="21"/>
              </w:rPr>
              <w:t>专项评价设置情况</w:t>
            </w:r>
          </w:p>
        </w:tc>
        <w:tc>
          <w:tcPr>
            <w:tcW w:w="8214" w:type="dxa"/>
            <w:gridSpan w:val="4"/>
            <w:noWrap w:val="0"/>
            <w:vAlign w:val="center"/>
          </w:tcPr>
          <w:p w14:paraId="34DD6283">
            <w:pPr>
              <w:adjustRightInd w:val="0"/>
              <w:snapToGrid w:val="0"/>
              <w:spacing w:before="120" w:beforeLines="50" w:line="360" w:lineRule="auto"/>
              <w:ind w:firstLine="420" w:firstLineChars="200"/>
              <w:jc w:val="left"/>
              <w:rPr>
                <w:color w:val="auto"/>
                <w:kern w:val="0"/>
                <w:szCs w:val="21"/>
              </w:rPr>
            </w:pPr>
            <w:r>
              <w:rPr>
                <w:color w:val="auto"/>
                <w:kern w:val="0"/>
                <w:szCs w:val="21"/>
              </w:rPr>
              <w:t>根据《建设项目环境影响报告表编制技术指南（污染影响类）试行》，本项目无需设置专项评价，本项目专项设置对照情况见下表：</w:t>
            </w:r>
          </w:p>
          <w:p w14:paraId="6D9D9ECF">
            <w:pPr>
              <w:adjustRightInd w:val="0"/>
              <w:snapToGrid w:val="0"/>
              <w:jc w:val="center"/>
              <w:rPr>
                <w:b/>
                <w:color w:val="auto"/>
                <w:szCs w:val="21"/>
              </w:rPr>
            </w:pPr>
            <w:r>
              <w:rPr>
                <w:b/>
                <w:color w:val="auto"/>
                <w:szCs w:val="21"/>
              </w:rPr>
              <w:t>表1-1 专项评价设置对照表</w:t>
            </w:r>
          </w:p>
          <w:tbl>
            <w:tblPr>
              <w:tblStyle w:val="28"/>
              <w:tblW w:w="5000" w:type="pct"/>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91"/>
              <w:gridCol w:w="4434"/>
              <w:gridCol w:w="1774"/>
              <w:gridCol w:w="899"/>
            </w:tblGrid>
            <w:tr w14:paraId="00FFEF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57" w:type="pct"/>
                  <w:noWrap w:val="0"/>
                  <w:vAlign w:val="center"/>
                </w:tcPr>
                <w:p w14:paraId="0D56E556">
                  <w:pPr>
                    <w:adjustRightInd w:val="0"/>
                    <w:snapToGrid w:val="0"/>
                    <w:jc w:val="center"/>
                    <w:rPr>
                      <w:b/>
                      <w:color w:val="auto"/>
                      <w:szCs w:val="21"/>
                    </w:rPr>
                  </w:pPr>
                  <w:r>
                    <w:rPr>
                      <w:b/>
                      <w:color w:val="auto"/>
                      <w:szCs w:val="21"/>
                    </w:rPr>
                    <w:t>类别</w:t>
                  </w:r>
                </w:p>
              </w:tc>
              <w:tc>
                <w:tcPr>
                  <w:tcW w:w="2771" w:type="pct"/>
                  <w:noWrap w:val="0"/>
                  <w:vAlign w:val="center"/>
                </w:tcPr>
                <w:p w14:paraId="784C6C95">
                  <w:pPr>
                    <w:adjustRightInd w:val="0"/>
                    <w:snapToGrid w:val="0"/>
                    <w:jc w:val="center"/>
                    <w:rPr>
                      <w:b/>
                      <w:color w:val="auto"/>
                      <w:szCs w:val="21"/>
                    </w:rPr>
                  </w:pPr>
                  <w:r>
                    <w:rPr>
                      <w:b/>
                      <w:color w:val="auto"/>
                      <w:szCs w:val="21"/>
                    </w:rPr>
                    <w:t>设置原则</w:t>
                  </w:r>
                </w:p>
              </w:tc>
              <w:tc>
                <w:tcPr>
                  <w:tcW w:w="1109" w:type="pct"/>
                  <w:noWrap w:val="0"/>
                  <w:vAlign w:val="center"/>
                </w:tcPr>
                <w:p w14:paraId="610AB3D2">
                  <w:pPr>
                    <w:adjustRightInd w:val="0"/>
                    <w:snapToGrid w:val="0"/>
                    <w:jc w:val="center"/>
                    <w:rPr>
                      <w:b/>
                      <w:color w:val="auto"/>
                      <w:szCs w:val="21"/>
                    </w:rPr>
                  </w:pPr>
                  <w:r>
                    <w:rPr>
                      <w:b/>
                      <w:color w:val="auto"/>
                      <w:szCs w:val="21"/>
                    </w:rPr>
                    <w:t>对照情况</w:t>
                  </w:r>
                </w:p>
              </w:tc>
              <w:tc>
                <w:tcPr>
                  <w:tcW w:w="562" w:type="pct"/>
                  <w:noWrap w:val="0"/>
                  <w:vAlign w:val="center"/>
                </w:tcPr>
                <w:p w14:paraId="52F9214A">
                  <w:pPr>
                    <w:adjustRightInd w:val="0"/>
                    <w:snapToGrid w:val="0"/>
                    <w:jc w:val="center"/>
                    <w:rPr>
                      <w:b/>
                      <w:color w:val="auto"/>
                      <w:szCs w:val="21"/>
                    </w:rPr>
                  </w:pPr>
                  <w:r>
                    <w:rPr>
                      <w:b/>
                      <w:color w:val="auto"/>
                      <w:szCs w:val="21"/>
                    </w:rPr>
                    <w:t>是否设置</w:t>
                  </w:r>
                </w:p>
              </w:tc>
            </w:tr>
            <w:tr w14:paraId="4F1AB0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57" w:type="pct"/>
                  <w:noWrap w:val="0"/>
                  <w:vAlign w:val="center"/>
                </w:tcPr>
                <w:p w14:paraId="3A969B73">
                  <w:pPr>
                    <w:adjustRightInd w:val="0"/>
                    <w:snapToGrid w:val="0"/>
                    <w:jc w:val="center"/>
                    <w:rPr>
                      <w:color w:val="auto"/>
                      <w:szCs w:val="21"/>
                    </w:rPr>
                  </w:pPr>
                  <w:r>
                    <w:rPr>
                      <w:color w:val="auto"/>
                      <w:szCs w:val="21"/>
                    </w:rPr>
                    <w:t>大气</w:t>
                  </w:r>
                </w:p>
              </w:tc>
              <w:tc>
                <w:tcPr>
                  <w:tcW w:w="2771" w:type="pct"/>
                  <w:noWrap w:val="0"/>
                  <w:vAlign w:val="center"/>
                </w:tcPr>
                <w:p w14:paraId="15F4BC08">
                  <w:pPr>
                    <w:adjustRightInd w:val="0"/>
                    <w:snapToGrid w:val="0"/>
                    <w:jc w:val="center"/>
                    <w:rPr>
                      <w:color w:val="auto"/>
                      <w:szCs w:val="21"/>
                    </w:rPr>
                  </w:pPr>
                  <w:r>
                    <w:rPr>
                      <w:color w:val="auto"/>
                      <w:szCs w:val="21"/>
                    </w:rPr>
                    <w:t>排放废气含有毒有害污染物</w:t>
                  </w:r>
                  <w:r>
                    <w:rPr>
                      <w:color w:val="auto"/>
                      <w:szCs w:val="21"/>
                      <w:vertAlign w:val="superscript"/>
                    </w:rPr>
                    <w:t>1</w:t>
                  </w:r>
                  <w:r>
                    <w:rPr>
                      <w:color w:val="auto"/>
                      <w:szCs w:val="21"/>
                    </w:rPr>
                    <w:t>、二噁英、苯并[a]芘、氰化物、氯气且厂界外500米范围内有环境空气保护目标</w:t>
                  </w:r>
                  <w:r>
                    <w:rPr>
                      <w:color w:val="auto"/>
                      <w:szCs w:val="21"/>
                      <w:vertAlign w:val="superscript"/>
                    </w:rPr>
                    <w:t>2</w:t>
                  </w:r>
                  <w:r>
                    <w:rPr>
                      <w:color w:val="auto"/>
                      <w:szCs w:val="21"/>
                    </w:rPr>
                    <w:t>的建设项目</w:t>
                  </w:r>
                </w:p>
              </w:tc>
              <w:tc>
                <w:tcPr>
                  <w:tcW w:w="1109" w:type="pct"/>
                  <w:noWrap w:val="0"/>
                  <w:vAlign w:val="center"/>
                </w:tcPr>
                <w:p w14:paraId="22E8C765">
                  <w:pPr>
                    <w:adjustRightInd w:val="0"/>
                    <w:snapToGrid w:val="0"/>
                    <w:jc w:val="center"/>
                    <w:rPr>
                      <w:color w:val="auto"/>
                      <w:szCs w:val="21"/>
                    </w:rPr>
                  </w:pPr>
                  <w:r>
                    <w:rPr>
                      <w:color w:val="auto"/>
                      <w:szCs w:val="21"/>
                    </w:rPr>
                    <w:t>本项目不排放有毒有害废气</w:t>
                  </w:r>
                </w:p>
              </w:tc>
              <w:tc>
                <w:tcPr>
                  <w:tcW w:w="562" w:type="pct"/>
                  <w:noWrap w:val="0"/>
                  <w:vAlign w:val="center"/>
                </w:tcPr>
                <w:p w14:paraId="25D2B293">
                  <w:pPr>
                    <w:adjustRightInd w:val="0"/>
                    <w:snapToGrid w:val="0"/>
                    <w:jc w:val="center"/>
                    <w:rPr>
                      <w:color w:val="auto"/>
                      <w:szCs w:val="21"/>
                    </w:rPr>
                  </w:pPr>
                  <w:r>
                    <w:rPr>
                      <w:color w:val="auto"/>
                      <w:szCs w:val="21"/>
                    </w:rPr>
                    <w:t>否</w:t>
                  </w:r>
                </w:p>
              </w:tc>
            </w:tr>
            <w:tr w14:paraId="33BFD7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57" w:type="pct"/>
                  <w:noWrap w:val="0"/>
                  <w:vAlign w:val="center"/>
                </w:tcPr>
                <w:p w14:paraId="3E1F44CD">
                  <w:pPr>
                    <w:adjustRightInd w:val="0"/>
                    <w:snapToGrid w:val="0"/>
                    <w:jc w:val="center"/>
                    <w:rPr>
                      <w:color w:val="auto"/>
                      <w:szCs w:val="21"/>
                    </w:rPr>
                  </w:pPr>
                  <w:r>
                    <w:rPr>
                      <w:color w:val="auto"/>
                      <w:szCs w:val="21"/>
                    </w:rPr>
                    <w:t>地表水</w:t>
                  </w:r>
                </w:p>
              </w:tc>
              <w:tc>
                <w:tcPr>
                  <w:tcW w:w="2771" w:type="pct"/>
                  <w:noWrap w:val="0"/>
                  <w:vAlign w:val="center"/>
                </w:tcPr>
                <w:p w14:paraId="0C9905DD">
                  <w:pPr>
                    <w:adjustRightInd w:val="0"/>
                    <w:snapToGrid w:val="0"/>
                    <w:jc w:val="center"/>
                    <w:rPr>
                      <w:color w:val="auto"/>
                      <w:szCs w:val="21"/>
                    </w:rPr>
                  </w:pPr>
                  <w:r>
                    <w:rPr>
                      <w:color w:val="auto"/>
                      <w:szCs w:val="21"/>
                    </w:rPr>
                    <w:t>新增工业废水直排建设项目（槽罐车外送污水处理厂的除外）；新增废水直排的污水集中处理厂</w:t>
                  </w:r>
                </w:p>
              </w:tc>
              <w:tc>
                <w:tcPr>
                  <w:tcW w:w="1109" w:type="pct"/>
                  <w:noWrap w:val="0"/>
                  <w:vAlign w:val="center"/>
                </w:tcPr>
                <w:p w14:paraId="537DA037">
                  <w:pPr>
                    <w:adjustRightInd w:val="0"/>
                    <w:snapToGrid w:val="0"/>
                    <w:jc w:val="center"/>
                    <w:rPr>
                      <w:color w:val="auto"/>
                      <w:szCs w:val="21"/>
                    </w:rPr>
                  </w:pPr>
                  <w:r>
                    <w:rPr>
                      <w:color w:val="auto"/>
                      <w:szCs w:val="21"/>
                    </w:rPr>
                    <w:t>本项目不涉及</w:t>
                  </w:r>
                </w:p>
              </w:tc>
              <w:tc>
                <w:tcPr>
                  <w:tcW w:w="562" w:type="pct"/>
                  <w:noWrap w:val="0"/>
                  <w:vAlign w:val="center"/>
                </w:tcPr>
                <w:p w14:paraId="3138B01D">
                  <w:pPr>
                    <w:adjustRightInd w:val="0"/>
                    <w:snapToGrid w:val="0"/>
                    <w:jc w:val="center"/>
                    <w:rPr>
                      <w:color w:val="auto"/>
                      <w:szCs w:val="21"/>
                    </w:rPr>
                  </w:pPr>
                  <w:r>
                    <w:rPr>
                      <w:color w:val="auto"/>
                      <w:szCs w:val="21"/>
                    </w:rPr>
                    <w:t>否</w:t>
                  </w:r>
                </w:p>
              </w:tc>
            </w:tr>
            <w:tr w14:paraId="321628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57" w:type="pct"/>
                  <w:noWrap w:val="0"/>
                  <w:vAlign w:val="center"/>
                </w:tcPr>
                <w:p w14:paraId="3A09FE4B">
                  <w:pPr>
                    <w:adjustRightInd w:val="0"/>
                    <w:snapToGrid w:val="0"/>
                    <w:jc w:val="center"/>
                    <w:rPr>
                      <w:color w:val="auto"/>
                      <w:szCs w:val="21"/>
                    </w:rPr>
                  </w:pPr>
                  <w:r>
                    <w:rPr>
                      <w:color w:val="auto"/>
                      <w:szCs w:val="21"/>
                    </w:rPr>
                    <w:t>环境风险</w:t>
                  </w:r>
                </w:p>
              </w:tc>
              <w:tc>
                <w:tcPr>
                  <w:tcW w:w="2771" w:type="pct"/>
                  <w:noWrap w:val="0"/>
                  <w:vAlign w:val="center"/>
                </w:tcPr>
                <w:p w14:paraId="395D759D">
                  <w:pPr>
                    <w:adjustRightInd w:val="0"/>
                    <w:snapToGrid w:val="0"/>
                    <w:jc w:val="center"/>
                    <w:rPr>
                      <w:color w:val="auto"/>
                      <w:szCs w:val="21"/>
                    </w:rPr>
                  </w:pPr>
                  <w:r>
                    <w:rPr>
                      <w:color w:val="auto"/>
                      <w:szCs w:val="21"/>
                    </w:rPr>
                    <w:t>有毒有害和易燃易爆危险物质存储量超过临界量</w:t>
                  </w:r>
                  <w:r>
                    <w:rPr>
                      <w:color w:val="auto"/>
                      <w:szCs w:val="21"/>
                      <w:vertAlign w:val="superscript"/>
                    </w:rPr>
                    <w:t>3</w:t>
                  </w:r>
                  <w:r>
                    <w:rPr>
                      <w:color w:val="auto"/>
                      <w:szCs w:val="21"/>
                    </w:rPr>
                    <w:t>的建设项目</w:t>
                  </w:r>
                </w:p>
              </w:tc>
              <w:tc>
                <w:tcPr>
                  <w:tcW w:w="1109" w:type="pct"/>
                  <w:noWrap w:val="0"/>
                  <w:vAlign w:val="center"/>
                </w:tcPr>
                <w:p w14:paraId="4A12F0C2">
                  <w:pPr>
                    <w:adjustRightInd w:val="0"/>
                    <w:snapToGrid w:val="0"/>
                    <w:jc w:val="center"/>
                    <w:rPr>
                      <w:color w:val="auto"/>
                      <w:szCs w:val="21"/>
                    </w:rPr>
                  </w:pPr>
                  <w:r>
                    <w:rPr>
                      <w:color w:val="auto"/>
                      <w:szCs w:val="21"/>
                    </w:rPr>
                    <w:t>本项目风险物质存储量未超过临界量</w:t>
                  </w:r>
                </w:p>
              </w:tc>
              <w:tc>
                <w:tcPr>
                  <w:tcW w:w="562" w:type="pct"/>
                  <w:noWrap w:val="0"/>
                  <w:vAlign w:val="center"/>
                </w:tcPr>
                <w:p w14:paraId="13CFEC73">
                  <w:pPr>
                    <w:adjustRightInd w:val="0"/>
                    <w:snapToGrid w:val="0"/>
                    <w:jc w:val="center"/>
                    <w:rPr>
                      <w:color w:val="auto"/>
                      <w:szCs w:val="21"/>
                    </w:rPr>
                  </w:pPr>
                  <w:r>
                    <w:rPr>
                      <w:color w:val="auto"/>
                      <w:szCs w:val="21"/>
                    </w:rPr>
                    <w:t>否</w:t>
                  </w:r>
                </w:p>
              </w:tc>
            </w:tr>
            <w:tr w14:paraId="53B261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57" w:type="pct"/>
                  <w:noWrap w:val="0"/>
                  <w:vAlign w:val="center"/>
                </w:tcPr>
                <w:p w14:paraId="5F6016A0">
                  <w:pPr>
                    <w:adjustRightInd w:val="0"/>
                    <w:snapToGrid w:val="0"/>
                    <w:jc w:val="center"/>
                    <w:rPr>
                      <w:color w:val="auto"/>
                      <w:szCs w:val="21"/>
                    </w:rPr>
                  </w:pPr>
                  <w:r>
                    <w:rPr>
                      <w:color w:val="auto"/>
                      <w:szCs w:val="21"/>
                    </w:rPr>
                    <w:t>生态</w:t>
                  </w:r>
                </w:p>
              </w:tc>
              <w:tc>
                <w:tcPr>
                  <w:tcW w:w="2771" w:type="pct"/>
                  <w:noWrap w:val="0"/>
                  <w:vAlign w:val="center"/>
                </w:tcPr>
                <w:p w14:paraId="5C3FBD72">
                  <w:pPr>
                    <w:adjustRightInd w:val="0"/>
                    <w:snapToGrid w:val="0"/>
                    <w:jc w:val="center"/>
                    <w:rPr>
                      <w:color w:val="auto"/>
                      <w:szCs w:val="21"/>
                    </w:rPr>
                  </w:pPr>
                  <w:r>
                    <w:rPr>
                      <w:color w:val="auto"/>
                      <w:szCs w:val="21"/>
                    </w:rPr>
                    <w:t>取水口下游500米范围内有重要水生生物的自然产卵场、索饵场、越冬场和洄游通道的新增河道取水的污染类建设项目</w:t>
                  </w:r>
                </w:p>
              </w:tc>
              <w:tc>
                <w:tcPr>
                  <w:tcW w:w="1109" w:type="pct"/>
                  <w:noWrap w:val="0"/>
                  <w:vAlign w:val="center"/>
                </w:tcPr>
                <w:p w14:paraId="2FD9C958">
                  <w:pPr>
                    <w:adjustRightInd w:val="0"/>
                    <w:snapToGrid w:val="0"/>
                    <w:jc w:val="center"/>
                    <w:rPr>
                      <w:color w:val="auto"/>
                      <w:szCs w:val="21"/>
                    </w:rPr>
                  </w:pPr>
                  <w:r>
                    <w:rPr>
                      <w:color w:val="auto"/>
                      <w:szCs w:val="21"/>
                    </w:rPr>
                    <w:t>本项目不涉及</w:t>
                  </w:r>
                </w:p>
              </w:tc>
              <w:tc>
                <w:tcPr>
                  <w:tcW w:w="562" w:type="pct"/>
                  <w:noWrap w:val="0"/>
                  <w:vAlign w:val="center"/>
                </w:tcPr>
                <w:p w14:paraId="195C4291">
                  <w:pPr>
                    <w:adjustRightInd w:val="0"/>
                    <w:snapToGrid w:val="0"/>
                    <w:jc w:val="center"/>
                    <w:rPr>
                      <w:color w:val="auto"/>
                      <w:szCs w:val="21"/>
                    </w:rPr>
                  </w:pPr>
                  <w:r>
                    <w:rPr>
                      <w:color w:val="auto"/>
                      <w:szCs w:val="21"/>
                    </w:rPr>
                    <w:t>否</w:t>
                  </w:r>
                </w:p>
              </w:tc>
            </w:tr>
            <w:tr w14:paraId="6F8CC3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57" w:type="pct"/>
                  <w:noWrap w:val="0"/>
                  <w:vAlign w:val="center"/>
                </w:tcPr>
                <w:p w14:paraId="6DA40E9E">
                  <w:pPr>
                    <w:adjustRightInd w:val="0"/>
                    <w:snapToGrid w:val="0"/>
                    <w:jc w:val="center"/>
                    <w:rPr>
                      <w:color w:val="auto"/>
                      <w:szCs w:val="21"/>
                    </w:rPr>
                  </w:pPr>
                  <w:r>
                    <w:rPr>
                      <w:color w:val="auto"/>
                      <w:szCs w:val="21"/>
                    </w:rPr>
                    <w:t>海洋</w:t>
                  </w:r>
                </w:p>
              </w:tc>
              <w:tc>
                <w:tcPr>
                  <w:tcW w:w="2771" w:type="pct"/>
                  <w:noWrap w:val="0"/>
                  <w:vAlign w:val="center"/>
                </w:tcPr>
                <w:p w14:paraId="7AA5B512">
                  <w:pPr>
                    <w:adjustRightInd w:val="0"/>
                    <w:snapToGrid w:val="0"/>
                    <w:jc w:val="center"/>
                    <w:rPr>
                      <w:color w:val="auto"/>
                      <w:szCs w:val="21"/>
                    </w:rPr>
                  </w:pPr>
                  <w:r>
                    <w:rPr>
                      <w:color w:val="auto"/>
                      <w:szCs w:val="21"/>
                    </w:rPr>
                    <w:t>直接向海排放污染物的海洋工程建设项目</w:t>
                  </w:r>
                </w:p>
              </w:tc>
              <w:tc>
                <w:tcPr>
                  <w:tcW w:w="1109" w:type="pct"/>
                  <w:noWrap w:val="0"/>
                  <w:vAlign w:val="center"/>
                </w:tcPr>
                <w:p w14:paraId="26A510F3">
                  <w:pPr>
                    <w:adjustRightInd w:val="0"/>
                    <w:snapToGrid w:val="0"/>
                    <w:jc w:val="center"/>
                    <w:rPr>
                      <w:color w:val="auto"/>
                      <w:szCs w:val="21"/>
                    </w:rPr>
                  </w:pPr>
                  <w:r>
                    <w:rPr>
                      <w:color w:val="auto"/>
                      <w:szCs w:val="21"/>
                    </w:rPr>
                    <w:t>本项目不涉及</w:t>
                  </w:r>
                </w:p>
              </w:tc>
              <w:tc>
                <w:tcPr>
                  <w:tcW w:w="562" w:type="pct"/>
                  <w:noWrap w:val="0"/>
                  <w:vAlign w:val="center"/>
                </w:tcPr>
                <w:p w14:paraId="6BA4E130">
                  <w:pPr>
                    <w:adjustRightInd w:val="0"/>
                    <w:snapToGrid w:val="0"/>
                    <w:jc w:val="center"/>
                    <w:rPr>
                      <w:color w:val="auto"/>
                      <w:szCs w:val="21"/>
                    </w:rPr>
                  </w:pPr>
                  <w:r>
                    <w:rPr>
                      <w:color w:val="auto"/>
                      <w:szCs w:val="21"/>
                    </w:rPr>
                    <w:t>否</w:t>
                  </w:r>
                </w:p>
              </w:tc>
            </w:tr>
          </w:tbl>
          <w:p w14:paraId="20676BCB">
            <w:pPr>
              <w:autoSpaceDE w:val="0"/>
              <w:autoSpaceDN w:val="0"/>
              <w:adjustRightInd w:val="0"/>
              <w:snapToGrid w:val="0"/>
              <w:spacing w:before="120" w:beforeLines="50" w:line="360" w:lineRule="auto"/>
              <w:ind w:firstLine="420" w:firstLineChars="200"/>
              <w:jc w:val="left"/>
              <w:rPr>
                <w:rFonts w:hint="eastAsia"/>
                <w:color w:val="auto"/>
                <w:kern w:val="0"/>
                <w:szCs w:val="21"/>
              </w:rPr>
            </w:pPr>
            <w:r>
              <w:rPr>
                <w:color w:val="auto"/>
                <w:kern w:val="0"/>
                <w:szCs w:val="21"/>
              </w:rPr>
              <w:t>注：1.废气中有毒有害污染物指纳入《有毒有害大气污染物名录》的污染物（不包括无排放标准</w:t>
            </w:r>
            <w:r>
              <w:rPr>
                <w:color w:val="auto"/>
                <w:spacing w:val="-99"/>
                <w:kern w:val="0"/>
                <w:szCs w:val="21"/>
              </w:rPr>
              <w:t xml:space="preserve"> </w:t>
            </w:r>
            <w:r>
              <w:rPr>
                <w:color w:val="auto"/>
                <w:kern w:val="0"/>
                <w:szCs w:val="21"/>
              </w:rPr>
              <w:t>的污染物）</w:t>
            </w:r>
            <w:r>
              <w:rPr>
                <w:bCs/>
                <w:color w:val="auto"/>
                <w:kern w:val="0"/>
                <w:szCs w:val="21"/>
              </w:rPr>
              <w:t>；</w:t>
            </w:r>
            <w:r>
              <w:rPr>
                <w:color w:val="auto"/>
                <w:kern w:val="0"/>
                <w:szCs w:val="21"/>
              </w:rPr>
              <w:t>2.环境空气保护目标指自然保护区、风景名胜区、居住区、文化区和农村地区中人群较集中的区域；</w:t>
            </w:r>
            <w:r>
              <w:rPr>
                <w:color w:val="auto"/>
                <w:spacing w:val="-3"/>
                <w:kern w:val="0"/>
                <w:szCs w:val="21"/>
              </w:rPr>
              <w:t>3.临界量及其计算方法可参考《建设项目环境风险评价技术导则》（HJ</w:t>
            </w:r>
            <w:r>
              <w:rPr>
                <w:color w:val="auto"/>
                <w:spacing w:val="-5"/>
                <w:kern w:val="0"/>
                <w:szCs w:val="21"/>
              </w:rPr>
              <w:t>169）附录</w:t>
            </w:r>
            <w:r>
              <w:rPr>
                <w:color w:val="auto"/>
                <w:spacing w:val="-7"/>
                <w:kern w:val="0"/>
                <w:szCs w:val="21"/>
              </w:rPr>
              <w:t>B、附录</w:t>
            </w:r>
            <w:r>
              <w:rPr>
                <w:color w:val="auto"/>
                <w:kern w:val="0"/>
                <w:szCs w:val="21"/>
              </w:rPr>
              <w:t>C</w:t>
            </w:r>
            <w:r>
              <w:rPr>
                <w:rFonts w:hint="eastAsia"/>
                <w:color w:val="auto"/>
                <w:kern w:val="0"/>
                <w:szCs w:val="21"/>
              </w:rPr>
              <w:t>。</w:t>
            </w:r>
          </w:p>
        </w:tc>
      </w:tr>
      <w:tr w14:paraId="6FA42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1" w:hRule="atLeast"/>
          <w:jc w:val="center"/>
        </w:trPr>
        <w:tc>
          <w:tcPr>
            <w:tcW w:w="654" w:type="dxa"/>
            <w:noWrap w:val="0"/>
            <w:vAlign w:val="center"/>
          </w:tcPr>
          <w:p w14:paraId="6908CA32">
            <w:pPr>
              <w:autoSpaceDE w:val="0"/>
              <w:autoSpaceDN w:val="0"/>
              <w:adjustRightInd w:val="0"/>
              <w:snapToGrid w:val="0"/>
              <w:jc w:val="center"/>
              <w:rPr>
                <w:color w:val="FF0000"/>
                <w:kern w:val="0"/>
                <w:szCs w:val="21"/>
              </w:rPr>
            </w:pPr>
            <w:r>
              <w:rPr>
                <w:color w:val="FF0000"/>
                <w:szCs w:val="21"/>
              </w:rPr>
              <w:t>规划情况</w:t>
            </w:r>
          </w:p>
        </w:tc>
        <w:tc>
          <w:tcPr>
            <w:tcW w:w="8214" w:type="dxa"/>
            <w:gridSpan w:val="4"/>
            <w:shd w:val="clear" w:color="auto" w:fill="auto"/>
            <w:noWrap w:val="0"/>
            <w:vAlign w:val="center"/>
          </w:tcPr>
          <w:p w14:paraId="7293B965">
            <w:pPr>
              <w:spacing w:line="360" w:lineRule="auto"/>
              <w:jc w:val="left"/>
              <w:rPr>
                <w:color w:val="FF0000"/>
              </w:rPr>
            </w:pPr>
            <w:r>
              <w:rPr>
                <w:color w:val="FF0000"/>
              </w:rPr>
              <w:t>产业</w:t>
            </w:r>
            <w:r>
              <w:rPr>
                <w:rFonts w:hint="eastAsia"/>
                <w:color w:val="FF0000"/>
              </w:rPr>
              <w:t>园区</w:t>
            </w:r>
            <w:r>
              <w:rPr>
                <w:color w:val="FF0000"/>
              </w:rPr>
              <w:t>规划名称：《</w:t>
            </w:r>
            <w:r>
              <w:rPr>
                <w:rFonts w:hint="eastAsia"/>
                <w:color w:val="FF0000"/>
              </w:rPr>
              <w:t>江苏金坛经济开发区开发建设规划（2025—2035年）</w:t>
            </w:r>
            <w:r>
              <w:rPr>
                <w:color w:val="FF0000"/>
              </w:rPr>
              <w:t>》</w:t>
            </w:r>
          </w:p>
          <w:p w14:paraId="0ACECEC9">
            <w:pPr>
              <w:spacing w:line="360" w:lineRule="auto"/>
              <w:jc w:val="left"/>
              <w:rPr>
                <w:color w:val="FF0000"/>
              </w:rPr>
            </w:pPr>
            <w:r>
              <w:rPr>
                <w:color w:val="FF0000"/>
              </w:rPr>
              <w:t>审批机关：</w:t>
            </w:r>
            <w:r>
              <w:rPr>
                <w:rFonts w:hint="eastAsia"/>
                <w:color w:val="FF0000"/>
                <w:lang w:val="en-US" w:eastAsia="zh-CN"/>
              </w:rPr>
              <w:t>常州市金坛区</w:t>
            </w:r>
            <w:r>
              <w:rPr>
                <w:color w:val="FF0000"/>
              </w:rPr>
              <w:t>人民政府</w:t>
            </w:r>
          </w:p>
          <w:p w14:paraId="657F126D">
            <w:pPr>
              <w:pStyle w:val="2"/>
              <w:spacing w:after="0" w:line="360" w:lineRule="auto"/>
              <w:rPr>
                <w:rFonts w:hint="eastAsia" w:ascii="Times New Roman" w:hAnsi="Times New Roman" w:eastAsia="宋体" w:cs="Times New Roman"/>
                <w:color w:val="FF0000"/>
                <w:kern w:val="2"/>
                <w:sz w:val="21"/>
                <w:szCs w:val="24"/>
                <w:lang w:val="en-US" w:eastAsia="zh-CN" w:bidi="ar-SA"/>
              </w:rPr>
            </w:pPr>
            <w:r>
              <w:rPr>
                <w:color w:val="FF0000"/>
              </w:rPr>
              <w:t>审批文件名称及文号：</w:t>
            </w:r>
            <w:r>
              <w:rPr>
                <w:rFonts w:hint="eastAsia"/>
                <w:color w:val="FF0000"/>
              </w:rPr>
              <w:t>坛政复[2024]5号</w:t>
            </w:r>
          </w:p>
        </w:tc>
      </w:tr>
      <w:tr w14:paraId="1C850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1" w:hRule="atLeast"/>
          <w:jc w:val="center"/>
        </w:trPr>
        <w:tc>
          <w:tcPr>
            <w:tcW w:w="654" w:type="dxa"/>
            <w:noWrap w:val="0"/>
            <w:vAlign w:val="center"/>
          </w:tcPr>
          <w:p w14:paraId="03397EC9">
            <w:pPr>
              <w:adjustRightInd w:val="0"/>
              <w:snapToGrid w:val="0"/>
              <w:jc w:val="center"/>
              <w:rPr>
                <w:color w:val="FF0000"/>
                <w:szCs w:val="21"/>
              </w:rPr>
            </w:pPr>
            <w:r>
              <w:rPr>
                <w:color w:val="FF0000"/>
                <w:szCs w:val="21"/>
              </w:rPr>
              <w:t>规划环境影响</w:t>
            </w:r>
          </w:p>
          <w:p w14:paraId="301034FF">
            <w:pPr>
              <w:adjustRightInd w:val="0"/>
              <w:snapToGrid w:val="0"/>
              <w:jc w:val="center"/>
              <w:rPr>
                <w:color w:val="FF0000"/>
                <w:kern w:val="0"/>
                <w:szCs w:val="21"/>
              </w:rPr>
            </w:pPr>
            <w:r>
              <w:rPr>
                <w:color w:val="FF0000"/>
                <w:szCs w:val="21"/>
              </w:rPr>
              <w:t>评价情况</w:t>
            </w:r>
          </w:p>
        </w:tc>
        <w:tc>
          <w:tcPr>
            <w:tcW w:w="8214" w:type="dxa"/>
            <w:gridSpan w:val="4"/>
            <w:shd w:val="clear" w:color="auto" w:fill="auto"/>
            <w:noWrap w:val="0"/>
            <w:vAlign w:val="center"/>
          </w:tcPr>
          <w:p w14:paraId="20609000">
            <w:pPr>
              <w:spacing w:line="360" w:lineRule="auto"/>
              <w:jc w:val="left"/>
              <w:rPr>
                <w:color w:val="FF0000"/>
              </w:rPr>
            </w:pPr>
            <w:r>
              <w:rPr>
                <w:color w:val="FF0000"/>
              </w:rPr>
              <w:t>规划环境影响评价文件名称：《</w:t>
            </w:r>
            <w:r>
              <w:rPr>
                <w:rFonts w:hint="eastAsia"/>
                <w:color w:val="FF0000"/>
              </w:rPr>
              <w:t>江苏金坛经济开发区开发建设规划（2025—2035年）环境影响报告书</w:t>
            </w:r>
            <w:r>
              <w:rPr>
                <w:color w:val="FF0000"/>
              </w:rPr>
              <w:t>》</w:t>
            </w:r>
          </w:p>
          <w:p w14:paraId="0F786843">
            <w:pPr>
              <w:spacing w:line="360" w:lineRule="auto"/>
              <w:jc w:val="left"/>
              <w:rPr>
                <w:color w:val="FF0000"/>
              </w:rPr>
            </w:pPr>
            <w:r>
              <w:rPr>
                <w:color w:val="FF0000"/>
              </w:rPr>
              <w:t>审查机关：</w:t>
            </w:r>
            <w:r>
              <w:rPr>
                <w:rFonts w:hint="eastAsia"/>
                <w:color w:val="FF0000"/>
              </w:rPr>
              <w:t>江苏省生态环境厅</w:t>
            </w:r>
          </w:p>
          <w:p w14:paraId="3E319383">
            <w:pPr>
              <w:autoSpaceDE w:val="0"/>
              <w:autoSpaceDN w:val="0"/>
              <w:adjustRightInd w:val="0"/>
              <w:snapToGrid w:val="0"/>
              <w:spacing w:line="360" w:lineRule="auto"/>
              <w:rPr>
                <w:rFonts w:hint="eastAsia" w:ascii="Times New Roman" w:hAnsi="Times New Roman" w:eastAsia="宋体" w:cs="Times New Roman"/>
                <w:color w:val="0000FF"/>
                <w:kern w:val="2"/>
                <w:sz w:val="21"/>
                <w:szCs w:val="24"/>
                <w:lang w:val="en-US" w:eastAsia="zh-CN" w:bidi="ar-SA"/>
              </w:rPr>
            </w:pPr>
            <w:r>
              <w:rPr>
                <w:color w:val="FF0000"/>
              </w:rPr>
              <w:t>审查文件名称及文号：《</w:t>
            </w:r>
            <w:r>
              <w:rPr>
                <w:rFonts w:hint="eastAsia"/>
                <w:color w:val="FF0000"/>
              </w:rPr>
              <w:t>省生态环境厅关于江苏金坛经济开发区</w:t>
            </w:r>
            <w:r>
              <w:rPr>
                <w:color w:val="FF0000"/>
              </w:rPr>
              <w:t>开发</w:t>
            </w:r>
            <w:r>
              <w:rPr>
                <w:rFonts w:hint="eastAsia"/>
                <w:color w:val="FF0000"/>
              </w:rPr>
              <w:t>建设规划（</w:t>
            </w:r>
            <w:r>
              <w:rPr>
                <w:color w:val="FF0000"/>
              </w:rPr>
              <w:t>202</w:t>
            </w:r>
            <w:r>
              <w:rPr>
                <w:rFonts w:hint="eastAsia"/>
                <w:color w:val="FF0000"/>
              </w:rPr>
              <w:t>5</w:t>
            </w:r>
            <w:r>
              <w:rPr>
                <w:color w:val="FF0000"/>
              </w:rPr>
              <w:t>—2035</w:t>
            </w:r>
            <w:r>
              <w:rPr>
                <w:rFonts w:hint="eastAsia"/>
                <w:color w:val="FF0000"/>
              </w:rPr>
              <w:t>年</w:t>
            </w:r>
            <w:r>
              <w:rPr>
                <w:color w:val="FF0000"/>
              </w:rPr>
              <w:t>）环境影响报告书</w:t>
            </w:r>
            <w:r>
              <w:rPr>
                <w:rFonts w:hint="eastAsia"/>
                <w:color w:val="FF0000"/>
              </w:rPr>
              <w:t>的审查意见</w:t>
            </w:r>
            <w:r>
              <w:rPr>
                <w:color w:val="FF0000"/>
              </w:rPr>
              <w:t>》</w:t>
            </w:r>
            <w:r>
              <w:rPr>
                <w:rFonts w:hint="eastAsia"/>
                <w:color w:val="FF0000"/>
                <w:lang w:eastAsia="zh-CN"/>
              </w:rPr>
              <w:t>（</w:t>
            </w:r>
            <w:r>
              <w:rPr>
                <w:rFonts w:hint="eastAsia"/>
                <w:color w:val="FF0000"/>
              </w:rPr>
              <w:t>苏环审〔2026〕17号</w:t>
            </w:r>
            <w:r>
              <w:rPr>
                <w:rFonts w:hint="eastAsia"/>
                <w:color w:val="FF0000"/>
                <w:lang w:eastAsia="zh-CN"/>
              </w:rPr>
              <w:t>）</w:t>
            </w:r>
          </w:p>
        </w:tc>
      </w:tr>
      <w:tr w14:paraId="00744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4" w:type="dxa"/>
            <w:noWrap w:val="0"/>
            <w:vAlign w:val="center"/>
          </w:tcPr>
          <w:p w14:paraId="782E7752">
            <w:pPr>
              <w:autoSpaceDE w:val="0"/>
              <w:autoSpaceDN w:val="0"/>
              <w:adjustRightInd w:val="0"/>
              <w:snapToGrid w:val="0"/>
              <w:jc w:val="center"/>
              <w:rPr>
                <w:color w:val="FF0000"/>
                <w:kern w:val="0"/>
                <w:szCs w:val="21"/>
              </w:rPr>
            </w:pPr>
            <w:r>
              <w:rPr>
                <w:color w:val="FF0000"/>
                <w:kern w:val="0"/>
                <w:szCs w:val="21"/>
              </w:rPr>
              <w:t>规划及规划环境影响评价符合性分析</w:t>
            </w:r>
          </w:p>
        </w:tc>
        <w:tc>
          <w:tcPr>
            <w:tcW w:w="8214" w:type="dxa"/>
            <w:gridSpan w:val="4"/>
            <w:noWrap w:val="0"/>
            <w:vAlign w:val="center"/>
          </w:tcPr>
          <w:p w14:paraId="6E0A77BE">
            <w:pPr>
              <w:spacing w:line="360" w:lineRule="auto"/>
              <w:ind w:firstLine="422" w:firstLineChars="200"/>
              <w:rPr>
                <w:b/>
                <w:color w:val="FF0000"/>
                <w:kern w:val="0"/>
                <w:szCs w:val="21"/>
              </w:rPr>
            </w:pPr>
            <w:r>
              <w:rPr>
                <w:rFonts w:hint="eastAsia"/>
                <w:b/>
                <w:color w:val="FF0000"/>
                <w:kern w:val="0"/>
                <w:szCs w:val="21"/>
              </w:rPr>
              <w:t>一、</w:t>
            </w:r>
            <w:r>
              <w:rPr>
                <w:b/>
                <w:color w:val="FF0000"/>
                <w:kern w:val="0"/>
                <w:szCs w:val="21"/>
              </w:rPr>
              <w:t>规划相符性分析</w:t>
            </w:r>
          </w:p>
          <w:p w14:paraId="7A16DDFE">
            <w:pPr>
              <w:tabs>
                <w:tab w:val="left" w:pos="4410"/>
              </w:tabs>
              <w:spacing w:line="360" w:lineRule="auto"/>
              <w:ind w:firstLine="420" w:firstLineChars="200"/>
              <w:rPr>
                <w:color w:val="FF0000"/>
                <w:szCs w:val="21"/>
              </w:rPr>
            </w:pPr>
            <w:r>
              <w:rPr>
                <w:color w:val="FF0000"/>
                <w:szCs w:val="21"/>
              </w:rPr>
              <w:t>本项目与《</w:t>
            </w:r>
            <w:r>
              <w:rPr>
                <w:rFonts w:hint="eastAsia"/>
                <w:color w:val="FF0000"/>
              </w:rPr>
              <w:t>江苏金坛经济开发区开发建设规划（2025—2035年）</w:t>
            </w:r>
            <w:r>
              <w:rPr>
                <w:color w:val="FF0000"/>
                <w:szCs w:val="21"/>
              </w:rPr>
              <w:t>》相符性分析见表1-</w:t>
            </w:r>
            <w:r>
              <w:rPr>
                <w:rFonts w:hint="eastAsia"/>
                <w:color w:val="FF0000"/>
                <w:szCs w:val="21"/>
              </w:rPr>
              <w:t>2</w:t>
            </w:r>
            <w:r>
              <w:rPr>
                <w:color w:val="FF0000"/>
                <w:szCs w:val="21"/>
              </w:rPr>
              <w:t>。</w:t>
            </w:r>
          </w:p>
          <w:p w14:paraId="02ABF08C">
            <w:pPr>
              <w:autoSpaceDE w:val="0"/>
              <w:autoSpaceDN w:val="0"/>
              <w:adjustRightInd w:val="0"/>
              <w:snapToGrid w:val="0"/>
              <w:jc w:val="center"/>
              <w:rPr>
                <w:b/>
                <w:color w:val="FF0000"/>
                <w:kern w:val="0"/>
                <w:szCs w:val="21"/>
              </w:rPr>
            </w:pPr>
            <w:r>
              <w:rPr>
                <w:b/>
                <w:color w:val="FF0000"/>
                <w:kern w:val="0"/>
                <w:szCs w:val="21"/>
              </w:rPr>
              <w:t>表1-</w:t>
            </w:r>
            <w:r>
              <w:rPr>
                <w:rFonts w:hint="eastAsia"/>
                <w:b/>
                <w:color w:val="FF0000"/>
                <w:kern w:val="0"/>
                <w:szCs w:val="21"/>
              </w:rPr>
              <w:t>2</w:t>
            </w:r>
            <w:r>
              <w:rPr>
                <w:b/>
                <w:color w:val="FF0000"/>
                <w:kern w:val="0"/>
                <w:szCs w:val="21"/>
              </w:rPr>
              <w:t xml:space="preserve"> 项目与</w:t>
            </w:r>
            <w:r>
              <w:rPr>
                <w:rFonts w:hint="eastAsia"/>
                <w:b/>
                <w:color w:val="FF0000"/>
                <w:kern w:val="0"/>
                <w:szCs w:val="21"/>
              </w:rPr>
              <w:t>《江苏金坛经济开发区开发建设规划（2025—2035年）》</w:t>
            </w:r>
            <w:r>
              <w:rPr>
                <w:b/>
                <w:color w:val="FF0000"/>
                <w:kern w:val="0"/>
                <w:szCs w:val="21"/>
              </w:rPr>
              <w:t>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3768"/>
              <w:gridCol w:w="2545"/>
              <w:gridCol w:w="972"/>
            </w:tblGrid>
            <w:tr w14:paraId="4B5BC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noWrap w:val="0"/>
                  <w:tcMar>
                    <w:top w:w="0" w:type="dxa"/>
                    <w:left w:w="0" w:type="dxa"/>
                    <w:bottom w:w="0" w:type="dxa"/>
                    <w:right w:w="0" w:type="dxa"/>
                  </w:tcMar>
                  <w:vAlign w:val="center"/>
                </w:tcPr>
                <w:p w14:paraId="48B719C2">
                  <w:pPr>
                    <w:autoSpaceDE w:val="0"/>
                    <w:autoSpaceDN w:val="0"/>
                    <w:adjustRightInd w:val="0"/>
                    <w:snapToGrid w:val="0"/>
                    <w:jc w:val="center"/>
                    <w:rPr>
                      <w:b/>
                      <w:bCs/>
                      <w:color w:val="FF0000"/>
                      <w:kern w:val="0"/>
                      <w:szCs w:val="21"/>
                    </w:rPr>
                  </w:pPr>
                  <w:r>
                    <w:rPr>
                      <w:b/>
                      <w:bCs/>
                      <w:color w:val="FF0000"/>
                      <w:kern w:val="0"/>
                      <w:szCs w:val="21"/>
                    </w:rPr>
                    <w:t>序号</w:t>
                  </w:r>
                </w:p>
              </w:tc>
              <w:tc>
                <w:tcPr>
                  <w:tcW w:w="3768" w:type="dxa"/>
                  <w:noWrap w:val="0"/>
                  <w:tcMar>
                    <w:top w:w="0" w:type="dxa"/>
                    <w:left w:w="0" w:type="dxa"/>
                    <w:bottom w:w="0" w:type="dxa"/>
                    <w:right w:w="0" w:type="dxa"/>
                  </w:tcMar>
                  <w:vAlign w:val="center"/>
                </w:tcPr>
                <w:p w14:paraId="1C658A9F">
                  <w:pPr>
                    <w:autoSpaceDE w:val="0"/>
                    <w:autoSpaceDN w:val="0"/>
                    <w:adjustRightInd w:val="0"/>
                    <w:snapToGrid w:val="0"/>
                    <w:jc w:val="center"/>
                    <w:rPr>
                      <w:b/>
                      <w:bCs/>
                      <w:color w:val="FF0000"/>
                      <w:kern w:val="0"/>
                      <w:szCs w:val="21"/>
                    </w:rPr>
                  </w:pPr>
                  <w:r>
                    <w:rPr>
                      <w:b/>
                      <w:bCs/>
                      <w:color w:val="FF0000"/>
                      <w:kern w:val="0"/>
                      <w:szCs w:val="21"/>
                    </w:rPr>
                    <w:t>规划情况</w:t>
                  </w:r>
                </w:p>
              </w:tc>
              <w:tc>
                <w:tcPr>
                  <w:tcW w:w="2545" w:type="dxa"/>
                  <w:noWrap w:val="0"/>
                  <w:tcMar>
                    <w:top w:w="0" w:type="dxa"/>
                    <w:left w:w="0" w:type="dxa"/>
                    <w:bottom w:w="0" w:type="dxa"/>
                    <w:right w:w="0" w:type="dxa"/>
                  </w:tcMar>
                  <w:vAlign w:val="center"/>
                </w:tcPr>
                <w:p w14:paraId="1A991FC9">
                  <w:pPr>
                    <w:autoSpaceDE w:val="0"/>
                    <w:autoSpaceDN w:val="0"/>
                    <w:adjustRightInd w:val="0"/>
                    <w:snapToGrid w:val="0"/>
                    <w:jc w:val="center"/>
                    <w:rPr>
                      <w:b/>
                      <w:bCs/>
                      <w:color w:val="FF0000"/>
                      <w:kern w:val="0"/>
                      <w:szCs w:val="21"/>
                    </w:rPr>
                  </w:pPr>
                  <w:r>
                    <w:rPr>
                      <w:b/>
                      <w:bCs/>
                      <w:color w:val="FF0000"/>
                      <w:kern w:val="0"/>
                      <w:szCs w:val="21"/>
                    </w:rPr>
                    <w:t>本项目情况</w:t>
                  </w:r>
                </w:p>
              </w:tc>
              <w:tc>
                <w:tcPr>
                  <w:tcW w:w="972" w:type="dxa"/>
                  <w:noWrap w:val="0"/>
                  <w:tcMar>
                    <w:top w:w="0" w:type="dxa"/>
                    <w:left w:w="0" w:type="dxa"/>
                    <w:bottom w:w="0" w:type="dxa"/>
                    <w:right w:w="0" w:type="dxa"/>
                  </w:tcMar>
                  <w:vAlign w:val="center"/>
                </w:tcPr>
                <w:p w14:paraId="6968BF60">
                  <w:pPr>
                    <w:autoSpaceDE w:val="0"/>
                    <w:autoSpaceDN w:val="0"/>
                    <w:adjustRightInd w:val="0"/>
                    <w:snapToGrid w:val="0"/>
                    <w:jc w:val="center"/>
                    <w:rPr>
                      <w:b/>
                      <w:bCs/>
                      <w:color w:val="FF0000"/>
                      <w:kern w:val="0"/>
                      <w:szCs w:val="21"/>
                    </w:rPr>
                  </w:pPr>
                  <w:r>
                    <w:rPr>
                      <w:b/>
                      <w:bCs/>
                      <w:color w:val="FF0000"/>
                      <w:kern w:val="0"/>
                      <w:szCs w:val="21"/>
                    </w:rPr>
                    <w:t>相符性</w:t>
                  </w:r>
                </w:p>
              </w:tc>
            </w:tr>
            <w:tr w14:paraId="12B92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noWrap w:val="0"/>
                  <w:tcMar>
                    <w:top w:w="0" w:type="dxa"/>
                    <w:left w:w="0" w:type="dxa"/>
                    <w:bottom w:w="0" w:type="dxa"/>
                    <w:right w:w="0" w:type="dxa"/>
                  </w:tcMar>
                  <w:vAlign w:val="center"/>
                </w:tcPr>
                <w:p w14:paraId="52902834">
                  <w:pPr>
                    <w:autoSpaceDE w:val="0"/>
                    <w:autoSpaceDN w:val="0"/>
                    <w:adjustRightInd w:val="0"/>
                    <w:snapToGrid w:val="0"/>
                    <w:jc w:val="center"/>
                    <w:rPr>
                      <w:color w:val="FF0000"/>
                      <w:kern w:val="0"/>
                      <w:szCs w:val="21"/>
                    </w:rPr>
                  </w:pPr>
                  <w:r>
                    <w:rPr>
                      <w:color w:val="FF0000"/>
                      <w:kern w:val="0"/>
                      <w:szCs w:val="21"/>
                    </w:rPr>
                    <w:t>1</w:t>
                  </w:r>
                </w:p>
              </w:tc>
              <w:tc>
                <w:tcPr>
                  <w:tcW w:w="3768" w:type="dxa"/>
                  <w:noWrap w:val="0"/>
                  <w:tcMar>
                    <w:top w:w="0" w:type="dxa"/>
                    <w:left w:w="0" w:type="dxa"/>
                    <w:bottom w:w="0" w:type="dxa"/>
                    <w:right w:w="0" w:type="dxa"/>
                  </w:tcMar>
                  <w:vAlign w:val="center"/>
                </w:tcPr>
                <w:p w14:paraId="59E9BF6E">
                  <w:pPr>
                    <w:autoSpaceDE w:val="0"/>
                    <w:autoSpaceDN w:val="0"/>
                    <w:adjustRightInd w:val="0"/>
                    <w:snapToGrid w:val="0"/>
                    <w:jc w:val="center"/>
                    <w:rPr>
                      <w:color w:val="FF0000"/>
                      <w:kern w:val="0"/>
                      <w:szCs w:val="21"/>
                    </w:rPr>
                  </w:pPr>
                  <w:r>
                    <w:rPr>
                      <w:color w:val="FF0000"/>
                      <w:kern w:val="0"/>
                      <w:szCs w:val="21"/>
                    </w:rPr>
                    <w:t>规划范围：</w:t>
                  </w:r>
                  <w:r>
                    <w:rPr>
                      <w:rFonts w:hint="eastAsia"/>
                      <w:color w:val="FF0000"/>
                      <w:kern w:val="0"/>
                      <w:szCs w:val="21"/>
                    </w:rPr>
                    <w:t>东至银湖路、南至金坛大道—鑫城大道—华城路，西至丹金溧漕河，北至华洲路—通闸路—金城大道，总用地面积36.53km</w:t>
                  </w:r>
                  <w:r>
                    <w:rPr>
                      <w:rFonts w:hint="eastAsia"/>
                      <w:color w:val="FF0000"/>
                      <w:kern w:val="0"/>
                      <w:szCs w:val="21"/>
                      <w:vertAlign w:val="superscript"/>
                    </w:rPr>
                    <w:t>2</w:t>
                  </w:r>
                  <w:r>
                    <w:rPr>
                      <w:color w:val="FF0000"/>
                      <w:kern w:val="0"/>
                      <w:szCs w:val="21"/>
                    </w:rPr>
                    <w:t>。</w:t>
                  </w:r>
                </w:p>
                <w:p w14:paraId="6FA7066F">
                  <w:pPr>
                    <w:autoSpaceDE w:val="0"/>
                    <w:autoSpaceDN w:val="0"/>
                    <w:adjustRightInd w:val="0"/>
                    <w:snapToGrid w:val="0"/>
                    <w:jc w:val="center"/>
                    <w:rPr>
                      <w:color w:val="FF0000"/>
                      <w:kern w:val="0"/>
                      <w:szCs w:val="21"/>
                    </w:rPr>
                  </w:pPr>
                  <w:r>
                    <w:rPr>
                      <w:rFonts w:hint="eastAsia"/>
                      <w:color w:val="FF0000"/>
                      <w:kern w:val="0"/>
                      <w:szCs w:val="21"/>
                    </w:rPr>
                    <w:t>产业定位调整为着力培强做大新能源、新能源汽车、新智能、新医药产业、新材料，提速发展数字经济、人工智能，加快智能化改造、数字化转型</w:t>
                  </w:r>
                  <w:r>
                    <w:rPr>
                      <w:color w:val="FF0000"/>
                      <w:kern w:val="0"/>
                      <w:szCs w:val="21"/>
                    </w:rPr>
                    <w:t>。</w:t>
                  </w:r>
                </w:p>
              </w:tc>
              <w:tc>
                <w:tcPr>
                  <w:tcW w:w="2545" w:type="dxa"/>
                  <w:noWrap w:val="0"/>
                  <w:tcMar>
                    <w:top w:w="0" w:type="dxa"/>
                    <w:left w:w="0" w:type="dxa"/>
                    <w:bottom w:w="0" w:type="dxa"/>
                    <w:right w:w="0" w:type="dxa"/>
                  </w:tcMar>
                  <w:vAlign w:val="center"/>
                </w:tcPr>
                <w:p w14:paraId="5D1AEDF3">
                  <w:pPr>
                    <w:autoSpaceDE w:val="0"/>
                    <w:autoSpaceDN w:val="0"/>
                    <w:adjustRightInd w:val="0"/>
                    <w:snapToGrid w:val="0"/>
                    <w:jc w:val="center"/>
                    <w:rPr>
                      <w:rFonts w:hint="eastAsia"/>
                      <w:color w:val="FF0000"/>
                      <w:kern w:val="0"/>
                      <w:szCs w:val="21"/>
                    </w:rPr>
                  </w:pPr>
                  <w:r>
                    <w:rPr>
                      <w:rFonts w:hint="eastAsia" w:cs="Times New Roman"/>
                      <w:color w:val="FF0000"/>
                      <w:kern w:val="0"/>
                      <w:sz w:val="21"/>
                      <w:szCs w:val="21"/>
                      <w:highlight w:val="none"/>
                      <w:lang w:val="en-US" w:eastAsia="zh-CN"/>
                    </w:rPr>
                    <w:t>本</w:t>
                  </w:r>
                  <w:r>
                    <w:rPr>
                      <w:rFonts w:hint="default" w:ascii="Times New Roman" w:hAnsi="Times New Roman" w:eastAsia="宋体" w:cs="Times New Roman"/>
                      <w:color w:val="FF0000"/>
                      <w:kern w:val="0"/>
                      <w:sz w:val="21"/>
                      <w:szCs w:val="21"/>
                      <w:highlight w:val="none"/>
                    </w:rPr>
                    <w:t>项目建设地位于江苏省金坛经济开发区东湖路28号，行业类别为</w:t>
                  </w:r>
                  <w:r>
                    <w:rPr>
                      <w:rFonts w:hint="eastAsia" w:eastAsia="宋体"/>
                      <w:color w:val="FF0000"/>
                      <w:szCs w:val="21"/>
                      <w:lang w:eastAsia="zh-CN"/>
                    </w:rPr>
                    <w:t>C2929塑料零件及其他塑料制品制造</w:t>
                  </w:r>
                  <w:r>
                    <w:rPr>
                      <w:rFonts w:hint="default" w:ascii="Times New Roman" w:hAnsi="Times New Roman" w:eastAsia="宋体" w:cs="Times New Roman"/>
                      <w:color w:val="FF0000"/>
                      <w:kern w:val="0"/>
                      <w:sz w:val="21"/>
                      <w:szCs w:val="21"/>
                      <w:highlight w:val="none"/>
                    </w:rPr>
                    <w:t>，</w:t>
                  </w:r>
                  <w:r>
                    <w:rPr>
                      <w:rFonts w:hint="eastAsia" w:cs="Times New Roman"/>
                      <w:color w:val="FF0000"/>
                      <w:kern w:val="0"/>
                      <w:sz w:val="21"/>
                      <w:szCs w:val="21"/>
                      <w:highlight w:val="none"/>
                      <w:lang w:val="en-US" w:eastAsia="zh-CN"/>
                    </w:rPr>
                    <w:t>产品用于新能源汽车，符合产业定位</w:t>
                  </w:r>
                  <w:r>
                    <w:rPr>
                      <w:rFonts w:hint="eastAsia"/>
                      <w:color w:val="FF0000"/>
                      <w:kern w:val="0"/>
                      <w:szCs w:val="21"/>
                    </w:rPr>
                    <w:t>。</w:t>
                  </w:r>
                </w:p>
              </w:tc>
              <w:tc>
                <w:tcPr>
                  <w:tcW w:w="972" w:type="dxa"/>
                  <w:noWrap w:val="0"/>
                  <w:tcMar>
                    <w:top w:w="0" w:type="dxa"/>
                    <w:left w:w="0" w:type="dxa"/>
                    <w:bottom w:w="0" w:type="dxa"/>
                    <w:right w:w="0" w:type="dxa"/>
                  </w:tcMar>
                  <w:vAlign w:val="center"/>
                </w:tcPr>
                <w:p w14:paraId="0882E451">
                  <w:pPr>
                    <w:autoSpaceDE w:val="0"/>
                    <w:autoSpaceDN w:val="0"/>
                    <w:adjustRightInd w:val="0"/>
                    <w:snapToGrid w:val="0"/>
                    <w:jc w:val="center"/>
                    <w:rPr>
                      <w:color w:val="FF0000"/>
                      <w:kern w:val="0"/>
                      <w:szCs w:val="21"/>
                    </w:rPr>
                  </w:pPr>
                  <w:r>
                    <w:rPr>
                      <w:color w:val="FF0000"/>
                      <w:kern w:val="0"/>
                      <w:szCs w:val="21"/>
                    </w:rPr>
                    <w:t>符合</w:t>
                  </w:r>
                </w:p>
              </w:tc>
            </w:tr>
          </w:tbl>
          <w:p w14:paraId="16408C3C">
            <w:pPr>
              <w:adjustRightInd w:val="0"/>
              <w:snapToGrid w:val="0"/>
              <w:spacing w:before="120" w:beforeLines="50" w:line="360" w:lineRule="auto"/>
              <w:ind w:firstLine="420" w:firstLineChars="200"/>
              <w:rPr>
                <w:b/>
                <w:color w:val="FF0000"/>
                <w:kern w:val="0"/>
                <w:szCs w:val="21"/>
              </w:rPr>
            </w:pPr>
            <w:r>
              <w:rPr>
                <w:rFonts w:hint="eastAsia"/>
                <w:color w:val="FF0000"/>
                <w:sz w:val="21"/>
                <w:szCs w:val="21"/>
                <w:highlight w:val="none"/>
              </w:rPr>
              <w:t>本项目建设地位于</w:t>
            </w:r>
            <w:r>
              <w:rPr>
                <w:rFonts w:hint="default" w:ascii="Times New Roman" w:hAnsi="Times New Roman" w:eastAsia="宋体" w:cs="Times New Roman"/>
                <w:color w:val="FF0000"/>
                <w:kern w:val="0"/>
                <w:sz w:val="21"/>
                <w:szCs w:val="21"/>
                <w:highlight w:val="none"/>
              </w:rPr>
              <w:t>江苏省金坛经济开发区东湖路28号</w:t>
            </w:r>
            <w:r>
              <w:rPr>
                <w:rFonts w:hint="eastAsia"/>
                <w:color w:val="FF0000"/>
                <w:sz w:val="21"/>
                <w:szCs w:val="21"/>
                <w:highlight w:val="none"/>
              </w:rPr>
              <w:t>，行业类别为</w:t>
            </w:r>
            <w:r>
              <w:rPr>
                <w:rFonts w:hint="eastAsia" w:eastAsia="宋体"/>
                <w:color w:val="FF0000"/>
                <w:szCs w:val="21"/>
                <w:lang w:eastAsia="zh-CN"/>
              </w:rPr>
              <w:t>C2929塑料零件及其他塑料制品制造</w:t>
            </w:r>
            <w:r>
              <w:rPr>
                <w:rFonts w:hint="eastAsia"/>
                <w:color w:val="FF0000"/>
                <w:szCs w:val="21"/>
                <w:lang w:eastAsia="zh-CN"/>
              </w:rPr>
              <w:t>，</w:t>
            </w:r>
            <w:r>
              <w:rPr>
                <w:rFonts w:hint="eastAsia" w:cs="Times New Roman"/>
                <w:color w:val="FF0000"/>
                <w:kern w:val="0"/>
                <w:sz w:val="21"/>
                <w:szCs w:val="21"/>
                <w:highlight w:val="none"/>
                <w:lang w:val="en-US" w:eastAsia="zh-CN"/>
              </w:rPr>
              <w:t>产品用于新能源汽车，符合产业定位</w:t>
            </w:r>
            <w:r>
              <w:rPr>
                <w:rFonts w:hint="eastAsia"/>
                <w:color w:val="FF0000"/>
                <w:sz w:val="21"/>
                <w:szCs w:val="21"/>
                <w:highlight w:val="none"/>
              </w:rPr>
              <w:t>，项目选址用地性质为金坛经济开发区规划的工业用地范围内</w:t>
            </w:r>
            <w:r>
              <w:rPr>
                <w:rFonts w:hint="eastAsia"/>
                <w:color w:val="FF0000"/>
                <w:sz w:val="21"/>
                <w:szCs w:val="21"/>
                <w:highlight w:val="none"/>
                <w:lang w:eastAsia="zh-CN"/>
              </w:rPr>
              <w:t>，</w:t>
            </w:r>
            <w:r>
              <w:rPr>
                <w:rFonts w:hint="eastAsia"/>
                <w:color w:val="FF0000"/>
                <w:sz w:val="21"/>
                <w:szCs w:val="21"/>
                <w:highlight w:val="none"/>
              </w:rPr>
              <w:t>因此项目建设符合</w:t>
            </w:r>
            <w:r>
              <w:rPr>
                <w:rFonts w:hint="eastAsia"/>
                <w:color w:val="FF0000"/>
              </w:rPr>
              <w:t>江苏金坛经济开发区开发建设规划（2025—2035年）</w:t>
            </w:r>
            <w:r>
              <w:rPr>
                <w:rFonts w:hint="eastAsia"/>
                <w:color w:val="FF0000"/>
                <w:sz w:val="21"/>
                <w:szCs w:val="21"/>
                <w:highlight w:val="none"/>
              </w:rPr>
              <w:t>中相关要求</w:t>
            </w:r>
            <w:r>
              <w:rPr>
                <w:color w:val="FF0000"/>
                <w:szCs w:val="21"/>
              </w:rPr>
              <w:t>。</w:t>
            </w:r>
          </w:p>
          <w:p w14:paraId="3D68FBE1">
            <w:pPr>
              <w:spacing w:line="360" w:lineRule="auto"/>
              <w:ind w:firstLine="422" w:firstLineChars="200"/>
              <w:rPr>
                <w:b/>
                <w:bCs/>
                <w:color w:val="FF0000"/>
                <w:szCs w:val="21"/>
              </w:rPr>
            </w:pPr>
            <w:r>
              <w:rPr>
                <w:rFonts w:hint="eastAsia"/>
                <w:b/>
                <w:bCs/>
                <w:color w:val="FF0000"/>
                <w:szCs w:val="21"/>
              </w:rPr>
              <w:t>二、</w:t>
            </w:r>
            <w:r>
              <w:rPr>
                <w:b/>
                <w:bCs/>
                <w:color w:val="FF0000"/>
                <w:szCs w:val="21"/>
              </w:rPr>
              <w:t>与</w:t>
            </w:r>
            <w:r>
              <w:rPr>
                <w:rFonts w:hint="eastAsia"/>
                <w:b/>
                <w:bCs/>
                <w:color w:val="FF0000"/>
                <w:szCs w:val="21"/>
              </w:rPr>
              <w:t>“</w:t>
            </w:r>
            <w:r>
              <w:rPr>
                <w:b/>
                <w:bCs/>
                <w:color w:val="FF0000"/>
                <w:szCs w:val="21"/>
              </w:rPr>
              <w:t>金坛经济开发区</w:t>
            </w:r>
            <w:r>
              <w:rPr>
                <w:rFonts w:hint="eastAsia"/>
                <w:b/>
                <w:bCs/>
                <w:color w:val="FF0000"/>
                <w:szCs w:val="21"/>
              </w:rPr>
              <w:t>”</w:t>
            </w:r>
            <w:r>
              <w:rPr>
                <w:b/>
                <w:bCs/>
                <w:color w:val="FF0000"/>
                <w:szCs w:val="21"/>
              </w:rPr>
              <w:t>规划环评相符性分析</w:t>
            </w:r>
          </w:p>
          <w:p w14:paraId="2EA7552C">
            <w:pPr>
              <w:spacing w:line="360" w:lineRule="auto"/>
              <w:ind w:firstLine="420" w:firstLineChars="200"/>
              <w:rPr>
                <w:b/>
                <w:color w:val="FF0000"/>
                <w:szCs w:val="21"/>
              </w:rPr>
            </w:pPr>
            <w:r>
              <w:rPr>
                <w:rFonts w:hint="eastAsia"/>
                <w:color w:val="FF0000"/>
                <w:szCs w:val="21"/>
                <w:lang w:val="en-US" w:eastAsia="zh-CN"/>
              </w:rPr>
              <w:t>2025</w:t>
            </w:r>
            <w:r>
              <w:rPr>
                <w:color w:val="FF0000"/>
                <w:szCs w:val="21"/>
              </w:rPr>
              <w:t>年，</w:t>
            </w:r>
            <w:r>
              <w:rPr>
                <w:rFonts w:hint="eastAsia"/>
                <w:color w:val="FF0000"/>
                <w:szCs w:val="21"/>
              </w:rPr>
              <w:t>江苏金坛经济开发区管理委员会</w:t>
            </w:r>
            <w:r>
              <w:rPr>
                <w:color w:val="FF0000"/>
                <w:szCs w:val="21"/>
              </w:rPr>
              <w:t>委托</w:t>
            </w:r>
            <w:r>
              <w:rPr>
                <w:rFonts w:hint="eastAsia"/>
                <w:color w:val="FF0000"/>
                <w:szCs w:val="21"/>
              </w:rPr>
              <w:t>江苏龙环环境科技有限公司</w:t>
            </w:r>
            <w:r>
              <w:rPr>
                <w:color w:val="FF0000"/>
                <w:szCs w:val="21"/>
              </w:rPr>
              <w:t>编制完成《</w:t>
            </w:r>
            <w:r>
              <w:rPr>
                <w:rFonts w:hint="eastAsia"/>
                <w:color w:val="FF0000"/>
              </w:rPr>
              <w:t>江苏金坛经济开发区开发建设规划（2025—2035年）环境影响报告书</w:t>
            </w:r>
            <w:r>
              <w:rPr>
                <w:color w:val="FF0000"/>
                <w:szCs w:val="21"/>
              </w:rPr>
              <w:t>》并于20</w:t>
            </w:r>
            <w:r>
              <w:rPr>
                <w:rFonts w:hint="eastAsia"/>
                <w:color w:val="FF0000"/>
                <w:szCs w:val="21"/>
                <w:lang w:val="en-US" w:eastAsia="zh-CN"/>
              </w:rPr>
              <w:t>26</w:t>
            </w:r>
            <w:r>
              <w:rPr>
                <w:color w:val="FF0000"/>
                <w:szCs w:val="21"/>
              </w:rPr>
              <w:t>年</w:t>
            </w:r>
            <w:r>
              <w:rPr>
                <w:rFonts w:hint="eastAsia"/>
                <w:color w:val="FF0000"/>
                <w:szCs w:val="21"/>
                <w:lang w:val="en-US" w:eastAsia="zh-CN"/>
              </w:rPr>
              <w:t>3</w:t>
            </w:r>
            <w:r>
              <w:rPr>
                <w:color w:val="FF0000"/>
                <w:szCs w:val="21"/>
              </w:rPr>
              <w:t>月</w:t>
            </w:r>
            <w:r>
              <w:rPr>
                <w:rFonts w:hint="eastAsia"/>
                <w:color w:val="FF0000"/>
                <w:szCs w:val="21"/>
                <w:lang w:val="en-US" w:eastAsia="zh-CN"/>
              </w:rPr>
              <w:t>11</w:t>
            </w:r>
            <w:r>
              <w:rPr>
                <w:color w:val="FF0000"/>
                <w:szCs w:val="21"/>
              </w:rPr>
              <w:t>日取得了</w:t>
            </w:r>
            <w:r>
              <w:rPr>
                <w:rFonts w:hint="eastAsia"/>
                <w:color w:val="FF0000"/>
              </w:rPr>
              <w:t>江苏省生态环境厅</w:t>
            </w:r>
            <w:r>
              <w:rPr>
                <w:color w:val="FF0000"/>
                <w:szCs w:val="21"/>
              </w:rPr>
              <w:t>审查意见，文号为</w:t>
            </w:r>
            <w:r>
              <w:rPr>
                <w:rFonts w:hint="eastAsia"/>
                <w:color w:val="FF0000"/>
                <w:szCs w:val="21"/>
              </w:rPr>
              <w:t>“</w:t>
            </w:r>
            <w:r>
              <w:rPr>
                <w:rFonts w:hint="eastAsia"/>
                <w:color w:val="FF0000"/>
              </w:rPr>
              <w:t>苏环审〔2026〕17号</w:t>
            </w:r>
            <w:r>
              <w:rPr>
                <w:rFonts w:hint="eastAsia"/>
                <w:color w:val="FF0000"/>
                <w:szCs w:val="21"/>
              </w:rPr>
              <w:t>”</w:t>
            </w:r>
            <w:r>
              <w:rPr>
                <w:color w:val="FF0000"/>
                <w:szCs w:val="21"/>
              </w:rPr>
              <w:t>。本项目与《</w:t>
            </w:r>
            <w:r>
              <w:rPr>
                <w:rFonts w:hint="eastAsia"/>
                <w:color w:val="FF0000"/>
              </w:rPr>
              <w:t>省生态环境厅关于江苏金坛经济开发区</w:t>
            </w:r>
            <w:r>
              <w:rPr>
                <w:color w:val="FF0000"/>
              </w:rPr>
              <w:t>开发</w:t>
            </w:r>
            <w:r>
              <w:rPr>
                <w:rFonts w:hint="eastAsia"/>
                <w:color w:val="FF0000"/>
              </w:rPr>
              <w:t>建设规划（</w:t>
            </w:r>
            <w:r>
              <w:rPr>
                <w:color w:val="FF0000"/>
              </w:rPr>
              <w:t>202</w:t>
            </w:r>
            <w:r>
              <w:rPr>
                <w:rFonts w:hint="eastAsia"/>
                <w:color w:val="FF0000"/>
              </w:rPr>
              <w:t>5</w:t>
            </w:r>
            <w:r>
              <w:rPr>
                <w:color w:val="FF0000"/>
              </w:rPr>
              <w:t>—2035</w:t>
            </w:r>
            <w:r>
              <w:rPr>
                <w:rFonts w:hint="eastAsia"/>
                <w:color w:val="FF0000"/>
              </w:rPr>
              <w:t>年</w:t>
            </w:r>
            <w:r>
              <w:rPr>
                <w:color w:val="FF0000"/>
              </w:rPr>
              <w:t>）环境影响报告书</w:t>
            </w:r>
            <w:r>
              <w:rPr>
                <w:rFonts w:hint="eastAsia"/>
                <w:color w:val="FF0000"/>
              </w:rPr>
              <w:t>的审查意见</w:t>
            </w:r>
            <w:r>
              <w:rPr>
                <w:color w:val="FF0000"/>
                <w:szCs w:val="21"/>
              </w:rPr>
              <w:t>》相符性分析见</w:t>
            </w:r>
            <w:r>
              <w:rPr>
                <w:rFonts w:hint="eastAsia"/>
                <w:color w:val="FF0000"/>
                <w:szCs w:val="21"/>
              </w:rPr>
              <w:t>下表</w:t>
            </w:r>
            <w:r>
              <w:rPr>
                <w:color w:val="FF0000"/>
                <w:szCs w:val="21"/>
              </w:rPr>
              <w:t>。</w:t>
            </w:r>
          </w:p>
          <w:p w14:paraId="37DC970F">
            <w:pPr>
              <w:pStyle w:val="9"/>
              <w:snapToGrid/>
              <w:spacing w:before="0" w:line="240" w:lineRule="auto"/>
              <w:ind w:firstLine="0"/>
              <w:jc w:val="center"/>
              <w:rPr>
                <w:b/>
                <w:color w:val="FF0000"/>
                <w:sz w:val="21"/>
                <w:szCs w:val="21"/>
              </w:rPr>
            </w:pPr>
            <w:r>
              <w:rPr>
                <w:b/>
                <w:color w:val="FF0000"/>
                <w:sz w:val="21"/>
                <w:szCs w:val="21"/>
              </w:rPr>
              <w:t>表1</w:t>
            </w:r>
            <w:r>
              <w:rPr>
                <w:rFonts w:hint="eastAsia"/>
                <w:b/>
                <w:color w:val="FF0000"/>
                <w:sz w:val="21"/>
                <w:szCs w:val="21"/>
              </w:rPr>
              <w:t>-3</w:t>
            </w:r>
            <w:r>
              <w:rPr>
                <w:b/>
                <w:color w:val="FF0000"/>
                <w:sz w:val="21"/>
                <w:szCs w:val="21"/>
              </w:rPr>
              <w:t xml:space="preserve"> 本项目与</w:t>
            </w:r>
            <w:r>
              <w:rPr>
                <w:rFonts w:hint="eastAsia"/>
                <w:b/>
                <w:color w:val="FF0000"/>
                <w:sz w:val="21"/>
                <w:szCs w:val="21"/>
              </w:rPr>
              <w:t>《省生态环境厅关于江苏金坛经济开发区开发建设规划（2025—2035年）环境影响报告书的审查意见》</w:t>
            </w:r>
            <w:r>
              <w:rPr>
                <w:b/>
                <w:color w:val="FF0000"/>
                <w:sz w:val="21"/>
                <w:szCs w:val="21"/>
              </w:rPr>
              <w:t>相符性分析一览表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3094"/>
              <w:gridCol w:w="3687"/>
              <w:gridCol w:w="734"/>
            </w:tblGrid>
            <w:tr w14:paraId="2B8AD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noWrap w:val="0"/>
                  <w:tcMar>
                    <w:top w:w="0" w:type="dxa"/>
                    <w:left w:w="0" w:type="dxa"/>
                    <w:bottom w:w="0" w:type="dxa"/>
                    <w:right w:w="0" w:type="dxa"/>
                  </w:tcMar>
                  <w:vAlign w:val="center"/>
                </w:tcPr>
                <w:p w14:paraId="2440A170">
                  <w:pPr>
                    <w:keepNext w:val="0"/>
                    <w:keepLines w:val="0"/>
                    <w:pageBreakBefore w:val="0"/>
                    <w:widowControl w:val="0"/>
                    <w:kinsoku/>
                    <w:wordWrap/>
                    <w:overflowPunct/>
                    <w:topLinePunct w:val="0"/>
                    <w:bidi w:val="0"/>
                    <w:adjustRightInd w:val="0"/>
                    <w:snapToGrid w:val="0"/>
                    <w:spacing w:line="240" w:lineRule="auto"/>
                    <w:jc w:val="center"/>
                    <w:textAlignment w:val="auto"/>
                    <w:rPr>
                      <w:b/>
                      <w:color w:val="FF0000"/>
                      <w:szCs w:val="21"/>
                    </w:rPr>
                  </w:pPr>
                  <w:r>
                    <w:rPr>
                      <w:b/>
                      <w:color w:val="FF0000"/>
                      <w:szCs w:val="21"/>
                    </w:rPr>
                    <w:t>序号</w:t>
                  </w:r>
                </w:p>
              </w:tc>
              <w:tc>
                <w:tcPr>
                  <w:tcW w:w="1934" w:type="pct"/>
                  <w:noWrap w:val="0"/>
                  <w:tcMar>
                    <w:top w:w="0" w:type="dxa"/>
                    <w:left w:w="0" w:type="dxa"/>
                    <w:bottom w:w="0" w:type="dxa"/>
                    <w:right w:w="0" w:type="dxa"/>
                  </w:tcMar>
                  <w:vAlign w:val="center"/>
                </w:tcPr>
                <w:p w14:paraId="36097EE9">
                  <w:pPr>
                    <w:keepNext w:val="0"/>
                    <w:keepLines w:val="0"/>
                    <w:pageBreakBefore w:val="0"/>
                    <w:widowControl w:val="0"/>
                    <w:kinsoku/>
                    <w:wordWrap/>
                    <w:overflowPunct/>
                    <w:topLinePunct w:val="0"/>
                    <w:bidi w:val="0"/>
                    <w:adjustRightInd w:val="0"/>
                    <w:snapToGrid w:val="0"/>
                    <w:spacing w:line="240" w:lineRule="auto"/>
                    <w:jc w:val="center"/>
                    <w:textAlignment w:val="auto"/>
                    <w:rPr>
                      <w:b/>
                      <w:color w:val="FF0000"/>
                      <w:szCs w:val="21"/>
                    </w:rPr>
                  </w:pPr>
                  <w:r>
                    <w:rPr>
                      <w:b/>
                      <w:color w:val="FF0000"/>
                      <w:szCs w:val="21"/>
                    </w:rPr>
                    <w:t>审查意见要求</w:t>
                  </w:r>
                </w:p>
              </w:tc>
              <w:tc>
                <w:tcPr>
                  <w:tcW w:w="2305" w:type="pct"/>
                  <w:noWrap w:val="0"/>
                  <w:tcMar>
                    <w:top w:w="0" w:type="dxa"/>
                    <w:left w:w="0" w:type="dxa"/>
                    <w:bottom w:w="0" w:type="dxa"/>
                    <w:right w:w="0" w:type="dxa"/>
                  </w:tcMar>
                  <w:vAlign w:val="center"/>
                </w:tcPr>
                <w:p w14:paraId="3318CA93">
                  <w:pPr>
                    <w:keepNext w:val="0"/>
                    <w:keepLines w:val="0"/>
                    <w:pageBreakBefore w:val="0"/>
                    <w:widowControl w:val="0"/>
                    <w:kinsoku/>
                    <w:wordWrap/>
                    <w:overflowPunct/>
                    <w:topLinePunct w:val="0"/>
                    <w:bidi w:val="0"/>
                    <w:adjustRightInd w:val="0"/>
                    <w:snapToGrid w:val="0"/>
                    <w:spacing w:line="240" w:lineRule="auto"/>
                    <w:jc w:val="center"/>
                    <w:textAlignment w:val="auto"/>
                    <w:rPr>
                      <w:b/>
                      <w:color w:val="FF0000"/>
                      <w:szCs w:val="21"/>
                    </w:rPr>
                  </w:pPr>
                  <w:r>
                    <w:rPr>
                      <w:b/>
                      <w:color w:val="FF0000"/>
                      <w:szCs w:val="21"/>
                    </w:rPr>
                    <w:t>本项目</w:t>
                  </w:r>
                </w:p>
              </w:tc>
              <w:tc>
                <w:tcPr>
                  <w:tcW w:w="459" w:type="pct"/>
                  <w:noWrap w:val="0"/>
                  <w:tcMar>
                    <w:top w:w="0" w:type="dxa"/>
                    <w:left w:w="0" w:type="dxa"/>
                    <w:bottom w:w="0" w:type="dxa"/>
                    <w:right w:w="0" w:type="dxa"/>
                  </w:tcMar>
                  <w:vAlign w:val="center"/>
                </w:tcPr>
                <w:p w14:paraId="2D92CFEF">
                  <w:pPr>
                    <w:keepNext w:val="0"/>
                    <w:keepLines w:val="0"/>
                    <w:pageBreakBefore w:val="0"/>
                    <w:widowControl w:val="0"/>
                    <w:kinsoku/>
                    <w:wordWrap/>
                    <w:overflowPunct/>
                    <w:topLinePunct w:val="0"/>
                    <w:bidi w:val="0"/>
                    <w:adjustRightInd w:val="0"/>
                    <w:snapToGrid w:val="0"/>
                    <w:spacing w:line="240" w:lineRule="auto"/>
                    <w:jc w:val="center"/>
                    <w:textAlignment w:val="auto"/>
                    <w:rPr>
                      <w:b/>
                      <w:color w:val="FF0000"/>
                      <w:szCs w:val="21"/>
                    </w:rPr>
                  </w:pPr>
                  <w:r>
                    <w:rPr>
                      <w:b/>
                      <w:color w:val="FF0000"/>
                      <w:szCs w:val="21"/>
                    </w:rPr>
                    <w:t>相符性</w:t>
                  </w:r>
                </w:p>
              </w:tc>
            </w:tr>
            <w:tr w14:paraId="4AF59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noWrap w:val="0"/>
                  <w:tcMar>
                    <w:top w:w="0" w:type="dxa"/>
                    <w:left w:w="0" w:type="dxa"/>
                    <w:bottom w:w="0" w:type="dxa"/>
                    <w:right w:w="0" w:type="dxa"/>
                  </w:tcMar>
                  <w:vAlign w:val="center"/>
                </w:tcPr>
                <w:p w14:paraId="486568A2">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rFonts w:hint="eastAsia"/>
                      <w:color w:val="FF0000"/>
                      <w:szCs w:val="21"/>
                    </w:rPr>
                    <w:t>1</w:t>
                  </w:r>
                </w:p>
              </w:tc>
              <w:tc>
                <w:tcPr>
                  <w:tcW w:w="1934" w:type="pct"/>
                  <w:noWrap w:val="0"/>
                  <w:tcMar>
                    <w:top w:w="0" w:type="dxa"/>
                    <w:left w:w="0" w:type="dxa"/>
                    <w:bottom w:w="0" w:type="dxa"/>
                    <w:right w:w="0" w:type="dxa"/>
                  </w:tcMar>
                  <w:vAlign w:val="center"/>
                </w:tcPr>
                <w:p w14:paraId="2082B40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FF0000"/>
                      <w:szCs w:val="21"/>
                      <w:lang w:eastAsia="zh-CN"/>
                    </w:rPr>
                  </w:pPr>
                  <w:r>
                    <w:rPr>
                      <w:rFonts w:hint="eastAsia"/>
                      <w:color w:val="FF0000"/>
                      <w:szCs w:val="32"/>
                    </w:rPr>
                    <w:t>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推进生态环境高水平保护与经济高质量发展</w:t>
                  </w:r>
                  <w:r>
                    <w:rPr>
                      <w:rFonts w:hint="eastAsia"/>
                      <w:color w:val="FF0000"/>
                      <w:szCs w:val="32"/>
                      <w:lang w:eastAsia="zh-CN"/>
                    </w:rPr>
                    <w:t>。</w:t>
                  </w:r>
                </w:p>
              </w:tc>
              <w:tc>
                <w:tcPr>
                  <w:tcW w:w="2305" w:type="pct"/>
                  <w:vMerge w:val="restart"/>
                  <w:noWrap w:val="0"/>
                  <w:tcMar>
                    <w:top w:w="0" w:type="dxa"/>
                    <w:left w:w="0" w:type="dxa"/>
                    <w:bottom w:w="0" w:type="dxa"/>
                    <w:right w:w="0" w:type="dxa"/>
                  </w:tcMar>
                  <w:vAlign w:val="center"/>
                </w:tcPr>
                <w:p w14:paraId="4F2E10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FF0000"/>
                      <w:kern w:val="0"/>
                      <w:sz w:val="21"/>
                      <w:szCs w:val="21"/>
                      <w:lang w:val="en-US" w:eastAsia="zh-CN" w:bidi="ar-SA"/>
                    </w:rPr>
                  </w:pPr>
                  <w:r>
                    <w:rPr>
                      <w:rFonts w:hint="eastAsia" w:ascii="Times New Roman" w:hAnsi="Times New Roman" w:cs="Times New Roman"/>
                      <w:color w:val="FF0000"/>
                      <w:sz w:val="21"/>
                      <w:szCs w:val="21"/>
                      <w:lang w:val="en-US" w:eastAsia="zh-CN"/>
                    </w:rPr>
                    <w:t>本项目</w:t>
                  </w:r>
                  <w:r>
                    <w:rPr>
                      <w:rFonts w:hint="eastAsia"/>
                      <w:color w:val="FF0000"/>
                      <w:sz w:val="21"/>
                      <w:szCs w:val="21"/>
                      <w:highlight w:val="none"/>
                    </w:rPr>
                    <w:t>位于</w:t>
                  </w:r>
                  <w:r>
                    <w:rPr>
                      <w:rFonts w:hint="default" w:ascii="Times New Roman" w:hAnsi="Times New Roman" w:eastAsia="宋体" w:cs="Times New Roman"/>
                      <w:color w:val="FF0000"/>
                      <w:kern w:val="0"/>
                      <w:sz w:val="21"/>
                      <w:szCs w:val="21"/>
                      <w:highlight w:val="none"/>
                    </w:rPr>
                    <w:t>江苏省金坛经济开发区东湖路28号</w:t>
                  </w:r>
                  <w:r>
                    <w:rPr>
                      <w:rFonts w:hint="eastAsia" w:ascii="Times New Roman" w:hAnsi="Times New Roman" w:cs="Times New Roman"/>
                      <w:color w:val="FF0000"/>
                      <w:kern w:val="0"/>
                      <w:sz w:val="21"/>
                      <w:szCs w:val="21"/>
                      <w:highlight w:val="none"/>
                      <w:lang w:eastAsia="zh-CN"/>
                    </w:rPr>
                    <w:t>，</w:t>
                  </w:r>
                  <w:r>
                    <w:rPr>
                      <w:rFonts w:hint="eastAsia" w:ascii="Times New Roman" w:hAnsi="Times New Roman" w:cs="Times New Roman"/>
                      <w:color w:val="FF0000"/>
                      <w:kern w:val="0"/>
                      <w:sz w:val="21"/>
                      <w:szCs w:val="21"/>
                      <w:highlight w:val="none"/>
                      <w:lang w:val="en-US" w:eastAsia="zh-CN"/>
                    </w:rPr>
                    <w:t>根据《江苏金坛经济开发区近期土地利用规划图（2027年）》《江苏金坛经济开发区远期土地利用规划图（2035年）》属于工业用地。根据《常州市国土空间总体规划》（2021-2035年）、《常州市金坛区国土空间总体规划》（2021-2035年），本项目在城镇开发边界（工业发展区）内，且不占用耕地和永久基本农田，不涉及生态保护红线，满足国土空间规划及“三区三线”要求。</w:t>
                  </w:r>
                  <w:r>
                    <w:rPr>
                      <w:rFonts w:hint="default" w:ascii="Times New Roman" w:hAnsi="Times New Roman" w:eastAsia="宋体" w:cs="Times New Roman"/>
                      <w:color w:val="FF0000"/>
                      <w:sz w:val="21"/>
                      <w:szCs w:val="21"/>
                      <w:lang w:val="en-US" w:eastAsia="zh-CN"/>
                    </w:rPr>
                    <w:t>生产过程中产污环节较少、污染物产生量较少，且均能够得到妥善的处理和处置，设备能耗较低、工艺较简单成熟</w:t>
                  </w:r>
                  <w:r>
                    <w:rPr>
                      <w:rFonts w:hint="eastAsia"/>
                      <w:color w:val="FF0000"/>
                      <w:kern w:val="0"/>
                      <w:szCs w:val="21"/>
                    </w:rPr>
                    <w:t>。</w:t>
                  </w:r>
                </w:p>
              </w:tc>
              <w:tc>
                <w:tcPr>
                  <w:tcW w:w="459" w:type="pct"/>
                  <w:noWrap w:val="0"/>
                  <w:tcMar>
                    <w:top w:w="0" w:type="dxa"/>
                    <w:left w:w="0" w:type="dxa"/>
                    <w:bottom w:w="0" w:type="dxa"/>
                    <w:right w:w="0" w:type="dxa"/>
                  </w:tcMar>
                  <w:vAlign w:val="center"/>
                </w:tcPr>
                <w:p w14:paraId="6D529770">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color w:val="FF0000"/>
                      <w:szCs w:val="21"/>
                    </w:rPr>
                    <w:t>相符</w:t>
                  </w:r>
                </w:p>
              </w:tc>
            </w:tr>
            <w:tr w14:paraId="4B72B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noWrap w:val="0"/>
                  <w:tcMar>
                    <w:top w:w="0" w:type="dxa"/>
                    <w:left w:w="0" w:type="dxa"/>
                    <w:bottom w:w="0" w:type="dxa"/>
                    <w:right w:w="0" w:type="dxa"/>
                  </w:tcMar>
                  <w:vAlign w:val="center"/>
                </w:tcPr>
                <w:p w14:paraId="14922D9E">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rFonts w:hint="eastAsia"/>
                      <w:color w:val="FF0000"/>
                      <w:szCs w:val="21"/>
                    </w:rPr>
                    <w:t>2</w:t>
                  </w:r>
                </w:p>
              </w:tc>
              <w:tc>
                <w:tcPr>
                  <w:tcW w:w="1934" w:type="pct"/>
                  <w:noWrap w:val="0"/>
                  <w:tcMar>
                    <w:top w:w="0" w:type="dxa"/>
                    <w:left w:w="0" w:type="dxa"/>
                    <w:bottom w:w="0" w:type="dxa"/>
                    <w:right w:w="0" w:type="dxa"/>
                  </w:tcMar>
                  <w:vAlign w:val="center"/>
                </w:tcPr>
                <w:p w14:paraId="7300330E">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rFonts w:hint="eastAsia"/>
                      <w:color w:val="FF0000"/>
                      <w:szCs w:val="32"/>
                    </w:rPr>
                    <w:t>严格空间管控，优化空间布局。区</w:t>
                  </w:r>
                  <w:r>
                    <w:rPr>
                      <w:color w:val="FF0000"/>
                      <w:szCs w:val="32"/>
                    </w:rPr>
                    <w:t>内绿地及水域在规划期内</w:t>
                  </w:r>
                  <w:r>
                    <w:rPr>
                      <w:rFonts w:hint="eastAsia"/>
                      <w:color w:val="FF0000"/>
                      <w:szCs w:val="32"/>
                    </w:rPr>
                    <w:t>原则上</w:t>
                  </w:r>
                  <w:r>
                    <w:rPr>
                      <w:color w:val="FF0000"/>
                      <w:szCs w:val="32"/>
                    </w:rPr>
                    <w:t>禁止开发利用。</w:t>
                  </w:r>
                  <w:r>
                    <w:rPr>
                      <w:rFonts w:hint="eastAsia"/>
                      <w:color w:val="FF0000"/>
                      <w:szCs w:val="32"/>
                    </w:rPr>
                    <w:t>区内</w:t>
                  </w:r>
                  <w:r>
                    <w:rPr>
                      <w:color w:val="FF0000"/>
                      <w:szCs w:val="32"/>
                    </w:rPr>
                    <w:t>各类开发建设活动应符合国土空间总体规划。</w:t>
                  </w:r>
                  <w:r>
                    <w:rPr>
                      <w:rFonts w:hint="eastAsia"/>
                      <w:color w:val="FF0000"/>
                      <w:szCs w:val="32"/>
                    </w:rPr>
                    <w:t>任何单位和个人不得擅自占用或者改变区内永久基本农田的用途。规划居住用地周边优先引入无污染的企业或项目。</w:t>
                  </w:r>
                </w:p>
              </w:tc>
              <w:tc>
                <w:tcPr>
                  <w:tcW w:w="2305" w:type="pct"/>
                  <w:vMerge w:val="continue"/>
                  <w:noWrap w:val="0"/>
                  <w:tcMar>
                    <w:top w:w="0" w:type="dxa"/>
                    <w:left w:w="0" w:type="dxa"/>
                    <w:bottom w:w="0" w:type="dxa"/>
                    <w:right w:w="0" w:type="dxa"/>
                  </w:tcMar>
                  <w:vAlign w:val="center"/>
                </w:tcPr>
                <w:p w14:paraId="1B37F3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FF0000"/>
                      <w:kern w:val="0"/>
                      <w:sz w:val="21"/>
                      <w:szCs w:val="21"/>
                      <w:lang w:val="en-US" w:eastAsia="zh-CN" w:bidi="ar-SA"/>
                    </w:rPr>
                  </w:pPr>
                </w:p>
              </w:tc>
              <w:tc>
                <w:tcPr>
                  <w:tcW w:w="459" w:type="pct"/>
                  <w:noWrap w:val="0"/>
                  <w:tcMar>
                    <w:top w:w="0" w:type="dxa"/>
                    <w:left w:w="0" w:type="dxa"/>
                    <w:bottom w:w="0" w:type="dxa"/>
                    <w:right w:w="0" w:type="dxa"/>
                  </w:tcMar>
                  <w:vAlign w:val="center"/>
                </w:tcPr>
                <w:p w14:paraId="7DBAC694">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color w:val="FF0000"/>
                      <w:szCs w:val="21"/>
                    </w:rPr>
                    <w:t>相符</w:t>
                  </w:r>
                </w:p>
              </w:tc>
            </w:tr>
            <w:tr w14:paraId="59E99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noWrap w:val="0"/>
                  <w:tcMar>
                    <w:top w:w="0" w:type="dxa"/>
                    <w:left w:w="0" w:type="dxa"/>
                    <w:bottom w:w="0" w:type="dxa"/>
                    <w:right w:w="0" w:type="dxa"/>
                  </w:tcMar>
                  <w:vAlign w:val="center"/>
                </w:tcPr>
                <w:p w14:paraId="0B77F06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FF0000"/>
                      <w:szCs w:val="21"/>
                    </w:rPr>
                  </w:pPr>
                  <w:r>
                    <w:rPr>
                      <w:rFonts w:hint="eastAsia"/>
                      <w:color w:val="FF0000"/>
                      <w:szCs w:val="21"/>
                    </w:rPr>
                    <w:t>3</w:t>
                  </w:r>
                </w:p>
              </w:tc>
              <w:tc>
                <w:tcPr>
                  <w:tcW w:w="1934" w:type="pct"/>
                  <w:noWrap w:val="0"/>
                  <w:tcMar>
                    <w:top w:w="0" w:type="dxa"/>
                    <w:left w:w="0" w:type="dxa"/>
                    <w:bottom w:w="0" w:type="dxa"/>
                    <w:right w:w="0" w:type="dxa"/>
                  </w:tcMar>
                  <w:vAlign w:val="center"/>
                </w:tcPr>
                <w:p w14:paraId="44F0F245">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rFonts w:hint="eastAsia"/>
                      <w:color w:val="FF0000"/>
                      <w:szCs w:val="32"/>
                    </w:rPr>
                    <w:t>严守环境质量底线，严格控制园区污染物排放总量</w:t>
                  </w:r>
                  <w:r>
                    <w:rPr>
                      <w:color w:val="FF0000"/>
                      <w:szCs w:val="32"/>
                    </w:rPr>
                    <w:t>。落实国家和江苏省关于大气、水、土壤、噪声污染防治</w:t>
                  </w:r>
                  <w:r>
                    <w:rPr>
                      <w:rFonts w:hint="eastAsia"/>
                      <w:color w:val="FF0000"/>
                      <w:szCs w:val="32"/>
                    </w:rPr>
                    <w:t>，</w:t>
                  </w:r>
                  <w:r>
                    <w:rPr>
                      <w:color w:val="FF0000"/>
                      <w:szCs w:val="32"/>
                    </w:rPr>
                    <w:t>区域生态环境分区管控相关要求，建立以环境质量为核心的污染物总量控制管理体系，实施主要污染物排放浓度和总量</w:t>
                  </w:r>
                  <w:r>
                    <w:rPr>
                      <w:rFonts w:hint="eastAsia"/>
                      <w:color w:val="FF0000"/>
                      <w:szCs w:val="32"/>
                    </w:rPr>
                    <w:t>“双管控”</w:t>
                  </w:r>
                  <w:r>
                    <w:rPr>
                      <w:rFonts w:hint="eastAsia"/>
                      <w:color w:val="FF0000"/>
                      <w:szCs w:val="32"/>
                      <w:lang w:eastAsia="zh-CN"/>
                    </w:rPr>
                    <w:t>。</w:t>
                  </w:r>
                </w:p>
              </w:tc>
              <w:tc>
                <w:tcPr>
                  <w:tcW w:w="2305" w:type="pct"/>
                  <w:noWrap w:val="0"/>
                  <w:tcMar>
                    <w:top w:w="0" w:type="dxa"/>
                    <w:left w:w="0" w:type="dxa"/>
                    <w:bottom w:w="0" w:type="dxa"/>
                    <w:right w:w="0" w:type="dxa"/>
                  </w:tcMar>
                  <w:vAlign w:val="center"/>
                </w:tcPr>
                <w:p w14:paraId="7D98D93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FF0000"/>
                      <w:szCs w:val="21"/>
                      <w:lang w:val="en-US" w:eastAsia="zh-CN"/>
                    </w:rPr>
                  </w:pPr>
                  <w:r>
                    <w:rPr>
                      <w:rFonts w:hint="eastAsia"/>
                      <w:color w:val="FF0000"/>
                      <w:sz w:val="21"/>
                      <w:szCs w:val="21"/>
                      <w:lang w:val="en-US" w:eastAsia="zh-CN"/>
                    </w:rPr>
                    <w:t>本项目</w:t>
                  </w:r>
                  <w:r>
                    <w:rPr>
                      <w:rFonts w:hint="eastAsia"/>
                      <w:color w:val="FF0000"/>
                      <w:sz w:val="21"/>
                      <w:szCs w:val="21"/>
                    </w:rPr>
                    <w:t>配料、投料粉尘</w:t>
                  </w:r>
                  <w:r>
                    <w:rPr>
                      <w:rFonts w:hint="eastAsia"/>
                      <w:color w:val="FF0000"/>
                      <w:sz w:val="21"/>
                      <w:szCs w:val="21"/>
                      <w:lang w:val="en-US" w:eastAsia="zh-CN"/>
                    </w:rPr>
                    <w:t>集气罩</w:t>
                  </w:r>
                  <w:r>
                    <w:rPr>
                      <w:rFonts w:hint="eastAsia"/>
                      <w:color w:val="FF0000"/>
                      <w:sz w:val="21"/>
                      <w:szCs w:val="21"/>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rFonts w:hint="eastAsia"/>
                      <w:color w:val="FF0000"/>
                      <w:sz w:val="21"/>
                      <w:szCs w:val="21"/>
                      <w:lang w:eastAsia="zh-CN"/>
                    </w:rPr>
                    <w:t>。</w:t>
                  </w:r>
                  <w:r>
                    <w:rPr>
                      <w:color w:val="FF0000"/>
                      <w:sz w:val="21"/>
                      <w:szCs w:val="21"/>
                    </w:rPr>
                    <w:t>废气均可达标排放</w:t>
                  </w:r>
                  <w:r>
                    <w:rPr>
                      <w:rFonts w:hint="eastAsia"/>
                      <w:color w:val="FF0000"/>
                      <w:sz w:val="21"/>
                      <w:szCs w:val="21"/>
                      <w:lang w:eastAsia="zh-CN"/>
                    </w:rPr>
                    <w:t>，</w:t>
                  </w:r>
                  <w:r>
                    <w:rPr>
                      <w:color w:val="FF0000"/>
                      <w:sz w:val="21"/>
                      <w:szCs w:val="21"/>
                    </w:rPr>
                    <w:t>对大气环境影响较小，不会对区域大气环境质量造成明显</w:t>
                  </w:r>
                  <w:r>
                    <w:rPr>
                      <w:rFonts w:hint="eastAsia"/>
                      <w:color w:val="FF0000"/>
                      <w:sz w:val="21"/>
                      <w:szCs w:val="21"/>
                    </w:rPr>
                    <w:t>影响</w:t>
                  </w:r>
                  <w:r>
                    <w:rPr>
                      <w:color w:val="FF0000"/>
                      <w:sz w:val="21"/>
                      <w:szCs w:val="21"/>
                    </w:rPr>
                    <w:t>；生活污水接管至常州金坛区第二污水处理有限公司集中处理；固体废物均按照要求委托相关单位进行妥善处置</w:t>
                  </w:r>
                  <w:r>
                    <w:rPr>
                      <w:rFonts w:hint="eastAsia"/>
                      <w:color w:val="FF0000"/>
                      <w:sz w:val="21"/>
                      <w:szCs w:val="21"/>
                      <w:lang w:eastAsia="zh-CN"/>
                    </w:rPr>
                    <w:t>。</w:t>
                  </w:r>
                  <w:r>
                    <w:rPr>
                      <w:color w:val="FF0000"/>
                      <w:szCs w:val="21"/>
                    </w:rPr>
                    <w:t>本项目按要求向常州市金坛生态环境局申请总量</w:t>
                  </w:r>
                  <w:r>
                    <w:rPr>
                      <w:rFonts w:hint="eastAsia"/>
                      <w:color w:val="FF0000"/>
                      <w:szCs w:val="21"/>
                      <w:lang w:eastAsia="zh-CN"/>
                    </w:rPr>
                    <w:t>。</w:t>
                  </w:r>
                </w:p>
              </w:tc>
              <w:tc>
                <w:tcPr>
                  <w:tcW w:w="459" w:type="pct"/>
                  <w:noWrap w:val="0"/>
                  <w:tcMar>
                    <w:top w:w="0" w:type="dxa"/>
                    <w:left w:w="0" w:type="dxa"/>
                    <w:bottom w:w="0" w:type="dxa"/>
                    <w:right w:w="0" w:type="dxa"/>
                  </w:tcMar>
                  <w:vAlign w:val="center"/>
                </w:tcPr>
                <w:p w14:paraId="199859FA">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color w:val="FF0000"/>
                      <w:szCs w:val="21"/>
                    </w:rPr>
                    <w:t>相符</w:t>
                  </w:r>
                </w:p>
              </w:tc>
            </w:tr>
            <w:tr w14:paraId="5A7A1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noWrap w:val="0"/>
                  <w:tcMar>
                    <w:top w:w="0" w:type="dxa"/>
                    <w:left w:w="0" w:type="dxa"/>
                    <w:bottom w:w="0" w:type="dxa"/>
                    <w:right w:w="0" w:type="dxa"/>
                  </w:tcMar>
                  <w:vAlign w:val="center"/>
                </w:tcPr>
                <w:p w14:paraId="59A9E91F">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rFonts w:hint="eastAsia"/>
                      <w:color w:val="FF0000"/>
                      <w:szCs w:val="21"/>
                    </w:rPr>
                    <w:t>4</w:t>
                  </w:r>
                </w:p>
              </w:tc>
              <w:tc>
                <w:tcPr>
                  <w:tcW w:w="1934" w:type="pct"/>
                  <w:noWrap w:val="0"/>
                  <w:tcMar>
                    <w:top w:w="0" w:type="dxa"/>
                    <w:left w:w="0" w:type="dxa"/>
                    <w:bottom w:w="0" w:type="dxa"/>
                    <w:right w:w="0" w:type="dxa"/>
                  </w:tcMar>
                  <w:vAlign w:val="center"/>
                </w:tcPr>
                <w:p w14:paraId="15E306F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FF0000"/>
                      <w:szCs w:val="21"/>
                      <w:lang w:eastAsia="zh-CN"/>
                    </w:rPr>
                  </w:pPr>
                  <w:r>
                    <w:rPr>
                      <w:rFonts w:hint="eastAsia"/>
                      <w:color w:val="FF0000"/>
                      <w:szCs w:val="32"/>
                    </w:rPr>
                    <w:t>加强源头治理，协同推进减污降碳。严格落实《报告书》提出的生态环境准入清单</w:t>
                  </w:r>
                  <w:r>
                    <w:rPr>
                      <w:color w:val="FF0000"/>
                      <w:szCs w:val="32"/>
                    </w:rPr>
                    <w:t>要求，严格限制与主导产业不相关且排污负荷大的项目入区，执行最严格的废水、废气排放控制要求。强化企业特征污染物排放控制、高效治理设施建设，落实精细化管控要求。引进项目的生产工艺、设备，以及单位产品水耗、能耗、污染物排放和资源利用效率等应达到清洁生产</w:t>
                  </w:r>
                  <w:r>
                    <w:rPr>
                      <w:rFonts w:hint="eastAsia"/>
                      <w:color w:val="FF0000"/>
                      <w:szCs w:val="32"/>
                    </w:rPr>
                    <w:t>Ⅱ</w:t>
                  </w:r>
                  <w:r>
                    <w:rPr>
                      <w:color w:val="FF0000"/>
                      <w:szCs w:val="32"/>
                    </w:rPr>
                    <w:t>级水平。全面开展清洁生产审核，推动重点行业依法实施强制性审核，引导其他行业自觉自愿开展审核，不断提高现有企业清洁生产和污染治理水平。根据国家和地方碳减排、碳达峰行动方案和路径要求，推进</w:t>
                  </w:r>
                  <w:r>
                    <w:rPr>
                      <w:rFonts w:hint="eastAsia"/>
                      <w:color w:val="FF0000"/>
                      <w:szCs w:val="32"/>
                    </w:rPr>
                    <w:t>园区</w:t>
                  </w:r>
                  <w:r>
                    <w:rPr>
                      <w:color w:val="FF0000"/>
                      <w:szCs w:val="32"/>
                    </w:rPr>
                    <w:t>绿色低碳转型发展，优化产业结构、能源结构、交通运输等规划内容，实现减污降碳协同增效目标</w:t>
                  </w:r>
                  <w:r>
                    <w:rPr>
                      <w:rFonts w:hint="eastAsia"/>
                      <w:color w:val="FF0000"/>
                      <w:szCs w:val="32"/>
                      <w:lang w:eastAsia="zh-CN"/>
                    </w:rPr>
                    <w:t>。</w:t>
                  </w:r>
                </w:p>
              </w:tc>
              <w:tc>
                <w:tcPr>
                  <w:tcW w:w="2305" w:type="pct"/>
                  <w:noWrap w:val="0"/>
                  <w:tcMar>
                    <w:top w:w="0" w:type="dxa"/>
                    <w:left w:w="0" w:type="dxa"/>
                    <w:bottom w:w="0" w:type="dxa"/>
                    <w:right w:w="0" w:type="dxa"/>
                  </w:tcMar>
                  <w:vAlign w:val="center"/>
                </w:tcPr>
                <w:p w14:paraId="4E7709B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FF0000"/>
                      <w:szCs w:val="21"/>
                      <w:lang w:val="en-US" w:eastAsia="zh-CN"/>
                    </w:rPr>
                  </w:pPr>
                  <w:r>
                    <w:rPr>
                      <w:rFonts w:hint="eastAsia" w:cs="Times New Roman"/>
                      <w:color w:val="FF0000"/>
                      <w:kern w:val="0"/>
                      <w:sz w:val="21"/>
                      <w:szCs w:val="21"/>
                      <w:highlight w:val="none"/>
                      <w:lang w:val="en-US" w:eastAsia="zh-CN"/>
                    </w:rPr>
                    <w:t>本</w:t>
                  </w:r>
                  <w:r>
                    <w:rPr>
                      <w:rFonts w:hint="default" w:ascii="Times New Roman" w:hAnsi="Times New Roman" w:eastAsia="宋体" w:cs="Times New Roman"/>
                      <w:color w:val="FF0000"/>
                      <w:kern w:val="0"/>
                      <w:sz w:val="21"/>
                      <w:szCs w:val="21"/>
                      <w:highlight w:val="none"/>
                    </w:rPr>
                    <w:t>项目建设地位于江苏省金坛经济开发区东湖路28号，行业类别为</w:t>
                  </w:r>
                  <w:r>
                    <w:rPr>
                      <w:rFonts w:hint="eastAsia" w:eastAsia="宋体"/>
                      <w:color w:val="FF0000"/>
                      <w:szCs w:val="21"/>
                      <w:lang w:eastAsia="zh-CN"/>
                    </w:rPr>
                    <w:t>C2929塑料零件及其他塑料制品制造</w:t>
                  </w:r>
                  <w:r>
                    <w:rPr>
                      <w:rFonts w:hint="default" w:ascii="Times New Roman" w:hAnsi="Times New Roman" w:eastAsia="宋体" w:cs="Times New Roman"/>
                      <w:color w:val="FF0000"/>
                      <w:kern w:val="0"/>
                      <w:sz w:val="21"/>
                      <w:szCs w:val="21"/>
                      <w:highlight w:val="none"/>
                    </w:rPr>
                    <w:t>，</w:t>
                  </w:r>
                  <w:r>
                    <w:rPr>
                      <w:rFonts w:hint="eastAsia" w:cs="Times New Roman"/>
                      <w:color w:val="FF0000"/>
                      <w:kern w:val="0"/>
                      <w:sz w:val="21"/>
                      <w:szCs w:val="21"/>
                      <w:highlight w:val="none"/>
                      <w:lang w:val="en-US" w:eastAsia="zh-CN"/>
                    </w:rPr>
                    <w:t>产品用于新能源汽车，符合产业定位；本项目</w:t>
                  </w:r>
                  <w:r>
                    <w:rPr>
                      <w:rFonts w:hint="default" w:ascii="Times New Roman" w:hAnsi="Times New Roman" w:eastAsia="宋体" w:cs="Times New Roman"/>
                      <w:color w:val="FF0000"/>
                      <w:sz w:val="21"/>
                      <w:szCs w:val="21"/>
                      <w:lang w:val="en-US" w:eastAsia="zh-CN"/>
                    </w:rPr>
                    <w:t>生产过程中产污环节较少、污染物产生量较少，且均能够得到妥善的处理和处置</w:t>
                  </w:r>
                  <w:r>
                    <w:rPr>
                      <w:rFonts w:hint="eastAsia" w:ascii="Times New Roman" w:hAnsi="Times New Roman" w:cs="Times New Roman"/>
                      <w:color w:val="FF0000"/>
                      <w:sz w:val="21"/>
                      <w:szCs w:val="21"/>
                      <w:lang w:val="en-US" w:eastAsia="zh-CN"/>
                    </w:rPr>
                    <w:t>；</w:t>
                  </w:r>
                  <w:r>
                    <w:rPr>
                      <w:rFonts w:hint="eastAsia"/>
                      <w:color w:val="FF0000"/>
                      <w:sz w:val="21"/>
                      <w:szCs w:val="21"/>
                      <w:lang w:val="en-US" w:eastAsia="zh-CN"/>
                    </w:rPr>
                    <w:t>项目</w:t>
                  </w:r>
                  <w:r>
                    <w:rPr>
                      <w:rFonts w:hint="eastAsia"/>
                      <w:color w:val="FF0000"/>
                      <w:sz w:val="21"/>
                      <w:szCs w:val="21"/>
                    </w:rPr>
                    <w:t>配料、投料粉尘</w:t>
                  </w:r>
                  <w:r>
                    <w:rPr>
                      <w:rFonts w:hint="eastAsia"/>
                      <w:color w:val="FF0000"/>
                      <w:sz w:val="21"/>
                      <w:szCs w:val="21"/>
                      <w:lang w:val="en-US" w:eastAsia="zh-CN"/>
                    </w:rPr>
                    <w:t>集气罩</w:t>
                  </w:r>
                  <w:r>
                    <w:rPr>
                      <w:rFonts w:hint="eastAsia"/>
                      <w:color w:val="FF0000"/>
                      <w:sz w:val="21"/>
                      <w:szCs w:val="21"/>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rFonts w:hint="eastAsia"/>
                      <w:color w:val="FF0000"/>
                      <w:sz w:val="21"/>
                      <w:szCs w:val="21"/>
                      <w:lang w:eastAsia="zh-CN"/>
                    </w:rPr>
                    <w:t>。</w:t>
                  </w:r>
                  <w:r>
                    <w:rPr>
                      <w:color w:val="FF0000"/>
                      <w:sz w:val="21"/>
                      <w:szCs w:val="21"/>
                    </w:rPr>
                    <w:t>废气均可达标排放</w:t>
                  </w:r>
                  <w:r>
                    <w:rPr>
                      <w:rFonts w:hint="eastAsia"/>
                      <w:color w:val="FF0000"/>
                      <w:sz w:val="21"/>
                      <w:szCs w:val="21"/>
                      <w:lang w:eastAsia="zh-CN"/>
                    </w:rPr>
                    <w:t>，</w:t>
                  </w:r>
                  <w:r>
                    <w:rPr>
                      <w:color w:val="FF0000"/>
                      <w:sz w:val="21"/>
                      <w:szCs w:val="21"/>
                    </w:rPr>
                    <w:t>对大气环境影响较小，不会对区域大气环境质量造成明显</w:t>
                  </w:r>
                  <w:r>
                    <w:rPr>
                      <w:rFonts w:hint="eastAsia"/>
                      <w:color w:val="FF0000"/>
                      <w:sz w:val="21"/>
                      <w:szCs w:val="21"/>
                    </w:rPr>
                    <w:t>影响</w:t>
                  </w:r>
                  <w:r>
                    <w:rPr>
                      <w:color w:val="FF0000"/>
                      <w:sz w:val="21"/>
                      <w:szCs w:val="21"/>
                    </w:rPr>
                    <w:t>；生活污水</w:t>
                  </w:r>
                  <w:r>
                    <w:rPr>
                      <w:rFonts w:hint="eastAsia"/>
                      <w:color w:val="FF0000"/>
                      <w:sz w:val="21"/>
                      <w:szCs w:val="21"/>
                      <w:lang w:val="en-US" w:eastAsia="zh-CN"/>
                    </w:rPr>
                    <w:t>达标</w:t>
                  </w:r>
                  <w:r>
                    <w:rPr>
                      <w:color w:val="FF0000"/>
                      <w:sz w:val="21"/>
                      <w:szCs w:val="21"/>
                    </w:rPr>
                    <w:t>接管至常州金坛区第二污水处理有限公司集中处理</w:t>
                  </w:r>
                  <w:r>
                    <w:rPr>
                      <w:rFonts w:hint="eastAsia"/>
                      <w:color w:val="FF0000"/>
                      <w:sz w:val="21"/>
                      <w:szCs w:val="21"/>
                      <w:lang w:eastAsia="zh-CN"/>
                    </w:rPr>
                    <w:t>；</w:t>
                  </w:r>
                  <w:r>
                    <w:rPr>
                      <w:rFonts w:hint="eastAsia"/>
                      <w:color w:val="FF0000"/>
                      <w:sz w:val="21"/>
                      <w:szCs w:val="21"/>
                      <w:lang w:val="en-US" w:eastAsia="zh-CN"/>
                    </w:rPr>
                    <w:t>本项目单位工业增加值综合能耗为0.111吨标准煤/万元，</w:t>
                  </w:r>
                  <w:r>
                    <w:rPr>
                      <w:color w:val="FF0000"/>
                      <w:szCs w:val="32"/>
                    </w:rPr>
                    <w:t>生产工艺、设备，以及单位产品水耗、能耗、污染物排放和资源利用效率等应达到清洁生产</w:t>
                  </w:r>
                  <w:r>
                    <w:rPr>
                      <w:rFonts w:hint="eastAsia"/>
                      <w:color w:val="FF0000"/>
                      <w:szCs w:val="32"/>
                    </w:rPr>
                    <w:t>Ⅱ</w:t>
                  </w:r>
                  <w:r>
                    <w:rPr>
                      <w:color w:val="FF0000"/>
                      <w:szCs w:val="32"/>
                    </w:rPr>
                    <w:t>级水平</w:t>
                  </w:r>
                  <w:r>
                    <w:rPr>
                      <w:rFonts w:hint="eastAsia"/>
                      <w:color w:val="FF0000"/>
                      <w:szCs w:val="32"/>
                      <w:lang w:eastAsia="zh-CN"/>
                    </w:rPr>
                    <w:t>；</w:t>
                  </w:r>
                  <w:r>
                    <w:rPr>
                      <w:rFonts w:hint="eastAsia"/>
                      <w:color w:val="FF0000"/>
                      <w:szCs w:val="32"/>
                      <w:lang w:val="en-US" w:eastAsia="zh-CN"/>
                    </w:rPr>
                    <w:t>本项目通过选用节能设备，使用清洁能源电，持续降低单位产品碳排放强度，落实碳达峰、碳中和要求。</w:t>
                  </w:r>
                </w:p>
              </w:tc>
              <w:tc>
                <w:tcPr>
                  <w:tcW w:w="459" w:type="pct"/>
                  <w:noWrap w:val="0"/>
                  <w:tcMar>
                    <w:top w:w="0" w:type="dxa"/>
                    <w:left w:w="0" w:type="dxa"/>
                    <w:bottom w:w="0" w:type="dxa"/>
                    <w:right w:w="0" w:type="dxa"/>
                  </w:tcMar>
                  <w:vAlign w:val="center"/>
                </w:tcPr>
                <w:p w14:paraId="03085702">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color w:val="FF0000"/>
                      <w:szCs w:val="21"/>
                    </w:rPr>
                    <w:t>相符</w:t>
                  </w:r>
                </w:p>
              </w:tc>
            </w:tr>
            <w:tr w14:paraId="5B2DA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noWrap w:val="0"/>
                  <w:tcMar>
                    <w:top w:w="0" w:type="dxa"/>
                    <w:left w:w="0" w:type="dxa"/>
                    <w:bottom w:w="0" w:type="dxa"/>
                    <w:right w:w="0" w:type="dxa"/>
                  </w:tcMar>
                  <w:vAlign w:val="center"/>
                </w:tcPr>
                <w:p w14:paraId="3E968A4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FF0000"/>
                      <w:szCs w:val="21"/>
                    </w:rPr>
                  </w:pPr>
                  <w:r>
                    <w:rPr>
                      <w:rFonts w:hint="eastAsia"/>
                      <w:color w:val="FF0000"/>
                      <w:szCs w:val="21"/>
                    </w:rPr>
                    <w:t>5</w:t>
                  </w:r>
                </w:p>
              </w:tc>
              <w:tc>
                <w:tcPr>
                  <w:tcW w:w="1934" w:type="pct"/>
                  <w:noWrap w:val="0"/>
                  <w:tcMar>
                    <w:top w:w="0" w:type="dxa"/>
                    <w:left w:w="0" w:type="dxa"/>
                    <w:bottom w:w="0" w:type="dxa"/>
                    <w:right w:w="0" w:type="dxa"/>
                  </w:tcMar>
                  <w:vAlign w:val="center"/>
                </w:tcPr>
                <w:p w14:paraId="700EDF6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FF0000"/>
                      <w:szCs w:val="21"/>
                      <w:lang w:eastAsia="zh-CN"/>
                    </w:rPr>
                  </w:pPr>
                  <w:r>
                    <w:rPr>
                      <w:rFonts w:hint="eastAsia"/>
                      <w:color w:val="FF0000"/>
                      <w:szCs w:val="32"/>
                    </w:rPr>
                    <w:t>完善环境基础设施建设，提高基础设施运行效能。加强对区内污水、雨水管网敷设情况的排查，完善区域雨污水管网建设，强化园区和工业企业内部雨污水错接混接和雨污分流改造，制定实施管网周期性检测评估制度，加强老旧破损管网修复改造，</w:t>
                  </w:r>
                  <w:r>
                    <w:rPr>
                      <w:color w:val="FF0000"/>
                      <w:szCs w:val="32"/>
                    </w:rPr>
                    <w:t>确保</w:t>
                  </w:r>
                  <w:r>
                    <w:rPr>
                      <w:rFonts w:hint="eastAsia"/>
                      <w:color w:val="FF0000"/>
                      <w:szCs w:val="32"/>
                    </w:rPr>
                    <w:t>园区</w:t>
                  </w:r>
                  <w:r>
                    <w:rPr>
                      <w:color w:val="FF0000"/>
                      <w:szCs w:val="32"/>
                    </w:rPr>
                    <w:t>污水全收集、全处理。</w:t>
                  </w:r>
                  <w:r>
                    <w:rPr>
                      <w:rFonts w:hint="eastAsia"/>
                      <w:color w:val="FF0000"/>
                      <w:szCs w:val="32"/>
                    </w:rPr>
                    <w:t>推动“无废园区”建设，加强园区固体废物减量化、资源化、无害化处理，一般工业固废、危险废物应依法依规收集、处理处置，做到“就地分类收集、就近转移处置”，严格控制危险废物无法就近利用、处置的建设项目入区，督促区内</w:t>
                  </w:r>
                  <w:r>
                    <w:rPr>
                      <w:color w:val="FF0000"/>
                      <w:szCs w:val="32"/>
                    </w:rPr>
                    <w:t>企业按要求在省固体废物管理信息系统中填报固、危废产生和处置情况</w:t>
                  </w:r>
                  <w:r>
                    <w:rPr>
                      <w:rFonts w:hint="eastAsia"/>
                      <w:color w:val="FF0000"/>
                      <w:szCs w:val="32"/>
                      <w:lang w:eastAsia="zh-CN"/>
                    </w:rPr>
                    <w:t>。</w:t>
                  </w:r>
                </w:p>
              </w:tc>
              <w:tc>
                <w:tcPr>
                  <w:tcW w:w="2305" w:type="pct"/>
                  <w:shd w:val="clear" w:color="auto" w:fill="auto"/>
                  <w:noWrap w:val="0"/>
                  <w:tcMar>
                    <w:top w:w="0" w:type="dxa"/>
                    <w:left w:w="0" w:type="dxa"/>
                    <w:bottom w:w="0" w:type="dxa"/>
                    <w:right w:w="0" w:type="dxa"/>
                  </w:tcMar>
                  <w:vAlign w:val="center"/>
                </w:tcPr>
                <w:p w14:paraId="68FA2E9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本项目厂区已进行雨污分流，雨水经市政管网进入附近水体，</w:t>
                  </w:r>
                  <w:r>
                    <w:rPr>
                      <w:color w:val="FF0000"/>
                      <w:sz w:val="21"/>
                      <w:szCs w:val="21"/>
                    </w:rPr>
                    <w:t>生活污水接管至常州金坛区第二污水处理有限公司集中处理</w:t>
                  </w:r>
                  <w:r>
                    <w:rPr>
                      <w:rFonts w:hint="eastAsia"/>
                      <w:color w:val="FF0000"/>
                      <w:sz w:val="21"/>
                      <w:szCs w:val="21"/>
                      <w:lang w:eastAsia="zh-CN"/>
                    </w:rPr>
                    <w:t>。</w:t>
                  </w:r>
                  <w:r>
                    <w:rPr>
                      <w:rFonts w:hint="eastAsia"/>
                      <w:color w:val="FF0000"/>
                      <w:sz w:val="21"/>
                      <w:szCs w:val="21"/>
                      <w:lang w:val="en-US" w:eastAsia="zh-CN"/>
                    </w:rPr>
                    <w:t>本项目建成后一般固废和危废依法收集并委托处置，一般固废外售综合利用，危废委托有资质单位收集处置，并按要求及时填报系统。</w:t>
                  </w:r>
                </w:p>
              </w:tc>
              <w:tc>
                <w:tcPr>
                  <w:tcW w:w="459" w:type="pct"/>
                  <w:noWrap w:val="0"/>
                  <w:tcMar>
                    <w:top w:w="0" w:type="dxa"/>
                    <w:left w:w="0" w:type="dxa"/>
                    <w:bottom w:w="0" w:type="dxa"/>
                    <w:right w:w="0" w:type="dxa"/>
                  </w:tcMar>
                  <w:vAlign w:val="center"/>
                </w:tcPr>
                <w:p w14:paraId="65AE1967">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color w:val="FF0000"/>
                      <w:szCs w:val="21"/>
                    </w:rPr>
                    <w:t>相符</w:t>
                  </w:r>
                </w:p>
              </w:tc>
            </w:tr>
            <w:tr w14:paraId="7467C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2" w:hRule="atLeast"/>
                <w:jc w:val="center"/>
              </w:trPr>
              <w:tc>
                <w:tcPr>
                  <w:tcW w:w="300" w:type="pct"/>
                  <w:noWrap w:val="0"/>
                  <w:tcMar>
                    <w:top w:w="0" w:type="dxa"/>
                    <w:left w:w="0" w:type="dxa"/>
                    <w:bottom w:w="0" w:type="dxa"/>
                    <w:right w:w="0" w:type="dxa"/>
                  </w:tcMar>
                  <w:vAlign w:val="center"/>
                </w:tcPr>
                <w:p w14:paraId="5ED4F05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FF0000"/>
                      <w:szCs w:val="21"/>
                    </w:rPr>
                  </w:pPr>
                  <w:r>
                    <w:rPr>
                      <w:rFonts w:hint="eastAsia"/>
                      <w:color w:val="FF0000"/>
                      <w:szCs w:val="21"/>
                    </w:rPr>
                    <w:t>6</w:t>
                  </w:r>
                </w:p>
              </w:tc>
              <w:tc>
                <w:tcPr>
                  <w:tcW w:w="1934" w:type="pct"/>
                  <w:noWrap w:val="0"/>
                  <w:tcMar>
                    <w:top w:w="0" w:type="dxa"/>
                    <w:left w:w="0" w:type="dxa"/>
                    <w:bottom w:w="0" w:type="dxa"/>
                    <w:right w:w="0" w:type="dxa"/>
                  </w:tcMar>
                  <w:vAlign w:val="center"/>
                </w:tcPr>
                <w:p w14:paraId="3457382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FF0000"/>
                      <w:szCs w:val="21"/>
                      <w:lang w:eastAsia="zh-CN"/>
                    </w:rPr>
                  </w:pPr>
                  <w:r>
                    <w:rPr>
                      <w:rFonts w:hint="eastAsia"/>
                      <w:color w:val="FF0000"/>
                      <w:szCs w:val="32"/>
                    </w:rPr>
                    <w:t>建立健全环境监测监控体系。开展包括环境空气、地表水、地下水、土壤、底泥等环境要素的长期跟踪监测与管理。结合区域跟踪监测情况，动态调整园区</w:t>
                  </w:r>
                  <w:r>
                    <w:rPr>
                      <w:color w:val="FF0000"/>
                      <w:szCs w:val="32"/>
                    </w:rPr>
                    <w:t>开发建设规模和时序进度，优化生态环境保护措施，确保区域环境质量</w:t>
                  </w:r>
                  <w:r>
                    <w:rPr>
                      <w:rFonts w:hint="eastAsia"/>
                      <w:color w:val="FF0000"/>
                      <w:szCs w:val="32"/>
                    </w:rPr>
                    <w:t>持续改善</w:t>
                  </w:r>
                  <w:r>
                    <w:rPr>
                      <w:color w:val="FF0000"/>
                      <w:szCs w:val="32"/>
                    </w:rPr>
                    <w:t>。对于企业关闭、搬迁遗留的污染地块应依法开展土壤污染状况调查、治理与修复工作。严格落实环境质量监测要求，建立</w:t>
                  </w:r>
                  <w:r>
                    <w:rPr>
                      <w:rFonts w:hint="eastAsia"/>
                      <w:color w:val="FF0000"/>
                      <w:szCs w:val="32"/>
                    </w:rPr>
                    <w:t>园区</w:t>
                  </w:r>
                  <w:r>
                    <w:rPr>
                      <w:color w:val="FF0000"/>
                      <w:szCs w:val="32"/>
                    </w:rPr>
                    <w:t>土壤和地下水隐患排查制度。</w:t>
                  </w:r>
                  <w:r>
                    <w:rPr>
                      <w:rFonts w:hint="eastAsia"/>
                      <w:color w:val="FF0000"/>
                      <w:szCs w:val="32"/>
                    </w:rPr>
                    <w:t>探索开展新污染物环境本底调查监测，依法公开新污染物信息。</w:t>
                  </w:r>
                  <w:r>
                    <w:rPr>
                      <w:color w:val="FF0000"/>
                      <w:szCs w:val="32"/>
                    </w:rPr>
                    <w:t>指导区内企业规范安装在线监测设备并联网，推进区内排污许可重点管理单位自动监测全覆盖；暂不具备安装在线监测设备条件的企业，应做好委托监测工作</w:t>
                  </w:r>
                  <w:r>
                    <w:rPr>
                      <w:rFonts w:hint="eastAsia"/>
                      <w:color w:val="FF0000"/>
                      <w:szCs w:val="32"/>
                      <w:lang w:eastAsia="zh-CN"/>
                    </w:rPr>
                    <w:t>。</w:t>
                  </w:r>
                </w:p>
              </w:tc>
              <w:tc>
                <w:tcPr>
                  <w:tcW w:w="2305" w:type="pct"/>
                  <w:noWrap w:val="0"/>
                  <w:tcMar>
                    <w:top w:w="0" w:type="dxa"/>
                    <w:left w:w="0" w:type="dxa"/>
                    <w:bottom w:w="0" w:type="dxa"/>
                    <w:right w:w="0" w:type="dxa"/>
                  </w:tcMar>
                  <w:vAlign w:val="center"/>
                </w:tcPr>
                <w:p w14:paraId="3975065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FF0000"/>
                      <w:kern w:val="2"/>
                      <w:sz w:val="21"/>
                      <w:szCs w:val="21"/>
                      <w:lang w:val="en-US" w:eastAsia="zh-CN" w:bidi="ar-SA"/>
                    </w:rPr>
                  </w:pPr>
                  <w:r>
                    <w:rPr>
                      <w:rFonts w:hint="eastAsia" w:cs="Times New Roman"/>
                      <w:color w:val="FF0000"/>
                      <w:sz w:val="21"/>
                      <w:szCs w:val="21"/>
                      <w:lang w:val="en-US" w:eastAsia="zh-CN"/>
                    </w:rPr>
                    <w:t>本项目按要求无需进行在线监测，建成后严格按要求每年对大气、地表水、噪声等进行例行监测，确保本项目废气、废水、噪声等长期达标排放。</w:t>
                  </w:r>
                </w:p>
              </w:tc>
              <w:tc>
                <w:tcPr>
                  <w:tcW w:w="459" w:type="pct"/>
                  <w:noWrap w:val="0"/>
                  <w:tcMar>
                    <w:top w:w="0" w:type="dxa"/>
                    <w:left w:w="0" w:type="dxa"/>
                    <w:bottom w:w="0" w:type="dxa"/>
                    <w:right w:w="0" w:type="dxa"/>
                  </w:tcMar>
                  <w:vAlign w:val="center"/>
                </w:tcPr>
                <w:p w14:paraId="65BFEF1B">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color w:val="FF0000"/>
                      <w:szCs w:val="21"/>
                    </w:rPr>
                    <w:t>相符</w:t>
                  </w:r>
                </w:p>
              </w:tc>
            </w:tr>
            <w:tr w14:paraId="5E201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noWrap w:val="0"/>
                  <w:tcMar>
                    <w:top w:w="0" w:type="dxa"/>
                    <w:left w:w="0" w:type="dxa"/>
                    <w:bottom w:w="0" w:type="dxa"/>
                    <w:right w:w="0" w:type="dxa"/>
                  </w:tcMar>
                  <w:vAlign w:val="center"/>
                </w:tcPr>
                <w:p w14:paraId="66423BB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FF0000"/>
                      <w:szCs w:val="21"/>
                    </w:rPr>
                  </w:pPr>
                  <w:r>
                    <w:rPr>
                      <w:rFonts w:hint="eastAsia"/>
                      <w:color w:val="FF0000"/>
                      <w:szCs w:val="21"/>
                    </w:rPr>
                    <w:t>7</w:t>
                  </w:r>
                </w:p>
              </w:tc>
              <w:tc>
                <w:tcPr>
                  <w:tcW w:w="1934" w:type="pct"/>
                  <w:noWrap w:val="0"/>
                  <w:tcMar>
                    <w:top w:w="0" w:type="dxa"/>
                    <w:left w:w="0" w:type="dxa"/>
                    <w:bottom w:w="0" w:type="dxa"/>
                    <w:right w:w="0" w:type="dxa"/>
                  </w:tcMar>
                  <w:vAlign w:val="center"/>
                </w:tcPr>
                <w:p w14:paraId="2F08E89E">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FF0000"/>
                      <w:szCs w:val="21"/>
                      <w:lang w:eastAsia="zh-CN"/>
                    </w:rPr>
                  </w:pPr>
                  <w:r>
                    <w:rPr>
                      <w:rFonts w:hint="eastAsia"/>
                      <w:color w:val="FF0000"/>
                      <w:szCs w:val="32"/>
                    </w:rPr>
                    <w:t>健全环境风险防控体系，提升环境应急能力。园区应当将生态环境风险纳入常态化管理，明确相应工作机构和人员，采取措施加强应急基础设施建设、应急救援队伍建设、应急物资和装备保障，按照国家和省有关规定开展突发生态环境事件风险评估、应急预案制定、隐患排查治理、应急培训演练和应急处置等工作，协助人民政府有关部门或者按照授权依法履行突发生态环境事件应对相关监督管理职责。</w:t>
                  </w:r>
                  <w:r>
                    <w:rPr>
                      <w:color w:val="FF0000"/>
                      <w:szCs w:val="32"/>
                    </w:rPr>
                    <w:t>进一步完善</w:t>
                  </w:r>
                  <w:r>
                    <w:rPr>
                      <w:rFonts w:hint="eastAsia"/>
                      <w:color w:val="FF0000"/>
                      <w:szCs w:val="32"/>
                    </w:rPr>
                    <w:t>园区</w:t>
                  </w:r>
                  <w:r>
                    <w:rPr>
                      <w:color w:val="FF0000"/>
                      <w:szCs w:val="32"/>
                    </w:rPr>
                    <w:t>突发水污染事件风险防控体系建设，确保</w:t>
                  </w:r>
                  <w:r>
                    <w:rPr>
                      <w:rFonts w:hint="eastAsia"/>
                      <w:color w:val="FF0000"/>
                      <w:szCs w:val="32"/>
                    </w:rPr>
                    <w:t>“小事故不出厂区、大事故不出园区”</w:t>
                  </w:r>
                  <w:r>
                    <w:rPr>
                      <w:color w:val="FF0000"/>
                      <w:szCs w:val="32"/>
                    </w:rPr>
                    <w:t>。</w:t>
                  </w:r>
                  <w:r>
                    <w:rPr>
                      <w:rFonts w:hint="eastAsia"/>
                      <w:color w:val="FF0000"/>
                      <w:szCs w:val="32"/>
                    </w:rPr>
                    <w:t>重点关注并督促指导涉重企业构筑“风险单元</w:t>
                  </w:r>
                  <w:r>
                    <w:rPr>
                      <w:color w:val="FF0000"/>
                      <w:szCs w:val="32"/>
                    </w:rPr>
                    <w:t>-</w:t>
                  </w:r>
                  <w:r>
                    <w:rPr>
                      <w:rFonts w:hint="eastAsia"/>
                      <w:color w:val="FF0000"/>
                      <w:szCs w:val="32"/>
                    </w:rPr>
                    <w:t>管网、应急池</w:t>
                  </w:r>
                  <w:r>
                    <w:rPr>
                      <w:color w:val="FF0000"/>
                      <w:szCs w:val="32"/>
                    </w:rPr>
                    <w:t>-</w:t>
                  </w:r>
                  <w:r>
                    <w:rPr>
                      <w:rFonts w:hint="eastAsia"/>
                      <w:color w:val="FF0000"/>
                      <w:szCs w:val="32"/>
                    </w:rPr>
                    <w:t>厂界”</w:t>
                  </w:r>
                  <w:r>
                    <w:rPr>
                      <w:color w:val="FF0000"/>
                      <w:szCs w:val="32"/>
                    </w:rPr>
                    <w:t>环境风险防控体系</w:t>
                  </w:r>
                  <w:r>
                    <w:rPr>
                      <w:rFonts w:hint="eastAsia"/>
                      <w:color w:val="FF0000"/>
                      <w:szCs w:val="32"/>
                    </w:rPr>
                    <w:t>，严格防控涉重金属水污染事件</w:t>
                  </w:r>
                  <w:r>
                    <w:rPr>
                      <w:rFonts w:hint="eastAsia"/>
                      <w:color w:val="FF0000"/>
                      <w:szCs w:val="32"/>
                      <w:lang w:eastAsia="zh-CN"/>
                    </w:rPr>
                    <w:t>。</w:t>
                  </w:r>
                </w:p>
              </w:tc>
              <w:tc>
                <w:tcPr>
                  <w:tcW w:w="2305" w:type="pct"/>
                  <w:noWrap w:val="0"/>
                  <w:tcMar>
                    <w:top w:w="0" w:type="dxa"/>
                    <w:left w:w="0" w:type="dxa"/>
                    <w:bottom w:w="0" w:type="dxa"/>
                    <w:right w:w="0" w:type="dxa"/>
                  </w:tcMar>
                  <w:vAlign w:val="center"/>
                </w:tcPr>
                <w:p w14:paraId="4254F52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FF0000"/>
                      <w:kern w:val="2"/>
                      <w:sz w:val="21"/>
                      <w:szCs w:val="21"/>
                      <w:lang w:val="en-US" w:eastAsia="zh-CN" w:bidi="ar-SA"/>
                    </w:rPr>
                  </w:pPr>
                  <w:r>
                    <w:rPr>
                      <w:rFonts w:hint="eastAsia" w:cs="Times New Roman"/>
                      <w:color w:val="FF0000"/>
                      <w:sz w:val="21"/>
                      <w:szCs w:val="21"/>
                      <w:lang w:val="en-US" w:eastAsia="zh-CN"/>
                    </w:rPr>
                    <w:t>本项目不涉及重金属，建成后按要求编制环境应急预案并备案、隐患排查，定期进行应急培训演练等工作</w:t>
                  </w:r>
                  <w:r>
                    <w:rPr>
                      <w:rFonts w:hint="eastAsia" w:cs="Times New Roman"/>
                      <w:color w:val="FF0000"/>
                      <w:sz w:val="21"/>
                      <w:szCs w:val="21"/>
                      <w:lang w:eastAsia="zh-CN"/>
                    </w:rPr>
                    <w:t>。</w:t>
                  </w:r>
                </w:p>
              </w:tc>
              <w:tc>
                <w:tcPr>
                  <w:tcW w:w="459" w:type="pct"/>
                  <w:noWrap w:val="0"/>
                  <w:tcMar>
                    <w:top w:w="0" w:type="dxa"/>
                    <w:left w:w="0" w:type="dxa"/>
                    <w:bottom w:w="0" w:type="dxa"/>
                    <w:right w:w="0" w:type="dxa"/>
                  </w:tcMar>
                  <w:vAlign w:val="center"/>
                </w:tcPr>
                <w:p w14:paraId="63399027">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color w:val="FF0000"/>
                      <w:szCs w:val="21"/>
                    </w:rPr>
                    <w:t>相符</w:t>
                  </w:r>
                </w:p>
              </w:tc>
            </w:tr>
            <w:tr w14:paraId="70B09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noWrap w:val="0"/>
                  <w:tcMar>
                    <w:top w:w="0" w:type="dxa"/>
                    <w:left w:w="0" w:type="dxa"/>
                    <w:bottom w:w="0" w:type="dxa"/>
                    <w:right w:w="0" w:type="dxa"/>
                  </w:tcMar>
                  <w:vAlign w:val="center"/>
                </w:tcPr>
                <w:p w14:paraId="262D1A3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FF0000"/>
                      <w:szCs w:val="21"/>
                    </w:rPr>
                  </w:pPr>
                  <w:r>
                    <w:rPr>
                      <w:rFonts w:hint="eastAsia"/>
                      <w:color w:val="FF0000"/>
                      <w:szCs w:val="21"/>
                    </w:rPr>
                    <w:t>8</w:t>
                  </w:r>
                </w:p>
              </w:tc>
              <w:tc>
                <w:tcPr>
                  <w:tcW w:w="1934" w:type="pct"/>
                  <w:noWrap w:val="0"/>
                  <w:tcMar>
                    <w:top w:w="0" w:type="dxa"/>
                    <w:left w:w="0" w:type="dxa"/>
                    <w:bottom w:w="0" w:type="dxa"/>
                    <w:right w:w="0" w:type="dxa"/>
                  </w:tcMar>
                  <w:vAlign w:val="center"/>
                </w:tcPr>
                <w:p w14:paraId="4A88F652">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rFonts w:hint="eastAsia"/>
                      <w:color w:val="FF0000"/>
                      <w:szCs w:val="32"/>
                    </w:rPr>
                    <w:t>园区</w:t>
                  </w:r>
                  <w:r>
                    <w:rPr>
                      <w:color w:val="FF0000"/>
                      <w:szCs w:val="32"/>
                    </w:rPr>
                    <w:t>应建立生态环境保护责任制度，配备足够的专职环境管理人员，统一对</w:t>
                  </w:r>
                  <w:r>
                    <w:rPr>
                      <w:rFonts w:hint="eastAsia"/>
                      <w:color w:val="FF0000"/>
                      <w:szCs w:val="32"/>
                    </w:rPr>
                    <w:t>园区</w:t>
                  </w:r>
                  <w:r>
                    <w:rPr>
                      <w:color w:val="FF0000"/>
                      <w:szCs w:val="32"/>
                    </w:rPr>
                    <w:t>进行环境监督管理，落实环境监测、环境管理等工作要求。</w:t>
                  </w:r>
                </w:p>
              </w:tc>
              <w:tc>
                <w:tcPr>
                  <w:tcW w:w="2305" w:type="pct"/>
                  <w:noWrap w:val="0"/>
                  <w:tcMar>
                    <w:top w:w="0" w:type="dxa"/>
                    <w:left w:w="0" w:type="dxa"/>
                    <w:bottom w:w="0" w:type="dxa"/>
                    <w:right w:w="0" w:type="dxa"/>
                  </w:tcMar>
                  <w:vAlign w:val="center"/>
                </w:tcPr>
                <w:p w14:paraId="2DB3C92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FF0000"/>
                      <w:kern w:val="2"/>
                      <w:sz w:val="21"/>
                      <w:szCs w:val="21"/>
                      <w:lang w:val="en-US" w:eastAsia="zh-CN" w:bidi="ar-SA"/>
                    </w:rPr>
                  </w:pPr>
                  <w:r>
                    <w:rPr>
                      <w:rFonts w:hint="eastAsia" w:cs="Times New Roman"/>
                      <w:color w:val="FF0000"/>
                      <w:sz w:val="21"/>
                      <w:szCs w:val="21"/>
                      <w:lang w:val="en-US" w:eastAsia="zh-CN"/>
                    </w:rPr>
                    <w:t>本项目建成后，应按要求建立生态环境保护责任制度，至少设置1名专职环境管理人员，负责本项目厂区环境管理等工作。</w:t>
                  </w:r>
                </w:p>
              </w:tc>
              <w:tc>
                <w:tcPr>
                  <w:tcW w:w="459" w:type="pct"/>
                  <w:noWrap w:val="0"/>
                  <w:tcMar>
                    <w:top w:w="0" w:type="dxa"/>
                    <w:left w:w="0" w:type="dxa"/>
                    <w:bottom w:w="0" w:type="dxa"/>
                    <w:right w:w="0" w:type="dxa"/>
                  </w:tcMar>
                  <w:vAlign w:val="center"/>
                </w:tcPr>
                <w:p w14:paraId="2C6F7A98">
                  <w:pPr>
                    <w:keepNext w:val="0"/>
                    <w:keepLines w:val="0"/>
                    <w:pageBreakBefore w:val="0"/>
                    <w:widowControl w:val="0"/>
                    <w:kinsoku/>
                    <w:wordWrap/>
                    <w:overflowPunct/>
                    <w:topLinePunct w:val="0"/>
                    <w:bidi w:val="0"/>
                    <w:adjustRightInd w:val="0"/>
                    <w:snapToGrid w:val="0"/>
                    <w:spacing w:line="240" w:lineRule="auto"/>
                    <w:jc w:val="center"/>
                    <w:textAlignment w:val="auto"/>
                    <w:rPr>
                      <w:color w:val="FF0000"/>
                      <w:szCs w:val="21"/>
                    </w:rPr>
                  </w:pPr>
                  <w:r>
                    <w:rPr>
                      <w:color w:val="FF0000"/>
                      <w:szCs w:val="21"/>
                    </w:rPr>
                    <w:t>相符</w:t>
                  </w:r>
                </w:p>
              </w:tc>
            </w:tr>
          </w:tbl>
          <w:p w14:paraId="59F939E8">
            <w:pPr>
              <w:keepNext w:val="0"/>
              <w:keepLines w:val="0"/>
              <w:pageBreakBefore w:val="0"/>
              <w:widowControl w:val="0"/>
              <w:tabs>
                <w:tab w:val="left" w:pos="4410"/>
              </w:tabs>
              <w:kinsoku/>
              <w:wordWrap/>
              <w:overflowPunct/>
              <w:topLinePunct w:val="0"/>
              <w:autoSpaceDE/>
              <w:autoSpaceDN/>
              <w:bidi w:val="0"/>
              <w:adjustRightInd w:val="0"/>
              <w:snapToGrid w:val="0"/>
              <w:spacing w:line="360" w:lineRule="auto"/>
              <w:ind w:firstLine="420" w:firstLineChars="200"/>
              <w:textAlignment w:val="auto"/>
              <w:rPr>
                <w:color w:val="auto"/>
                <w:kern w:val="0"/>
                <w:szCs w:val="21"/>
              </w:rPr>
            </w:pPr>
          </w:p>
        </w:tc>
      </w:tr>
      <w:tr w14:paraId="6C535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4" w:type="dxa"/>
            <w:noWrap w:val="0"/>
            <w:vAlign w:val="center"/>
          </w:tcPr>
          <w:p w14:paraId="71518789">
            <w:pPr>
              <w:autoSpaceDE w:val="0"/>
              <w:autoSpaceDN w:val="0"/>
              <w:adjustRightInd w:val="0"/>
              <w:snapToGrid w:val="0"/>
              <w:jc w:val="center"/>
              <w:rPr>
                <w:color w:val="auto"/>
                <w:kern w:val="0"/>
                <w:szCs w:val="21"/>
              </w:rPr>
            </w:pPr>
            <w:r>
              <w:rPr>
                <w:color w:val="auto"/>
                <w:kern w:val="0"/>
                <w:szCs w:val="21"/>
              </w:rPr>
              <w:t>其他符合性分析</w:t>
            </w:r>
          </w:p>
        </w:tc>
        <w:tc>
          <w:tcPr>
            <w:tcW w:w="8214" w:type="dxa"/>
            <w:gridSpan w:val="4"/>
            <w:noWrap w:val="0"/>
            <w:vAlign w:val="center"/>
          </w:tcPr>
          <w:p w14:paraId="42029FAF">
            <w:pPr>
              <w:keepNext w:val="0"/>
              <w:keepLines w:val="0"/>
              <w:pageBreakBefore w:val="0"/>
              <w:widowControl w:val="0"/>
              <w:kinsoku/>
              <w:wordWrap/>
              <w:overflowPunct/>
              <w:topLinePunct w:val="0"/>
              <w:bidi w:val="0"/>
              <w:adjustRightInd w:val="0"/>
              <w:snapToGrid w:val="0"/>
              <w:spacing w:before="120" w:beforeLines="50" w:line="360" w:lineRule="auto"/>
              <w:ind w:left="420" w:leftChars="200"/>
              <w:textAlignment w:val="auto"/>
              <w:rPr>
                <w:color w:val="auto"/>
                <w:szCs w:val="21"/>
              </w:rPr>
            </w:pPr>
            <w:r>
              <w:rPr>
                <w:rFonts w:hint="eastAsia"/>
                <w:b/>
                <w:bCs/>
                <w:color w:val="auto"/>
                <w:szCs w:val="21"/>
              </w:rPr>
              <w:t>一、</w:t>
            </w:r>
            <w:r>
              <w:rPr>
                <w:b/>
                <w:bCs/>
                <w:color w:val="auto"/>
                <w:szCs w:val="21"/>
              </w:rPr>
              <w:t>产业政策相符性</w:t>
            </w:r>
          </w:p>
          <w:p w14:paraId="6B2966E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color w:val="auto"/>
                <w:kern w:val="0"/>
                <w:szCs w:val="21"/>
              </w:rPr>
            </w:pPr>
            <w:r>
              <w:rPr>
                <w:color w:val="auto"/>
                <w:kern w:val="0"/>
                <w:szCs w:val="21"/>
              </w:rPr>
              <w:t>本项目与产业政策相符性具体见下表。</w:t>
            </w:r>
          </w:p>
          <w:p w14:paraId="417475EE">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b/>
                <w:color w:val="auto"/>
                <w:szCs w:val="21"/>
              </w:rPr>
              <w:t>表1</w:t>
            </w:r>
            <w:r>
              <w:rPr>
                <w:rFonts w:hint="eastAsia"/>
                <w:b/>
                <w:color w:val="auto"/>
                <w:szCs w:val="21"/>
                <w:lang w:val="en-US" w:eastAsia="zh-CN"/>
              </w:rPr>
              <w:t>-4</w:t>
            </w:r>
            <w:r>
              <w:rPr>
                <w:b/>
                <w:color w:val="auto"/>
                <w:szCs w:val="21"/>
              </w:rPr>
              <w:t xml:space="preserve"> 产业政策相符性判定分析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7" w:type="dxa"/>
                <w:left w:w="28" w:type="dxa"/>
                <w:bottom w:w="17" w:type="dxa"/>
                <w:right w:w="28" w:type="dxa"/>
              </w:tblCellMar>
            </w:tblPr>
            <w:tblGrid>
              <w:gridCol w:w="943"/>
              <w:gridCol w:w="6317"/>
              <w:gridCol w:w="738"/>
            </w:tblGrid>
            <w:tr w14:paraId="71B06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0" w:hRule="atLeast"/>
                <w:tblHeader/>
                <w:jc w:val="center"/>
              </w:trPr>
              <w:tc>
                <w:tcPr>
                  <w:tcW w:w="590" w:type="pct"/>
                  <w:noWrap w:val="0"/>
                  <w:vAlign w:val="center"/>
                </w:tcPr>
                <w:p w14:paraId="53A9FAEF">
                  <w:pPr>
                    <w:jc w:val="center"/>
                    <w:rPr>
                      <w:b/>
                      <w:color w:val="auto"/>
                      <w:szCs w:val="21"/>
                    </w:rPr>
                  </w:pPr>
                  <w:r>
                    <w:rPr>
                      <w:b/>
                      <w:color w:val="auto"/>
                      <w:szCs w:val="21"/>
                    </w:rPr>
                    <w:t>判断类型</w:t>
                  </w:r>
                </w:p>
              </w:tc>
              <w:tc>
                <w:tcPr>
                  <w:tcW w:w="3948" w:type="pct"/>
                  <w:noWrap w:val="0"/>
                  <w:vAlign w:val="center"/>
                </w:tcPr>
                <w:p w14:paraId="29D2DBC5">
                  <w:pPr>
                    <w:jc w:val="center"/>
                    <w:rPr>
                      <w:b/>
                      <w:color w:val="auto"/>
                      <w:szCs w:val="21"/>
                    </w:rPr>
                  </w:pPr>
                  <w:r>
                    <w:rPr>
                      <w:b/>
                      <w:color w:val="auto"/>
                      <w:szCs w:val="21"/>
                    </w:rPr>
                    <w:t>对照分析</w:t>
                  </w:r>
                </w:p>
              </w:tc>
              <w:tc>
                <w:tcPr>
                  <w:tcW w:w="461" w:type="pct"/>
                  <w:noWrap w:val="0"/>
                  <w:vAlign w:val="center"/>
                </w:tcPr>
                <w:p w14:paraId="277182E0">
                  <w:pPr>
                    <w:jc w:val="center"/>
                    <w:rPr>
                      <w:rFonts w:hint="eastAsia"/>
                      <w:b/>
                      <w:color w:val="auto"/>
                      <w:szCs w:val="21"/>
                    </w:rPr>
                  </w:pPr>
                  <w:r>
                    <w:rPr>
                      <w:rFonts w:hint="eastAsia"/>
                      <w:b/>
                      <w:color w:val="auto"/>
                      <w:szCs w:val="21"/>
                    </w:rPr>
                    <w:t>相符性</w:t>
                  </w:r>
                </w:p>
              </w:tc>
            </w:tr>
            <w:tr w14:paraId="53FAA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77" w:hRule="atLeast"/>
                <w:jc w:val="center"/>
              </w:trPr>
              <w:tc>
                <w:tcPr>
                  <w:tcW w:w="590" w:type="pct"/>
                  <w:vMerge w:val="restart"/>
                  <w:noWrap w:val="0"/>
                  <w:vAlign w:val="center"/>
                </w:tcPr>
                <w:p w14:paraId="7CAE87F7">
                  <w:pPr>
                    <w:jc w:val="center"/>
                    <w:rPr>
                      <w:color w:val="auto"/>
                      <w:szCs w:val="21"/>
                    </w:rPr>
                  </w:pPr>
                  <w:r>
                    <w:rPr>
                      <w:color w:val="auto"/>
                      <w:szCs w:val="21"/>
                    </w:rPr>
                    <w:t>产业政策</w:t>
                  </w:r>
                </w:p>
              </w:tc>
              <w:tc>
                <w:tcPr>
                  <w:tcW w:w="3948" w:type="pct"/>
                  <w:noWrap w:val="0"/>
                  <w:vAlign w:val="top"/>
                </w:tcPr>
                <w:p w14:paraId="3BB50473">
                  <w:pPr>
                    <w:pStyle w:val="6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本项目从</w:t>
                  </w:r>
                  <w:r>
                    <w:rPr>
                      <w:rFonts w:hint="eastAsia" w:ascii="Times New Roman" w:hAnsi="Times New Roman" w:eastAsia="宋体" w:cs="Times New Roman"/>
                      <w:color w:val="auto"/>
                      <w:sz w:val="21"/>
                      <w:szCs w:val="21"/>
                      <w:lang w:eastAsia="zh-CN"/>
                    </w:rPr>
                    <w:t>热塑性弹性体颗</w:t>
                  </w:r>
                  <w:r>
                    <w:rPr>
                      <w:rFonts w:hint="eastAsia" w:ascii="Times New Roman" w:hAnsi="Times New Roman" w:eastAsia="宋体" w:cs="Times New Roman"/>
                      <w:color w:val="auto"/>
                      <w:lang w:eastAsia="zh-CN"/>
                    </w:rPr>
                    <w:t>粒</w:t>
                  </w:r>
                  <w:r>
                    <w:rPr>
                      <w:rFonts w:hint="eastAsia" w:ascii="Times New Roman" w:hAnsi="Times New Roman" w:eastAsia="宋体" w:cs="Times New Roman"/>
                      <w:color w:val="auto"/>
                      <w:sz w:val="21"/>
                      <w:szCs w:val="21"/>
                      <w:lang w:eastAsia="zh-CN"/>
                    </w:rPr>
                    <w:t>、汽车密封件</w:t>
                  </w:r>
                  <w:r>
                    <w:rPr>
                      <w:rFonts w:ascii="Times New Roman" w:hAnsi="Times New Roman" w:eastAsia="宋体" w:cs="Times New Roman"/>
                      <w:color w:val="auto"/>
                      <w:sz w:val="21"/>
                      <w:szCs w:val="21"/>
                    </w:rPr>
                    <w:t>的生产，采用的生产工艺、设备等均不属于国家发改委《产业结构调整指导目录（</w:t>
                  </w:r>
                  <w:r>
                    <w:rPr>
                      <w:rFonts w:hint="eastAsia" w:ascii="Times New Roman" w:hAnsi="Times New Roman" w:eastAsia="宋体" w:cs="Times New Roman"/>
                      <w:color w:val="auto"/>
                      <w:sz w:val="21"/>
                      <w:szCs w:val="21"/>
                    </w:rPr>
                    <w:t>2024年本</w:t>
                  </w:r>
                  <w:r>
                    <w:rPr>
                      <w:rFonts w:ascii="Times New Roman" w:hAnsi="Times New Roman" w:eastAsia="宋体" w:cs="Times New Roman"/>
                      <w:color w:val="auto"/>
                      <w:sz w:val="21"/>
                      <w:szCs w:val="21"/>
                    </w:rPr>
                    <w:t>）》中限制类和淘汰类项目。</w:t>
                  </w:r>
                </w:p>
              </w:tc>
              <w:tc>
                <w:tcPr>
                  <w:tcW w:w="461" w:type="pct"/>
                  <w:noWrap w:val="0"/>
                  <w:vAlign w:val="center"/>
                </w:tcPr>
                <w:p w14:paraId="190AF6EB">
                  <w:pPr>
                    <w:jc w:val="center"/>
                    <w:rPr>
                      <w:color w:val="auto"/>
                      <w:kern w:val="0"/>
                      <w:szCs w:val="21"/>
                    </w:rPr>
                  </w:pPr>
                  <w:r>
                    <w:rPr>
                      <w:color w:val="auto"/>
                      <w:szCs w:val="21"/>
                    </w:rPr>
                    <w:t>相符</w:t>
                  </w:r>
                </w:p>
              </w:tc>
            </w:tr>
            <w:tr w14:paraId="7215A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77" w:hRule="atLeast"/>
                <w:jc w:val="center"/>
              </w:trPr>
              <w:tc>
                <w:tcPr>
                  <w:tcW w:w="590" w:type="pct"/>
                  <w:vMerge w:val="continue"/>
                  <w:noWrap w:val="0"/>
                  <w:vAlign w:val="center"/>
                </w:tcPr>
                <w:p w14:paraId="688BEA14">
                  <w:pPr>
                    <w:jc w:val="center"/>
                    <w:rPr>
                      <w:color w:val="auto"/>
                      <w:szCs w:val="21"/>
                    </w:rPr>
                  </w:pPr>
                </w:p>
              </w:tc>
              <w:tc>
                <w:tcPr>
                  <w:tcW w:w="3948" w:type="pct"/>
                  <w:noWrap w:val="0"/>
                  <w:vAlign w:val="top"/>
                </w:tcPr>
                <w:p w14:paraId="660C593F">
                  <w:pPr>
                    <w:pStyle w:val="6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本项目从事</w:t>
                  </w:r>
                  <w:r>
                    <w:rPr>
                      <w:rFonts w:hint="eastAsia" w:ascii="Times New Roman" w:hAnsi="Times New Roman" w:eastAsia="宋体" w:cs="Times New Roman"/>
                      <w:color w:val="auto"/>
                      <w:sz w:val="21"/>
                      <w:szCs w:val="21"/>
                      <w:lang w:eastAsia="zh-CN"/>
                    </w:rPr>
                    <w:t>热塑性弹性体颗</w:t>
                  </w:r>
                  <w:r>
                    <w:rPr>
                      <w:rFonts w:hint="eastAsia" w:ascii="Times New Roman" w:hAnsi="Times New Roman" w:eastAsia="宋体" w:cs="Times New Roman"/>
                      <w:color w:val="auto"/>
                      <w:lang w:eastAsia="zh-CN"/>
                    </w:rPr>
                    <w:t>粒</w:t>
                  </w:r>
                  <w:r>
                    <w:rPr>
                      <w:rFonts w:hint="eastAsia" w:ascii="Times New Roman" w:hAnsi="Times New Roman" w:eastAsia="宋体" w:cs="Times New Roman"/>
                      <w:color w:val="auto"/>
                      <w:sz w:val="21"/>
                      <w:szCs w:val="21"/>
                      <w:lang w:eastAsia="zh-CN"/>
                    </w:rPr>
                    <w:t>、汽车密封件</w:t>
                  </w:r>
                  <w:r>
                    <w:rPr>
                      <w:rFonts w:ascii="Times New Roman" w:hAnsi="Times New Roman" w:eastAsia="宋体" w:cs="Times New Roman"/>
                      <w:color w:val="auto"/>
                      <w:sz w:val="21"/>
                      <w:szCs w:val="21"/>
                    </w:rPr>
                    <w:t>的生产，采用的生产工艺、设备等均不属于《江苏省产业结构调整限制、淘汰和禁止目录（2018年本）》中限制类</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淘汰类</w:t>
                  </w:r>
                  <w:r>
                    <w:rPr>
                      <w:rFonts w:hint="eastAsia" w:ascii="Times New Roman" w:hAnsi="Times New Roman" w:eastAsia="宋体" w:cs="Times New Roman"/>
                      <w:color w:val="auto"/>
                      <w:sz w:val="21"/>
                      <w:szCs w:val="21"/>
                      <w:lang w:val="en-US" w:eastAsia="zh-CN"/>
                    </w:rPr>
                    <w:t>和禁止类</w:t>
                  </w:r>
                  <w:r>
                    <w:rPr>
                      <w:rFonts w:ascii="Times New Roman" w:hAnsi="Times New Roman" w:eastAsia="宋体" w:cs="Times New Roman"/>
                      <w:color w:val="auto"/>
                      <w:sz w:val="21"/>
                      <w:szCs w:val="21"/>
                    </w:rPr>
                    <w:t>项目。</w:t>
                  </w:r>
                </w:p>
              </w:tc>
              <w:tc>
                <w:tcPr>
                  <w:tcW w:w="461" w:type="pct"/>
                  <w:noWrap w:val="0"/>
                  <w:vAlign w:val="center"/>
                </w:tcPr>
                <w:p w14:paraId="28EE0E37">
                  <w:pPr>
                    <w:jc w:val="center"/>
                    <w:rPr>
                      <w:color w:val="auto"/>
                      <w:kern w:val="0"/>
                      <w:szCs w:val="21"/>
                    </w:rPr>
                  </w:pPr>
                  <w:r>
                    <w:rPr>
                      <w:color w:val="auto"/>
                      <w:szCs w:val="21"/>
                    </w:rPr>
                    <w:t>相符</w:t>
                  </w:r>
                </w:p>
              </w:tc>
            </w:tr>
            <w:tr w14:paraId="5D726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77" w:hRule="atLeast"/>
                <w:jc w:val="center"/>
              </w:trPr>
              <w:tc>
                <w:tcPr>
                  <w:tcW w:w="590" w:type="pct"/>
                  <w:vMerge w:val="continue"/>
                  <w:noWrap w:val="0"/>
                  <w:vAlign w:val="center"/>
                </w:tcPr>
                <w:p w14:paraId="38C46B6E">
                  <w:pPr>
                    <w:jc w:val="center"/>
                    <w:rPr>
                      <w:color w:val="auto"/>
                      <w:szCs w:val="21"/>
                    </w:rPr>
                  </w:pPr>
                </w:p>
              </w:tc>
              <w:tc>
                <w:tcPr>
                  <w:tcW w:w="3948" w:type="pct"/>
                  <w:noWrap w:val="0"/>
                  <w:vAlign w:val="top"/>
                </w:tcPr>
                <w:p w14:paraId="253A2E73">
                  <w:pPr>
                    <w:pStyle w:val="69"/>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本项目从</w:t>
                  </w:r>
                  <w:r>
                    <w:rPr>
                      <w:rFonts w:hint="eastAsia" w:ascii="Times New Roman" w:hAnsi="Times New Roman" w:eastAsia="宋体" w:cs="Times New Roman"/>
                      <w:color w:val="auto"/>
                      <w:sz w:val="21"/>
                      <w:szCs w:val="21"/>
                    </w:rPr>
                    <w:t>事</w:t>
                  </w:r>
                  <w:r>
                    <w:rPr>
                      <w:rFonts w:hint="eastAsia" w:ascii="Times New Roman" w:hAnsi="Times New Roman" w:eastAsia="宋体" w:cs="Times New Roman"/>
                      <w:color w:val="auto"/>
                      <w:sz w:val="21"/>
                      <w:szCs w:val="21"/>
                      <w:lang w:eastAsia="zh-CN"/>
                    </w:rPr>
                    <w:t>热塑性弹性体颗</w:t>
                  </w:r>
                  <w:r>
                    <w:rPr>
                      <w:rFonts w:hint="eastAsia" w:ascii="Times New Roman" w:hAnsi="Times New Roman" w:eastAsia="宋体" w:cs="Times New Roman"/>
                      <w:color w:val="auto"/>
                      <w:lang w:eastAsia="zh-CN"/>
                    </w:rPr>
                    <w:t>粒</w:t>
                  </w:r>
                  <w:r>
                    <w:rPr>
                      <w:rFonts w:hint="eastAsia" w:ascii="Times New Roman" w:hAnsi="Times New Roman" w:eastAsia="宋体" w:cs="Times New Roman"/>
                      <w:color w:val="auto"/>
                      <w:sz w:val="21"/>
                      <w:szCs w:val="21"/>
                      <w:lang w:eastAsia="zh-CN"/>
                    </w:rPr>
                    <w:t>、汽车密封件</w:t>
                  </w:r>
                  <w:r>
                    <w:rPr>
                      <w:rFonts w:ascii="Times New Roman" w:hAnsi="Times New Roman" w:eastAsia="宋体" w:cs="Times New Roman"/>
                      <w:color w:val="auto"/>
                      <w:sz w:val="21"/>
                      <w:szCs w:val="21"/>
                    </w:rPr>
                    <w:t>的生产，采用的生产工艺、设备等均不属于</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中共江苏省委办公厅江苏省人民政府办公厅关于加快全省化工钢铁煤电行业转型升级高质量发展的实施意见》（苏办发[2018]32号）中的附件</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江苏省产业结构调整限制、淘汰和禁止目录</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中限制类和淘汰类项目。</w:t>
                  </w:r>
                </w:p>
              </w:tc>
              <w:tc>
                <w:tcPr>
                  <w:tcW w:w="461" w:type="pct"/>
                  <w:noWrap w:val="0"/>
                  <w:vAlign w:val="center"/>
                </w:tcPr>
                <w:p w14:paraId="06875635">
                  <w:pPr>
                    <w:jc w:val="center"/>
                    <w:rPr>
                      <w:color w:val="auto"/>
                      <w:szCs w:val="21"/>
                    </w:rPr>
                  </w:pPr>
                  <w:r>
                    <w:rPr>
                      <w:color w:val="auto"/>
                      <w:szCs w:val="21"/>
                    </w:rPr>
                    <w:t>相符</w:t>
                  </w:r>
                </w:p>
              </w:tc>
            </w:tr>
            <w:tr w14:paraId="4EAD2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0" w:hRule="atLeast"/>
                <w:jc w:val="center"/>
              </w:trPr>
              <w:tc>
                <w:tcPr>
                  <w:tcW w:w="590" w:type="pct"/>
                  <w:vMerge w:val="continue"/>
                  <w:noWrap w:val="0"/>
                  <w:vAlign w:val="center"/>
                </w:tcPr>
                <w:p w14:paraId="534B9B2A">
                  <w:pPr>
                    <w:jc w:val="center"/>
                    <w:rPr>
                      <w:color w:val="auto"/>
                      <w:szCs w:val="21"/>
                    </w:rPr>
                  </w:pPr>
                </w:p>
              </w:tc>
              <w:tc>
                <w:tcPr>
                  <w:tcW w:w="3948" w:type="pct"/>
                  <w:noWrap w:val="0"/>
                  <w:vAlign w:val="center"/>
                </w:tcPr>
                <w:p w14:paraId="72066273">
                  <w:pPr>
                    <w:pStyle w:val="6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本项目已于</w:t>
                  </w:r>
                  <w:r>
                    <w:rPr>
                      <w:rFonts w:hint="eastAsia" w:ascii="Times New Roman" w:hAnsi="Times New Roman" w:eastAsia="宋体" w:cs="Times New Roman"/>
                      <w:color w:val="auto"/>
                      <w:sz w:val="21"/>
                      <w:szCs w:val="21"/>
                      <w:lang w:eastAsia="zh-CN"/>
                    </w:rPr>
                    <w:t>2025年12月17日</w:t>
                  </w:r>
                  <w:r>
                    <w:rPr>
                      <w:rFonts w:ascii="Times New Roman" w:hAnsi="Times New Roman" w:eastAsia="宋体" w:cs="Times New Roman"/>
                      <w:color w:val="auto"/>
                      <w:sz w:val="21"/>
                      <w:szCs w:val="21"/>
                    </w:rPr>
                    <w:t>取得江苏金坛经济开发区经济发展局关于《</w:t>
                  </w:r>
                  <w:r>
                    <w:rPr>
                      <w:rFonts w:hint="eastAsia" w:ascii="Times New Roman" w:hAnsi="Times New Roman" w:eastAsia="宋体" w:cs="Times New Roman"/>
                      <w:color w:val="auto"/>
                      <w:sz w:val="21"/>
                      <w:szCs w:val="21"/>
                      <w:lang w:eastAsia="zh-CN"/>
                    </w:rPr>
                    <w:t>新建热塑性弹性体及汽车密封件项目</w:t>
                  </w:r>
                  <w:r>
                    <w:rPr>
                      <w:rFonts w:ascii="Times New Roman" w:hAnsi="Times New Roman" w:eastAsia="宋体" w:cs="Times New Roman"/>
                      <w:color w:val="auto"/>
                      <w:sz w:val="21"/>
                      <w:szCs w:val="21"/>
                    </w:rPr>
                    <w:t>》备案（</w:t>
                  </w:r>
                  <w:r>
                    <w:rPr>
                      <w:rFonts w:hint="eastAsia" w:ascii="Times New Roman" w:hAnsi="Times New Roman" w:eastAsia="宋体" w:cs="Times New Roman"/>
                      <w:color w:val="auto"/>
                      <w:sz w:val="21"/>
                      <w:szCs w:val="21"/>
                      <w:lang w:eastAsia="zh-CN"/>
                    </w:rPr>
                    <w:t>坛开经发备字[2025]347号</w:t>
                  </w:r>
                  <w:r>
                    <w:rPr>
                      <w:rFonts w:ascii="Times New Roman" w:hAnsi="Times New Roman" w:eastAsia="宋体" w:cs="Times New Roman"/>
                      <w:color w:val="auto"/>
                      <w:sz w:val="21"/>
                      <w:szCs w:val="21"/>
                    </w:rPr>
                    <w:t>），项目代码为</w:t>
                  </w:r>
                  <w:r>
                    <w:rPr>
                      <w:rFonts w:hint="eastAsia" w:ascii="Times New Roman" w:hAnsi="Times New Roman" w:eastAsia="宋体" w:cs="Times New Roman"/>
                      <w:color w:val="auto"/>
                      <w:sz w:val="21"/>
                      <w:szCs w:val="21"/>
                      <w:lang w:eastAsia="zh-CN"/>
                    </w:rPr>
                    <w:t>2512-320458-89-01-873292</w:t>
                  </w:r>
                  <w:r>
                    <w:rPr>
                      <w:rFonts w:ascii="Times New Roman" w:hAnsi="Times New Roman" w:eastAsia="宋体" w:cs="Times New Roman"/>
                      <w:color w:val="auto"/>
                      <w:sz w:val="21"/>
                      <w:szCs w:val="21"/>
                    </w:rPr>
                    <w:t>。</w:t>
                  </w:r>
                </w:p>
              </w:tc>
              <w:tc>
                <w:tcPr>
                  <w:tcW w:w="461" w:type="pct"/>
                  <w:noWrap w:val="0"/>
                  <w:vAlign w:val="center"/>
                </w:tcPr>
                <w:p w14:paraId="711E74CA">
                  <w:pPr>
                    <w:jc w:val="center"/>
                    <w:rPr>
                      <w:color w:val="auto"/>
                      <w:kern w:val="0"/>
                      <w:szCs w:val="21"/>
                    </w:rPr>
                  </w:pPr>
                  <w:r>
                    <w:rPr>
                      <w:color w:val="auto"/>
                      <w:szCs w:val="21"/>
                    </w:rPr>
                    <w:t>相符</w:t>
                  </w:r>
                </w:p>
              </w:tc>
            </w:tr>
          </w:tbl>
          <w:p w14:paraId="723452E7">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20" w:firstLineChars="200"/>
              <w:textAlignment w:val="auto"/>
              <w:rPr>
                <w:color w:val="auto"/>
                <w:szCs w:val="21"/>
              </w:rPr>
            </w:pPr>
            <w:r>
              <w:rPr>
                <w:color w:val="auto"/>
                <w:szCs w:val="21"/>
              </w:rPr>
              <w:t>综上，本项目的建设符合相关产业政策要求。</w:t>
            </w:r>
          </w:p>
          <w:p w14:paraId="69F6BEBD">
            <w:pPr>
              <w:keepNext w:val="0"/>
              <w:keepLines w:val="0"/>
              <w:pageBreakBefore w:val="0"/>
              <w:widowControl w:val="0"/>
              <w:kinsoku/>
              <w:wordWrap/>
              <w:overflowPunct/>
              <w:topLinePunct w:val="0"/>
              <w:autoSpaceDE/>
              <w:autoSpaceDN/>
              <w:bidi w:val="0"/>
              <w:adjustRightInd w:val="0"/>
              <w:snapToGrid w:val="0"/>
              <w:spacing w:line="360" w:lineRule="auto"/>
              <w:ind w:left="420" w:leftChars="200"/>
              <w:textAlignment w:val="auto"/>
              <w:rPr>
                <w:b/>
                <w:bCs/>
                <w:color w:val="auto"/>
                <w:szCs w:val="21"/>
              </w:rPr>
            </w:pPr>
            <w:r>
              <w:rPr>
                <w:rFonts w:hint="eastAsia"/>
                <w:b/>
                <w:bCs/>
                <w:color w:val="auto"/>
                <w:szCs w:val="21"/>
              </w:rPr>
              <w:t>二、</w:t>
            </w:r>
            <w:r>
              <w:rPr>
                <w:b/>
                <w:bCs/>
                <w:color w:val="auto"/>
                <w:szCs w:val="21"/>
              </w:rPr>
              <w:t>选址相符性</w:t>
            </w:r>
          </w:p>
          <w:p w14:paraId="76DF4990">
            <w:pPr>
              <w:keepNext w:val="0"/>
              <w:keepLines w:val="0"/>
              <w:pageBreakBefore w:val="0"/>
              <w:widowControl w:val="0"/>
              <w:kinsoku/>
              <w:wordWrap/>
              <w:overflowPunct/>
              <w:topLinePunct w:val="0"/>
              <w:autoSpaceDE/>
              <w:autoSpaceDN/>
              <w:bidi w:val="0"/>
              <w:adjustRightInd w:val="0"/>
              <w:snapToGrid w:val="0"/>
              <w:spacing w:line="360" w:lineRule="auto"/>
              <w:ind w:left="-42" w:firstLine="455" w:firstLineChars="217"/>
              <w:textAlignment w:val="auto"/>
              <w:rPr>
                <w:color w:val="auto"/>
                <w:szCs w:val="21"/>
              </w:rPr>
            </w:pPr>
            <w:r>
              <w:rPr>
                <w:color w:val="auto"/>
                <w:szCs w:val="21"/>
              </w:rPr>
              <w:t>本项目位于</w:t>
            </w:r>
            <w:r>
              <w:rPr>
                <w:rFonts w:hint="eastAsia"/>
                <w:color w:val="auto"/>
                <w:szCs w:val="21"/>
                <w:lang w:eastAsia="zh-CN"/>
              </w:rPr>
              <w:t>常州市金坛区经济开发区东湖路28号</w:t>
            </w:r>
            <w:r>
              <w:rPr>
                <w:color w:val="auto"/>
                <w:szCs w:val="21"/>
              </w:rPr>
              <w:t>，</w:t>
            </w:r>
            <w:r>
              <w:rPr>
                <w:rFonts w:hint="eastAsia"/>
                <w:color w:val="auto"/>
                <w:szCs w:val="21"/>
              </w:rPr>
              <w:t>利用</w:t>
            </w:r>
            <w:r>
              <w:rPr>
                <w:rFonts w:hint="eastAsia"/>
                <w:color w:val="auto"/>
                <w:szCs w:val="21"/>
                <w:lang w:val="en-US" w:eastAsia="zh-CN"/>
              </w:rPr>
              <w:t>租赁厂房</w:t>
            </w:r>
            <w:r>
              <w:rPr>
                <w:rFonts w:hint="eastAsia"/>
                <w:color w:val="auto"/>
                <w:szCs w:val="21"/>
              </w:rPr>
              <w:t>空置部分进行生产</w:t>
            </w:r>
            <w:r>
              <w:rPr>
                <w:color w:val="auto"/>
                <w:szCs w:val="21"/>
              </w:rPr>
              <w:t>，用地性质为工业用地。且项目周边范围内无矿床、文物古迹和军事设施达到环保准入、投入强度、消防安全等相关规定，因此项目选址合理。</w:t>
            </w:r>
          </w:p>
          <w:p w14:paraId="213773B3">
            <w:pPr>
              <w:pStyle w:val="51"/>
              <w:keepNext w:val="0"/>
              <w:keepLines w:val="0"/>
              <w:pageBreakBefore w:val="0"/>
              <w:widowControl w:val="0"/>
              <w:kinsoku/>
              <w:wordWrap/>
              <w:overflowPunct/>
              <w:topLinePunct w:val="0"/>
              <w:autoSpaceDE/>
              <w:autoSpaceDN/>
              <w:bidi w:val="0"/>
              <w:adjustRightInd w:val="0"/>
              <w:snapToGrid w:val="0"/>
              <w:spacing w:line="360" w:lineRule="auto"/>
              <w:ind w:firstLine="422"/>
              <w:textAlignment w:val="auto"/>
              <w:rPr>
                <w:rFonts w:hint="eastAsia"/>
                <w:b/>
                <w:bCs/>
                <w:color w:val="auto"/>
                <w:sz w:val="21"/>
                <w:szCs w:val="21"/>
                <w:lang w:val="en-US" w:eastAsia="zh-CN"/>
              </w:rPr>
            </w:pPr>
            <w:r>
              <w:rPr>
                <w:rFonts w:hint="eastAsia"/>
                <w:b/>
                <w:bCs/>
                <w:color w:val="auto"/>
                <w:sz w:val="21"/>
                <w:szCs w:val="21"/>
                <w:lang w:val="en-US" w:eastAsia="zh-CN"/>
              </w:rPr>
              <w:t>三、国土空间规划及“三区三线”相符性分析</w:t>
            </w:r>
          </w:p>
          <w:p w14:paraId="7DC0C90C">
            <w:pPr>
              <w:pStyle w:val="51"/>
              <w:keepNext w:val="0"/>
              <w:keepLines w:val="0"/>
              <w:pageBreakBefore w:val="0"/>
              <w:widowControl w:val="0"/>
              <w:kinsoku/>
              <w:wordWrap/>
              <w:overflowPunct/>
              <w:topLinePunct w:val="0"/>
              <w:bidi w:val="0"/>
              <w:adjustRightInd w:val="0"/>
              <w:snapToGrid w:val="0"/>
              <w:spacing w:line="360" w:lineRule="auto"/>
              <w:ind w:firstLine="422"/>
              <w:textAlignment w:val="auto"/>
              <w:rPr>
                <w:rFonts w:hint="eastAsia"/>
                <w:b w:val="0"/>
                <w:bCs w:val="0"/>
                <w:color w:val="auto"/>
                <w:sz w:val="21"/>
                <w:szCs w:val="21"/>
                <w:lang w:val="en-US" w:eastAsia="zh-CN"/>
              </w:rPr>
            </w:pPr>
            <w:r>
              <w:rPr>
                <w:rFonts w:hint="eastAsia"/>
                <w:b w:val="0"/>
                <w:bCs w:val="0"/>
                <w:color w:val="auto"/>
                <w:sz w:val="21"/>
                <w:szCs w:val="21"/>
                <w:lang w:val="en-US" w:eastAsia="zh-CN"/>
              </w:rPr>
              <w:t>根据《自然资源部关于在全国开展“三区三线”划定工作的函》（自然资函[2022]47号）以及《江苏省国土空间规划（2021-2035年）》，文件提出创建全国生态文明试验区，以底线约束和安全韧性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加强自然资源整体保护与高效利用，统筹安排防灾减灾救灾和重大突发公共事件的应急空间，为保障粮食安全、生态安全、能源安全提供了基础保障。</w:t>
            </w:r>
          </w:p>
          <w:p w14:paraId="766F3C4B">
            <w:pPr>
              <w:pStyle w:val="51"/>
              <w:keepNext w:val="0"/>
              <w:keepLines w:val="0"/>
              <w:pageBreakBefore w:val="0"/>
              <w:widowControl w:val="0"/>
              <w:kinsoku/>
              <w:wordWrap/>
              <w:overflowPunct/>
              <w:topLinePunct w:val="0"/>
              <w:bidi w:val="0"/>
              <w:adjustRightInd w:val="0"/>
              <w:snapToGrid w:val="0"/>
              <w:spacing w:line="360" w:lineRule="auto"/>
              <w:ind w:firstLine="422"/>
              <w:textAlignment w:val="auto"/>
              <w:rPr>
                <w:rFonts w:hint="eastAsia"/>
                <w:b w:val="0"/>
                <w:bCs w:val="0"/>
                <w:color w:val="auto"/>
                <w:sz w:val="21"/>
                <w:szCs w:val="21"/>
              </w:rPr>
            </w:pPr>
            <w:r>
              <w:rPr>
                <w:rFonts w:hint="eastAsia"/>
                <w:b w:val="0"/>
                <w:bCs w:val="0"/>
                <w:color w:val="auto"/>
                <w:sz w:val="21"/>
                <w:szCs w:val="21"/>
                <w:lang w:val="en-US" w:eastAsia="zh-CN"/>
              </w:rPr>
              <w:t>根据《常州市国土空间总体规划》（2021-2035年）、《常州市金坛区国土空间总体规划》（2021-2035年），本项目在城镇开发边界（工业发展区）内，且不占用耕地和永久基本农田，不涉及生态保护红线，因此本项目满足国土空间规划及“三区三线”要求。</w:t>
            </w:r>
          </w:p>
          <w:p w14:paraId="00826742">
            <w:pPr>
              <w:pStyle w:val="51"/>
              <w:keepNext w:val="0"/>
              <w:keepLines w:val="0"/>
              <w:pageBreakBefore w:val="0"/>
              <w:widowControl w:val="0"/>
              <w:kinsoku/>
              <w:wordWrap/>
              <w:overflowPunct/>
              <w:topLinePunct w:val="0"/>
              <w:bidi w:val="0"/>
              <w:adjustRightInd w:val="0"/>
              <w:snapToGrid w:val="0"/>
              <w:spacing w:line="360" w:lineRule="auto"/>
              <w:ind w:firstLine="422"/>
              <w:textAlignment w:val="auto"/>
              <w:rPr>
                <w:b/>
                <w:bCs/>
                <w:color w:val="auto"/>
                <w:sz w:val="21"/>
                <w:szCs w:val="21"/>
              </w:rPr>
            </w:pPr>
            <w:r>
              <w:rPr>
                <w:rFonts w:hint="eastAsia"/>
                <w:b/>
                <w:bCs/>
                <w:color w:val="auto"/>
                <w:sz w:val="21"/>
                <w:szCs w:val="21"/>
                <w:lang w:val="en-US" w:eastAsia="zh-CN"/>
              </w:rPr>
              <w:t>四</w:t>
            </w:r>
            <w:r>
              <w:rPr>
                <w:rFonts w:hint="eastAsia"/>
                <w:b/>
                <w:bCs/>
                <w:color w:val="auto"/>
                <w:sz w:val="21"/>
                <w:szCs w:val="21"/>
              </w:rPr>
              <w:t>、</w:t>
            </w:r>
            <w:r>
              <w:rPr>
                <w:b/>
                <w:bCs/>
                <w:color w:val="auto"/>
                <w:sz w:val="21"/>
                <w:szCs w:val="21"/>
              </w:rPr>
              <w:t>“三线一单”相符性分析</w:t>
            </w:r>
          </w:p>
          <w:p w14:paraId="4CDFC775">
            <w:pPr>
              <w:pStyle w:val="51"/>
              <w:keepNext w:val="0"/>
              <w:keepLines w:val="0"/>
              <w:pageBreakBefore w:val="0"/>
              <w:widowControl w:val="0"/>
              <w:kinsoku/>
              <w:wordWrap/>
              <w:overflowPunct/>
              <w:topLinePunct w:val="0"/>
              <w:bidi w:val="0"/>
              <w:adjustRightInd w:val="0"/>
              <w:snapToGrid w:val="0"/>
              <w:spacing w:line="360" w:lineRule="auto"/>
              <w:ind w:firstLine="420"/>
              <w:textAlignment w:val="auto"/>
              <w:rPr>
                <w:color w:val="auto"/>
                <w:sz w:val="21"/>
                <w:szCs w:val="21"/>
              </w:rPr>
            </w:pPr>
            <w:r>
              <w:rPr>
                <w:rFonts w:hint="eastAsia"/>
                <w:color w:val="auto"/>
                <w:sz w:val="21"/>
                <w:szCs w:val="21"/>
              </w:rPr>
              <w:t>1、</w:t>
            </w:r>
            <w:r>
              <w:rPr>
                <w:color w:val="auto"/>
                <w:sz w:val="21"/>
                <w:szCs w:val="21"/>
              </w:rPr>
              <w:t>与生态红线区域保护规划的相符性</w:t>
            </w:r>
          </w:p>
          <w:p w14:paraId="795AA56C">
            <w:pPr>
              <w:pStyle w:val="51"/>
              <w:keepNext w:val="0"/>
              <w:keepLines w:val="0"/>
              <w:pageBreakBefore w:val="0"/>
              <w:widowControl w:val="0"/>
              <w:kinsoku/>
              <w:wordWrap/>
              <w:overflowPunct/>
              <w:topLinePunct w:val="0"/>
              <w:bidi w:val="0"/>
              <w:adjustRightInd w:val="0"/>
              <w:snapToGrid w:val="0"/>
              <w:spacing w:line="360" w:lineRule="auto"/>
              <w:ind w:firstLine="420"/>
              <w:textAlignment w:val="auto"/>
              <w:rPr>
                <w:rFonts w:hint="eastAsia"/>
                <w:color w:val="auto"/>
                <w:sz w:val="21"/>
                <w:szCs w:val="21"/>
              </w:rPr>
            </w:pPr>
            <w:r>
              <w:rPr>
                <w:rFonts w:hint="default" w:ascii="Times New Roman" w:hAnsi="Times New Roman" w:eastAsia="宋体" w:cs="Times New Roman"/>
                <w:color w:val="auto"/>
                <w:sz w:val="21"/>
                <w:szCs w:val="21"/>
              </w:rPr>
              <w:t>根据《省政府关于印发江苏省生态空间管控区域规划的通知》（苏政发[2020]1号）和《江苏省国家级生态保护红线规划》（苏政发[2018]74号），对照江苏省生态空间保护区域分布图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金坛区生态红线区域为14片，国家级生态保护红线193.1平方公里，生态管控区域231.25平方公里</w:t>
            </w:r>
            <w:r>
              <w:rPr>
                <w:rFonts w:hint="default" w:ascii="Times New Roman" w:hAnsi="Times New Roman" w:eastAsia="宋体" w:cs="Times New Roman"/>
                <w:color w:val="auto"/>
                <w:sz w:val="21"/>
                <w:szCs w:val="21"/>
                <w:lang w:eastAsia="zh-CN"/>
              </w:rPr>
              <w:t>；本项目距离丹金溧漕河（金坛区）洪水调蓄区</w:t>
            </w:r>
            <w:r>
              <w:rPr>
                <w:rFonts w:hint="eastAsia" w:ascii="Times New Roman" w:hAnsi="Times New Roman" w:eastAsia="宋体" w:cs="Times New Roman"/>
                <w:color w:val="auto"/>
                <w:sz w:val="21"/>
                <w:szCs w:val="21"/>
                <w:lang w:val="en-US" w:eastAsia="zh-CN"/>
              </w:rPr>
              <w:t>7.1</w:t>
            </w:r>
            <w:r>
              <w:rPr>
                <w:rFonts w:hint="default" w:ascii="Times New Roman" w:hAnsi="Times New Roman" w:eastAsia="宋体" w:cs="Times New Roman"/>
                <w:color w:val="auto"/>
                <w:sz w:val="21"/>
                <w:szCs w:val="21"/>
                <w:lang w:eastAsia="zh-CN"/>
              </w:rPr>
              <w:t>km，距离钱资湖湿地</w:t>
            </w:r>
            <w:r>
              <w:rPr>
                <w:rFonts w:hint="eastAsia" w:ascii="Times New Roman" w:hAnsi="Times New Roman" w:eastAsia="宋体" w:cs="Times New Roman"/>
                <w:color w:val="auto"/>
                <w:sz w:val="21"/>
                <w:szCs w:val="21"/>
                <w:lang w:val="en-US" w:eastAsia="zh-CN"/>
              </w:rPr>
              <w:t>5.4</w:t>
            </w:r>
            <w:r>
              <w:rPr>
                <w:rFonts w:hint="default" w:ascii="Times New Roman" w:hAnsi="Times New Roman" w:eastAsia="宋体" w:cs="Times New Roman"/>
                <w:color w:val="auto"/>
                <w:sz w:val="21"/>
                <w:szCs w:val="21"/>
                <w:lang w:eastAsia="zh-CN"/>
              </w:rPr>
              <w:t>km，</w:t>
            </w:r>
            <w:r>
              <w:rPr>
                <w:rFonts w:hint="eastAsia"/>
                <w:color w:val="auto"/>
                <w:sz w:val="21"/>
                <w:szCs w:val="21"/>
              </w:rPr>
              <w:t>长荡湖（金坛区）重要湿地</w:t>
            </w:r>
            <w:r>
              <w:rPr>
                <w:rFonts w:hint="eastAsia" w:ascii="Times New Roman" w:hAnsi="Times New Roman" w:eastAsia="宋体" w:cs="Times New Roman"/>
                <w:color w:val="auto"/>
                <w:sz w:val="21"/>
                <w:szCs w:val="21"/>
                <w:lang w:val="en-US" w:eastAsia="zh-CN"/>
              </w:rPr>
              <w:t>9.5</w:t>
            </w:r>
            <w:r>
              <w:rPr>
                <w:rFonts w:hint="default" w:ascii="Times New Roman" w:hAnsi="Times New Roman" w:eastAsia="宋体" w:cs="Times New Roman"/>
                <w:color w:val="auto"/>
                <w:sz w:val="21"/>
                <w:szCs w:val="21"/>
                <w:lang w:eastAsia="zh-CN"/>
              </w:rPr>
              <w:t>km</w:t>
            </w:r>
            <w:r>
              <w:rPr>
                <w:rFonts w:hint="default" w:ascii="Times New Roman" w:hAnsi="Times New Roman" w:eastAsia="宋体" w:cs="Times New Roman"/>
                <w:color w:val="auto"/>
                <w:sz w:val="21"/>
                <w:szCs w:val="21"/>
                <w:lang w:val="en-US" w:eastAsia="zh-CN"/>
              </w:rPr>
              <w:t>；项目建设区域与国家级生态保护</w:t>
            </w:r>
            <w:r>
              <w:rPr>
                <w:rFonts w:hint="default" w:ascii="Times New Roman" w:hAnsi="Times New Roman" w:eastAsia="宋体" w:cs="Times New Roman"/>
                <w:color w:val="auto"/>
                <w:sz w:val="21"/>
                <w:szCs w:val="21"/>
              </w:rPr>
              <w:t>红线范围及江苏省生态空间管控区域范围均无交集，不涉及金坛区内的生态红线区域，不会导致金坛区辖区内生态红线区域服务功能下降，故本项目的建设符合《江苏省生态空间管控区域规划》（苏政发[2020]1号）和《江苏省国家级生态保护红线规划》（苏政发[2018]74号）相关要求</w:t>
            </w:r>
            <w:r>
              <w:rPr>
                <w:rFonts w:hint="eastAsia"/>
                <w:color w:val="auto"/>
                <w:sz w:val="21"/>
                <w:szCs w:val="21"/>
              </w:rPr>
              <w:t>。</w:t>
            </w:r>
          </w:p>
          <w:p w14:paraId="21A86E78">
            <w:pPr>
              <w:pStyle w:val="51"/>
              <w:keepNext w:val="0"/>
              <w:keepLines w:val="0"/>
              <w:pageBreakBefore w:val="0"/>
              <w:widowControl w:val="0"/>
              <w:kinsoku/>
              <w:wordWrap/>
              <w:overflowPunct/>
              <w:topLinePunct w:val="0"/>
              <w:bidi w:val="0"/>
              <w:adjustRightInd w:val="0"/>
              <w:snapToGrid w:val="0"/>
              <w:spacing w:line="360" w:lineRule="auto"/>
              <w:ind w:firstLine="420"/>
              <w:textAlignment w:val="auto"/>
              <w:rPr>
                <w:color w:val="auto"/>
                <w:sz w:val="21"/>
                <w:szCs w:val="21"/>
              </w:rPr>
            </w:pPr>
            <w:r>
              <w:rPr>
                <w:rFonts w:hint="eastAsia"/>
                <w:color w:val="auto"/>
                <w:sz w:val="21"/>
                <w:szCs w:val="21"/>
              </w:rPr>
              <w:t>2、</w:t>
            </w:r>
            <w:r>
              <w:rPr>
                <w:color w:val="auto"/>
                <w:sz w:val="21"/>
                <w:szCs w:val="21"/>
              </w:rPr>
              <w:t>环境质量底线相符性</w:t>
            </w:r>
          </w:p>
          <w:p w14:paraId="32424241">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eastAsia="宋体"/>
                <w:color w:val="auto"/>
                <w:szCs w:val="21"/>
                <w:lang w:eastAsia="zh-CN"/>
              </w:rPr>
            </w:pPr>
            <w:r>
              <w:rPr>
                <w:color w:val="auto"/>
                <w:szCs w:val="21"/>
              </w:rPr>
              <w:t>环境空气：</w:t>
            </w:r>
            <w:r>
              <w:rPr>
                <w:rFonts w:hint="eastAsia"/>
                <w:color w:val="auto"/>
                <w:szCs w:val="21"/>
                <w:lang w:val="en-US" w:eastAsia="zh-CN"/>
              </w:rPr>
              <w:t>2024</w:t>
            </w:r>
            <w:r>
              <w:rPr>
                <w:color w:val="auto"/>
                <w:szCs w:val="21"/>
              </w:rPr>
              <w:t>年常州市环境空气中SO</w:t>
            </w:r>
            <w:r>
              <w:rPr>
                <w:color w:val="auto"/>
                <w:szCs w:val="21"/>
                <w:vertAlign w:val="subscript"/>
              </w:rPr>
              <w:t>2</w:t>
            </w:r>
            <w:r>
              <w:rPr>
                <w:color w:val="auto"/>
                <w:szCs w:val="21"/>
              </w:rPr>
              <w:t>、NO</w:t>
            </w:r>
            <w:r>
              <w:rPr>
                <w:color w:val="auto"/>
                <w:szCs w:val="21"/>
                <w:vertAlign w:val="subscript"/>
              </w:rPr>
              <w:t>2</w:t>
            </w:r>
            <w:r>
              <w:rPr>
                <w:rFonts w:hint="eastAsia"/>
                <w:color w:val="auto"/>
                <w:szCs w:val="21"/>
              </w:rPr>
              <w:t>年平均值及日平均值均</w:t>
            </w:r>
            <w:r>
              <w:rPr>
                <w:color w:val="auto"/>
                <w:szCs w:val="21"/>
              </w:rPr>
              <w:t>满足《环境空气质量标准》（GB3095-20</w:t>
            </w:r>
            <w:r>
              <w:rPr>
                <w:rFonts w:hint="eastAsia"/>
                <w:color w:val="auto"/>
                <w:szCs w:val="21"/>
                <w:lang w:val="en-US" w:eastAsia="zh-CN"/>
              </w:rPr>
              <w:t>26</w:t>
            </w:r>
            <w:r>
              <w:rPr>
                <w:color w:val="auto"/>
                <w:szCs w:val="21"/>
              </w:rPr>
              <w:t>）中二级标准</w:t>
            </w:r>
            <w:r>
              <w:rPr>
                <w:rFonts w:hint="eastAsia"/>
                <w:color w:val="auto"/>
                <w:szCs w:val="21"/>
                <w:lang w:val="en-US" w:eastAsia="zh-CN"/>
              </w:rPr>
              <w:t>；</w:t>
            </w:r>
            <w:r>
              <w:rPr>
                <w:color w:val="auto"/>
                <w:szCs w:val="21"/>
              </w:rPr>
              <w:t>CO的日均值的第95百分位数</w:t>
            </w:r>
            <w:r>
              <w:rPr>
                <w:rFonts w:hint="eastAsia"/>
                <w:color w:val="auto"/>
                <w:szCs w:val="21"/>
              </w:rPr>
              <w:t>及日平均值浓度范围满足</w:t>
            </w:r>
            <w:r>
              <w:rPr>
                <w:color w:val="auto"/>
                <w:szCs w:val="21"/>
              </w:rPr>
              <w:t>《环境空气质量标准》（GB3095-20</w:t>
            </w:r>
            <w:r>
              <w:rPr>
                <w:rFonts w:hint="eastAsia"/>
                <w:color w:val="auto"/>
                <w:szCs w:val="21"/>
                <w:lang w:val="en-US" w:eastAsia="zh-CN"/>
              </w:rPr>
              <w:t>26</w:t>
            </w:r>
            <w:r>
              <w:rPr>
                <w:color w:val="auto"/>
                <w:szCs w:val="21"/>
              </w:rPr>
              <w:t>）中二级标准</w:t>
            </w:r>
            <w:r>
              <w:rPr>
                <w:rFonts w:hint="eastAsia"/>
                <w:color w:val="auto"/>
                <w:szCs w:val="21"/>
              </w:rPr>
              <w:t>，PM</w:t>
            </w:r>
            <w:r>
              <w:rPr>
                <w:rFonts w:hint="eastAsia"/>
                <w:color w:val="auto"/>
                <w:szCs w:val="21"/>
                <w:vertAlign w:val="subscript"/>
              </w:rPr>
              <w:t>2.5</w:t>
            </w:r>
            <w:r>
              <w:rPr>
                <w:color w:val="auto"/>
                <w:szCs w:val="21"/>
              </w:rPr>
              <w:t>、</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eastAsia"/>
                <w:color w:val="auto"/>
                <w:szCs w:val="21"/>
              </w:rPr>
              <w:t>年平均值</w:t>
            </w:r>
            <w:r>
              <w:rPr>
                <w:rFonts w:hint="eastAsia"/>
                <w:color w:val="auto"/>
                <w:szCs w:val="21"/>
                <w:lang w:val="en-US" w:eastAsia="zh-CN"/>
              </w:rPr>
              <w:t>及</w:t>
            </w:r>
            <w:r>
              <w:rPr>
                <w:rFonts w:hint="eastAsia"/>
                <w:color w:val="auto"/>
                <w:szCs w:val="21"/>
              </w:rPr>
              <w:t>日均值</w:t>
            </w:r>
            <w:r>
              <w:rPr>
                <w:rFonts w:hint="eastAsia"/>
                <w:color w:val="auto"/>
                <w:szCs w:val="21"/>
                <w:lang w:eastAsia="zh-CN"/>
              </w:rPr>
              <w:t>、</w:t>
            </w:r>
            <w:r>
              <w:rPr>
                <w:color w:val="auto"/>
                <w:szCs w:val="21"/>
              </w:rPr>
              <w:t>O</w:t>
            </w:r>
            <w:r>
              <w:rPr>
                <w:color w:val="auto"/>
                <w:szCs w:val="21"/>
                <w:vertAlign w:val="subscript"/>
              </w:rPr>
              <w:t>3</w:t>
            </w:r>
            <w:r>
              <w:rPr>
                <w:color w:val="auto"/>
                <w:szCs w:val="21"/>
              </w:rPr>
              <w:t>日最大8小时滑动平均值的第90百分位数</w:t>
            </w:r>
            <w:r>
              <w:rPr>
                <w:rFonts w:hint="eastAsia"/>
                <w:color w:val="auto"/>
                <w:szCs w:val="21"/>
                <w:lang w:val="en-US" w:eastAsia="zh-CN"/>
              </w:rPr>
              <w:t>及日平均值浓度范围</w:t>
            </w:r>
            <w:r>
              <w:rPr>
                <w:color w:val="auto"/>
                <w:szCs w:val="21"/>
              </w:rPr>
              <w:t>超过《环境空气质量标准》（GB3095-</w:t>
            </w:r>
            <w:r>
              <w:rPr>
                <w:rFonts w:hint="eastAsia"/>
                <w:color w:val="auto"/>
                <w:szCs w:val="21"/>
                <w:lang w:val="en-US" w:eastAsia="zh-CN"/>
              </w:rPr>
              <w:t>2026</w:t>
            </w:r>
            <w:r>
              <w:rPr>
                <w:color w:val="auto"/>
                <w:szCs w:val="21"/>
              </w:rPr>
              <w:t>）中二级标准，因此判定为非达标区域</w:t>
            </w:r>
            <w:r>
              <w:rPr>
                <w:rFonts w:hint="eastAsia"/>
                <w:color w:val="auto"/>
                <w:szCs w:val="21"/>
                <w:lang w:eastAsia="zh-CN"/>
              </w:rPr>
              <w:t>。</w:t>
            </w:r>
          </w:p>
          <w:p w14:paraId="4965E941">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color w:val="auto"/>
                <w:szCs w:val="21"/>
              </w:rPr>
            </w:pPr>
            <w:r>
              <w:rPr>
                <w:color w:val="auto"/>
                <w:szCs w:val="21"/>
              </w:rPr>
              <w:t>根据现状引用数据可知，项目所在区域空气环境中非甲烷总烃</w:t>
            </w:r>
            <w:r>
              <w:rPr>
                <w:rFonts w:hint="eastAsia"/>
                <w:color w:val="auto"/>
                <w:szCs w:val="21"/>
                <w:lang w:eastAsia="zh-CN"/>
              </w:rPr>
              <w:t>、</w:t>
            </w:r>
            <w:r>
              <w:rPr>
                <w:rFonts w:hint="eastAsia"/>
                <w:color w:val="auto"/>
                <w:szCs w:val="21"/>
                <w:lang w:val="en-US" w:eastAsia="zh-CN"/>
              </w:rPr>
              <w:t>颗粒物</w:t>
            </w:r>
            <w:r>
              <w:rPr>
                <w:color w:val="auto"/>
                <w:szCs w:val="21"/>
              </w:rPr>
              <w:t>满足项目所在地区的环境功能区划要求。</w:t>
            </w:r>
          </w:p>
          <w:p w14:paraId="5B099A3E">
            <w:pPr>
              <w:pStyle w:val="62"/>
              <w:keepNext w:val="0"/>
              <w:keepLines w:val="0"/>
              <w:pageBreakBefore w:val="0"/>
              <w:widowControl w:val="0"/>
              <w:kinsoku/>
              <w:wordWrap/>
              <w:overflowPunct/>
              <w:topLinePunct w:val="0"/>
              <w:bidi w:val="0"/>
              <w:adjustRightInd w:val="0"/>
              <w:snapToGrid w:val="0"/>
              <w:spacing w:after="0" w:line="360" w:lineRule="auto"/>
              <w:ind w:firstLine="420" w:firstLineChars="200"/>
              <w:jc w:val="both"/>
              <w:textAlignment w:val="auto"/>
              <w:rPr>
                <w:rFonts w:ascii="Times New Roman" w:cs="Times New Roman"/>
                <w:color w:val="auto"/>
                <w:sz w:val="21"/>
                <w:szCs w:val="21"/>
              </w:rPr>
            </w:pPr>
            <w:r>
              <w:rPr>
                <w:rFonts w:ascii="Times New Roman" w:cs="Times New Roman"/>
                <w:b w:val="0"/>
                <w:bCs/>
                <w:color w:val="auto"/>
                <w:sz w:val="21"/>
                <w:szCs w:val="21"/>
              </w:rPr>
              <w:t>水环境：本项目污水受纳水体尧塘河2个断面各监测因子均能满足《地表水环境质量标准》（GB3838-2002）III类水标准要求。</w:t>
            </w:r>
          </w:p>
          <w:p w14:paraId="23321968">
            <w:pPr>
              <w:pStyle w:val="62"/>
              <w:keepNext w:val="0"/>
              <w:keepLines w:val="0"/>
              <w:pageBreakBefore w:val="0"/>
              <w:widowControl w:val="0"/>
              <w:kinsoku/>
              <w:wordWrap/>
              <w:overflowPunct/>
              <w:topLinePunct w:val="0"/>
              <w:bidi w:val="0"/>
              <w:adjustRightInd w:val="0"/>
              <w:snapToGrid w:val="0"/>
              <w:spacing w:after="0" w:line="360" w:lineRule="auto"/>
              <w:ind w:firstLine="420" w:firstLineChars="200"/>
              <w:jc w:val="both"/>
              <w:textAlignment w:val="auto"/>
              <w:rPr>
                <w:rFonts w:ascii="Times New Roman" w:cs="Times New Roman"/>
                <w:b w:val="0"/>
                <w:bCs/>
                <w:color w:val="auto"/>
                <w:sz w:val="21"/>
                <w:szCs w:val="21"/>
              </w:rPr>
            </w:pPr>
            <w:r>
              <w:rPr>
                <w:rFonts w:ascii="Times New Roman" w:cs="Times New Roman"/>
                <w:b w:val="0"/>
                <w:bCs/>
                <w:color w:val="auto"/>
                <w:sz w:val="21"/>
                <w:szCs w:val="21"/>
              </w:rPr>
              <w:t>声环境：建设项目所在地各厂界处昼</w:t>
            </w:r>
            <w:r>
              <w:rPr>
                <w:rFonts w:hint="eastAsia" w:ascii="Times New Roman" w:cs="Times New Roman"/>
                <w:b w:val="0"/>
                <w:bCs/>
                <w:color w:val="auto"/>
                <w:sz w:val="21"/>
                <w:szCs w:val="21"/>
                <w:lang w:val="en-US" w:eastAsia="zh-CN"/>
              </w:rPr>
              <w:t>夜</w:t>
            </w:r>
            <w:r>
              <w:rPr>
                <w:rFonts w:ascii="Times New Roman" w:cs="Times New Roman"/>
                <w:b w:val="0"/>
                <w:bCs/>
                <w:color w:val="auto"/>
                <w:sz w:val="21"/>
                <w:szCs w:val="21"/>
              </w:rPr>
              <w:t>间声环境质量监测结果符合《声环境质量标准》（GB3096-2008）中的</w:t>
            </w:r>
            <w:r>
              <w:rPr>
                <w:rFonts w:hint="eastAsia" w:ascii="Times New Roman" w:cs="Times New Roman"/>
                <w:b w:val="0"/>
                <w:bCs/>
                <w:color w:val="auto"/>
                <w:sz w:val="21"/>
                <w:szCs w:val="21"/>
                <w:lang w:val="en-US" w:eastAsia="zh-CN"/>
              </w:rPr>
              <w:t>2</w:t>
            </w:r>
            <w:r>
              <w:rPr>
                <w:rFonts w:ascii="Times New Roman" w:cs="Times New Roman"/>
                <w:b w:val="0"/>
                <w:bCs/>
                <w:color w:val="auto"/>
                <w:sz w:val="21"/>
                <w:szCs w:val="21"/>
              </w:rPr>
              <w:t>类区限值要求。</w:t>
            </w:r>
          </w:p>
          <w:p w14:paraId="02FA1275">
            <w:pPr>
              <w:pStyle w:val="51"/>
              <w:keepNext w:val="0"/>
              <w:keepLines w:val="0"/>
              <w:pageBreakBefore w:val="0"/>
              <w:widowControl w:val="0"/>
              <w:kinsoku/>
              <w:wordWrap/>
              <w:overflowPunct/>
              <w:topLinePunct w:val="0"/>
              <w:bidi w:val="0"/>
              <w:adjustRightInd w:val="0"/>
              <w:snapToGrid w:val="0"/>
              <w:spacing w:line="360" w:lineRule="auto"/>
              <w:ind w:firstLine="420"/>
              <w:textAlignment w:val="auto"/>
              <w:rPr>
                <w:color w:val="auto"/>
                <w:sz w:val="21"/>
                <w:szCs w:val="21"/>
              </w:rPr>
            </w:pPr>
            <w:r>
              <w:rPr>
                <w:rFonts w:hint="eastAsia"/>
                <w:color w:val="auto"/>
                <w:sz w:val="21"/>
                <w:szCs w:val="21"/>
              </w:rPr>
              <w:t>配料、投料粉尘</w:t>
            </w:r>
            <w:r>
              <w:rPr>
                <w:rFonts w:hint="eastAsia"/>
                <w:color w:val="auto"/>
                <w:sz w:val="21"/>
                <w:szCs w:val="21"/>
                <w:lang w:val="en-US" w:eastAsia="zh-CN"/>
              </w:rPr>
              <w:t>集气罩</w:t>
            </w:r>
            <w:r>
              <w:rPr>
                <w:rFonts w:hint="eastAsia"/>
                <w:color w:val="auto"/>
                <w:sz w:val="21"/>
                <w:szCs w:val="21"/>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color w:val="auto"/>
                <w:sz w:val="21"/>
                <w:szCs w:val="21"/>
              </w:rPr>
              <w:t>。废气均可达标排放</w:t>
            </w:r>
            <w:r>
              <w:rPr>
                <w:rFonts w:hint="eastAsia"/>
                <w:color w:val="auto"/>
                <w:sz w:val="21"/>
                <w:szCs w:val="21"/>
                <w:lang w:eastAsia="zh-CN"/>
              </w:rPr>
              <w:t>，</w:t>
            </w:r>
            <w:r>
              <w:rPr>
                <w:color w:val="auto"/>
                <w:sz w:val="21"/>
                <w:szCs w:val="21"/>
              </w:rPr>
              <w:t>对大气环境影响较小，不会对区域大气环境质量造成明显</w:t>
            </w:r>
            <w:r>
              <w:rPr>
                <w:rFonts w:hint="eastAsia"/>
                <w:color w:val="auto"/>
                <w:sz w:val="21"/>
                <w:szCs w:val="21"/>
              </w:rPr>
              <w:t>影响</w:t>
            </w:r>
            <w:r>
              <w:rPr>
                <w:color w:val="auto"/>
                <w:sz w:val="21"/>
                <w:szCs w:val="21"/>
              </w:rPr>
              <w:t>；生活污水接管至常州金坛区第二污水处理有限公司集中处理；固体废物均按照要求委托相关单位进行妥善处置。上述措施确保拟建项目污染物排放对环境的影响降到最低，不会突破环境质量底线，改变区域环境功能区。</w:t>
            </w:r>
          </w:p>
          <w:p w14:paraId="4C91363B">
            <w:pPr>
              <w:pStyle w:val="51"/>
              <w:keepNext w:val="0"/>
              <w:keepLines w:val="0"/>
              <w:pageBreakBefore w:val="0"/>
              <w:widowControl w:val="0"/>
              <w:kinsoku/>
              <w:wordWrap/>
              <w:overflowPunct/>
              <w:topLinePunct w:val="0"/>
              <w:bidi w:val="0"/>
              <w:adjustRightInd w:val="0"/>
              <w:snapToGrid w:val="0"/>
              <w:spacing w:line="360" w:lineRule="auto"/>
              <w:ind w:firstLine="420"/>
              <w:textAlignment w:val="auto"/>
              <w:rPr>
                <w:color w:val="auto"/>
                <w:sz w:val="21"/>
                <w:szCs w:val="21"/>
              </w:rPr>
            </w:pPr>
            <w:r>
              <w:rPr>
                <w:rFonts w:hint="eastAsia"/>
                <w:color w:val="auto"/>
                <w:sz w:val="21"/>
                <w:szCs w:val="21"/>
              </w:rPr>
              <w:t>3、</w:t>
            </w:r>
            <w:r>
              <w:rPr>
                <w:color w:val="auto"/>
                <w:sz w:val="21"/>
                <w:szCs w:val="21"/>
              </w:rPr>
              <w:t>资源利用上线相符性</w:t>
            </w:r>
          </w:p>
          <w:p w14:paraId="7B8454EC">
            <w:pPr>
              <w:pStyle w:val="51"/>
              <w:keepNext w:val="0"/>
              <w:keepLines w:val="0"/>
              <w:pageBreakBefore w:val="0"/>
              <w:widowControl w:val="0"/>
              <w:kinsoku/>
              <w:wordWrap/>
              <w:overflowPunct/>
              <w:topLinePunct w:val="0"/>
              <w:bidi w:val="0"/>
              <w:adjustRightInd w:val="0"/>
              <w:snapToGrid w:val="0"/>
              <w:spacing w:line="360" w:lineRule="auto"/>
              <w:ind w:firstLine="420"/>
              <w:textAlignment w:val="auto"/>
              <w:rPr>
                <w:color w:val="auto"/>
                <w:sz w:val="21"/>
                <w:szCs w:val="21"/>
              </w:rPr>
            </w:pPr>
            <w:r>
              <w:rPr>
                <w:rFonts w:hint="eastAsia"/>
                <w:color w:val="auto"/>
                <w:sz w:val="21"/>
                <w:szCs w:val="21"/>
              </w:rPr>
              <w:t>本</w:t>
            </w:r>
            <w:r>
              <w:rPr>
                <w:color w:val="auto"/>
                <w:sz w:val="21"/>
                <w:szCs w:val="21"/>
              </w:rPr>
              <w:t>项目位于</w:t>
            </w:r>
            <w:r>
              <w:rPr>
                <w:rFonts w:hint="eastAsia"/>
                <w:color w:val="auto"/>
                <w:sz w:val="21"/>
                <w:szCs w:val="21"/>
                <w:lang w:eastAsia="zh-CN"/>
              </w:rPr>
              <w:t>常州市金坛区经济开发区东湖路28号</w:t>
            </w:r>
            <w:r>
              <w:rPr>
                <w:color w:val="auto"/>
                <w:sz w:val="21"/>
                <w:szCs w:val="21"/>
              </w:rPr>
              <w:t>，用水来源为市政自来水，用电为开发区供电管网。项目使用的水电量均较小，开发区自来水厂、供电管网均可满足本项目的使用要求。项目所需的原材料均可就近购买，因此建设项目与资源利用上线相符。</w:t>
            </w:r>
          </w:p>
          <w:p w14:paraId="6DC960BF">
            <w:pPr>
              <w:pStyle w:val="51"/>
              <w:keepNext w:val="0"/>
              <w:keepLines w:val="0"/>
              <w:pageBreakBefore w:val="0"/>
              <w:widowControl w:val="0"/>
              <w:kinsoku/>
              <w:wordWrap/>
              <w:overflowPunct/>
              <w:topLinePunct w:val="0"/>
              <w:bidi w:val="0"/>
              <w:adjustRightInd w:val="0"/>
              <w:snapToGrid w:val="0"/>
              <w:spacing w:line="360" w:lineRule="auto"/>
              <w:ind w:firstLine="420"/>
              <w:textAlignment w:val="auto"/>
              <w:rPr>
                <w:color w:val="auto"/>
                <w:sz w:val="21"/>
                <w:szCs w:val="21"/>
              </w:rPr>
            </w:pPr>
            <w:r>
              <w:rPr>
                <w:rFonts w:hint="eastAsia"/>
                <w:color w:val="auto"/>
                <w:sz w:val="21"/>
                <w:szCs w:val="21"/>
              </w:rPr>
              <w:t>4、</w:t>
            </w:r>
            <w:r>
              <w:rPr>
                <w:color w:val="auto"/>
                <w:sz w:val="21"/>
                <w:szCs w:val="21"/>
              </w:rPr>
              <w:t>环境准入负面清单相符性分析</w:t>
            </w:r>
          </w:p>
          <w:p w14:paraId="5041E20A">
            <w:pPr>
              <w:pStyle w:val="51"/>
              <w:keepNext w:val="0"/>
              <w:keepLines w:val="0"/>
              <w:pageBreakBefore w:val="0"/>
              <w:widowControl w:val="0"/>
              <w:kinsoku/>
              <w:wordWrap/>
              <w:overflowPunct/>
              <w:topLinePunct w:val="0"/>
              <w:bidi w:val="0"/>
              <w:adjustRightInd w:val="0"/>
              <w:snapToGrid w:val="0"/>
              <w:spacing w:line="360" w:lineRule="auto"/>
              <w:ind w:firstLine="420"/>
              <w:textAlignment w:val="auto"/>
              <w:rPr>
                <w:color w:val="auto"/>
                <w:sz w:val="21"/>
                <w:szCs w:val="21"/>
              </w:rPr>
            </w:pPr>
            <w:r>
              <w:rPr>
                <w:color w:val="auto"/>
                <w:sz w:val="21"/>
                <w:szCs w:val="21"/>
              </w:rPr>
              <w:t>金坛区尚未颁布环境准入负面清单，因此本次对照国家、地方相关产业政策分析。详见下表：</w:t>
            </w:r>
          </w:p>
          <w:p w14:paraId="72E045E2">
            <w:pPr>
              <w:pStyle w:val="51"/>
              <w:adjustRightInd w:val="0"/>
              <w:snapToGrid w:val="0"/>
              <w:spacing w:line="240" w:lineRule="auto"/>
              <w:ind w:firstLine="0" w:firstLineChars="0"/>
              <w:jc w:val="center"/>
              <w:rPr>
                <w:b/>
                <w:bCs/>
                <w:color w:val="auto"/>
                <w:sz w:val="21"/>
                <w:szCs w:val="21"/>
              </w:rPr>
            </w:pPr>
            <w:r>
              <w:rPr>
                <w:b/>
                <w:bCs/>
                <w:color w:val="auto"/>
                <w:sz w:val="21"/>
                <w:szCs w:val="21"/>
              </w:rPr>
              <w:t>表1-</w:t>
            </w:r>
            <w:r>
              <w:rPr>
                <w:rFonts w:hint="eastAsia"/>
                <w:b/>
                <w:bCs/>
                <w:color w:val="auto"/>
                <w:sz w:val="21"/>
                <w:szCs w:val="21"/>
                <w:lang w:val="en-US" w:eastAsia="zh-CN"/>
              </w:rPr>
              <w:t>5</w:t>
            </w:r>
            <w:r>
              <w:rPr>
                <w:b/>
                <w:bCs/>
                <w:color w:val="auto"/>
                <w:sz w:val="21"/>
                <w:szCs w:val="21"/>
              </w:rPr>
              <w:t xml:space="preserve"> 环境准入负面清单对照</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6"/>
              <w:gridCol w:w="6288"/>
              <w:gridCol w:w="931"/>
            </w:tblGrid>
            <w:tr w14:paraId="2D391A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5" w:type="pct"/>
                  <w:noWrap w:val="0"/>
                  <w:tcMar>
                    <w:top w:w="0" w:type="dxa"/>
                    <w:left w:w="0" w:type="dxa"/>
                    <w:bottom w:w="0" w:type="dxa"/>
                    <w:right w:w="0" w:type="dxa"/>
                  </w:tcMar>
                  <w:vAlign w:val="center"/>
                </w:tcPr>
                <w:p w14:paraId="0016348A">
                  <w:pPr>
                    <w:pStyle w:val="69"/>
                    <w:autoSpaceDE/>
                    <w:autoSpaceDN/>
                    <w:adjustRightInd w:val="0"/>
                    <w:jc w:val="center"/>
                    <w:textAlignment w:val="top"/>
                    <w:rPr>
                      <w:rFonts w:ascii="Times New Roman" w:hAnsi="Times New Roman" w:eastAsia="宋体" w:cs="Times New Roman"/>
                      <w:b/>
                      <w:bCs/>
                      <w:color w:val="auto"/>
                      <w:kern w:val="2"/>
                      <w:sz w:val="21"/>
                      <w:szCs w:val="21"/>
                    </w:rPr>
                  </w:pPr>
                  <w:r>
                    <w:rPr>
                      <w:rFonts w:ascii="Times New Roman" w:hAnsi="Times New Roman" w:eastAsia="宋体" w:cs="Times New Roman"/>
                      <w:b/>
                      <w:bCs/>
                      <w:color w:val="auto"/>
                      <w:kern w:val="2"/>
                      <w:sz w:val="21"/>
                      <w:szCs w:val="21"/>
                    </w:rPr>
                    <w:t>类别</w:t>
                  </w:r>
                </w:p>
              </w:tc>
              <w:tc>
                <w:tcPr>
                  <w:tcW w:w="3931" w:type="pct"/>
                  <w:noWrap w:val="0"/>
                  <w:tcMar>
                    <w:top w:w="0" w:type="dxa"/>
                    <w:left w:w="0" w:type="dxa"/>
                    <w:bottom w:w="0" w:type="dxa"/>
                    <w:right w:w="0" w:type="dxa"/>
                  </w:tcMar>
                  <w:vAlign w:val="center"/>
                </w:tcPr>
                <w:p w14:paraId="33286BF6">
                  <w:pPr>
                    <w:pStyle w:val="69"/>
                    <w:autoSpaceDE/>
                    <w:autoSpaceDN/>
                    <w:adjustRightInd w:val="0"/>
                    <w:jc w:val="center"/>
                    <w:textAlignment w:val="top"/>
                    <w:rPr>
                      <w:rFonts w:ascii="Times New Roman" w:hAnsi="Times New Roman" w:eastAsia="宋体" w:cs="Times New Roman"/>
                      <w:b/>
                      <w:bCs/>
                      <w:color w:val="auto"/>
                      <w:kern w:val="2"/>
                      <w:sz w:val="21"/>
                      <w:szCs w:val="21"/>
                    </w:rPr>
                  </w:pPr>
                  <w:r>
                    <w:rPr>
                      <w:rFonts w:ascii="Times New Roman" w:hAnsi="Times New Roman" w:eastAsia="宋体" w:cs="Times New Roman"/>
                      <w:b/>
                      <w:bCs/>
                      <w:color w:val="auto"/>
                      <w:kern w:val="2"/>
                      <w:sz w:val="21"/>
                      <w:szCs w:val="21"/>
                    </w:rPr>
                    <w:t>准入指标</w:t>
                  </w:r>
                </w:p>
              </w:tc>
              <w:tc>
                <w:tcPr>
                  <w:tcW w:w="582" w:type="pct"/>
                  <w:noWrap w:val="0"/>
                  <w:tcMar>
                    <w:top w:w="0" w:type="dxa"/>
                    <w:left w:w="0" w:type="dxa"/>
                    <w:bottom w:w="0" w:type="dxa"/>
                    <w:right w:w="0" w:type="dxa"/>
                  </w:tcMar>
                  <w:vAlign w:val="center"/>
                </w:tcPr>
                <w:p w14:paraId="7E44B484">
                  <w:pPr>
                    <w:pStyle w:val="69"/>
                    <w:autoSpaceDE/>
                    <w:autoSpaceDN/>
                    <w:adjustRightInd w:val="0"/>
                    <w:jc w:val="center"/>
                    <w:textAlignment w:val="top"/>
                    <w:rPr>
                      <w:rFonts w:ascii="Times New Roman" w:hAnsi="Times New Roman" w:eastAsia="宋体" w:cs="Times New Roman"/>
                      <w:b/>
                      <w:bCs/>
                      <w:color w:val="auto"/>
                      <w:kern w:val="2"/>
                      <w:sz w:val="21"/>
                      <w:szCs w:val="21"/>
                    </w:rPr>
                  </w:pPr>
                  <w:r>
                    <w:rPr>
                      <w:rFonts w:ascii="Times New Roman" w:hAnsi="Times New Roman" w:eastAsia="宋体" w:cs="Times New Roman"/>
                      <w:b/>
                      <w:bCs/>
                      <w:color w:val="auto"/>
                      <w:kern w:val="2"/>
                      <w:sz w:val="21"/>
                      <w:szCs w:val="21"/>
                    </w:rPr>
                    <w:t>相符性</w:t>
                  </w:r>
                </w:p>
              </w:tc>
            </w:tr>
            <w:tr w14:paraId="6D8A32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85" w:type="pct"/>
                  <w:noWrap w:val="0"/>
                  <w:tcMar>
                    <w:top w:w="0" w:type="dxa"/>
                    <w:left w:w="0" w:type="dxa"/>
                    <w:bottom w:w="0" w:type="dxa"/>
                    <w:right w:w="0" w:type="dxa"/>
                  </w:tcMar>
                  <w:vAlign w:val="center"/>
                </w:tcPr>
                <w:p w14:paraId="0C4D6506">
                  <w:pPr>
                    <w:jc w:val="center"/>
                    <w:rPr>
                      <w:color w:val="auto"/>
                      <w:szCs w:val="21"/>
                    </w:rPr>
                  </w:pPr>
                  <w:r>
                    <w:rPr>
                      <w:rFonts w:hint="eastAsia"/>
                      <w:color w:val="auto"/>
                      <w:szCs w:val="21"/>
                    </w:rPr>
                    <w:t>1</w:t>
                  </w:r>
                </w:p>
              </w:tc>
              <w:tc>
                <w:tcPr>
                  <w:tcW w:w="3931" w:type="pct"/>
                  <w:noWrap w:val="0"/>
                  <w:tcMar>
                    <w:top w:w="0" w:type="dxa"/>
                    <w:left w:w="0" w:type="dxa"/>
                    <w:bottom w:w="0" w:type="dxa"/>
                    <w:right w:w="0" w:type="dxa"/>
                  </w:tcMar>
                  <w:vAlign w:val="center"/>
                </w:tcPr>
                <w:p w14:paraId="0675FD1E">
                  <w:pPr>
                    <w:pStyle w:val="69"/>
                    <w:autoSpaceDE/>
                    <w:autoSpaceDN/>
                    <w:adjustRightInd w:val="0"/>
                    <w:jc w:val="center"/>
                    <w:textAlignment w:val="top"/>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法律、法规、国务院决定等明确设立且与市场准入相关的禁止性规定</w:t>
                  </w:r>
                </w:p>
              </w:tc>
              <w:tc>
                <w:tcPr>
                  <w:tcW w:w="582" w:type="pct"/>
                  <w:noWrap w:val="0"/>
                  <w:tcMar>
                    <w:top w:w="0" w:type="dxa"/>
                    <w:left w:w="0" w:type="dxa"/>
                    <w:bottom w:w="0" w:type="dxa"/>
                    <w:right w:w="0" w:type="dxa"/>
                  </w:tcMar>
                  <w:vAlign w:val="center"/>
                </w:tcPr>
                <w:p w14:paraId="44216C97">
                  <w:pPr>
                    <w:pStyle w:val="69"/>
                    <w:autoSpaceDE/>
                    <w:autoSpaceDN/>
                    <w:adjustRightInd w:val="0"/>
                    <w:jc w:val="center"/>
                    <w:textAlignment w:val="top"/>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相符</w:t>
                  </w:r>
                </w:p>
              </w:tc>
            </w:tr>
            <w:tr w14:paraId="062023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5" w:type="pct"/>
                  <w:noWrap w:val="0"/>
                  <w:tcMar>
                    <w:top w:w="0" w:type="dxa"/>
                    <w:left w:w="0" w:type="dxa"/>
                    <w:bottom w:w="0" w:type="dxa"/>
                    <w:right w:w="0" w:type="dxa"/>
                  </w:tcMar>
                  <w:vAlign w:val="center"/>
                </w:tcPr>
                <w:p w14:paraId="505B27BC">
                  <w:pPr>
                    <w:jc w:val="center"/>
                    <w:rPr>
                      <w:color w:val="auto"/>
                      <w:szCs w:val="21"/>
                    </w:rPr>
                  </w:pPr>
                  <w:r>
                    <w:rPr>
                      <w:rFonts w:hint="eastAsia"/>
                      <w:color w:val="auto"/>
                      <w:szCs w:val="21"/>
                    </w:rPr>
                    <w:t>2</w:t>
                  </w:r>
                </w:p>
              </w:tc>
              <w:tc>
                <w:tcPr>
                  <w:tcW w:w="3931" w:type="pct"/>
                  <w:noWrap w:val="0"/>
                  <w:tcMar>
                    <w:top w:w="0" w:type="dxa"/>
                    <w:left w:w="0" w:type="dxa"/>
                    <w:bottom w:w="0" w:type="dxa"/>
                    <w:right w:w="0" w:type="dxa"/>
                  </w:tcMar>
                  <w:vAlign w:val="center"/>
                </w:tcPr>
                <w:p w14:paraId="27698A1D">
                  <w:pPr>
                    <w:pStyle w:val="69"/>
                    <w:autoSpaceDE/>
                    <w:autoSpaceDN/>
                    <w:adjustRightInd w:val="0"/>
                    <w:jc w:val="center"/>
                    <w:textAlignment w:val="top"/>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本项目从事</w:t>
                  </w:r>
                  <w:r>
                    <w:rPr>
                      <w:rFonts w:hint="eastAsia" w:ascii="Times New Roman" w:hAnsi="Times New Roman" w:eastAsia="宋体" w:cs="Times New Roman"/>
                      <w:color w:val="auto"/>
                      <w:kern w:val="2"/>
                      <w:sz w:val="21"/>
                      <w:szCs w:val="21"/>
                      <w:lang w:eastAsia="zh-CN"/>
                    </w:rPr>
                    <w:t>热塑性弹性体颗</w:t>
                  </w:r>
                  <w:r>
                    <w:rPr>
                      <w:rFonts w:hint="eastAsia" w:ascii="Times New Roman" w:hAnsi="Times New Roman" w:eastAsia="宋体" w:cs="Times New Roman"/>
                      <w:color w:val="auto"/>
                      <w:lang w:eastAsia="zh-CN"/>
                    </w:rPr>
                    <w:t>粒</w:t>
                  </w:r>
                  <w:r>
                    <w:rPr>
                      <w:rFonts w:hint="eastAsia" w:ascii="Times New Roman" w:hAnsi="Times New Roman" w:eastAsia="宋体" w:cs="Times New Roman"/>
                      <w:color w:val="auto"/>
                      <w:kern w:val="2"/>
                      <w:sz w:val="21"/>
                      <w:szCs w:val="21"/>
                      <w:lang w:eastAsia="zh-CN"/>
                    </w:rPr>
                    <w:t>、汽车密封件</w:t>
                  </w:r>
                  <w:r>
                    <w:rPr>
                      <w:rFonts w:ascii="Times New Roman" w:hAnsi="Times New Roman" w:eastAsia="宋体" w:cs="Times New Roman"/>
                      <w:color w:val="auto"/>
                      <w:kern w:val="2"/>
                      <w:sz w:val="21"/>
                      <w:szCs w:val="21"/>
                    </w:rPr>
                    <w:t>的生产，产品及采用的生产工艺、设备等均不属于国家发改委《产业结构调整指导目录（</w:t>
                  </w:r>
                  <w:r>
                    <w:rPr>
                      <w:rFonts w:hint="eastAsia" w:ascii="Times New Roman" w:hAnsi="Times New Roman" w:eastAsia="宋体" w:cs="Times New Roman"/>
                      <w:color w:val="auto"/>
                      <w:kern w:val="2"/>
                      <w:sz w:val="21"/>
                      <w:szCs w:val="21"/>
                    </w:rPr>
                    <w:t>2024年本</w:t>
                  </w:r>
                  <w:r>
                    <w:rPr>
                      <w:rFonts w:ascii="Times New Roman" w:hAnsi="Times New Roman" w:eastAsia="宋体" w:cs="Times New Roman"/>
                      <w:color w:val="auto"/>
                      <w:kern w:val="2"/>
                      <w:sz w:val="21"/>
                      <w:szCs w:val="21"/>
                    </w:rPr>
                    <w:t>）》中限制类和淘汰类项目。</w:t>
                  </w:r>
                </w:p>
              </w:tc>
              <w:tc>
                <w:tcPr>
                  <w:tcW w:w="582" w:type="pct"/>
                  <w:noWrap w:val="0"/>
                  <w:tcMar>
                    <w:top w:w="0" w:type="dxa"/>
                    <w:left w:w="0" w:type="dxa"/>
                    <w:bottom w:w="0" w:type="dxa"/>
                    <w:right w:w="0" w:type="dxa"/>
                  </w:tcMar>
                  <w:vAlign w:val="center"/>
                </w:tcPr>
                <w:p w14:paraId="0212A0E0">
                  <w:pPr>
                    <w:pStyle w:val="69"/>
                    <w:autoSpaceDE/>
                    <w:autoSpaceDN/>
                    <w:adjustRightInd w:val="0"/>
                    <w:jc w:val="center"/>
                    <w:textAlignment w:val="top"/>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相符</w:t>
                  </w:r>
                </w:p>
              </w:tc>
            </w:tr>
            <w:tr w14:paraId="603248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5" w:type="pct"/>
                  <w:noWrap w:val="0"/>
                  <w:tcMar>
                    <w:top w:w="0" w:type="dxa"/>
                    <w:left w:w="0" w:type="dxa"/>
                    <w:bottom w:w="0" w:type="dxa"/>
                    <w:right w:w="0" w:type="dxa"/>
                  </w:tcMar>
                  <w:vAlign w:val="center"/>
                </w:tcPr>
                <w:p w14:paraId="642CF651">
                  <w:pPr>
                    <w:jc w:val="center"/>
                    <w:rPr>
                      <w:color w:val="auto"/>
                      <w:szCs w:val="21"/>
                    </w:rPr>
                  </w:pPr>
                  <w:r>
                    <w:rPr>
                      <w:rFonts w:hint="eastAsia"/>
                      <w:color w:val="auto"/>
                      <w:szCs w:val="21"/>
                    </w:rPr>
                    <w:t>3</w:t>
                  </w:r>
                </w:p>
              </w:tc>
              <w:tc>
                <w:tcPr>
                  <w:tcW w:w="3931" w:type="pct"/>
                  <w:noWrap w:val="0"/>
                  <w:tcMar>
                    <w:top w:w="0" w:type="dxa"/>
                    <w:left w:w="0" w:type="dxa"/>
                    <w:bottom w:w="0" w:type="dxa"/>
                    <w:right w:w="0" w:type="dxa"/>
                  </w:tcMar>
                  <w:vAlign w:val="center"/>
                </w:tcPr>
                <w:p w14:paraId="2EE4B2A5">
                  <w:pPr>
                    <w:jc w:val="center"/>
                    <w:rPr>
                      <w:color w:val="auto"/>
                      <w:szCs w:val="21"/>
                    </w:rPr>
                  </w:pPr>
                  <w:r>
                    <w:rPr>
                      <w:color w:val="auto"/>
                      <w:szCs w:val="21"/>
                    </w:rPr>
                    <w:t>本项目从事</w:t>
                  </w:r>
                  <w:r>
                    <w:rPr>
                      <w:rFonts w:hint="eastAsia"/>
                      <w:color w:val="auto"/>
                      <w:szCs w:val="21"/>
                      <w:lang w:eastAsia="zh-CN"/>
                    </w:rPr>
                    <w:t>热塑性弹性体颗</w:t>
                  </w:r>
                  <w:r>
                    <w:rPr>
                      <w:rFonts w:hint="eastAsia" w:ascii="Times New Roman" w:hAnsi="Times New Roman" w:eastAsia="宋体" w:cs="Times New Roman"/>
                      <w:color w:val="auto"/>
                      <w:lang w:eastAsia="zh-CN"/>
                    </w:rPr>
                    <w:t>粒</w:t>
                  </w:r>
                  <w:r>
                    <w:rPr>
                      <w:rFonts w:hint="eastAsia"/>
                      <w:color w:val="auto"/>
                      <w:szCs w:val="21"/>
                      <w:lang w:eastAsia="zh-CN"/>
                    </w:rPr>
                    <w:t>、汽车密封件</w:t>
                  </w:r>
                  <w:r>
                    <w:rPr>
                      <w:color w:val="auto"/>
                      <w:szCs w:val="21"/>
                    </w:rPr>
                    <w:t>的生产，不属于《市场准入负面清单》（202</w:t>
                  </w:r>
                  <w:r>
                    <w:rPr>
                      <w:rFonts w:hint="eastAsia"/>
                      <w:color w:val="auto"/>
                      <w:szCs w:val="21"/>
                      <w:lang w:val="en-US" w:eastAsia="zh-CN"/>
                    </w:rPr>
                    <w:t>5</w:t>
                  </w:r>
                  <w:r>
                    <w:rPr>
                      <w:color w:val="auto"/>
                      <w:szCs w:val="21"/>
                    </w:rPr>
                    <w:t>年版）中禁止准入类项目</w:t>
                  </w:r>
                </w:p>
              </w:tc>
              <w:tc>
                <w:tcPr>
                  <w:tcW w:w="582" w:type="pct"/>
                  <w:noWrap w:val="0"/>
                  <w:tcMar>
                    <w:top w:w="0" w:type="dxa"/>
                    <w:left w:w="0" w:type="dxa"/>
                    <w:bottom w:w="0" w:type="dxa"/>
                    <w:right w:w="0" w:type="dxa"/>
                  </w:tcMar>
                  <w:vAlign w:val="center"/>
                </w:tcPr>
                <w:p w14:paraId="226BB79C">
                  <w:pPr>
                    <w:jc w:val="center"/>
                    <w:rPr>
                      <w:color w:val="auto"/>
                      <w:szCs w:val="21"/>
                    </w:rPr>
                  </w:pPr>
                  <w:r>
                    <w:rPr>
                      <w:color w:val="auto"/>
                      <w:szCs w:val="21"/>
                    </w:rPr>
                    <w:t>相符</w:t>
                  </w:r>
                </w:p>
              </w:tc>
            </w:tr>
            <w:tr w14:paraId="4381BE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5" w:type="pct"/>
                  <w:noWrap w:val="0"/>
                  <w:tcMar>
                    <w:top w:w="0" w:type="dxa"/>
                    <w:left w:w="0" w:type="dxa"/>
                    <w:bottom w:w="0" w:type="dxa"/>
                    <w:right w:w="0" w:type="dxa"/>
                  </w:tcMar>
                  <w:vAlign w:val="center"/>
                </w:tcPr>
                <w:p w14:paraId="457D9C3C">
                  <w:pPr>
                    <w:jc w:val="center"/>
                    <w:rPr>
                      <w:color w:val="auto"/>
                      <w:szCs w:val="21"/>
                    </w:rPr>
                  </w:pPr>
                  <w:r>
                    <w:rPr>
                      <w:rFonts w:hint="eastAsia"/>
                      <w:color w:val="auto"/>
                      <w:szCs w:val="21"/>
                    </w:rPr>
                    <w:t>4</w:t>
                  </w:r>
                </w:p>
              </w:tc>
              <w:tc>
                <w:tcPr>
                  <w:tcW w:w="3931" w:type="pct"/>
                  <w:noWrap w:val="0"/>
                  <w:tcMar>
                    <w:top w:w="0" w:type="dxa"/>
                    <w:left w:w="0" w:type="dxa"/>
                    <w:bottom w:w="0" w:type="dxa"/>
                    <w:right w:w="0" w:type="dxa"/>
                  </w:tcMar>
                  <w:vAlign w:val="center"/>
                </w:tcPr>
                <w:p w14:paraId="605046BC">
                  <w:pPr>
                    <w:pStyle w:val="6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本项目从事</w:t>
                  </w:r>
                  <w:r>
                    <w:rPr>
                      <w:rFonts w:hint="eastAsia" w:ascii="Times New Roman" w:hAnsi="Times New Roman" w:eastAsia="宋体" w:cs="Times New Roman"/>
                      <w:color w:val="auto"/>
                      <w:sz w:val="21"/>
                      <w:szCs w:val="21"/>
                      <w:lang w:eastAsia="zh-CN"/>
                    </w:rPr>
                    <w:t>热塑性弹性体颗</w:t>
                  </w:r>
                  <w:r>
                    <w:rPr>
                      <w:rFonts w:hint="eastAsia" w:ascii="Times New Roman" w:hAnsi="Times New Roman" w:eastAsia="宋体" w:cs="Times New Roman"/>
                      <w:color w:val="auto"/>
                      <w:lang w:eastAsia="zh-CN"/>
                    </w:rPr>
                    <w:t>粒</w:t>
                  </w:r>
                  <w:r>
                    <w:rPr>
                      <w:rFonts w:hint="eastAsia" w:ascii="Times New Roman" w:hAnsi="Times New Roman" w:eastAsia="宋体" w:cs="Times New Roman"/>
                      <w:color w:val="auto"/>
                      <w:sz w:val="21"/>
                      <w:szCs w:val="21"/>
                      <w:lang w:eastAsia="zh-CN"/>
                    </w:rPr>
                    <w:t>、汽车密封件</w:t>
                  </w:r>
                  <w:r>
                    <w:rPr>
                      <w:rFonts w:ascii="Times New Roman" w:hAnsi="Times New Roman" w:eastAsia="宋体" w:cs="Times New Roman"/>
                      <w:color w:val="auto"/>
                      <w:sz w:val="21"/>
                      <w:szCs w:val="21"/>
                    </w:rPr>
                    <w:t>的生产，项目地位于</w:t>
                  </w:r>
                  <w:r>
                    <w:rPr>
                      <w:rFonts w:hint="eastAsia" w:ascii="Times New Roman" w:hAnsi="Times New Roman" w:eastAsia="宋体" w:cs="Times New Roman"/>
                      <w:color w:val="auto"/>
                      <w:sz w:val="21"/>
                      <w:szCs w:val="21"/>
                      <w:lang w:eastAsia="zh-CN"/>
                    </w:rPr>
                    <w:t>常州市金坛区经济开发区东湖路28号</w:t>
                  </w:r>
                  <w:r>
                    <w:rPr>
                      <w:rFonts w:ascii="Times New Roman" w:hAnsi="Times New Roman" w:eastAsia="宋体" w:cs="Times New Roman"/>
                      <w:color w:val="auto"/>
                      <w:sz w:val="21"/>
                      <w:szCs w:val="21"/>
                    </w:rPr>
                    <w:t>，属于金坛经济开发区的范围内，产品及采用的生产工艺、设备等未列入长江经济带发展负面清单，不属于《&lt;长江经济带发展负面清单指南&gt;江苏省实施细则（试行）》中禁止入驻的项目，故符合“《长江经济带发展负面清单指南》江苏省实施细则管控条款（试行）”的相关规定。</w:t>
                  </w:r>
                </w:p>
              </w:tc>
              <w:tc>
                <w:tcPr>
                  <w:tcW w:w="582" w:type="pct"/>
                  <w:noWrap w:val="0"/>
                  <w:tcMar>
                    <w:top w:w="0" w:type="dxa"/>
                    <w:left w:w="0" w:type="dxa"/>
                    <w:bottom w:w="0" w:type="dxa"/>
                    <w:right w:w="0" w:type="dxa"/>
                  </w:tcMar>
                  <w:vAlign w:val="center"/>
                </w:tcPr>
                <w:p w14:paraId="74929240">
                  <w:pPr>
                    <w:jc w:val="center"/>
                    <w:rPr>
                      <w:color w:val="auto"/>
                      <w:kern w:val="0"/>
                      <w:szCs w:val="21"/>
                    </w:rPr>
                  </w:pPr>
                  <w:r>
                    <w:rPr>
                      <w:color w:val="auto"/>
                      <w:szCs w:val="21"/>
                    </w:rPr>
                    <w:t>相符</w:t>
                  </w:r>
                </w:p>
              </w:tc>
            </w:tr>
            <w:tr w14:paraId="6EC67A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85" w:type="pct"/>
                  <w:noWrap w:val="0"/>
                  <w:tcMar>
                    <w:top w:w="0" w:type="dxa"/>
                    <w:left w:w="0" w:type="dxa"/>
                    <w:bottom w:w="0" w:type="dxa"/>
                    <w:right w:w="0" w:type="dxa"/>
                  </w:tcMar>
                  <w:vAlign w:val="center"/>
                </w:tcPr>
                <w:p w14:paraId="71D636FC">
                  <w:pPr>
                    <w:jc w:val="center"/>
                    <w:rPr>
                      <w:color w:val="auto"/>
                      <w:szCs w:val="21"/>
                    </w:rPr>
                  </w:pPr>
                  <w:r>
                    <w:rPr>
                      <w:rFonts w:hint="eastAsia"/>
                      <w:color w:val="auto"/>
                      <w:szCs w:val="21"/>
                    </w:rPr>
                    <w:t>5</w:t>
                  </w:r>
                </w:p>
              </w:tc>
              <w:tc>
                <w:tcPr>
                  <w:tcW w:w="3931" w:type="pct"/>
                  <w:noWrap w:val="0"/>
                  <w:tcMar>
                    <w:top w:w="0" w:type="dxa"/>
                    <w:left w:w="0" w:type="dxa"/>
                    <w:bottom w:w="0" w:type="dxa"/>
                    <w:right w:w="0" w:type="dxa"/>
                  </w:tcMar>
                  <w:vAlign w:val="center"/>
                </w:tcPr>
                <w:p w14:paraId="20CDD9A6">
                  <w:pPr>
                    <w:pStyle w:val="69"/>
                    <w:rPr>
                      <w:rFonts w:ascii="Times New Roman" w:hAnsi="Times New Roman" w:eastAsia="宋体" w:cs="Times New Roman"/>
                      <w:color w:val="auto"/>
                      <w:sz w:val="21"/>
                      <w:szCs w:val="21"/>
                    </w:rPr>
                  </w:pPr>
                  <w:r>
                    <w:rPr>
                      <w:rFonts w:ascii="Times New Roman" w:hAnsi="Times New Roman" w:eastAsia="宋体" w:cs="Times New Roman"/>
                      <w:color w:val="auto"/>
                      <w:kern w:val="2"/>
                      <w:sz w:val="21"/>
                      <w:szCs w:val="21"/>
                    </w:rPr>
                    <w:t>本项目从事</w:t>
                  </w:r>
                  <w:r>
                    <w:rPr>
                      <w:rFonts w:hint="eastAsia" w:ascii="Times New Roman" w:hAnsi="Times New Roman" w:eastAsia="宋体" w:cs="Times New Roman"/>
                      <w:color w:val="auto"/>
                      <w:kern w:val="2"/>
                      <w:sz w:val="21"/>
                      <w:szCs w:val="21"/>
                      <w:lang w:eastAsia="zh-CN"/>
                    </w:rPr>
                    <w:t>热塑性弹性体颗</w:t>
                  </w:r>
                  <w:r>
                    <w:rPr>
                      <w:rFonts w:hint="eastAsia" w:ascii="Times New Roman" w:hAnsi="Times New Roman" w:eastAsia="宋体" w:cs="Times New Roman"/>
                      <w:color w:val="auto"/>
                      <w:lang w:eastAsia="zh-CN"/>
                    </w:rPr>
                    <w:t>粒</w:t>
                  </w:r>
                  <w:r>
                    <w:rPr>
                      <w:rFonts w:hint="eastAsia" w:ascii="Times New Roman" w:hAnsi="Times New Roman" w:eastAsia="宋体" w:cs="Times New Roman"/>
                      <w:color w:val="auto"/>
                      <w:kern w:val="2"/>
                      <w:sz w:val="21"/>
                      <w:szCs w:val="21"/>
                      <w:lang w:eastAsia="zh-CN"/>
                    </w:rPr>
                    <w:t>、汽车密封件</w:t>
                  </w:r>
                  <w:r>
                    <w:rPr>
                      <w:rFonts w:ascii="Times New Roman" w:hAnsi="Times New Roman" w:eastAsia="宋体" w:cs="Times New Roman"/>
                      <w:color w:val="auto"/>
                      <w:kern w:val="2"/>
                      <w:sz w:val="21"/>
                      <w:szCs w:val="21"/>
                    </w:rPr>
                    <w:t>的生产</w:t>
                  </w:r>
                  <w:r>
                    <w:rPr>
                      <w:rFonts w:hint="eastAsia" w:ascii="Times New Roman" w:hAnsi="Times New Roman" w:eastAsia="宋体" w:cs="Times New Roman"/>
                      <w:color w:val="auto"/>
                      <w:kern w:val="2"/>
                      <w:sz w:val="21"/>
                      <w:szCs w:val="21"/>
                    </w:rPr>
                    <w:t>，属于</w:t>
                  </w:r>
                  <w:r>
                    <w:rPr>
                      <w:rFonts w:hint="eastAsia" w:eastAsia="宋体"/>
                      <w:color w:val="auto"/>
                      <w:szCs w:val="21"/>
                      <w:lang w:eastAsia="zh-CN"/>
                    </w:rPr>
                    <w:t>塑料零件及其他塑料制品制造</w:t>
                  </w:r>
                  <w:r>
                    <w:rPr>
                      <w:rFonts w:hint="eastAsia" w:ascii="Times New Roman" w:hAnsi="Times New Roman" w:eastAsia="宋体" w:cs="Times New Roman"/>
                      <w:color w:val="auto"/>
                      <w:kern w:val="2"/>
                      <w:sz w:val="21"/>
                      <w:szCs w:val="21"/>
                    </w:rPr>
                    <w:t>项目，不属于《江苏省“两高”项目管理目录（2025年版）》中“两高”项目范围</w:t>
                  </w:r>
                </w:p>
              </w:tc>
              <w:tc>
                <w:tcPr>
                  <w:tcW w:w="582" w:type="pct"/>
                  <w:noWrap w:val="0"/>
                  <w:tcMar>
                    <w:top w:w="0" w:type="dxa"/>
                    <w:left w:w="0" w:type="dxa"/>
                    <w:bottom w:w="0" w:type="dxa"/>
                    <w:right w:w="0" w:type="dxa"/>
                  </w:tcMar>
                  <w:vAlign w:val="center"/>
                </w:tcPr>
                <w:p w14:paraId="4EFEC48F">
                  <w:pPr>
                    <w:jc w:val="center"/>
                    <w:rPr>
                      <w:color w:val="auto"/>
                      <w:szCs w:val="21"/>
                    </w:rPr>
                  </w:pPr>
                  <w:r>
                    <w:rPr>
                      <w:color w:val="auto"/>
                      <w:szCs w:val="21"/>
                    </w:rPr>
                    <w:t>相符</w:t>
                  </w:r>
                </w:p>
              </w:tc>
            </w:tr>
          </w:tbl>
          <w:p w14:paraId="5B4D3867">
            <w:pPr>
              <w:spacing w:before="120" w:beforeLines="50"/>
              <w:jc w:val="center"/>
              <w:rPr>
                <w:b/>
                <w:bCs/>
                <w:color w:val="auto"/>
              </w:rPr>
            </w:pPr>
            <w:r>
              <w:rPr>
                <w:b/>
                <w:bCs/>
                <w:color w:val="auto"/>
              </w:rPr>
              <w:t>表1-</w:t>
            </w:r>
            <w:r>
              <w:rPr>
                <w:rFonts w:hint="eastAsia"/>
                <w:b/>
                <w:bCs/>
                <w:color w:val="auto"/>
                <w:lang w:val="en-US" w:eastAsia="zh-CN"/>
              </w:rPr>
              <w:t>6</w:t>
            </w:r>
            <w:r>
              <w:rPr>
                <w:b/>
                <w:bCs/>
                <w:color w:val="auto"/>
              </w:rPr>
              <w:t xml:space="preserve"> 与《&lt;长江经济带发展负面清单指南（试行、2022年版）&gt;江苏省实施细则》</w:t>
            </w:r>
          </w:p>
          <w:p w14:paraId="648DF080">
            <w:pPr>
              <w:jc w:val="center"/>
              <w:rPr>
                <w:color w:val="auto"/>
              </w:rPr>
            </w:pPr>
            <w:r>
              <w:rPr>
                <w:b/>
                <w:bCs/>
                <w:color w:val="auto"/>
              </w:rPr>
              <w:t>相符性分析</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6539"/>
              <w:gridCol w:w="921"/>
            </w:tblGrid>
            <w:tr w14:paraId="76A150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23DFBB58">
                  <w:pPr>
                    <w:jc w:val="center"/>
                    <w:rPr>
                      <w:b/>
                      <w:bCs/>
                      <w:color w:val="auto"/>
                      <w:szCs w:val="21"/>
                    </w:rPr>
                  </w:pPr>
                  <w:r>
                    <w:rPr>
                      <w:rFonts w:hint="eastAsia"/>
                      <w:b/>
                      <w:bCs/>
                      <w:color w:val="auto"/>
                      <w:szCs w:val="21"/>
                    </w:rPr>
                    <w:t>序号</w:t>
                  </w:r>
                </w:p>
              </w:tc>
              <w:tc>
                <w:tcPr>
                  <w:tcW w:w="4090" w:type="pct"/>
                  <w:noWrap w:val="0"/>
                  <w:tcMar>
                    <w:top w:w="0" w:type="dxa"/>
                    <w:left w:w="0" w:type="dxa"/>
                    <w:bottom w:w="0" w:type="dxa"/>
                    <w:right w:w="0" w:type="dxa"/>
                  </w:tcMar>
                  <w:vAlign w:val="center"/>
                </w:tcPr>
                <w:p w14:paraId="10D19D35">
                  <w:pPr>
                    <w:jc w:val="center"/>
                    <w:rPr>
                      <w:b/>
                      <w:bCs/>
                      <w:color w:val="auto"/>
                      <w:szCs w:val="21"/>
                    </w:rPr>
                  </w:pPr>
                  <w:r>
                    <w:rPr>
                      <w:b/>
                      <w:bCs/>
                      <w:color w:val="auto"/>
                      <w:szCs w:val="21"/>
                    </w:rPr>
                    <w:t>长江经济带发展负面清单</w:t>
                  </w:r>
                </w:p>
              </w:tc>
              <w:tc>
                <w:tcPr>
                  <w:tcW w:w="576" w:type="pct"/>
                  <w:noWrap w:val="0"/>
                  <w:tcMar>
                    <w:top w:w="0" w:type="dxa"/>
                    <w:left w:w="0" w:type="dxa"/>
                    <w:bottom w:w="0" w:type="dxa"/>
                    <w:right w:w="0" w:type="dxa"/>
                  </w:tcMar>
                  <w:vAlign w:val="center"/>
                </w:tcPr>
                <w:p w14:paraId="4FECC055">
                  <w:pPr>
                    <w:jc w:val="center"/>
                    <w:rPr>
                      <w:b/>
                      <w:bCs/>
                      <w:color w:val="auto"/>
                      <w:szCs w:val="21"/>
                    </w:rPr>
                  </w:pPr>
                  <w:r>
                    <w:rPr>
                      <w:b/>
                      <w:bCs/>
                      <w:color w:val="auto"/>
                      <w:szCs w:val="21"/>
                    </w:rPr>
                    <w:t>相符性</w:t>
                  </w:r>
                </w:p>
              </w:tc>
            </w:tr>
            <w:tr w14:paraId="17489B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008C1329">
                  <w:pPr>
                    <w:jc w:val="center"/>
                    <w:rPr>
                      <w:color w:val="auto"/>
                      <w:szCs w:val="21"/>
                    </w:rPr>
                  </w:pPr>
                  <w:r>
                    <w:rPr>
                      <w:rFonts w:hint="eastAsia"/>
                      <w:color w:val="auto"/>
                      <w:szCs w:val="21"/>
                    </w:rPr>
                    <w:t>1</w:t>
                  </w:r>
                </w:p>
              </w:tc>
              <w:tc>
                <w:tcPr>
                  <w:tcW w:w="4090" w:type="pct"/>
                  <w:noWrap w:val="0"/>
                  <w:tcMar>
                    <w:top w:w="0" w:type="dxa"/>
                    <w:left w:w="0" w:type="dxa"/>
                    <w:bottom w:w="0" w:type="dxa"/>
                    <w:right w:w="0" w:type="dxa"/>
                  </w:tcMar>
                  <w:vAlign w:val="center"/>
                </w:tcPr>
                <w:p w14:paraId="11BC5EBC">
                  <w:pPr>
                    <w:jc w:val="center"/>
                    <w:rPr>
                      <w:color w:val="auto"/>
                      <w:szCs w:val="21"/>
                    </w:rPr>
                  </w:pPr>
                  <w:r>
                    <w:rPr>
                      <w:color w:val="auto"/>
                      <w:szCs w:val="21"/>
                    </w:rPr>
                    <w:t>禁止建设不符合全国和省级港口布局规划以及港口总体规划的码头项目</w:t>
                  </w:r>
                  <w:r>
                    <w:rPr>
                      <w:rFonts w:hint="eastAsia"/>
                      <w:color w:val="auto"/>
                      <w:szCs w:val="21"/>
                    </w:rPr>
                    <w:t>，</w:t>
                  </w:r>
                  <w:r>
                    <w:rPr>
                      <w:color w:val="auto"/>
                      <w:szCs w:val="21"/>
                    </w:rPr>
                    <w:t>禁止建设不符合《长江干线过江通道布局规划》的过长江通道项目</w:t>
                  </w:r>
                  <w:r>
                    <w:rPr>
                      <w:rFonts w:hint="eastAsia"/>
                      <w:color w:val="auto"/>
                      <w:szCs w:val="21"/>
                    </w:rPr>
                    <w:t>。</w:t>
                  </w:r>
                </w:p>
              </w:tc>
              <w:tc>
                <w:tcPr>
                  <w:tcW w:w="576" w:type="pct"/>
                  <w:vMerge w:val="restart"/>
                  <w:noWrap w:val="0"/>
                  <w:tcMar>
                    <w:top w:w="0" w:type="dxa"/>
                    <w:left w:w="0" w:type="dxa"/>
                    <w:bottom w:w="0" w:type="dxa"/>
                    <w:right w:w="0" w:type="dxa"/>
                  </w:tcMar>
                  <w:vAlign w:val="center"/>
                </w:tcPr>
                <w:p w14:paraId="67453F1E">
                  <w:pPr>
                    <w:jc w:val="center"/>
                    <w:rPr>
                      <w:color w:val="auto"/>
                      <w:szCs w:val="21"/>
                    </w:rPr>
                  </w:pPr>
                  <w:r>
                    <w:rPr>
                      <w:color w:val="auto"/>
                      <w:szCs w:val="21"/>
                    </w:rPr>
                    <w:t>本项目</w:t>
                  </w:r>
                  <w:r>
                    <w:rPr>
                      <w:rFonts w:hint="eastAsia"/>
                      <w:color w:val="auto"/>
                      <w:szCs w:val="21"/>
                    </w:rPr>
                    <w:t>为</w:t>
                  </w:r>
                  <w:r>
                    <w:rPr>
                      <w:rFonts w:hint="eastAsia" w:eastAsia="宋体"/>
                      <w:color w:val="auto"/>
                      <w:szCs w:val="21"/>
                      <w:lang w:eastAsia="zh-CN"/>
                    </w:rPr>
                    <w:t>塑料零件及其他塑料制品制造</w:t>
                  </w:r>
                  <w:r>
                    <w:rPr>
                      <w:rFonts w:hint="eastAsia"/>
                      <w:color w:val="auto"/>
                      <w:szCs w:val="21"/>
                    </w:rPr>
                    <w:t>项目</w:t>
                  </w:r>
                  <w:r>
                    <w:rPr>
                      <w:color w:val="auto"/>
                      <w:szCs w:val="21"/>
                    </w:rPr>
                    <w:t>，位于</w:t>
                  </w:r>
                  <w:r>
                    <w:rPr>
                      <w:rFonts w:hint="eastAsia"/>
                      <w:color w:val="auto"/>
                      <w:szCs w:val="21"/>
                      <w:lang w:eastAsia="zh-CN"/>
                    </w:rPr>
                    <w:t>常州市金坛区经济开发区东湖路28号</w:t>
                  </w:r>
                  <w:r>
                    <w:rPr>
                      <w:rFonts w:hint="eastAsia"/>
                      <w:color w:val="auto"/>
                      <w:szCs w:val="21"/>
                    </w:rPr>
                    <w:t>。</w:t>
                  </w:r>
                  <w:r>
                    <w:rPr>
                      <w:color w:val="auto"/>
                      <w:szCs w:val="21"/>
                    </w:rPr>
                    <w:t>不在生态空间保护区域内。本项目不涉及港口建设，不涉及钢铁、石化、化工、焦化、建材、有色化工原料等高污染行业及严重过剩产能行业，因此符合相关要求。</w:t>
                  </w:r>
                </w:p>
              </w:tc>
            </w:tr>
            <w:tr w14:paraId="7B05EE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6A1A3EA7">
                  <w:pPr>
                    <w:jc w:val="center"/>
                    <w:rPr>
                      <w:color w:val="auto"/>
                      <w:szCs w:val="21"/>
                    </w:rPr>
                  </w:pPr>
                  <w:r>
                    <w:rPr>
                      <w:rFonts w:hint="eastAsia"/>
                      <w:color w:val="auto"/>
                      <w:szCs w:val="21"/>
                    </w:rPr>
                    <w:t>2</w:t>
                  </w:r>
                </w:p>
              </w:tc>
              <w:tc>
                <w:tcPr>
                  <w:tcW w:w="4090" w:type="pct"/>
                  <w:noWrap w:val="0"/>
                  <w:tcMar>
                    <w:top w:w="0" w:type="dxa"/>
                    <w:left w:w="0" w:type="dxa"/>
                    <w:bottom w:w="0" w:type="dxa"/>
                    <w:right w:w="0" w:type="dxa"/>
                  </w:tcMar>
                  <w:vAlign w:val="center"/>
                </w:tcPr>
                <w:p w14:paraId="34E33CA8">
                  <w:pPr>
                    <w:jc w:val="center"/>
                    <w:rPr>
                      <w:color w:val="auto"/>
                      <w:szCs w:val="21"/>
                    </w:rPr>
                  </w:pPr>
                  <w:r>
                    <w:rPr>
                      <w:color w:val="auto"/>
                      <w:szCs w:val="21"/>
                    </w:rPr>
                    <w:t>禁止在自然保护区核心区、缓冲区的岸线和河段范围内投资建设旅游和生产经营项目。禁止在风景名胜区核心景区的岸线和河段范围内投资建设与风景名胜资源保护无关的项目。</w:t>
                  </w:r>
                </w:p>
              </w:tc>
              <w:tc>
                <w:tcPr>
                  <w:tcW w:w="576" w:type="pct"/>
                  <w:vMerge w:val="continue"/>
                  <w:noWrap w:val="0"/>
                  <w:tcMar>
                    <w:top w:w="0" w:type="dxa"/>
                    <w:left w:w="0" w:type="dxa"/>
                    <w:bottom w:w="0" w:type="dxa"/>
                    <w:right w:w="0" w:type="dxa"/>
                  </w:tcMar>
                  <w:vAlign w:val="center"/>
                </w:tcPr>
                <w:p w14:paraId="5024730D">
                  <w:pPr>
                    <w:jc w:val="center"/>
                    <w:rPr>
                      <w:color w:val="auto"/>
                      <w:szCs w:val="21"/>
                    </w:rPr>
                  </w:pPr>
                </w:p>
              </w:tc>
            </w:tr>
            <w:tr w14:paraId="33B7D8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46136296">
                  <w:pPr>
                    <w:jc w:val="center"/>
                    <w:rPr>
                      <w:color w:val="auto"/>
                      <w:szCs w:val="21"/>
                    </w:rPr>
                  </w:pPr>
                  <w:r>
                    <w:rPr>
                      <w:rFonts w:hint="eastAsia"/>
                      <w:color w:val="auto"/>
                      <w:szCs w:val="21"/>
                    </w:rPr>
                    <w:t>3</w:t>
                  </w:r>
                </w:p>
              </w:tc>
              <w:tc>
                <w:tcPr>
                  <w:tcW w:w="4090" w:type="pct"/>
                  <w:noWrap w:val="0"/>
                  <w:tcMar>
                    <w:top w:w="0" w:type="dxa"/>
                    <w:left w:w="0" w:type="dxa"/>
                    <w:bottom w:w="0" w:type="dxa"/>
                    <w:right w:w="0" w:type="dxa"/>
                  </w:tcMar>
                  <w:vAlign w:val="center"/>
                </w:tcPr>
                <w:p w14:paraId="01869361">
                  <w:pPr>
                    <w:jc w:val="center"/>
                    <w:rPr>
                      <w:color w:val="auto"/>
                      <w:szCs w:val="21"/>
                    </w:rPr>
                  </w:pPr>
                  <w:r>
                    <w:rPr>
                      <w:color w:val="auto"/>
                      <w:szCs w:val="21"/>
                    </w:rPr>
                    <w:t>禁止在饮用水水源一级保护区的岸线和河段范围内新建、改建、扩建与供水设施和保护水源无关的项目</w:t>
                  </w:r>
                  <w:r>
                    <w:rPr>
                      <w:rFonts w:hint="eastAsia"/>
                      <w:color w:val="auto"/>
                      <w:szCs w:val="21"/>
                    </w:rPr>
                    <w:t>，</w:t>
                  </w:r>
                  <w:r>
                    <w:rPr>
                      <w:color w:val="auto"/>
                      <w:szCs w:val="21"/>
                    </w:rPr>
                    <w:t>以及网箱养殖、畜禽养殖、旅游等可能污染饮用水水体的投资建设项目。禁止在饮用水水源二级保护区的岸线和河段范围内新建、改建、扩建排放污染物的投资建设项目。</w:t>
                  </w:r>
                </w:p>
              </w:tc>
              <w:tc>
                <w:tcPr>
                  <w:tcW w:w="576" w:type="pct"/>
                  <w:vMerge w:val="continue"/>
                  <w:noWrap w:val="0"/>
                  <w:tcMar>
                    <w:top w:w="0" w:type="dxa"/>
                    <w:left w:w="0" w:type="dxa"/>
                    <w:bottom w:w="0" w:type="dxa"/>
                    <w:right w:w="0" w:type="dxa"/>
                  </w:tcMar>
                  <w:vAlign w:val="center"/>
                </w:tcPr>
                <w:p w14:paraId="0A6B9CB6">
                  <w:pPr>
                    <w:jc w:val="center"/>
                    <w:rPr>
                      <w:color w:val="auto"/>
                      <w:szCs w:val="21"/>
                    </w:rPr>
                  </w:pPr>
                </w:p>
              </w:tc>
            </w:tr>
            <w:tr w14:paraId="2D8E57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11900BFB">
                  <w:pPr>
                    <w:jc w:val="center"/>
                    <w:rPr>
                      <w:color w:val="auto"/>
                      <w:szCs w:val="21"/>
                    </w:rPr>
                  </w:pPr>
                  <w:r>
                    <w:rPr>
                      <w:rFonts w:hint="eastAsia"/>
                      <w:color w:val="auto"/>
                      <w:szCs w:val="21"/>
                    </w:rPr>
                    <w:t>4</w:t>
                  </w:r>
                </w:p>
              </w:tc>
              <w:tc>
                <w:tcPr>
                  <w:tcW w:w="4090" w:type="pct"/>
                  <w:noWrap w:val="0"/>
                  <w:tcMar>
                    <w:top w:w="0" w:type="dxa"/>
                    <w:left w:w="0" w:type="dxa"/>
                    <w:bottom w:w="0" w:type="dxa"/>
                    <w:right w:w="0" w:type="dxa"/>
                  </w:tcMar>
                  <w:vAlign w:val="center"/>
                </w:tcPr>
                <w:p w14:paraId="4A90BEB9">
                  <w:pPr>
                    <w:jc w:val="center"/>
                    <w:rPr>
                      <w:color w:val="auto"/>
                      <w:szCs w:val="21"/>
                    </w:rPr>
                  </w:pPr>
                  <w:r>
                    <w:rPr>
                      <w:color w:val="auto"/>
                      <w:szCs w:val="21"/>
                    </w:rPr>
                    <w:t>禁止在水产种质资源保护区的岸线和河段范围内新建围湖造田、围海造地或围填海等投资建设项目。禁止在国家湿地公园的岸线和河段范围内挖沙、采矿</w:t>
                  </w:r>
                  <w:r>
                    <w:rPr>
                      <w:rFonts w:hint="eastAsia"/>
                      <w:color w:val="auto"/>
                      <w:szCs w:val="21"/>
                    </w:rPr>
                    <w:t>，</w:t>
                  </w:r>
                  <w:r>
                    <w:rPr>
                      <w:color w:val="auto"/>
                      <w:szCs w:val="21"/>
                    </w:rPr>
                    <w:t>以及任何不符合主体功能定位的投资建设项目。</w:t>
                  </w:r>
                </w:p>
              </w:tc>
              <w:tc>
                <w:tcPr>
                  <w:tcW w:w="576" w:type="pct"/>
                  <w:vMerge w:val="continue"/>
                  <w:noWrap w:val="0"/>
                  <w:vAlign w:val="center"/>
                </w:tcPr>
                <w:p w14:paraId="33BDD6F1">
                  <w:pPr>
                    <w:jc w:val="center"/>
                    <w:rPr>
                      <w:color w:val="auto"/>
                      <w:szCs w:val="21"/>
                    </w:rPr>
                  </w:pPr>
                </w:p>
              </w:tc>
            </w:tr>
            <w:tr w14:paraId="3971C0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2EB9AC62">
                  <w:pPr>
                    <w:jc w:val="center"/>
                    <w:rPr>
                      <w:color w:val="auto"/>
                      <w:szCs w:val="21"/>
                    </w:rPr>
                  </w:pPr>
                  <w:r>
                    <w:rPr>
                      <w:rFonts w:hint="eastAsia"/>
                      <w:color w:val="auto"/>
                      <w:szCs w:val="21"/>
                    </w:rPr>
                    <w:t>5</w:t>
                  </w:r>
                </w:p>
              </w:tc>
              <w:tc>
                <w:tcPr>
                  <w:tcW w:w="4090" w:type="pct"/>
                  <w:noWrap w:val="0"/>
                  <w:tcMar>
                    <w:top w:w="0" w:type="dxa"/>
                    <w:left w:w="0" w:type="dxa"/>
                    <w:bottom w:w="0" w:type="dxa"/>
                    <w:right w:w="0" w:type="dxa"/>
                  </w:tcMar>
                  <w:vAlign w:val="center"/>
                </w:tcPr>
                <w:p w14:paraId="205CC806">
                  <w:pPr>
                    <w:jc w:val="center"/>
                    <w:rPr>
                      <w:color w:val="auto"/>
                      <w:szCs w:val="21"/>
                    </w:rPr>
                  </w:pPr>
                  <w:r>
                    <w:rPr>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576" w:type="pct"/>
                  <w:vMerge w:val="continue"/>
                  <w:noWrap w:val="0"/>
                  <w:vAlign w:val="center"/>
                </w:tcPr>
                <w:p w14:paraId="4F5CA354">
                  <w:pPr>
                    <w:jc w:val="center"/>
                    <w:rPr>
                      <w:color w:val="auto"/>
                      <w:szCs w:val="21"/>
                    </w:rPr>
                  </w:pPr>
                </w:p>
              </w:tc>
            </w:tr>
            <w:tr w14:paraId="1A3A22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43BCEC4F">
                  <w:pPr>
                    <w:jc w:val="center"/>
                    <w:rPr>
                      <w:color w:val="auto"/>
                      <w:szCs w:val="21"/>
                    </w:rPr>
                  </w:pPr>
                  <w:r>
                    <w:rPr>
                      <w:rFonts w:hint="eastAsia"/>
                      <w:color w:val="auto"/>
                      <w:szCs w:val="21"/>
                    </w:rPr>
                    <w:t>6</w:t>
                  </w:r>
                </w:p>
              </w:tc>
              <w:tc>
                <w:tcPr>
                  <w:tcW w:w="4090" w:type="pct"/>
                  <w:noWrap w:val="0"/>
                  <w:tcMar>
                    <w:top w:w="0" w:type="dxa"/>
                    <w:left w:w="0" w:type="dxa"/>
                    <w:bottom w:w="0" w:type="dxa"/>
                    <w:right w:w="0" w:type="dxa"/>
                  </w:tcMar>
                  <w:vAlign w:val="center"/>
                </w:tcPr>
                <w:p w14:paraId="1C317564">
                  <w:pPr>
                    <w:jc w:val="center"/>
                    <w:rPr>
                      <w:color w:val="auto"/>
                      <w:szCs w:val="21"/>
                    </w:rPr>
                  </w:pPr>
                  <w:r>
                    <w:rPr>
                      <w:color w:val="auto"/>
                      <w:szCs w:val="21"/>
                    </w:rPr>
                    <w:t>禁止未经许可在长江干支流及湖泊新设、改设或扩大排污口。</w:t>
                  </w:r>
                </w:p>
              </w:tc>
              <w:tc>
                <w:tcPr>
                  <w:tcW w:w="576" w:type="pct"/>
                  <w:vMerge w:val="continue"/>
                  <w:noWrap w:val="0"/>
                  <w:vAlign w:val="center"/>
                </w:tcPr>
                <w:p w14:paraId="0010C385">
                  <w:pPr>
                    <w:jc w:val="center"/>
                    <w:rPr>
                      <w:color w:val="auto"/>
                      <w:szCs w:val="21"/>
                    </w:rPr>
                  </w:pPr>
                </w:p>
              </w:tc>
            </w:tr>
            <w:tr w14:paraId="6EDD6A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369CDC7E">
                  <w:pPr>
                    <w:jc w:val="center"/>
                    <w:rPr>
                      <w:color w:val="auto"/>
                      <w:szCs w:val="21"/>
                    </w:rPr>
                  </w:pPr>
                  <w:r>
                    <w:rPr>
                      <w:rFonts w:hint="eastAsia"/>
                      <w:color w:val="auto"/>
                      <w:szCs w:val="21"/>
                    </w:rPr>
                    <w:t>7</w:t>
                  </w:r>
                </w:p>
              </w:tc>
              <w:tc>
                <w:tcPr>
                  <w:tcW w:w="4090" w:type="pct"/>
                  <w:noWrap w:val="0"/>
                  <w:tcMar>
                    <w:top w:w="0" w:type="dxa"/>
                    <w:left w:w="0" w:type="dxa"/>
                    <w:bottom w:w="0" w:type="dxa"/>
                    <w:right w:w="0" w:type="dxa"/>
                  </w:tcMar>
                  <w:vAlign w:val="center"/>
                </w:tcPr>
                <w:p w14:paraId="36ACB464">
                  <w:pPr>
                    <w:jc w:val="center"/>
                    <w:rPr>
                      <w:color w:val="auto"/>
                      <w:szCs w:val="21"/>
                    </w:rPr>
                  </w:pPr>
                  <w:r>
                    <w:rPr>
                      <w:color w:val="auto"/>
                      <w:szCs w:val="21"/>
                    </w:rPr>
                    <w:t>禁止在</w:t>
                  </w:r>
                  <w:r>
                    <w:rPr>
                      <w:rFonts w:hint="eastAsia"/>
                      <w:color w:val="auto"/>
                      <w:szCs w:val="21"/>
                    </w:rPr>
                    <w:t>“</w:t>
                  </w:r>
                  <w:r>
                    <w:rPr>
                      <w:color w:val="auto"/>
                      <w:szCs w:val="21"/>
                    </w:rPr>
                    <w:t>一江一口两湖七河</w:t>
                  </w:r>
                  <w:r>
                    <w:rPr>
                      <w:rFonts w:hint="eastAsia"/>
                      <w:color w:val="auto"/>
                      <w:szCs w:val="21"/>
                    </w:rPr>
                    <w:t>”</w:t>
                  </w:r>
                  <w:r>
                    <w:rPr>
                      <w:color w:val="auto"/>
                      <w:szCs w:val="21"/>
                    </w:rPr>
                    <w:t>和332个水生生物保护区开展生产性捕捞。</w:t>
                  </w:r>
                </w:p>
              </w:tc>
              <w:tc>
                <w:tcPr>
                  <w:tcW w:w="576" w:type="pct"/>
                  <w:vMerge w:val="continue"/>
                  <w:noWrap w:val="0"/>
                  <w:vAlign w:val="center"/>
                </w:tcPr>
                <w:p w14:paraId="1FB715CA">
                  <w:pPr>
                    <w:jc w:val="center"/>
                    <w:rPr>
                      <w:color w:val="auto"/>
                      <w:szCs w:val="21"/>
                    </w:rPr>
                  </w:pPr>
                </w:p>
              </w:tc>
            </w:tr>
            <w:tr w14:paraId="77D5F0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21AD0C52">
                  <w:pPr>
                    <w:jc w:val="center"/>
                    <w:rPr>
                      <w:color w:val="auto"/>
                      <w:szCs w:val="21"/>
                    </w:rPr>
                  </w:pPr>
                  <w:r>
                    <w:rPr>
                      <w:rFonts w:hint="eastAsia"/>
                      <w:color w:val="auto"/>
                      <w:szCs w:val="21"/>
                    </w:rPr>
                    <w:t>8</w:t>
                  </w:r>
                </w:p>
              </w:tc>
              <w:tc>
                <w:tcPr>
                  <w:tcW w:w="4090" w:type="pct"/>
                  <w:noWrap w:val="0"/>
                  <w:tcMar>
                    <w:top w:w="0" w:type="dxa"/>
                    <w:left w:w="0" w:type="dxa"/>
                    <w:bottom w:w="0" w:type="dxa"/>
                    <w:right w:w="0" w:type="dxa"/>
                  </w:tcMar>
                  <w:vAlign w:val="center"/>
                </w:tcPr>
                <w:p w14:paraId="604AC825">
                  <w:pPr>
                    <w:jc w:val="center"/>
                    <w:rPr>
                      <w:color w:val="auto"/>
                      <w:szCs w:val="21"/>
                    </w:rPr>
                  </w:pPr>
                  <w:r>
                    <w:rPr>
                      <w:color w:val="auto"/>
                      <w:szCs w:val="21"/>
                    </w:rPr>
                    <w:t>禁止在长江干支流、重要湖泊岸线一公里范围内新建、扩建化工</w:t>
                  </w:r>
                  <w:r>
                    <w:rPr>
                      <w:rFonts w:hint="eastAsia"/>
                      <w:color w:val="auto"/>
                      <w:szCs w:val="21"/>
                    </w:rPr>
                    <w:t>厂区</w:t>
                  </w:r>
                  <w:r>
                    <w:rPr>
                      <w:color w:val="auto"/>
                      <w:szCs w:val="21"/>
                    </w:rPr>
                    <w:t>和化工项目。禁止在长江干流岸线三公里范围内和重要支流岸线一公里范围内新建、改建、扩建尾矿库、冶炼渣库和磷石膏库</w:t>
                  </w:r>
                  <w:r>
                    <w:rPr>
                      <w:rFonts w:hint="eastAsia"/>
                      <w:color w:val="auto"/>
                      <w:szCs w:val="21"/>
                    </w:rPr>
                    <w:t>，</w:t>
                  </w:r>
                  <w:r>
                    <w:rPr>
                      <w:color w:val="auto"/>
                      <w:szCs w:val="21"/>
                    </w:rPr>
                    <w:t>以提升安全、生态环境保护水平为目的的改建除外。</w:t>
                  </w:r>
                </w:p>
              </w:tc>
              <w:tc>
                <w:tcPr>
                  <w:tcW w:w="576" w:type="pct"/>
                  <w:vMerge w:val="continue"/>
                  <w:noWrap w:val="0"/>
                  <w:vAlign w:val="center"/>
                </w:tcPr>
                <w:p w14:paraId="0751847C">
                  <w:pPr>
                    <w:jc w:val="center"/>
                    <w:rPr>
                      <w:color w:val="auto"/>
                      <w:szCs w:val="21"/>
                    </w:rPr>
                  </w:pPr>
                </w:p>
              </w:tc>
            </w:tr>
            <w:tr w14:paraId="55E1C5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434A4543">
                  <w:pPr>
                    <w:jc w:val="center"/>
                    <w:rPr>
                      <w:color w:val="auto"/>
                      <w:szCs w:val="21"/>
                    </w:rPr>
                  </w:pPr>
                  <w:r>
                    <w:rPr>
                      <w:rFonts w:hint="eastAsia"/>
                      <w:color w:val="auto"/>
                      <w:szCs w:val="21"/>
                    </w:rPr>
                    <w:t>9</w:t>
                  </w:r>
                </w:p>
              </w:tc>
              <w:tc>
                <w:tcPr>
                  <w:tcW w:w="4090" w:type="pct"/>
                  <w:noWrap w:val="0"/>
                  <w:tcMar>
                    <w:top w:w="0" w:type="dxa"/>
                    <w:left w:w="0" w:type="dxa"/>
                    <w:bottom w:w="0" w:type="dxa"/>
                    <w:right w:w="0" w:type="dxa"/>
                  </w:tcMar>
                  <w:vAlign w:val="center"/>
                </w:tcPr>
                <w:p w14:paraId="11231F5E">
                  <w:pPr>
                    <w:jc w:val="center"/>
                    <w:rPr>
                      <w:color w:val="auto"/>
                      <w:szCs w:val="21"/>
                    </w:rPr>
                  </w:pPr>
                  <w:r>
                    <w:rPr>
                      <w:color w:val="auto"/>
                      <w:szCs w:val="21"/>
                    </w:rPr>
                    <w:t>禁止在合规</w:t>
                  </w:r>
                  <w:r>
                    <w:rPr>
                      <w:rFonts w:hint="eastAsia"/>
                      <w:color w:val="auto"/>
                      <w:szCs w:val="21"/>
                    </w:rPr>
                    <w:t>厂区</w:t>
                  </w:r>
                  <w:r>
                    <w:rPr>
                      <w:color w:val="auto"/>
                      <w:szCs w:val="21"/>
                    </w:rPr>
                    <w:t>外新建、扩建钢铁、石化、化工、焦化、建材、有色、制浆造纸等高污染项目。</w:t>
                  </w:r>
                </w:p>
              </w:tc>
              <w:tc>
                <w:tcPr>
                  <w:tcW w:w="576" w:type="pct"/>
                  <w:vMerge w:val="continue"/>
                  <w:noWrap w:val="0"/>
                  <w:vAlign w:val="center"/>
                </w:tcPr>
                <w:p w14:paraId="183BA824">
                  <w:pPr>
                    <w:jc w:val="center"/>
                    <w:rPr>
                      <w:color w:val="auto"/>
                      <w:szCs w:val="21"/>
                    </w:rPr>
                  </w:pPr>
                </w:p>
              </w:tc>
            </w:tr>
            <w:tr w14:paraId="1FE44D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6B72599C">
                  <w:pPr>
                    <w:jc w:val="center"/>
                    <w:rPr>
                      <w:color w:val="auto"/>
                      <w:szCs w:val="21"/>
                    </w:rPr>
                  </w:pPr>
                  <w:r>
                    <w:rPr>
                      <w:rFonts w:hint="eastAsia"/>
                      <w:color w:val="auto"/>
                      <w:szCs w:val="21"/>
                    </w:rPr>
                    <w:t>10</w:t>
                  </w:r>
                </w:p>
              </w:tc>
              <w:tc>
                <w:tcPr>
                  <w:tcW w:w="4090" w:type="pct"/>
                  <w:noWrap w:val="0"/>
                  <w:tcMar>
                    <w:top w:w="0" w:type="dxa"/>
                    <w:left w:w="0" w:type="dxa"/>
                    <w:bottom w:w="0" w:type="dxa"/>
                    <w:right w:w="0" w:type="dxa"/>
                  </w:tcMar>
                  <w:vAlign w:val="center"/>
                </w:tcPr>
                <w:p w14:paraId="6D56B5D5">
                  <w:pPr>
                    <w:jc w:val="center"/>
                    <w:rPr>
                      <w:color w:val="auto"/>
                      <w:szCs w:val="21"/>
                    </w:rPr>
                  </w:pPr>
                  <w:r>
                    <w:rPr>
                      <w:color w:val="auto"/>
                      <w:szCs w:val="21"/>
                    </w:rPr>
                    <w:t>禁止新建、扩建不符合国家石化、现代煤化工等产业布局规划的项目。</w:t>
                  </w:r>
                </w:p>
              </w:tc>
              <w:tc>
                <w:tcPr>
                  <w:tcW w:w="576" w:type="pct"/>
                  <w:vMerge w:val="continue"/>
                  <w:noWrap w:val="0"/>
                  <w:vAlign w:val="center"/>
                </w:tcPr>
                <w:p w14:paraId="3997773E">
                  <w:pPr>
                    <w:jc w:val="center"/>
                    <w:rPr>
                      <w:color w:val="auto"/>
                      <w:szCs w:val="21"/>
                    </w:rPr>
                  </w:pPr>
                </w:p>
              </w:tc>
            </w:tr>
            <w:tr w14:paraId="699B2C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2BC7BBD0">
                  <w:pPr>
                    <w:jc w:val="center"/>
                    <w:rPr>
                      <w:color w:val="auto"/>
                      <w:szCs w:val="21"/>
                    </w:rPr>
                  </w:pPr>
                  <w:r>
                    <w:rPr>
                      <w:rFonts w:hint="eastAsia"/>
                      <w:color w:val="auto"/>
                      <w:szCs w:val="21"/>
                    </w:rPr>
                    <w:t>11</w:t>
                  </w:r>
                </w:p>
              </w:tc>
              <w:tc>
                <w:tcPr>
                  <w:tcW w:w="4090" w:type="pct"/>
                  <w:noWrap w:val="0"/>
                  <w:tcMar>
                    <w:top w:w="0" w:type="dxa"/>
                    <w:left w:w="0" w:type="dxa"/>
                    <w:bottom w:w="0" w:type="dxa"/>
                    <w:right w:w="0" w:type="dxa"/>
                  </w:tcMar>
                  <w:vAlign w:val="center"/>
                </w:tcPr>
                <w:p w14:paraId="502FC4ED">
                  <w:pPr>
                    <w:jc w:val="center"/>
                    <w:rPr>
                      <w:color w:val="auto"/>
                      <w:szCs w:val="21"/>
                    </w:rPr>
                  </w:pPr>
                  <w:r>
                    <w:rPr>
                      <w:color w:val="auto"/>
                      <w:szCs w:val="21"/>
                    </w:rPr>
                    <w:t>禁止新建、扩建法律法规和相关政策明令禁止的落后产能项目。禁止新建、扩建不符合国家产能置换要求的严重过剩产能行业的项目。禁止新建、扩建不符合要求的高耗能高排放项目。</w:t>
                  </w:r>
                </w:p>
              </w:tc>
              <w:tc>
                <w:tcPr>
                  <w:tcW w:w="576" w:type="pct"/>
                  <w:vMerge w:val="continue"/>
                  <w:noWrap w:val="0"/>
                  <w:vAlign w:val="center"/>
                </w:tcPr>
                <w:p w14:paraId="42E95AC0">
                  <w:pPr>
                    <w:jc w:val="center"/>
                    <w:rPr>
                      <w:color w:val="auto"/>
                      <w:szCs w:val="21"/>
                    </w:rPr>
                  </w:pPr>
                </w:p>
              </w:tc>
            </w:tr>
            <w:tr w14:paraId="1A63E5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noWrap w:val="0"/>
                  <w:tcMar>
                    <w:top w:w="0" w:type="dxa"/>
                    <w:left w:w="0" w:type="dxa"/>
                    <w:bottom w:w="0" w:type="dxa"/>
                    <w:right w:w="0" w:type="dxa"/>
                  </w:tcMar>
                  <w:vAlign w:val="center"/>
                </w:tcPr>
                <w:p w14:paraId="0A4C9A8F">
                  <w:pPr>
                    <w:jc w:val="center"/>
                    <w:rPr>
                      <w:color w:val="auto"/>
                      <w:szCs w:val="21"/>
                    </w:rPr>
                  </w:pPr>
                  <w:r>
                    <w:rPr>
                      <w:rFonts w:hint="eastAsia"/>
                      <w:color w:val="auto"/>
                      <w:szCs w:val="21"/>
                    </w:rPr>
                    <w:t>12</w:t>
                  </w:r>
                </w:p>
              </w:tc>
              <w:tc>
                <w:tcPr>
                  <w:tcW w:w="4090" w:type="pct"/>
                  <w:noWrap w:val="0"/>
                  <w:tcMar>
                    <w:top w:w="0" w:type="dxa"/>
                    <w:left w:w="0" w:type="dxa"/>
                    <w:bottom w:w="0" w:type="dxa"/>
                    <w:right w:w="0" w:type="dxa"/>
                  </w:tcMar>
                  <w:vAlign w:val="center"/>
                </w:tcPr>
                <w:p w14:paraId="254E3F4F">
                  <w:pPr>
                    <w:jc w:val="center"/>
                    <w:rPr>
                      <w:color w:val="auto"/>
                      <w:szCs w:val="21"/>
                    </w:rPr>
                  </w:pPr>
                  <w:r>
                    <w:rPr>
                      <w:color w:val="auto"/>
                      <w:szCs w:val="21"/>
                    </w:rPr>
                    <w:t>法律法规及相关政策文件有更加严格规定的从其规定。</w:t>
                  </w:r>
                </w:p>
              </w:tc>
              <w:tc>
                <w:tcPr>
                  <w:tcW w:w="576" w:type="pct"/>
                  <w:vMerge w:val="continue"/>
                  <w:noWrap w:val="0"/>
                  <w:vAlign w:val="center"/>
                </w:tcPr>
                <w:p w14:paraId="5569CC5E">
                  <w:pPr>
                    <w:jc w:val="center"/>
                    <w:rPr>
                      <w:color w:val="auto"/>
                      <w:szCs w:val="21"/>
                    </w:rPr>
                  </w:pPr>
                </w:p>
              </w:tc>
            </w:tr>
          </w:tbl>
          <w:p w14:paraId="5D451D22">
            <w:pPr>
              <w:spacing w:before="120" w:beforeLines="50" w:line="360" w:lineRule="auto"/>
              <w:ind w:firstLine="420" w:firstLineChars="200"/>
              <w:rPr>
                <w:rFonts w:hint="eastAsia" w:eastAsia="宋体"/>
                <w:color w:val="auto"/>
                <w:szCs w:val="21"/>
                <w:lang w:eastAsia="zh-CN"/>
              </w:rPr>
            </w:pPr>
            <w:r>
              <w:rPr>
                <w:rFonts w:hint="eastAsia"/>
                <w:color w:val="auto"/>
                <w:szCs w:val="21"/>
              </w:rPr>
              <w:t>5、</w:t>
            </w:r>
            <w:r>
              <w:rPr>
                <w:color w:val="auto"/>
                <w:szCs w:val="21"/>
              </w:rPr>
              <w:t>与《</w:t>
            </w:r>
            <w:r>
              <w:rPr>
                <w:rFonts w:hint="eastAsia"/>
                <w:color w:val="auto"/>
                <w:szCs w:val="21"/>
              </w:rPr>
              <w:t>江苏省2023年生态环境分区管控成果动态更新工作方案</w:t>
            </w:r>
            <w:r>
              <w:rPr>
                <w:color w:val="auto"/>
                <w:szCs w:val="21"/>
              </w:rPr>
              <w:t>》</w:t>
            </w:r>
            <w:r>
              <w:rPr>
                <w:bCs/>
                <w:color w:val="auto"/>
                <w:kern w:val="0"/>
                <w:szCs w:val="21"/>
              </w:rPr>
              <w:t>《</w:t>
            </w:r>
            <w:r>
              <w:rPr>
                <w:rFonts w:hint="eastAsia"/>
                <w:bCs/>
                <w:color w:val="auto"/>
                <w:kern w:val="0"/>
                <w:szCs w:val="21"/>
              </w:rPr>
              <w:t>常州市2023年生态环境分区管控动态更新成果</w:t>
            </w:r>
            <w:r>
              <w:rPr>
                <w:bCs/>
                <w:color w:val="auto"/>
                <w:kern w:val="0"/>
                <w:szCs w:val="21"/>
              </w:rPr>
              <w:t>》</w:t>
            </w:r>
            <w:r>
              <w:rPr>
                <w:rFonts w:hint="eastAsia"/>
                <w:bCs/>
                <w:color w:val="auto"/>
                <w:kern w:val="0"/>
                <w:szCs w:val="21"/>
                <w:lang w:val="en-US" w:eastAsia="zh-CN"/>
              </w:rPr>
              <w:t>相符性分析</w:t>
            </w:r>
            <w:r>
              <w:rPr>
                <w:rFonts w:hint="eastAsia"/>
                <w:color w:val="auto"/>
                <w:lang w:eastAsia="zh-CN"/>
              </w:rPr>
              <w:t>。</w:t>
            </w:r>
          </w:p>
          <w:p w14:paraId="482264A3">
            <w:pPr>
              <w:spacing w:line="360" w:lineRule="auto"/>
              <w:ind w:firstLine="420" w:firstLineChars="200"/>
              <w:rPr>
                <w:color w:val="auto"/>
                <w:szCs w:val="21"/>
              </w:rPr>
            </w:pPr>
            <w:r>
              <w:rPr>
                <w:rFonts w:hint="eastAsia"/>
                <w:color w:val="auto"/>
                <w:szCs w:val="21"/>
              </w:rPr>
              <w:t>（1）</w:t>
            </w:r>
            <w:r>
              <w:rPr>
                <w:color w:val="auto"/>
                <w:szCs w:val="21"/>
              </w:rPr>
              <w:t>对照《</w:t>
            </w:r>
            <w:r>
              <w:rPr>
                <w:rFonts w:hint="eastAsia"/>
                <w:color w:val="auto"/>
                <w:szCs w:val="21"/>
              </w:rPr>
              <w:t>江苏省2023年生态环境分区管控成果动态更新工作方案</w:t>
            </w:r>
            <w:r>
              <w:rPr>
                <w:color w:val="auto"/>
                <w:szCs w:val="21"/>
              </w:rPr>
              <w:t>》，相符性见下表。</w:t>
            </w:r>
          </w:p>
          <w:p w14:paraId="7243ED13">
            <w:pPr>
              <w:keepNext w:val="0"/>
              <w:keepLines w:val="0"/>
              <w:pageBreakBefore w:val="0"/>
              <w:widowControl w:val="0"/>
              <w:kinsoku/>
              <w:wordWrap/>
              <w:overflowPunct/>
              <w:topLinePunct w:val="0"/>
              <w:autoSpaceDE/>
              <w:autoSpaceDN/>
              <w:bidi w:val="0"/>
              <w:adjustRightInd w:val="0"/>
              <w:snapToGrid w:val="0"/>
              <w:ind w:firstLine="422" w:firstLineChars="200"/>
              <w:jc w:val="center"/>
              <w:textAlignment w:val="auto"/>
              <w:rPr>
                <w:b/>
                <w:bCs/>
                <w:color w:val="auto"/>
                <w:szCs w:val="21"/>
              </w:rPr>
            </w:pPr>
            <w:r>
              <w:rPr>
                <w:b/>
                <w:bCs/>
                <w:color w:val="auto"/>
                <w:szCs w:val="21"/>
              </w:rPr>
              <w:t>表1-</w:t>
            </w:r>
            <w:r>
              <w:rPr>
                <w:rFonts w:hint="eastAsia"/>
                <w:b/>
                <w:bCs/>
                <w:color w:val="auto"/>
                <w:szCs w:val="21"/>
                <w:lang w:val="en-US" w:eastAsia="zh-CN"/>
              </w:rPr>
              <w:t>7</w:t>
            </w:r>
            <w:r>
              <w:rPr>
                <w:b/>
                <w:bCs/>
                <w:color w:val="auto"/>
                <w:szCs w:val="21"/>
              </w:rPr>
              <w:t xml:space="preserve"> </w:t>
            </w:r>
            <w:r>
              <w:rPr>
                <w:rFonts w:hint="eastAsia"/>
                <w:b/>
                <w:bCs/>
                <w:color w:val="auto"/>
                <w:szCs w:val="21"/>
              </w:rPr>
              <w:t>江苏省2023年生态环境分区管控成果动态更新工作方案</w:t>
            </w:r>
            <w:r>
              <w:rPr>
                <w:b/>
                <w:bCs/>
                <w:color w:val="auto"/>
                <w:szCs w:val="21"/>
              </w:rPr>
              <w:t>中重点管控要求</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88"/>
              <w:gridCol w:w="549"/>
              <w:gridCol w:w="3717"/>
              <w:gridCol w:w="2561"/>
              <w:gridCol w:w="680"/>
            </w:tblGrid>
            <w:tr w14:paraId="5C5DB4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noWrap w:val="0"/>
                  <w:tcMar>
                    <w:top w:w="0" w:type="dxa"/>
                    <w:left w:w="0" w:type="dxa"/>
                    <w:bottom w:w="0" w:type="dxa"/>
                    <w:right w:w="0" w:type="dxa"/>
                  </w:tcMar>
                  <w:vAlign w:val="center"/>
                </w:tcPr>
                <w:p w14:paraId="60C3C67D">
                  <w:pPr>
                    <w:jc w:val="center"/>
                    <w:rPr>
                      <w:b/>
                      <w:bCs/>
                      <w:color w:val="auto"/>
                      <w:szCs w:val="21"/>
                    </w:rPr>
                  </w:pPr>
                  <w:r>
                    <w:rPr>
                      <w:b/>
                      <w:bCs/>
                      <w:color w:val="auto"/>
                      <w:szCs w:val="21"/>
                    </w:rPr>
                    <w:t>序号</w:t>
                  </w:r>
                </w:p>
              </w:tc>
              <w:tc>
                <w:tcPr>
                  <w:tcW w:w="2667" w:type="pct"/>
                  <w:gridSpan w:val="2"/>
                  <w:noWrap w:val="0"/>
                  <w:tcMar>
                    <w:top w:w="0" w:type="dxa"/>
                    <w:left w:w="0" w:type="dxa"/>
                    <w:bottom w:w="0" w:type="dxa"/>
                    <w:right w:w="0" w:type="dxa"/>
                  </w:tcMar>
                  <w:vAlign w:val="center"/>
                </w:tcPr>
                <w:p w14:paraId="7D1EF263">
                  <w:pPr>
                    <w:jc w:val="center"/>
                    <w:rPr>
                      <w:b/>
                      <w:bCs/>
                      <w:color w:val="auto"/>
                      <w:szCs w:val="21"/>
                    </w:rPr>
                  </w:pPr>
                  <w:r>
                    <w:rPr>
                      <w:b/>
                      <w:bCs/>
                      <w:color w:val="auto"/>
                      <w:szCs w:val="21"/>
                    </w:rPr>
                    <w:t>管控要求</w:t>
                  </w:r>
                </w:p>
              </w:tc>
              <w:tc>
                <w:tcPr>
                  <w:tcW w:w="1601" w:type="pct"/>
                  <w:noWrap w:val="0"/>
                  <w:tcMar>
                    <w:top w:w="0" w:type="dxa"/>
                    <w:left w:w="0" w:type="dxa"/>
                    <w:bottom w:w="0" w:type="dxa"/>
                    <w:right w:w="0" w:type="dxa"/>
                  </w:tcMar>
                  <w:vAlign w:val="center"/>
                </w:tcPr>
                <w:p w14:paraId="23DE6BF5">
                  <w:pPr>
                    <w:jc w:val="center"/>
                    <w:rPr>
                      <w:b/>
                      <w:bCs/>
                      <w:color w:val="auto"/>
                      <w:szCs w:val="21"/>
                    </w:rPr>
                  </w:pPr>
                  <w:r>
                    <w:rPr>
                      <w:b/>
                      <w:bCs/>
                      <w:color w:val="auto"/>
                      <w:szCs w:val="21"/>
                    </w:rPr>
                    <w:t>本项目相关内容</w:t>
                  </w:r>
                </w:p>
              </w:tc>
              <w:tc>
                <w:tcPr>
                  <w:tcW w:w="425" w:type="pct"/>
                  <w:noWrap w:val="0"/>
                  <w:tcMar>
                    <w:top w:w="0" w:type="dxa"/>
                    <w:left w:w="0" w:type="dxa"/>
                    <w:bottom w:w="0" w:type="dxa"/>
                    <w:right w:w="0" w:type="dxa"/>
                  </w:tcMar>
                  <w:vAlign w:val="center"/>
                </w:tcPr>
                <w:p w14:paraId="675029DA">
                  <w:pPr>
                    <w:jc w:val="center"/>
                    <w:rPr>
                      <w:b/>
                      <w:bCs/>
                      <w:color w:val="auto"/>
                      <w:szCs w:val="21"/>
                    </w:rPr>
                  </w:pPr>
                  <w:r>
                    <w:rPr>
                      <w:b/>
                      <w:bCs/>
                      <w:color w:val="auto"/>
                      <w:szCs w:val="21"/>
                    </w:rPr>
                    <w:t>相符性</w:t>
                  </w:r>
                </w:p>
              </w:tc>
            </w:tr>
            <w:tr w14:paraId="254AA8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restart"/>
                  <w:noWrap w:val="0"/>
                  <w:tcMar>
                    <w:top w:w="0" w:type="dxa"/>
                    <w:left w:w="0" w:type="dxa"/>
                    <w:bottom w:w="0" w:type="dxa"/>
                    <w:right w:w="0" w:type="dxa"/>
                  </w:tcMar>
                  <w:vAlign w:val="center"/>
                </w:tcPr>
                <w:p w14:paraId="0FF21B96">
                  <w:pPr>
                    <w:jc w:val="center"/>
                    <w:rPr>
                      <w:color w:val="auto"/>
                      <w:szCs w:val="21"/>
                    </w:rPr>
                  </w:pPr>
                  <w:r>
                    <w:rPr>
                      <w:color w:val="auto"/>
                      <w:szCs w:val="21"/>
                    </w:rPr>
                    <w:t>1</w:t>
                  </w:r>
                </w:p>
              </w:tc>
              <w:tc>
                <w:tcPr>
                  <w:tcW w:w="343" w:type="pct"/>
                  <w:vMerge w:val="restart"/>
                  <w:noWrap w:val="0"/>
                  <w:tcMar>
                    <w:top w:w="0" w:type="dxa"/>
                    <w:left w:w="0" w:type="dxa"/>
                    <w:bottom w:w="0" w:type="dxa"/>
                    <w:right w:w="0" w:type="dxa"/>
                  </w:tcMar>
                  <w:vAlign w:val="center"/>
                </w:tcPr>
                <w:p w14:paraId="070D2BF8">
                  <w:pPr>
                    <w:jc w:val="center"/>
                    <w:rPr>
                      <w:color w:val="auto"/>
                      <w:szCs w:val="21"/>
                    </w:rPr>
                  </w:pPr>
                  <w:r>
                    <w:rPr>
                      <w:color w:val="auto"/>
                      <w:szCs w:val="21"/>
                    </w:rPr>
                    <w:t>空间布局约束</w:t>
                  </w:r>
                </w:p>
              </w:tc>
              <w:tc>
                <w:tcPr>
                  <w:tcW w:w="2324" w:type="pct"/>
                  <w:noWrap w:val="0"/>
                  <w:tcMar>
                    <w:top w:w="0" w:type="dxa"/>
                    <w:left w:w="0" w:type="dxa"/>
                    <w:bottom w:w="0" w:type="dxa"/>
                    <w:right w:w="0" w:type="dxa"/>
                  </w:tcMar>
                  <w:vAlign w:val="center"/>
                </w:tcPr>
                <w:p w14:paraId="1F81218B">
                  <w:pPr>
                    <w:jc w:val="center"/>
                    <w:rPr>
                      <w:rFonts w:hint="eastAsia"/>
                      <w:color w:val="auto"/>
                      <w:szCs w:val="21"/>
                    </w:rPr>
                  </w:pPr>
                  <w:r>
                    <w:rPr>
                      <w:rFonts w:hint="eastAsia"/>
                      <w:color w:val="auto"/>
                      <w:szCs w:val="21"/>
                    </w:rPr>
                    <w:t>1．按照《自然资源部 生态环境部 国家林业和草原局关于加强生态保护红线管理的通知（试行）》（自然资发〔2022〕</w:t>
                  </w:r>
                </w:p>
                <w:p w14:paraId="44784075">
                  <w:pPr>
                    <w:jc w:val="center"/>
                    <w:rPr>
                      <w:rFonts w:hint="eastAsia"/>
                      <w:color w:val="auto"/>
                      <w:szCs w:val="21"/>
                    </w:rPr>
                  </w:pPr>
                  <w:r>
                    <w:rPr>
                      <w:rFonts w:hint="eastAsia"/>
                      <w:color w:val="auto"/>
                      <w:szCs w:val="21"/>
                    </w:rPr>
                    <w:t>142号）、《省政府关于印发江苏省生态空间管控区域规划的通知》（苏政发〔2020〕1号）、《关于进一步加强生态保护红线监督管理的通知》（苏自然函（2023）880号）、《江苏省国土空间规划（2021—2035年）》（国函〔2023〕</w:t>
                  </w:r>
                </w:p>
                <w:p w14:paraId="05287817">
                  <w:pPr>
                    <w:jc w:val="center"/>
                    <w:rPr>
                      <w:rFonts w:hint="eastAsia"/>
                      <w:color w:val="auto"/>
                      <w:szCs w:val="21"/>
                    </w:rPr>
                  </w:pPr>
                  <w:r>
                    <w:rPr>
                      <w:rFonts w:hint="eastAsia"/>
                      <w:color w:val="auto"/>
                      <w:szCs w:val="21"/>
                    </w:rPr>
                    <w:t>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601" w:type="pct"/>
                  <w:noWrap w:val="0"/>
                  <w:tcMar>
                    <w:top w:w="0" w:type="dxa"/>
                    <w:left w:w="0" w:type="dxa"/>
                    <w:bottom w:w="0" w:type="dxa"/>
                    <w:right w:w="0" w:type="dxa"/>
                  </w:tcMar>
                  <w:vAlign w:val="center"/>
                </w:tcPr>
                <w:p w14:paraId="261AF118">
                  <w:pPr>
                    <w:jc w:val="center"/>
                    <w:rPr>
                      <w:rFonts w:hint="eastAsia"/>
                      <w:color w:val="auto"/>
                      <w:szCs w:val="21"/>
                    </w:rPr>
                  </w:pPr>
                  <w:r>
                    <w:rPr>
                      <w:color w:val="auto"/>
                      <w:szCs w:val="21"/>
                    </w:rPr>
                    <w:t>本项目不在生态保护红线范围内，项目实施后，不会使生态功能不降低、不会影响生态空间面积、不会改变生态空间性质</w:t>
                  </w:r>
                  <w:r>
                    <w:rPr>
                      <w:rFonts w:hint="eastAsia"/>
                      <w:color w:val="auto"/>
                      <w:szCs w:val="21"/>
                    </w:rPr>
                    <w:t>。</w:t>
                  </w:r>
                </w:p>
              </w:tc>
              <w:tc>
                <w:tcPr>
                  <w:tcW w:w="425" w:type="pct"/>
                  <w:noWrap w:val="0"/>
                  <w:tcMar>
                    <w:top w:w="0" w:type="dxa"/>
                    <w:left w:w="0" w:type="dxa"/>
                    <w:bottom w:w="0" w:type="dxa"/>
                    <w:right w:w="0" w:type="dxa"/>
                  </w:tcMar>
                  <w:vAlign w:val="center"/>
                </w:tcPr>
                <w:p w14:paraId="6A5477EE">
                  <w:pPr>
                    <w:jc w:val="center"/>
                    <w:rPr>
                      <w:color w:val="auto"/>
                      <w:szCs w:val="21"/>
                    </w:rPr>
                  </w:pPr>
                  <w:r>
                    <w:rPr>
                      <w:color w:val="auto"/>
                      <w:szCs w:val="21"/>
                    </w:rPr>
                    <w:t>相符</w:t>
                  </w:r>
                </w:p>
              </w:tc>
            </w:tr>
            <w:tr w14:paraId="1D3D6E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noWrap w:val="0"/>
                  <w:tcMar>
                    <w:top w:w="0" w:type="dxa"/>
                    <w:left w:w="0" w:type="dxa"/>
                    <w:bottom w:w="0" w:type="dxa"/>
                    <w:right w:w="0" w:type="dxa"/>
                  </w:tcMar>
                  <w:vAlign w:val="center"/>
                </w:tcPr>
                <w:p w14:paraId="2BA71016">
                  <w:pPr>
                    <w:jc w:val="center"/>
                    <w:rPr>
                      <w:color w:val="auto"/>
                    </w:rPr>
                  </w:pPr>
                </w:p>
              </w:tc>
              <w:tc>
                <w:tcPr>
                  <w:tcW w:w="343" w:type="pct"/>
                  <w:vMerge w:val="continue"/>
                  <w:noWrap w:val="0"/>
                  <w:tcMar>
                    <w:top w:w="0" w:type="dxa"/>
                    <w:left w:w="0" w:type="dxa"/>
                    <w:bottom w:w="0" w:type="dxa"/>
                    <w:right w:w="0" w:type="dxa"/>
                  </w:tcMar>
                  <w:vAlign w:val="center"/>
                </w:tcPr>
                <w:p w14:paraId="5222F616">
                  <w:pPr>
                    <w:jc w:val="center"/>
                    <w:rPr>
                      <w:color w:val="auto"/>
                    </w:rPr>
                  </w:pPr>
                </w:p>
              </w:tc>
              <w:tc>
                <w:tcPr>
                  <w:tcW w:w="2324" w:type="pct"/>
                  <w:noWrap w:val="0"/>
                  <w:tcMar>
                    <w:top w:w="0" w:type="dxa"/>
                    <w:left w:w="0" w:type="dxa"/>
                    <w:bottom w:w="0" w:type="dxa"/>
                    <w:right w:w="0" w:type="dxa"/>
                  </w:tcMar>
                  <w:vAlign w:val="center"/>
                </w:tcPr>
                <w:p w14:paraId="273FDFE4">
                  <w:pPr>
                    <w:jc w:val="center"/>
                    <w:rPr>
                      <w:rFonts w:hint="eastAsia"/>
                      <w:color w:val="auto"/>
                      <w:szCs w:val="21"/>
                    </w:rPr>
                  </w:pPr>
                  <w:r>
                    <w:rPr>
                      <w:rFonts w:hint="eastAsia"/>
                      <w:color w:val="auto"/>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601" w:type="pct"/>
                  <w:noWrap w:val="0"/>
                  <w:tcMar>
                    <w:top w:w="0" w:type="dxa"/>
                    <w:left w:w="0" w:type="dxa"/>
                    <w:bottom w:w="0" w:type="dxa"/>
                    <w:right w:w="0" w:type="dxa"/>
                  </w:tcMar>
                  <w:vAlign w:val="center"/>
                </w:tcPr>
                <w:p w14:paraId="7FDF3264">
                  <w:pPr>
                    <w:jc w:val="center"/>
                    <w:rPr>
                      <w:rFonts w:hint="default" w:eastAsia="宋体"/>
                      <w:color w:val="auto"/>
                      <w:szCs w:val="21"/>
                      <w:lang w:val="en-US" w:eastAsia="zh-CN"/>
                    </w:rPr>
                  </w:pPr>
                  <w:r>
                    <w:rPr>
                      <w:rFonts w:hint="eastAsia"/>
                      <w:color w:val="auto"/>
                      <w:szCs w:val="21"/>
                      <w:lang w:val="en-US" w:eastAsia="zh-CN"/>
                    </w:rPr>
                    <w:t>本项目不在重点保护的岸线、河段、区域范围内，不属于排放量大、耗能高、产能过剩的产业。</w:t>
                  </w:r>
                </w:p>
              </w:tc>
              <w:tc>
                <w:tcPr>
                  <w:tcW w:w="425" w:type="pct"/>
                  <w:noWrap w:val="0"/>
                  <w:tcMar>
                    <w:top w:w="0" w:type="dxa"/>
                    <w:left w:w="0" w:type="dxa"/>
                    <w:bottom w:w="0" w:type="dxa"/>
                    <w:right w:w="0" w:type="dxa"/>
                  </w:tcMar>
                  <w:vAlign w:val="center"/>
                </w:tcPr>
                <w:p w14:paraId="05662E9F">
                  <w:pPr>
                    <w:jc w:val="center"/>
                    <w:rPr>
                      <w:rFonts w:hint="eastAsia"/>
                      <w:color w:val="auto"/>
                      <w:szCs w:val="21"/>
                    </w:rPr>
                  </w:pPr>
                  <w:r>
                    <w:rPr>
                      <w:color w:val="auto"/>
                      <w:szCs w:val="21"/>
                    </w:rPr>
                    <w:t>相符</w:t>
                  </w:r>
                </w:p>
              </w:tc>
            </w:tr>
            <w:tr w14:paraId="160280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noWrap w:val="0"/>
                  <w:tcMar>
                    <w:top w:w="0" w:type="dxa"/>
                    <w:left w:w="0" w:type="dxa"/>
                    <w:bottom w:w="0" w:type="dxa"/>
                    <w:right w:w="0" w:type="dxa"/>
                  </w:tcMar>
                  <w:vAlign w:val="center"/>
                </w:tcPr>
                <w:p w14:paraId="0E05ACB2">
                  <w:pPr>
                    <w:jc w:val="center"/>
                    <w:rPr>
                      <w:rFonts w:hint="eastAsia"/>
                      <w:color w:val="auto"/>
                      <w:szCs w:val="21"/>
                    </w:rPr>
                  </w:pPr>
                </w:p>
              </w:tc>
              <w:tc>
                <w:tcPr>
                  <w:tcW w:w="343" w:type="pct"/>
                  <w:vMerge w:val="continue"/>
                  <w:noWrap w:val="0"/>
                  <w:tcMar>
                    <w:top w:w="0" w:type="dxa"/>
                    <w:left w:w="0" w:type="dxa"/>
                    <w:bottom w:w="0" w:type="dxa"/>
                    <w:right w:w="0" w:type="dxa"/>
                  </w:tcMar>
                  <w:vAlign w:val="center"/>
                </w:tcPr>
                <w:p w14:paraId="31B7F9E3">
                  <w:pPr>
                    <w:jc w:val="center"/>
                    <w:rPr>
                      <w:rFonts w:hint="eastAsia"/>
                      <w:color w:val="auto"/>
                      <w:szCs w:val="21"/>
                    </w:rPr>
                  </w:pPr>
                </w:p>
              </w:tc>
              <w:tc>
                <w:tcPr>
                  <w:tcW w:w="2324" w:type="pct"/>
                  <w:noWrap w:val="0"/>
                  <w:tcMar>
                    <w:top w:w="0" w:type="dxa"/>
                    <w:left w:w="0" w:type="dxa"/>
                    <w:bottom w:w="0" w:type="dxa"/>
                    <w:right w:w="0" w:type="dxa"/>
                  </w:tcMar>
                  <w:vAlign w:val="center"/>
                </w:tcPr>
                <w:p w14:paraId="78C596EE">
                  <w:pPr>
                    <w:jc w:val="center"/>
                    <w:rPr>
                      <w:rFonts w:hint="eastAsia"/>
                      <w:color w:val="auto"/>
                      <w:szCs w:val="21"/>
                    </w:rPr>
                  </w:pPr>
                  <w:r>
                    <w:rPr>
                      <w:rFonts w:hint="eastAsia"/>
                      <w:color w:val="auto"/>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601" w:type="pct"/>
                  <w:noWrap w:val="0"/>
                  <w:tcMar>
                    <w:top w:w="0" w:type="dxa"/>
                    <w:left w:w="0" w:type="dxa"/>
                    <w:bottom w:w="0" w:type="dxa"/>
                    <w:right w:w="0" w:type="dxa"/>
                  </w:tcMar>
                  <w:vAlign w:val="center"/>
                </w:tcPr>
                <w:p w14:paraId="0232ABE1">
                  <w:pPr>
                    <w:jc w:val="center"/>
                    <w:rPr>
                      <w:rFonts w:hint="default" w:eastAsia="宋体"/>
                      <w:color w:val="auto"/>
                      <w:szCs w:val="21"/>
                      <w:lang w:val="en-US" w:eastAsia="zh-CN"/>
                    </w:rPr>
                  </w:pPr>
                  <w:r>
                    <w:rPr>
                      <w:rFonts w:hint="eastAsia"/>
                      <w:color w:val="auto"/>
                      <w:szCs w:val="21"/>
                      <w:lang w:val="en-US" w:eastAsia="zh-CN"/>
                    </w:rPr>
                    <w:t>本项目不在长江干支流两侧1公里范围内。</w:t>
                  </w:r>
                </w:p>
              </w:tc>
              <w:tc>
                <w:tcPr>
                  <w:tcW w:w="425" w:type="pct"/>
                  <w:noWrap w:val="0"/>
                  <w:tcMar>
                    <w:top w:w="0" w:type="dxa"/>
                    <w:left w:w="0" w:type="dxa"/>
                    <w:bottom w:w="0" w:type="dxa"/>
                    <w:right w:w="0" w:type="dxa"/>
                  </w:tcMar>
                  <w:vAlign w:val="center"/>
                </w:tcPr>
                <w:p w14:paraId="52905E8A">
                  <w:pPr>
                    <w:jc w:val="center"/>
                    <w:rPr>
                      <w:rFonts w:hint="eastAsia"/>
                      <w:color w:val="auto"/>
                      <w:szCs w:val="21"/>
                    </w:rPr>
                  </w:pPr>
                  <w:r>
                    <w:rPr>
                      <w:color w:val="auto"/>
                      <w:szCs w:val="21"/>
                    </w:rPr>
                    <w:t>相符</w:t>
                  </w:r>
                </w:p>
              </w:tc>
            </w:tr>
            <w:tr w14:paraId="2E32CE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noWrap w:val="0"/>
                  <w:tcMar>
                    <w:top w:w="0" w:type="dxa"/>
                    <w:left w:w="0" w:type="dxa"/>
                    <w:bottom w:w="0" w:type="dxa"/>
                    <w:right w:w="0" w:type="dxa"/>
                  </w:tcMar>
                  <w:vAlign w:val="center"/>
                </w:tcPr>
                <w:p w14:paraId="7CFCEC74">
                  <w:pPr>
                    <w:jc w:val="center"/>
                    <w:rPr>
                      <w:rFonts w:hint="eastAsia"/>
                      <w:color w:val="auto"/>
                      <w:szCs w:val="21"/>
                    </w:rPr>
                  </w:pPr>
                </w:p>
              </w:tc>
              <w:tc>
                <w:tcPr>
                  <w:tcW w:w="343" w:type="pct"/>
                  <w:vMerge w:val="continue"/>
                  <w:noWrap w:val="0"/>
                  <w:tcMar>
                    <w:top w:w="0" w:type="dxa"/>
                    <w:left w:w="0" w:type="dxa"/>
                    <w:bottom w:w="0" w:type="dxa"/>
                    <w:right w:w="0" w:type="dxa"/>
                  </w:tcMar>
                  <w:vAlign w:val="center"/>
                </w:tcPr>
                <w:p w14:paraId="2B15076C">
                  <w:pPr>
                    <w:jc w:val="center"/>
                    <w:rPr>
                      <w:rFonts w:hint="eastAsia"/>
                      <w:color w:val="auto"/>
                      <w:szCs w:val="21"/>
                    </w:rPr>
                  </w:pPr>
                </w:p>
              </w:tc>
              <w:tc>
                <w:tcPr>
                  <w:tcW w:w="2324" w:type="pct"/>
                  <w:noWrap w:val="0"/>
                  <w:tcMar>
                    <w:top w:w="0" w:type="dxa"/>
                    <w:left w:w="0" w:type="dxa"/>
                    <w:bottom w:w="0" w:type="dxa"/>
                    <w:right w:w="0" w:type="dxa"/>
                  </w:tcMar>
                  <w:vAlign w:val="center"/>
                </w:tcPr>
                <w:p w14:paraId="45733808">
                  <w:pPr>
                    <w:jc w:val="center"/>
                    <w:rPr>
                      <w:rFonts w:hint="eastAsia"/>
                      <w:color w:val="auto"/>
                      <w:szCs w:val="21"/>
                    </w:rPr>
                  </w:pPr>
                  <w:r>
                    <w:rPr>
                      <w:rFonts w:hint="eastAsia"/>
                      <w:color w:val="auto"/>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601" w:type="pct"/>
                  <w:noWrap w:val="0"/>
                  <w:tcMar>
                    <w:top w:w="0" w:type="dxa"/>
                    <w:left w:w="0" w:type="dxa"/>
                    <w:bottom w:w="0" w:type="dxa"/>
                    <w:right w:w="0" w:type="dxa"/>
                  </w:tcMar>
                  <w:vAlign w:val="center"/>
                </w:tcPr>
                <w:p w14:paraId="3C2E021B">
                  <w:pPr>
                    <w:jc w:val="center"/>
                    <w:rPr>
                      <w:rFonts w:hint="default" w:eastAsia="宋体"/>
                      <w:color w:val="auto"/>
                      <w:szCs w:val="21"/>
                      <w:lang w:val="en-US" w:eastAsia="zh-CN"/>
                    </w:rPr>
                  </w:pPr>
                  <w:r>
                    <w:rPr>
                      <w:rFonts w:hint="eastAsia"/>
                      <w:color w:val="auto"/>
                      <w:szCs w:val="21"/>
                      <w:lang w:val="en-US" w:eastAsia="zh-CN"/>
                    </w:rPr>
                    <w:t>本项目不属于钢铁行业。</w:t>
                  </w:r>
                </w:p>
              </w:tc>
              <w:tc>
                <w:tcPr>
                  <w:tcW w:w="425" w:type="pct"/>
                  <w:noWrap w:val="0"/>
                  <w:tcMar>
                    <w:top w:w="0" w:type="dxa"/>
                    <w:left w:w="0" w:type="dxa"/>
                    <w:bottom w:w="0" w:type="dxa"/>
                    <w:right w:w="0" w:type="dxa"/>
                  </w:tcMar>
                  <w:vAlign w:val="center"/>
                </w:tcPr>
                <w:p w14:paraId="37C1FB8D">
                  <w:pPr>
                    <w:jc w:val="center"/>
                    <w:rPr>
                      <w:rFonts w:hint="eastAsia"/>
                      <w:color w:val="auto"/>
                      <w:szCs w:val="21"/>
                    </w:rPr>
                  </w:pPr>
                  <w:r>
                    <w:rPr>
                      <w:color w:val="auto"/>
                      <w:szCs w:val="21"/>
                    </w:rPr>
                    <w:t>相符</w:t>
                  </w:r>
                </w:p>
              </w:tc>
            </w:tr>
            <w:tr w14:paraId="3079FF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21595F65">
                  <w:pPr>
                    <w:jc w:val="center"/>
                    <w:rPr>
                      <w:color w:val="auto"/>
                      <w:szCs w:val="21"/>
                    </w:rPr>
                  </w:pPr>
                </w:p>
              </w:tc>
              <w:tc>
                <w:tcPr>
                  <w:tcW w:w="343" w:type="pct"/>
                  <w:vMerge w:val="continue"/>
                  <w:noWrap w:val="0"/>
                  <w:tcMar>
                    <w:top w:w="0" w:type="dxa"/>
                    <w:left w:w="0" w:type="dxa"/>
                    <w:bottom w:w="0" w:type="dxa"/>
                    <w:right w:w="0" w:type="dxa"/>
                  </w:tcMar>
                  <w:vAlign w:val="center"/>
                </w:tcPr>
                <w:p w14:paraId="77FD9F5C">
                  <w:pPr>
                    <w:jc w:val="center"/>
                    <w:rPr>
                      <w:color w:val="auto"/>
                      <w:szCs w:val="21"/>
                    </w:rPr>
                  </w:pPr>
                </w:p>
              </w:tc>
              <w:tc>
                <w:tcPr>
                  <w:tcW w:w="2324" w:type="pct"/>
                  <w:noWrap w:val="0"/>
                  <w:tcMar>
                    <w:top w:w="0" w:type="dxa"/>
                    <w:left w:w="0" w:type="dxa"/>
                    <w:bottom w:w="0" w:type="dxa"/>
                    <w:right w:w="0" w:type="dxa"/>
                  </w:tcMar>
                  <w:vAlign w:val="center"/>
                </w:tcPr>
                <w:p w14:paraId="21AC557C">
                  <w:pPr>
                    <w:jc w:val="center"/>
                    <w:rPr>
                      <w:rFonts w:hint="eastAsia" w:eastAsia="宋体"/>
                      <w:color w:val="auto"/>
                      <w:szCs w:val="21"/>
                      <w:lang w:eastAsia="zh-CN"/>
                    </w:rPr>
                  </w:pPr>
                  <w:r>
                    <w:rPr>
                      <w:rFonts w:hint="eastAsia"/>
                      <w:color w:val="auto"/>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r>
                    <w:rPr>
                      <w:rFonts w:hint="eastAsia"/>
                      <w:color w:val="auto"/>
                      <w:szCs w:val="21"/>
                      <w:lang w:eastAsia="zh-CN"/>
                    </w:rPr>
                    <w:t>。</w:t>
                  </w:r>
                </w:p>
              </w:tc>
              <w:tc>
                <w:tcPr>
                  <w:tcW w:w="1601" w:type="pct"/>
                  <w:noWrap w:val="0"/>
                  <w:tcMar>
                    <w:top w:w="0" w:type="dxa"/>
                    <w:left w:w="0" w:type="dxa"/>
                    <w:bottom w:w="0" w:type="dxa"/>
                    <w:right w:w="0" w:type="dxa"/>
                  </w:tcMar>
                  <w:vAlign w:val="center"/>
                </w:tcPr>
                <w:p w14:paraId="0430EF34">
                  <w:pPr>
                    <w:jc w:val="center"/>
                    <w:rPr>
                      <w:rFonts w:hint="eastAsia"/>
                      <w:color w:val="auto"/>
                      <w:szCs w:val="21"/>
                    </w:rPr>
                  </w:pPr>
                  <w:r>
                    <w:rPr>
                      <w:color w:val="auto"/>
                      <w:szCs w:val="21"/>
                    </w:rPr>
                    <w:t>本项目</w:t>
                  </w:r>
                  <w:r>
                    <w:rPr>
                      <w:rFonts w:hint="eastAsia"/>
                      <w:color w:val="auto"/>
                      <w:szCs w:val="21"/>
                      <w:lang w:val="en-US" w:eastAsia="zh-CN"/>
                    </w:rPr>
                    <w:t>不涉及</w:t>
                  </w:r>
                  <w:r>
                    <w:rPr>
                      <w:color w:val="auto"/>
                      <w:szCs w:val="21"/>
                    </w:rPr>
                    <w:t>生态保护红线</w:t>
                  </w:r>
                  <w:r>
                    <w:rPr>
                      <w:rFonts w:hint="eastAsia"/>
                      <w:color w:val="auto"/>
                      <w:szCs w:val="21"/>
                      <w:lang w:eastAsia="zh-CN"/>
                    </w:rPr>
                    <w:t>、</w:t>
                  </w:r>
                  <w:r>
                    <w:rPr>
                      <w:rFonts w:hint="eastAsia"/>
                      <w:color w:val="auto"/>
                      <w:szCs w:val="21"/>
                      <w:lang w:val="en-US" w:eastAsia="zh-CN"/>
                    </w:rPr>
                    <w:t>相关法定保护区的重大民生项目、</w:t>
                  </w:r>
                  <w:r>
                    <w:rPr>
                      <w:rFonts w:hint="eastAsia"/>
                      <w:color w:val="auto"/>
                      <w:szCs w:val="21"/>
                    </w:rPr>
                    <w:t>重大基础设施项目</w:t>
                  </w:r>
                  <w:r>
                    <w:rPr>
                      <w:rFonts w:hint="eastAsia"/>
                      <w:color w:val="auto"/>
                      <w:szCs w:val="21"/>
                      <w:lang w:eastAsia="zh-CN"/>
                    </w:rPr>
                    <w:t>。</w:t>
                  </w:r>
                </w:p>
              </w:tc>
              <w:tc>
                <w:tcPr>
                  <w:tcW w:w="425" w:type="pct"/>
                  <w:noWrap w:val="0"/>
                  <w:tcMar>
                    <w:top w:w="0" w:type="dxa"/>
                    <w:left w:w="0" w:type="dxa"/>
                    <w:bottom w:w="0" w:type="dxa"/>
                    <w:right w:w="0" w:type="dxa"/>
                  </w:tcMar>
                  <w:vAlign w:val="center"/>
                </w:tcPr>
                <w:p w14:paraId="2F3E6E6D">
                  <w:pPr>
                    <w:jc w:val="center"/>
                    <w:rPr>
                      <w:color w:val="auto"/>
                      <w:szCs w:val="21"/>
                    </w:rPr>
                  </w:pPr>
                  <w:r>
                    <w:rPr>
                      <w:color w:val="auto"/>
                      <w:szCs w:val="21"/>
                    </w:rPr>
                    <w:t>相符</w:t>
                  </w:r>
                </w:p>
              </w:tc>
            </w:tr>
            <w:tr w14:paraId="3F71FB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noWrap w:val="0"/>
                  <w:tcMar>
                    <w:top w:w="0" w:type="dxa"/>
                    <w:left w:w="0" w:type="dxa"/>
                    <w:bottom w:w="0" w:type="dxa"/>
                    <w:right w:w="0" w:type="dxa"/>
                  </w:tcMar>
                  <w:vAlign w:val="center"/>
                </w:tcPr>
                <w:p w14:paraId="54915FFA">
                  <w:pPr>
                    <w:jc w:val="center"/>
                    <w:rPr>
                      <w:color w:val="auto"/>
                      <w:szCs w:val="21"/>
                    </w:rPr>
                  </w:pPr>
                  <w:r>
                    <w:rPr>
                      <w:color w:val="auto"/>
                      <w:szCs w:val="21"/>
                    </w:rPr>
                    <w:t>2</w:t>
                  </w:r>
                </w:p>
              </w:tc>
              <w:tc>
                <w:tcPr>
                  <w:tcW w:w="343" w:type="pct"/>
                  <w:vMerge w:val="restart"/>
                  <w:noWrap w:val="0"/>
                  <w:tcMar>
                    <w:top w:w="0" w:type="dxa"/>
                    <w:left w:w="0" w:type="dxa"/>
                    <w:bottom w:w="0" w:type="dxa"/>
                    <w:right w:w="0" w:type="dxa"/>
                  </w:tcMar>
                  <w:vAlign w:val="center"/>
                </w:tcPr>
                <w:p w14:paraId="670E67BD">
                  <w:pPr>
                    <w:jc w:val="center"/>
                    <w:rPr>
                      <w:color w:val="auto"/>
                      <w:szCs w:val="21"/>
                    </w:rPr>
                  </w:pPr>
                  <w:r>
                    <w:rPr>
                      <w:color w:val="auto"/>
                      <w:szCs w:val="21"/>
                    </w:rPr>
                    <w:t>污染物排放管控</w:t>
                  </w:r>
                </w:p>
              </w:tc>
              <w:tc>
                <w:tcPr>
                  <w:tcW w:w="2324" w:type="pct"/>
                  <w:noWrap w:val="0"/>
                  <w:tcMar>
                    <w:top w:w="0" w:type="dxa"/>
                    <w:left w:w="0" w:type="dxa"/>
                    <w:bottom w:w="0" w:type="dxa"/>
                    <w:right w:w="0" w:type="dxa"/>
                  </w:tcMar>
                  <w:vAlign w:val="center"/>
                </w:tcPr>
                <w:p w14:paraId="77BBB3B0">
                  <w:pPr>
                    <w:jc w:val="center"/>
                    <w:rPr>
                      <w:color w:val="auto"/>
                      <w:szCs w:val="21"/>
                    </w:rPr>
                  </w:pPr>
                  <w:r>
                    <w:rPr>
                      <w:color w:val="auto"/>
                      <w:szCs w:val="21"/>
                      <w:lang w:val="en-US" w:eastAsia="zh-CN"/>
                    </w:rPr>
                    <w:t>1．坚持生态环境质量只能更好、不能变坏，实施污染物总量控制，以环境容量定产业、定项目、定规模，确保开</w:t>
                  </w:r>
                  <w:r>
                    <w:rPr>
                      <w:rFonts w:hint="default"/>
                      <w:color w:val="auto"/>
                      <w:szCs w:val="21"/>
                      <w:lang w:val="en-US" w:eastAsia="zh-CN"/>
                    </w:rPr>
                    <w:t>发建设行为不突破生态环境承载力。</w:t>
                  </w:r>
                </w:p>
              </w:tc>
              <w:tc>
                <w:tcPr>
                  <w:tcW w:w="1601" w:type="pct"/>
                  <w:noWrap w:val="0"/>
                  <w:tcMar>
                    <w:top w:w="0" w:type="dxa"/>
                    <w:left w:w="0" w:type="dxa"/>
                    <w:bottom w:w="0" w:type="dxa"/>
                    <w:right w:w="0" w:type="dxa"/>
                  </w:tcMar>
                  <w:vAlign w:val="center"/>
                </w:tcPr>
                <w:p w14:paraId="0183B0F7">
                  <w:pPr>
                    <w:jc w:val="center"/>
                    <w:rPr>
                      <w:rFonts w:hint="eastAsia"/>
                      <w:color w:val="auto"/>
                      <w:szCs w:val="21"/>
                    </w:rPr>
                  </w:pPr>
                  <w:r>
                    <w:rPr>
                      <w:color w:val="auto"/>
                      <w:szCs w:val="21"/>
                    </w:rPr>
                    <w:t>本项目应按要求向常州市金坛生态环境局申请总量</w:t>
                  </w:r>
                  <w:r>
                    <w:rPr>
                      <w:rFonts w:hint="eastAsia"/>
                      <w:color w:val="auto"/>
                      <w:szCs w:val="21"/>
                    </w:rPr>
                    <w:t>。</w:t>
                  </w:r>
                </w:p>
              </w:tc>
              <w:tc>
                <w:tcPr>
                  <w:tcW w:w="425" w:type="pct"/>
                  <w:noWrap w:val="0"/>
                  <w:tcMar>
                    <w:top w:w="0" w:type="dxa"/>
                    <w:left w:w="0" w:type="dxa"/>
                    <w:bottom w:w="0" w:type="dxa"/>
                    <w:right w:w="0" w:type="dxa"/>
                  </w:tcMar>
                  <w:vAlign w:val="center"/>
                </w:tcPr>
                <w:p w14:paraId="62CC1AF9">
                  <w:pPr>
                    <w:jc w:val="center"/>
                    <w:rPr>
                      <w:color w:val="auto"/>
                      <w:szCs w:val="21"/>
                    </w:rPr>
                  </w:pPr>
                  <w:r>
                    <w:rPr>
                      <w:color w:val="auto"/>
                      <w:szCs w:val="21"/>
                    </w:rPr>
                    <w:t>相符</w:t>
                  </w:r>
                </w:p>
              </w:tc>
            </w:tr>
            <w:tr w14:paraId="22B368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373F3437">
                  <w:pPr>
                    <w:jc w:val="center"/>
                    <w:rPr>
                      <w:color w:val="auto"/>
                      <w:szCs w:val="21"/>
                    </w:rPr>
                  </w:pPr>
                </w:p>
              </w:tc>
              <w:tc>
                <w:tcPr>
                  <w:tcW w:w="343" w:type="pct"/>
                  <w:vMerge w:val="continue"/>
                  <w:noWrap w:val="0"/>
                  <w:tcMar>
                    <w:top w:w="0" w:type="dxa"/>
                    <w:left w:w="0" w:type="dxa"/>
                    <w:bottom w:w="0" w:type="dxa"/>
                    <w:right w:w="0" w:type="dxa"/>
                  </w:tcMar>
                  <w:vAlign w:val="center"/>
                </w:tcPr>
                <w:p w14:paraId="7EBEE3E9">
                  <w:pPr>
                    <w:jc w:val="center"/>
                    <w:rPr>
                      <w:color w:val="auto"/>
                      <w:szCs w:val="21"/>
                    </w:rPr>
                  </w:pPr>
                </w:p>
              </w:tc>
              <w:tc>
                <w:tcPr>
                  <w:tcW w:w="2324" w:type="pct"/>
                  <w:noWrap w:val="0"/>
                  <w:tcMar>
                    <w:top w:w="0" w:type="dxa"/>
                    <w:left w:w="0" w:type="dxa"/>
                    <w:bottom w:w="0" w:type="dxa"/>
                    <w:right w:w="0" w:type="dxa"/>
                  </w:tcMar>
                  <w:vAlign w:val="center"/>
                </w:tcPr>
                <w:p w14:paraId="51C177F5">
                  <w:pPr>
                    <w:jc w:val="center"/>
                    <w:rPr>
                      <w:color w:val="auto"/>
                      <w:szCs w:val="21"/>
                    </w:rPr>
                  </w:pPr>
                  <w:r>
                    <w:rPr>
                      <w:rFonts w:hint="default"/>
                      <w:color w:val="auto"/>
                      <w:szCs w:val="21"/>
                      <w:lang w:val="en-US" w:eastAsia="zh-CN"/>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601" w:type="pct"/>
                  <w:noWrap w:val="0"/>
                  <w:tcMar>
                    <w:top w:w="0" w:type="dxa"/>
                    <w:left w:w="0" w:type="dxa"/>
                    <w:bottom w:w="0" w:type="dxa"/>
                    <w:right w:w="0" w:type="dxa"/>
                  </w:tcMar>
                  <w:vAlign w:val="center"/>
                </w:tcPr>
                <w:p w14:paraId="09345619">
                  <w:pPr>
                    <w:jc w:val="center"/>
                    <w:rPr>
                      <w:rFonts w:hint="eastAsia"/>
                      <w:color w:val="auto"/>
                      <w:szCs w:val="21"/>
                    </w:rPr>
                  </w:pPr>
                  <w:r>
                    <w:rPr>
                      <w:color w:val="auto"/>
                      <w:szCs w:val="21"/>
                    </w:rPr>
                    <w:t>本项目不属于</w:t>
                  </w:r>
                  <w:r>
                    <w:rPr>
                      <w:rFonts w:hint="eastAsia"/>
                      <w:color w:val="auto"/>
                      <w:szCs w:val="21"/>
                      <w:lang w:val="en-US" w:eastAsia="zh-CN"/>
                    </w:rPr>
                    <w:t>高能耗</w:t>
                  </w:r>
                  <w:r>
                    <w:rPr>
                      <w:color w:val="auto"/>
                      <w:szCs w:val="21"/>
                    </w:rPr>
                    <w:t>工业，</w:t>
                  </w:r>
                  <w:r>
                    <w:rPr>
                      <w:rFonts w:hint="eastAsia"/>
                      <w:color w:val="auto"/>
                      <w:szCs w:val="21"/>
                      <w:lang w:val="en-US" w:eastAsia="zh-CN"/>
                    </w:rPr>
                    <w:t>本项目无氮氧化物排放，有机废气均收集处理后排放</w:t>
                  </w:r>
                  <w:r>
                    <w:rPr>
                      <w:rFonts w:hint="eastAsia"/>
                      <w:color w:val="auto"/>
                      <w:szCs w:val="21"/>
                    </w:rPr>
                    <w:t>。</w:t>
                  </w:r>
                </w:p>
              </w:tc>
              <w:tc>
                <w:tcPr>
                  <w:tcW w:w="425" w:type="pct"/>
                  <w:noWrap w:val="0"/>
                  <w:tcMar>
                    <w:top w:w="0" w:type="dxa"/>
                    <w:left w:w="0" w:type="dxa"/>
                    <w:bottom w:w="0" w:type="dxa"/>
                    <w:right w:w="0" w:type="dxa"/>
                  </w:tcMar>
                  <w:vAlign w:val="center"/>
                </w:tcPr>
                <w:p w14:paraId="3ECA2264">
                  <w:pPr>
                    <w:jc w:val="center"/>
                    <w:rPr>
                      <w:color w:val="auto"/>
                      <w:szCs w:val="21"/>
                    </w:rPr>
                  </w:pPr>
                  <w:r>
                    <w:rPr>
                      <w:color w:val="auto"/>
                      <w:szCs w:val="21"/>
                    </w:rPr>
                    <w:t>相符</w:t>
                  </w:r>
                </w:p>
              </w:tc>
            </w:tr>
            <w:tr w14:paraId="1F559F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noWrap w:val="0"/>
                  <w:tcMar>
                    <w:top w:w="0" w:type="dxa"/>
                    <w:left w:w="0" w:type="dxa"/>
                    <w:bottom w:w="0" w:type="dxa"/>
                    <w:right w:w="0" w:type="dxa"/>
                  </w:tcMar>
                  <w:vAlign w:val="center"/>
                </w:tcPr>
                <w:p w14:paraId="792D625F">
                  <w:pPr>
                    <w:jc w:val="center"/>
                    <w:rPr>
                      <w:color w:val="auto"/>
                      <w:szCs w:val="21"/>
                    </w:rPr>
                  </w:pPr>
                  <w:r>
                    <w:rPr>
                      <w:color w:val="auto"/>
                      <w:szCs w:val="21"/>
                    </w:rPr>
                    <w:t>3</w:t>
                  </w:r>
                </w:p>
              </w:tc>
              <w:tc>
                <w:tcPr>
                  <w:tcW w:w="343" w:type="pct"/>
                  <w:vMerge w:val="restart"/>
                  <w:noWrap w:val="0"/>
                  <w:tcMar>
                    <w:top w:w="0" w:type="dxa"/>
                    <w:left w:w="0" w:type="dxa"/>
                    <w:bottom w:w="0" w:type="dxa"/>
                    <w:right w:w="0" w:type="dxa"/>
                  </w:tcMar>
                  <w:vAlign w:val="center"/>
                </w:tcPr>
                <w:p w14:paraId="64B35FCB">
                  <w:pPr>
                    <w:jc w:val="center"/>
                    <w:rPr>
                      <w:color w:val="auto"/>
                      <w:szCs w:val="21"/>
                    </w:rPr>
                  </w:pPr>
                  <w:r>
                    <w:rPr>
                      <w:color w:val="auto"/>
                      <w:szCs w:val="21"/>
                    </w:rPr>
                    <w:t>环境风险防控</w:t>
                  </w:r>
                </w:p>
              </w:tc>
              <w:tc>
                <w:tcPr>
                  <w:tcW w:w="2324" w:type="pct"/>
                  <w:noWrap w:val="0"/>
                  <w:tcMar>
                    <w:top w:w="0" w:type="dxa"/>
                    <w:left w:w="0" w:type="dxa"/>
                    <w:bottom w:w="0" w:type="dxa"/>
                    <w:right w:w="0" w:type="dxa"/>
                  </w:tcMar>
                  <w:vAlign w:val="center"/>
                </w:tcPr>
                <w:p w14:paraId="5DCF3137">
                  <w:pPr>
                    <w:jc w:val="center"/>
                    <w:rPr>
                      <w:rFonts w:hint="eastAsia"/>
                      <w:color w:val="auto"/>
                      <w:kern w:val="2"/>
                      <w:sz w:val="21"/>
                      <w:szCs w:val="21"/>
                      <w:lang w:val="en-US" w:eastAsia="zh-CN" w:bidi="ar-SA"/>
                    </w:rPr>
                  </w:pPr>
                  <w:r>
                    <w:rPr>
                      <w:rFonts w:hint="eastAsia"/>
                      <w:color w:val="auto"/>
                      <w:szCs w:val="21"/>
                      <w:lang w:val="en-US" w:eastAsia="zh-CN"/>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601" w:type="pct"/>
                  <w:noWrap w:val="0"/>
                  <w:tcMar>
                    <w:top w:w="0" w:type="dxa"/>
                    <w:left w:w="0" w:type="dxa"/>
                    <w:bottom w:w="0" w:type="dxa"/>
                    <w:right w:w="0" w:type="dxa"/>
                  </w:tcMar>
                  <w:vAlign w:val="center"/>
                </w:tcPr>
                <w:p w14:paraId="41EC9E7F">
                  <w:pPr>
                    <w:jc w:val="center"/>
                    <w:rPr>
                      <w:rFonts w:hint="eastAsia"/>
                      <w:color w:val="auto"/>
                      <w:kern w:val="2"/>
                      <w:sz w:val="21"/>
                      <w:szCs w:val="21"/>
                      <w:lang w:val="en-US" w:eastAsia="zh-CN" w:bidi="ar-SA"/>
                    </w:rPr>
                  </w:pPr>
                  <w:r>
                    <w:rPr>
                      <w:color w:val="auto"/>
                      <w:szCs w:val="21"/>
                    </w:rPr>
                    <w:t>本项目不运输剧毒物质</w:t>
                  </w:r>
                  <w:r>
                    <w:rPr>
                      <w:rFonts w:hint="eastAsia"/>
                      <w:color w:val="auto"/>
                      <w:szCs w:val="21"/>
                    </w:rPr>
                    <w:t>和</w:t>
                  </w:r>
                  <w:r>
                    <w:rPr>
                      <w:color w:val="auto"/>
                      <w:szCs w:val="21"/>
                    </w:rPr>
                    <w:t>危险化学品</w:t>
                  </w:r>
                  <w:r>
                    <w:rPr>
                      <w:rFonts w:hint="eastAsia"/>
                      <w:color w:val="auto"/>
                      <w:szCs w:val="21"/>
                    </w:rPr>
                    <w:t>；</w:t>
                  </w:r>
                  <w:r>
                    <w:rPr>
                      <w:rFonts w:hint="eastAsia"/>
                      <w:color w:val="auto"/>
                      <w:szCs w:val="21"/>
                      <w:lang w:val="en-US" w:eastAsia="zh-CN"/>
                    </w:rPr>
                    <w:t>本项目</w:t>
                  </w:r>
                  <w:r>
                    <w:rPr>
                      <w:color w:val="auto"/>
                      <w:szCs w:val="21"/>
                    </w:rPr>
                    <w:t>产生的危险废物交由有资质单位处置，</w:t>
                  </w:r>
                  <w:r>
                    <w:rPr>
                      <w:rFonts w:hint="eastAsia"/>
                      <w:color w:val="auto"/>
                      <w:szCs w:val="21"/>
                      <w:lang w:val="en-US" w:eastAsia="zh-CN"/>
                    </w:rPr>
                    <w:t>零</w:t>
                  </w:r>
                  <w:r>
                    <w:rPr>
                      <w:color w:val="auto"/>
                      <w:szCs w:val="21"/>
                    </w:rPr>
                    <w:t>排放。</w:t>
                  </w:r>
                </w:p>
              </w:tc>
              <w:tc>
                <w:tcPr>
                  <w:tcW w:w="425" w:type="pct"/>
                  <w:noWrap w:val="0"/>
                  <w:tcMar>
                    <w:top w:w="0" w:type="dxa"/>
                    <w:left w:w="0" w:type="dxa"/>
                    <w:bottom w:w="0" w:type="dxa"/>
                    <w:right w:w="0" w:type="dxa"/>
                  </w:tcMar>
                  <w:vAlign w:val="center"/>
                </w:tcPr>
                <w:p w14:paraId="2F933C5A">
                  <w:pPr>
                    <w:jc w:val="center"/>
                    <w:rPr>
                      <w:color w:val="auto"/>
                      <w:kern w:val="2"/>
                      <w:sz w:val="21"/>
                      <w:szCs w:val="21"/>
                      <w:lang w:val="en-US" w:eastAsia="zh-CN" w:bidi="ar-SA"/>
                    </w:rPr>
                  </w:pPr>
                  <w:r>
                    <w:rPr>
                      <w:color w:val="auto"/>
                      <w:szCs w:val="21"/>
                    </w:rPr>
                    <w:t>相符</w:t>
                  </w:r>
                </w:p>
              </w:tc>
            </w:tr>
            <w:tr w14:paraId="5B5FAC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444FE59A">
                  <w:pPr>
                    <w:jc w:val="center"/>
                    <w:rPr>
                      <w:color w:val="auto"/>
                      <w:szCs w:val="21"/>
                    </w:rPr>
                  </w:pPr>
                </w:p>
              </w:tc>
              <w:tc>
                <w:tcPr>
                  <w:tcW w:w="343" w:type="pct"/>
                  <w:vMerge w:val="continue"/>
                  <w:noWrap w:val="0"/>
                  <w:tcMar>
                    <w:top w:w="0" w:type="dxa"/>
                    <w:left w:w="0" w:type="dxa"/>
                    <w:bottom w:w="0" w:type="dxa"/>
                    <w:right w:w="0" w:type="dxa"/>
                  </w:tcMar>
                  <w:vAlign w:val="center"/>
                </w:tcPr>
                <w:p w14:paraId="22B88EC2">
                  <w:pPr>
                    <w:jc w:val="center"/>
                    <w:rPr>
                      <w:color w:val="auto"/>
                      <w:szCs w:val="21"/>
                    </w:rPr>
                  </w:pPr>
                </w:p>
              </w:tc>
              <w:tc>
                <w:tcPr>
                  <w:tcW w:w="2324" w:type="pct"/>
                  <w:noWrap w:val="0"/>
                  <w:tcMar>
                    <w:top w:w="0" w:type="dxa"/>
                    <w:left w:w="0" w:type="dxa"/>
                    <w:bottom w:w="0" w:type="dxa"/>
                    <w:right w:w="0" w:type="dxa"/>
                  </w:tcMar>
                  <w:vAlign w:val="center"/>
                </w:tcPr>
                <w:p w14:paraId="6368C97E">
                  <w:pPr>
                    <w:jc w:val="center"/>
                    <w:rPr>
                      <w:rFonts w:hint="eastAsia"/>
                      <w:color w:val="auto"/>
                      <w:kern w:val="2"/>
                      <w:sz w:val="21"/>
                      <w:szCs w:val="21"/>
                      <w:lang w:val="en-US" w:eastAsia="zh-CN" w:bidi="ar-SA"/>
                    </w:rPr>
                  </w:pPr>
                  <w:r>
                    <w:rPr>
                      <w:rFonts w:hint="eastAsia"/>
                      <w:color w:val="auto"/>
                      <w:szCs w:val="21"/>
                      <w:lang w:val="en-US" w:eastAsia="zh-CN"/>
                    </w:rPr>
                    <w:t>3．强化环境事故应急管理。深化跨部门、跨区域环境应急协调联动，分区域建立环境应急物资储备库。各级工业园区（集聚区）和企业的环境应急装备和储备物资应纳入储备体系。</w:t>
                  </w:r>
                </w:p>
              </w:tc>
              <w:tc>
                <w:tcPr>
                  <w:tcW w:w="1601" w:type="pct"/>
                  <w:noWrap w:val="0"/>
                  <w:tcMar>
                    <w:top w:w="0" w:type="dxa"/>
                    <w:left w:w="0" w:type="dxa"/>
                    <w:bottom w:w="0" w:type="dxa"/>
                    <w:right w:w="0" w:type="dxa"/>
                  </w:tcMar>
                  <w:vAlign w:val="center"/>
                </w:tcPr>
                <w:p w14:paraId="13F5724C">
                  <w:pPr>
                    <w:jc w:val="center"/>
                    <w:rPr>
                      <w:rFonts w:hint="eastAsia"/>
                      <w:color w:val="auto"/>
                      <w:kern w:val="2"/>
                      <w:sz w:val="21"/>
                      <w:szCs w:val="21"/>
                      <w:lang w:val="en-US" w:eastAsia="zh-CN" w:bidi="ar-SA"/>
                    </w:rPr>
                  </w:pPr>
                  <w:r>
                    <w:rPr>
                      <w:color w:val="auto"/>
                      <w:szCs w:val="21"/>
                    </w:rPr>
                    <w:t>项目实施后，</w:t>
                  </w:r>
                  <w:r>
                    <w:rPr>
                      <w:rFonts w:hint="eastAsia"/>
                      <w:color w:val="auto"/>
                      <w:szCs w:val="21"/>
                    </w:rPr>
                    <w:t>按</w:t>
                  </w:r>
                  <w:r>
                    <w:rPr>
                      <w:color w:val="auto"/>
                      <w:szCs w:val="21"/>
                    </w:rPr>
                    <w:t>要求</w:t>
                  </w:r>
                  <w:r>
                    <w:rPr>
                      <w:rFonts w:hint="eastAsia"/>
                      <w:color w:val="auto"/>
                      <w:szCs w:val="21"/>
                      <w:lang w:val="en-US" w:eastAsia="zh-CN"/>
                    </w:rPr>
                    <w:t>配备环境应急装备、储备应急物资</w:t>
                  </w:r>
                  <w:r>
                    <w:rPr>
                      <w:rFonts w:hint="eastAsia"/>
                      <w:color w:val="auto"/>
                      <w:szCs w:val="21"/>
                    </w:rPr>
                    <w:t>。</w:t>
                  </w:r>
                </w:p>
              </w:tc>
              <w:tc>
                <w:tcPr>
                  <w:tcW w:w="425" w:type="pct"/>
                  <w:noWrap w:val="0"/>
                  <w:tcMar>
                    <w:top w:w="0" w:type="dxa"/>
                    <w:left w:w="0" w:type="dxa"/>
                    <w:bottom w:w="0" w:type="dxa"/>
                    <w:right w:w="0" w:type="dxa"/>
                  </w:tcMar>
                  <w:vAlign w:val="center"/>
                </w:tcPr>
                <w:p w14:paraId="7388E587">
                  <w:pPr>
                    <w:jc w:val="center"/>
                    <w:rPr>
                      <w:color w:val="auto"/>
                      <w:kern w:val="2"/>
                      <w:sz w:val="21"/>
                      <w:szCs w:val="21"/>
                      <w:lang w:val="en-US" w:eastAsia="zh-CN" w:bidi="ar-SA"/>
                    </w:rPr>
                  </w:pPr>
                  <w:r>
                    <w:rPr>
                      <w:color w:val="auto"/>
                      <w:szCs w:val="21"/>
                    </w:rPr>
                    <w:t>相符</w:t>
                  </w:r>
                </w:p>
              </w:tc>
            </w:tr>
            <w:tr w14:paraId="6B715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3C232E1E">
                  <w:pPr>
                    <w:jc w:val="center"/>
                    <w:rPr>
                      <w:color w:val="auto"/>
                      <w:szCs w:val="21"/>
                    </w:rPr>
                  </w:pPr>
                </w:p>
              </w:tc>
              <w:tc>
                <w:tcPr>
                  <w:tcW w:w="343" w:type="pct"/>
                  <w:vMerge w:val="continue"/>
                  <w:noWrap w:val="0"/>
                  <w:tcMar>
                    <w:top w:w="0" w:type="dxa"/>
                    <w:left w:w="0" w:type="dxa"/>
                    <w:bottom w:w="0" w:type="dxa"/>
                    <w:right w:w="0" w:type="dxa"/>
                  </w:tcMar>
                  <w:vAlign w:val="center"/>
                </w:tcPr>
                <w:p w14:paraId="2133F6CE">
                  <w:pPr>
                    <w:jc w:val="center"/>
                    <w:rPr>
                      <w:color w:val="auto"/>
                      <w:szCs w:val="21"/>
                    </w:rPr>
                  </w:pPr>
                </w:p>
              </w:tc>
              <w:tc>
                <w:tcPr>
                  <w:tcW w:w="2324" w:type="pct"/>
                  <w:noWrap w:val="0"/>
                  <w:tcMar>
                    <w:top w:w="0" w:type="dxa"/>
                    <w:left w:w="0" w:type="dxa"/>
                    <w:bottom w:w="0" w:type="dxa"/>
                    <w:right w:w="0" w:type="dxa"/>
                  </w:tcMar>
                  <w:vAlign w:val="center"/>
                </w:tcPr>
                <w:p w14:paraId="3A2809D6">
                  <w:pPr>
                    <w:jc w:val="center"/>
                    <w:rPr>
                      <w:rFonts w:hint="eastAsia"/>
                      <w:color w:val="auto"/>
                      <w:kern w:val="2"/>
                      <w:sz w:val="21"/>
                      <w:szCs w:val="21"/>
                      <w:lang w:val="en-US" w:eastAsia="zh-CN" w:bidi="ar-SA"/>
                    </w:rPr>
                  </w:pPr>
                  <w:r>
                    <w:rPr>
                      <w:rFonts w:hint="eastAsia"/>
                      <w:color w:val="auto"/>
                      <w:szCs w:val="21"/>
                      <w:lang w:val="en-US" w:eastAsia="zh-CN"/>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601" w:type="pct"/>
                  <w:noWrap w:val="0"/>
                  <w:tcMar>
                    <w:top w:w="0" w:type="dxa"/>
                    <w:left w:w="0" w:type="dxa"/>
                    <w:bottom w:w="0" w:type="dxa"/>
                    <w:right w:w="0" w:type="dxa"/>
                  </w:tcMar>
                  <w:vAlign w:val="center"/>
                </w:tcPr>
                <w:p w14:paraId="3E47E70F">
                  <w:pPr>
                    <w:jc w:val="center"/>
                    <w:rPr>
                      <w:color w:val="auto"/>
                      <w:kern w:val="2"/>
                      <w:sz w:val="21"/>
                      <w:szCs w:val="21"/>
                      <w:lang w:val="en-US" w:eastAsia="zh-CN" w:bidi="ar-SA"/>
                    </w:rPr>
                  </w:pPr>
                  <w:r>
                    <w:rPr>
                      <w:color w:val="auto"/>
                      <w:szCs w:val="21"/>
                    </w:rPr>
                    <w:t>项目实施后，</w:t>
                  </w:r>
                  <w:r>
                    <w:rPr>
                      <w:rFonts w:hint="eastAsia"/>
                      <w:color w:val="auto"/>
                      <w:szCs w:val="21"/>
                    </w:rPr>
                    <w:t>按</w:t>
                  </w:r>
                  <w:r>
                    <w:rPr>
                      <w:color w:val="auto"/>
                      <w:szCs w:val="21"/>
                    </w:rPr>
                    <w:t>要求编制</w:t>
                  </w:r>
                  <w:r>
                    <w:rPr>
                      <w:rFonts w:hint="eastAsia"/>
                      <w:color w:val="auto"/>
                      <w:szCs w:val="21"/>
                    </w:rPr>
                    <w:t>突发环境事件</w:t>
                  </w:r>
                  <w:r>
                    <w:rPr>
                      <w:color w:val="auto"/>
                      <w:szCs w:val="21"/>
                    </w:rPr>
                    <w:t>应急预案</w:t>
                  </w:r>
                  <w:r>
                    <w:rPr>
                      <w:rFonts w:hint="eastAsia"/>
                      <w:color w:val="auto"/>
                      <w:szCs w:val="21"/>
                    </w:rPr>
                    <w:t>、落实预案中的相关</w:t>
                  </w:r>
                  <w:r>
                    <w:rPr>
                      <w:color w:val="auto"/>
                      <w:szCs w:val="21"/>
                    </w:rPr>
                    <w:t>风险防范措施</w:t>
                  </w:r>
                  <w:r>
                    <w:rPr>
                      <w:rFonts w:hint="eastAsia"/>
                      <w:color w:val="auto"/>
                      <w:szCs w:val="21"/>
                    </w:rPr>
                    <w:t>并报相关部门备案。</w:t>
                  </w:r>
                </w:p>
              </w:tc>
              <w:tc>
                <w:tcPr>
                  <w:tcW w:w="425" w:type="pct"/>
                  <w:noWrap w:val="0"/>
                  <w:tcMar>
                    <w:top w:w="0" w:type="dxa"/>
                    <w:left w:w="0" w:type="dxa"/>
                    <w:bottom w:w="0" w:type="dxa"/>
                    <w:right w:w="0" w:type="dxa"/>
                  </w:tcMar>
                  <w:vAlign w:val="center"/>
                </w:tcPr>
                <w:p w14:paraId="5569BB2F">
                  <w:pPr>
                    <w:jc w:val="center"/>
                    <w:rPr>
                      <w:color w:val="auto"/>
                      <w:kern w:val="2"/>
                      <w:sz w:val="21"/>
                      <w:szCs w:val="21"/>
                      <w:lang w:val="en-US" w:eastAsia="zh-CN" w:bidi="ar-SA"/>
                    </w:rPr>
                  </w:pPr>
                  <w:r>
                    <w:rPr>
                      <w:color w:val="auto"/>
                      <w:szCs w:val="21"/>
                    </w:rPr>
                    <w:t>相符</w:t>
                  </w:r>
                </w:p>
              </w:tc>
            </w:tr>
            <w:tr w14:paraId="034AA7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noWrap w:val="0"/>
                  <w:tcMar>
                    <w:top w:w="0" w:type="dxa"/>
                    <w:left w:w="0" w:type="dxa"/>
                    <w:bottom w:w="0" w:type="dxa"/>
                    <w:right w:w="0" w:type="dxa"/>
                  </w:tcMar>
                  <w:vAlign w:val="center"/>
                </w:tcPr>
                <w:p w14:paraId="5C3D0A65">
                  <w:pPr>
                    <w:jc w:val="center"/>
                    <w:rPr>
                      <w:color w:val="auto"/>
                      <w:szCs w:val="21"/>
                    </w:rPr>
                  </w:pPr>
                  <w:r>
                    <w:rPr>
                      <w:color w:val="auto"/>
                      <w:szCs w:val="21"/>
                    </w:rPr>
                    <w:t>4</w:t>
                  </w:r>
                </w:p>
              </w:tc>
              <w:tc>
                <w:tcPr>
                  <w:tcW w:w="343" w:type="pct"/>
                  <w:vMerge w:val="restart"/>
                  <w:noWrap w:val="0"/>
                  <w:tcMar>
                    <w:top w:w="0" w:type="dxa"/>
                    <w:left w:w="0" w:type="dxa"/>
                    <w:bottom w:w="0" w:type="dxa"/>
                    <w:right w:w="0" w:type="dxa"/>
                  </w:tcMar>
                  <w:vAlign w:val="center"/>
                </w:tcPr>
                <w:p w14:paraId="5DD50221">
                  <w:pPr>
                    <w:jc w:val="center"/>
                    <w:rPr>
                      <w:color w:val="auto"/>
                      <w:szCs w:val="21"/>
                    </w:rPr>
                  </w:pPr>
                  <w:r>
                    <w:rPr>
                      <w:color w:val="auto"/>
                      <w:szCs w:val="21"/>
                    </w:rPr>
                    <w:t>资源利用效率要求</w:t>
                  </w:r>
                </w:p>
              </w:tc>
              <w:tc>
                <w:tcPr>
                  <w:tcW w:w="2324" w:type="pct"/>
                  <w:noWrap w:val="0"/>
                  <w:tcMar>
                    <w:top w:w="0" w:type="dxa"/>
                    <w:left w:w="0" w:type="dxa"/>
                    <w:bottom w:w="0" w:type="dxa"/>
                    <w:right w:w="0" w:type="dxa"/>
                  </w:tcMar>
                  <w:vAlign w:val="center"/>
                </w:tcPr>
                <w:p w14:paraId="032ECAE8">
                  <w:pPr>
                    <w:jc w:val="center"/>
                    <w:rPr>
                      <w:color w:val="auto"/>
                      <w:szCs w:val="21"/>
                    </w:rPr>
                  </w:pPr>
                  <w:r>
                    <w:rPr>
                      <w:color w:val="auto"/>
                      <w:szCs w:val="21"/>
                      <w:lang w:val="en-US" w:eastAsia="zh-CN"/>
                    </w:rPr>
                    <w:t>1．水资源利用总量及效率要求：到2025年，全省用水总量控制在525.9亿立方米以内，万元地区生产总值用水量、</w:t>
                  </w:r>
                  <w:r>
                    <w:rPr>
                      <w:rFonts w:hint="default"/>
                      <w:color w:val="auto"/>
                      <w:szCs w:val="21"/>
                      <w:lang w:val="en-US" w:eastAsia="zh-CN"/>
                    </w:rPr>
                    <w:t>万元工业增加值用水量下降完成国家下达目标，农田灌溉水有效利用系数提高到0.625。</w:t>
                  </w:r>
                </w:p>
              </w:tc>
              <w:tc>
                <w:tcPr>
                  <w:tcW w:w="1601" w:type="pct"/>
                  <w:noWrap w:val="0"/>
                  <w:tcMar>
                    <w:top w:w="0" w:type="dxa"/>
                    <w:left w:w="0" w:type="dxa"/>
                    <w:bottom w:w="0" w:type="dxa"/>
                    <w:right w:w="0" w:type="dxa"/>
                  </w:tcMar>
                  <w:vAlign w:val="center"/>
                </w:tcPr>
                <w:p w14:paraId="6103A24D">
                  <w:pPr>
                    <w:jc w:val="center"/>
                    <w:rPr>
                      <w:color w:val="auto"/>
                      <w:szCs w:val="21"/>
                    </w:rPr>
                  </w:pPr>
                  <w:r>
                    <w:rPr>
                      <w:color w:val="auto"/>
                      <w:szCs w:val="21"/>
                    </w:rPr>
                    <w:t>本项目GDP水耗为</w:t>
                  </w:r>
                  <w:r>
                    <w:rPr>
                      <w:rFonts w:hint="eastAsia"/>
                      <w:color w:val="auto"/>
                      <w:szCs w:val="21"/>
                      <w:lang w:val="en-US" w:eastAsia="zh-CN"/>
                    </w:rPr>
                    <w:t>0.69</w:t>
                  </w:r>
                  <w:r>
                    <w:rPr>
                      <w:color w:val="auto"/>
                      <w:szCs w:val="21"/>
                    </w:rPr>
                    <w:t>m</w:t>
                  </w:r>
                  <w:r>
                    <w:rPr>
                      <w:color w:val="auto"/>
                      <w:szCs w:val="21"/>
                      <w:vertAlign w:val="superscript"/>
                    </w:rPr>
                    <w:t>3</w:t>
                  </w:r>
                  <w:r>
                    <w:rPr>
                      <w:color w:val="auto"/>
                      <w:szCs w:val="21"/>
                    </w:rPr>
                    <w:t>/万元，均低于《</w:t>
                  </w:r>
                  <w:r>
                    <w:rPr>
                      <w:rFonts w:hint="eastAsia"/>
                      <w:color w:val="auto"/>
                      <w:szCs w:val="21"/>
                      <w:lang w:eastAsia="zh-CN"/>
                    </w:rPr>
                    <w:t>常州市金坛区金沙老城控制性详细规划（修改）</w:t>
                  </w:r>
                  <w:r>
                    <w:rPr>
                      <w:color w:val="auto"/>
                      <w:szCs w:val="21"/>
                    </w:rPr>
                    <w:t>环境影响报告书》中的设计值（参考2030年），即单位GDP水耗为6m</w:t>
                  </w:r>
                  <w:r>
                    <w:rPr>
                      <w:color w:val="auto"/>
                      <w:szCs w:val="21"/>
                      <w:vertAlign w:val="superscript"/>
                    </w:rPr>
                    <w:t>3</w:t>
                  </w:r>
                  <w:r>
                    <w:rPr>
                      <w:color w:val="auto"/>
                      <w:szCs w:val="21"/>
                    </w:rPr>
                    <w:t>/万元，满足开发区的资源指标要求</w:t>
                  </w:r>
                </w:p>
              </w:tc>
              <w:tc>
                <w:tcPr>
                  <w:tcW w:w="425" w:type="pct"/>
                  <w:noWrap w:val="0"/>
                  <w:tcMar>
                    <w:top w:w="0" w:type="dxa"/>
                    <w:left w:w="0" w:type="dxa"/>
                    <w:bottom w:w="0" w:type="dxa"/>
                    <w:right w:w="0" w:type="dxa"/>
                  </w:tcMar>
                  <w:vAlign w:val="center"/>
                </w:tcPr>
                <w:p w14:paraId="4E74AF7B">
                  <w:pPr>
                    <w:jc w:val="center"/>
                    <w:rPr>
                      <w:color w:val="auto"/>
                      <w:szCs w:val="21"/>
                    </w:rPr>
                  </w:pPr>
                  <w:r>
                    <w:rPr>
                      <w:color w:val="auto"/>
                      <w:szCs w:val="21"/>
                    </w:rPr>
                    <w:t>相符</w:t>
                  </w:r>
                </w:p>
              </w:tc>
            </w:tr>
            <w:tr w14:paraId="727B68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3B2E2302">
                  <w:pPr>
                    <w:jc w:val="center"/>
                    <w:rPr>
                      <w:color w:val="auto"/>
                      <w:szCs w:val="21"/>
                    </w:rPr>
                  </w:pPr>
                </w:p>
              </w:tc>
              <w:tc>
                <w:tcPr>
                  <w:tcW w:w="343" w:type="pct"/>
                  <w:vMerge w:val="continue"/>
                  <w:noWrap w:val="0"/>
                  <w:tcMar>
                    <w:top w:w="0" w:type="dxa"/>
                    <w:left w:w="0" w:type="dxa"/>
                    <w:bottom w:w="0" w:type="dxa"/>
                    <w:right w:w="0" w:type="dxa"/>
                  </w:tcMar>
                  <w:vAlign w:val="center"/>
                </w:tcPr>
                <w:p w14:paraId="62D33E5E">
                  <w:pPr>
                    <w:jc w:val="center"/>
                    <w:rPr>
                      <w:color w:val="auto"/>
                      <w:szCs w:val="21"/>
                    </w:rPr>
                  </w:pPr>
                </w:p>
              </w:tc>
              <w:tc>
                <w:tcPr>
                  <w:tcW w:w="2324" w:type="pct"/>
                  <w:noWrap w:val="0"/>
                  <w:tcMar>
                    <w:top w:w="0" w:type="dxa"/>
                    <w:left w:w="0" w:type="dxa"/>
                    <w:bottom w:w="0" w:type="dxa"/>
                    <w:right w:w="0" w:type="dxa"/>
                  </w:tcMar>
                  <w:vAlign w:val="center"/>
                </w:tcPr>
                <w:p w14:paraId="072E5D24">
                  <w:pPr>
                    <w:jc w:val="center"/>
                    <w:rPr>
                      <w:color w:val="auto"/>
                      <w:szCs w:val="21"/>
                    </w:rPr>
                  </w:pPr>
                  <w:r>
                    <w:rPr>
                      <w:rFonts w:hint="default"/>
                      <w:color w:val="auto"/>
                      <w:szCs w:val="21"/>
                      <w:lang w:val="en-US" w:eastAsia="zh-CN"/>
                    </w:rPr>
                    <w:t>2．土地资源总量要求：到2025年，江苏省耕地保有量不低于5977万亩，其中永久基本农田保护面积不低于5344万</w:t>
                  </w:r>
                </w:p>
                <w:p w14:paraId="0D9FD6CD">
                  <w:pPr>
                    <w:jc w:val="center"/>
                    <w:rPr>
                      <w:color w:val="auto"/>
                      <w:szCs w:val="21"/>
                    </w:rPr>
                  </w:pPr>
                  <w:r>
                    <w:rPr>
                      <w:rFonts w:hint="default"/>
                      <w:color w:val="auto"/>
                      <w:szCs w:val="21"/>
                      <w:lang w:val="en-US" w:eastAsia="zh-CN"/>
                    </w:rPr>
                    <w:t>亩。</w:t>
                  </w:r>
                </w:p>
              </w:tc>
              <w:tc>
                <w:tcPr>
                  <w:tcW w:w="1601" w:type="pct"/>
                  <w:noWrap w:val="0"/>
                  <w:tcMar>
                    <w:top w:w="0" w:type="dxa"/>
                    <w:left w:w="0" w:type="dxa"/>
                    <w:bottom w:w="0" w:type="dxa"/>
                    <w:right w:w="0" w:type="dxa"/>
                  </w:tcMar>
                  <w:vAlign w:val="center"/>
                </w:tcPr>
                <w:p w14:paraId="7E67B425">
                  <w:pPr>
                    <w:jc w:val="center"/>
                    <w:rPr>
                      <w:rFonts w:hint="default" w:eastAsia="宋体"/>
                      <w:color w:val="auto"/>
                      <w:szCs w:val="21"/>
                      <w:lang w:val="en-US" w:eastAsia="zh-CN"/>
                    </w:rPr>
                  </w:pPr>
                  <w:r>
                    <w:rPr>
                      <w:rFonts w:hint="eastAsia"/>
                      <w:color w:val="auto"/>
                      <w:szCs w:val="21"/>
                      <w:lang w:val="en-US" w:eastAsia="zh-CN"/>
                    </w:rPr>
                    <w:t>本项目不新增工业用地。</w:t>
                  </w:r>
                </w:p>
              </w:tc>
              <w:tc>
                <w:tcPr>
                  <w:tcW w:w="425" w:type="pct"/>
                  <w:noWrap w:val="0"/>
                  <w:tcMar>
                    <w:top w:w="0" w:type="dxa"/>
                    <w:left w:w="0" w:type="dxa"/>
                    <w:bottom w:w="0" w:type="dxa"/>
                    <w:right w:w="0" w:type="dxa"/>
                  </w:tcMar>
                  <w:vAlign w:val="center"/>
                </w:tcPr>
                <w:p w14:paraId="58CF3263">
                  <w:pPr>
                    <w:jc w:val="center"/>
                    <w:rPr>
                      <w:color w:val="auto"/>
                      <w:szCs w:val="21"/>
                    </w:rPr>
                  </w:pPr>
                  <w:r>
                    <w:rPr>
                      <w:color w:val="auto"/>
                      <w:szCs w:val="21"/>
                    </w:rPr>
                    <w:t>相符</w:t>
                  </w:r>
                </w:p>
              </w:tc>
            </w:tr>
            <w:tr w14:paraId="4D5F77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noWrap w:val="0"/>
                  <w:tcMar>
                    <w:top w:w="0" w:type="dxa"/>
                    <w:left w:w="0" w:type="dxa"/>
                    <w:bottom w:w="0" w:type="dxa"/>
                    <w:right w:w="0" w:type="dxa"/>
                  </w:tcMar>
                  <w:vAlign w:val="center"/>
                </w:tcPr>
                <w:p w14:paraId="4E61925A">
                  <w:pPr>
                    <w:jc w:val="center"/>
                    <w:rPr>
                      <w:color w:val="auto"/>
                      <w:szCs w:val="21"/>
                    </w:rPr>
                  </w:pPr>
                </w:p>
              </w:tc>
              <w:tc>
                <w:tcPr>
                  <w:tcW w:w="343" w:type="pct"/>
                  <w:vMerge w:val="continue"/>
                  <w:noWrap w:val="0"/>
                  <w:tcMar>
                    <w:top w:w="0" w:type="dxa"/>
                    <w:left w:w="0" w:type="dxa"/>
                    <w:bottom w:w="0" w:type="dxa"/>
                    <w:right w:w="0" w:type="dxa"/>
                  </w:tcMar>
                  <w:vAlign w:val="center"/>
                </w:tcPr>
                <w:p w14:paraId="18E09E1A">
                  <w:pPr>
                    <w:jc w:val="center"/>
                    <w:rPr>
                      <w:color w:val="auto"/>
                      <w:szCs w:val="21"/>
                    </w:rPr>
                  </w:pPr>
                </w:p>
              </w:tc>
              <w:tc>
                <w:tcPr>
                  <w:tcW w:w="2324" w:type="pct"/>
                  <w:noWrap w:val="0"/>
                  <w:tcMar>
                    <w:top w:w="0" w:type="dxa"/>
                    <w:left w:w="0" w:type="dxa"/>
                    <w:bottom w:w="0" w:type="dxa"/>
                    <w:right w:w="0" w:type="dxa"/>
                  </w:tcMar>
                  <w:vAlign w:val="center"/>
                </w:tcPr>
                <w:p w14:paraId="4BD54755">
                  <w:pPr>
                    <w:jc w:val="center"/>
                    <w:rPr>
                      <w:color w:val="auto"/>
                      <w:szCs w:val="21"/>
                    </w:rPr>
                  </w:pPr>
                  <w:r>
                    <w:rPr>
                      <w:rFonts w:hint="default"/>
                      <w:color w:val="auto"/>
                      <w:szCs w:val="21"/>
                      <w:lang w:val="en-US" w:eastAsia="zh-CN"/>
                    </w:rPr>
                    <w:t>3．禁燃区要求：在禁燃区内，禁止销售、燃用高污染燃料；禁止新建、扩建燃用高污染燃料的设施，已建成的，应当在城市人民政府规定的期限内改用天然气、页岩气、液化石油气、电或者其他清洁能源</w:t>
                  </w:r>
                  <w:r>
                    <w:rPr>
                      <w:rFonts w:hint="eastAsia"/>
                      <w:color w:val="auto"/>
                      <w:szCs w:val="21"/>
                      <w:lang w:val="en-US" w:eastAsia="zh-CN"/>
                    </w:rPr>
                    <w:t>。</w:t>
                  </w:r>
                </w:p>
              </w:tc>
              <w:tc>
                <w:tcPr>
                  <w:tcW w:w="1601" w:type="pct"/>
                  <w:noWrap w:val="0"/>
                  <w:tcMar>
                    <w:top w:w="0" w:type="dxa"/>
                    <w:left w:w="0" w:type="dxa"/>
                    <w:bottom w:w="0" w:type="dxa"/>
                    <w:right w:w="0" w:type="dxa"/>
                  </w:tcMar>
                  <w:vAlign w:val="center"/>
                </w:tcPr>
                <w:p w14:paraId="1379B404">
                  <w:pPr>
                    <w:jc w:val="center"/>
                    <w:rPr>
                      <w:color w:val="auto"/>
                      <w:szCs w:val="21"/>
                    </w:rPr>
                  </w:pPr>
                  <w:r>
                    <w:rPr>
                      <w:color w:val="auto"/>
                      <w:szCs w:val="21"/>
                    </w:rPr>
                    <w:t>本项目</w:t>
                  </w:r>
                  <w:r>
                    <w:rPr>
                      <w:rFonts w:hint="eastAsia"/>
                      <w:color w:val="auto"/>
                      <w:szCs w:val="21"/>
                    </w:rPr>
                    <w:t>使用</w:t>
                  </w:r>
                  <w:r>
                    <w:rPr>
                      <w:rFonts w:hint="eastAsia"/>
                      <w:color w:val="auto"/>
                      <w:szCs w:val="21"/>
                      <w:lang w:val="en-US" w:eastAsia="zh-CN"/>
                    </w:rPr>
                    <w:t>电作为清洁能源</w:t>
                  </w:r>
                  <w:r>
                    <w:rPr>
                      <w:rFonts w:hint="eastAsia"/>
                      <w:color w:val="auto"/>
                      <w:szCs w:val="21"/>
                    </w:rPr>
                    <w:t>。</w:t>
                  </w:r>
                </w:p>
              </w:tc>
              <w:tc>
                <w:tcPr>
                  <w:tcW w:w="425" w:type="pct"/>
                  <w:noWrap w:val="0"/>
                  <w:tcMar>
                    <w:top w:w="0" w:type="dxa"/>
                    <w:left w:w="0" w:type="dxa"/>
                    <w:bottom w:w="0" w:type="dxa"/>
                    <w:right w:w="0" w:type="dxa"/>
                  </w:tcMar>
                  <w:vAlign w:val="center"/>
                </w:tcPr>
                <w:p w14:paraId="6597AF6D">
                  <w:pPr>
                    <w:jc w:val="center"/>
                    <w:rPr>
                      <w:color w:val="auto"/>
                      <w:szCs w:val="21"/>
                    </w:rPr>
                  </w:pPr>
                  <w:r>
                    <w:rPr>
                      <w:color w:val="auto"/>
                      <w:szCs w:val="21"/>
                    </w:rPr>
                    <w:t>相符</w:t>
                  </w:r>
                </w:p>
              </w:tc>
            </w:tr>
          </w:tbl>
          <w:p w14:paraId="0D5D3E9D">
            <w:pPr>
              <w:autoSpaceDE w:val="0"/>
              <w:autoSpaceDN w:val="0"/>
              <w:spacing w:before="120" w:beforeLines="50" w:line="360" w:lineRule="auto"/>
              <w:ind w:firstLine="420" w:firstLineChars="200"/>
              <w:rPr>
                <w:color w:val="auto"/>
                <w:szCs w:val="21"/>
              </w:rPr>
            </w:pPr>
            <w:r>
              <w:rPr>
                <w:rFonts w:hint="eastAsia"/>
                <w:color w:val="auto"/>
                <w:szCs w:val="21"/>
              </w:rPr>
              <w:t>（2）</w:t>
            </w:r>
            <w:r>
              <w:rPr>
                <w:color w:val="auto"/>
                <w:szCs w:val="21"/>
              </w:rPr>
              <w:t>对照</w:t>
            </w:r>
            <w:r>
              <w:rPr>
                <w:bCs/>
                <w:color w:val="auto"/>
                <w:kern w:val="0"/>
                <w:szCs w:val="21"/>
              </w:rPr>
              <w:t>《</w:t>
            </w:r>
            <w:r>
              <w:rPr>
                <w:rFonts w:hint="eastAsia"/>
                <w:bCs/>
                <w:color w:val="auto"/>
                <w:kern w:val="0"/>
                <w:szCs w:val="21"/>
              </w:rPr>
              <w:t>常州市2023年生态环境分区管控动态更新成果</w:t>
            </w:r>
            <w:r>
              <w:rPr>
                <w:bCs/>
                <w:color w:val="auto"/>
                <w:kern w:val="0"/>
                <w:szCs w:val="21"/>
              </w:rPr>
              <w:t>》</w:t>
            </w:r>
            <w:r>
              <w:rPr>
                <w:color w:val="auto"/>
                <w:szCs w:val="21"/>
              </w:rPr>
              <w:t>，相符性见下表。</w:t>
            </w:r>
          </w:p>
          <w:p w14:paraId="491670F6">
            <w:pPr>
              <w:pStyle w:val="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b/>
                <w:bCs/>
                <w:color w:val="auto"/>
                <w:szCs w:val="21"/>
              </w:rPr>
              <w:t>表1-</w:t>
            </w:r>
            <w:r>
              <w:rPr>
                <w:rFonts w:hint="eastAsia"/>
                <w:b/>
                <w:bCs/>
                <w:color w:val="auto"/>
                <w:szCs w:val="21"/>
                <w:lang w:val="en-US" w:eastAsia="zh-CN"/>
              </w:rPr>
              <w:t>8</w:t>
            </w:r>
            <w:r>
              <w:rPr>
                <w:b/>
                <w:bCs/>
                <w:color w:val="auto"/>
                <w:szCs w:val="21"/>
              </w:rPr>
              <w:t xml:space="preserve"> 与</w:t>
            </w:r>
            <w:r>
              <w:rPr>
                <w:rFonts w:hint="eastAsia"/>
                <w:b/>
                <w:bCs/>
                <w:color w:val="auto"/>
                <w:szCs w:val="21"/>
              </w:rPr>
              <w:t>常州市2023年生态环境分区管控动态更新成果</w:t>
            </w:r>
            <w:r>
              <w:rPr>
                <w:b/>
                <w:bCs/>
                <w:color w:val="auto"/>
                <w:szCs w:val="21"/>
              </w:rPr>
              <w:t>相符性</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90"/>
              <w:gridCol w:w="736"/>
              <w:gridCol w:w="4421"/>
              <w:gridCol w:w="1568"/>
              <w:gridCol w:w="680"/>
            </w:tblGrid>
            <w:tr w14:paraId="1E5A85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noWrap w:val="0"/>
                  <w:tcMar>
                    <w:top w:w="0" w:type="dxa"/>
                    <w:left w:w="0" w:type="dxa"/>
                    <w:bottom w:w="0" w:type="dxa"/>
                    <w:right w:w="0" w:type="dxa"/>
                  </w:tcMar>
                  <w:vAlign w:val="center"/>
                </w:tcPr>
                <w:p w14:paraId="52688BF5">
                  <w:pPr>
                    <w:jc w:val="center"/>
                    <w:rPr>
                      <w:b/>
                      <w:bCs/>
                      <w:color w:val="auto"/>
                      <w:szCs w:val="21"/>
                    </w:rPr>
                  </w:pPr>
                  <w:r>
                    <w:rPr>
                      <w:b/>
                      <w:bCs/>
                      <w:color w:val="auto"/>
                      <w:szCs w:val="21"/>
                    </w:rPr>
                    <w:t>序号</w:t>
                  </w:r>
                </w:p>
              </w:tc>
              <w:tc>
                <w:tcPr>
                  <w:tcW w:w="3224" w:type="pct"/>
                  <w:gridSpan w:val="2"/>
                  <w:noWrap w:val="0"/>
                  <w:tcMar>
                    <w:top w:w="0" w:type="dxa"/>
                    <w:left w:w="0" w:type="dxa"/>
                    <w:bottom w:w="0" w:type="dxa"/>
                    <w:right w:w="0" w:type="dxa"/>
                  </w:tcMar>
                  <w:vAlign w:val="center"/>
                </w:tcPr>
                <w:p w14:paraId="56FBA2FA">
                  <w:pPr>
                    <w:jc w:val="center"/>
                    <w:rPr>
                      <w:b/>
                      <w:bCs/>
                      <w:color w:val="auto"/>
                      <w:szCs w:val="21"/>
                    </w:rPr>
                  </w:pPr>
                  <w:r>
                    <w:rPr>
                      <w:b/>
                      <w:bCs/>
                      <w:color w:val="auto"/>
                      <w:szCs w:val="21"/>
                    </w:rPr>
                    <w:t>管控要求</w:t>
                  </w:r>
                </w:p>
              </w:tc>
              <w:tc>
                <w:tcPr>
                  <w:tcW w:w="980" w:type="pct"/>
                  <w:noWrap w:val="0"/>
                  <w:tcMar>
                    <w:top w:w="0" w:type="dxa"/>
                    <w:left w:w="0" w:type="dxa"/>
                    <w:bottom w:w="0" w:type="dxa"/>
                    <w:right w:w="0" w:type="dxa"/>
                  </w:tcMar>
                  <w:vAlign w:val="center"/>
                </w:tcPr>
                <w:p w14:paraId="01F7D300">
                  <w:pPr>
                    <w:jc w:val="center"/>
                    <w:rPr>
                      <w:b/>
                      <w:bCs/>
                      <w:color w:val="auto"/>
                      <w:szCs w:val="21"/>
                    </w:rPr>
                  </w:pPr>
                  <w:r>
                    <w:rPr>
                      <w:b/>
                      <w:color w:val="auto"/>
                      <w:szCs w:val="21"/>
                    </w:rPr>
                    <w:t>本项目相关内容</w:t>
                  </w:r>
                </w:p>
              </w:tc>
              <w:tc>
                <w:tcPr>
                  <w:tcW w:w="425" w:type="pct"/>
                  <w:noWrap w:val="0"/>
                  <w:tcMar>
                    <w:top w:w="0" w:type="dxa"/>
                    <w:left w:w="0" w:type="dxa"/>
                    <w:bottom w:w="0" w:type="dxa"/>
                    <w:right w:w="0" w:type="dxa"/>
                  </w:tcMar>
                  <w:vAlign w:val="center"/>
                </w:tcPr>
                <w:p w14:paraId="080CA9DD">
                  <w:pPr>
                    <w:jc w:val="center"/>
                    <w:rPr>
                      <w:b/>
                      <w:bCs/>
                      <w:color w:val="auto"/>
                      <w:szCs w:val="21"/>
                    </w:rPr>
                  </w:pPr>
                  <w:r>
                    <w:rPr>
                      <w:b/>
                      <w:bCs/>
                      <w:color w:val="auto"/>
                      <w:szCs w:val="21"/>
                    </w:rPr>
                    <w:t>相符性</w:t>
                  </w:r>
                </w:p>
              </w:tc>
            </w:tr>
            <w:tr w14:paraId="3A069A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noWrap w:val="0"/>
                  <w:tcMar>
                    <w:top w:w="0" w:type="dxa"/>
                    <w:left w:w="0" w:type="dxa"/>
                    <w:bottom w:w="0" w:type="dxa"/>
                    <w:right w:w="0" w:type="dxa"/>
                  </w:tcMar>
                  <w:vAlign w:val="center"/>
                </w:tcPr>
                <w:p w14:paraId="3C3C2911">
                  <w:pPr>
                    <w:jc w:val="center"/>
                    <w:rPr>
                      <w:color w:val="auto"/>
                      <w:szCs w:val="21"/>
                    </w:rPr>
                  </w:pPr>
                  <w:r>
                    <w:rPr>
                      <w:color w:val="auto"/>
                      <w:szCs w:val="21"/>
                    </w:rPr>
                    <w:t>1</w:t>
                  </w:r>
                </w:p>
              </w:tc>
              <w:tc>
                <w:tcPr>
                  <w:tcW w:w="460" w:type="pct"/>
                  <w:noWrap w:val="0"/>
                  <w:tcMar>
                    <w:top w:w="0" w:type="dxa"/>
                    <w:left w:w="0" w:type="dxa"/>
                    <w:bottom w:w="0" w:type="dxa"/>
                    <w:right w:w="0" w:type="dxa"/>
                  </w:tcMar>
                  <w:vAlign w:val="center"/>
                </w:tcPr>
                <w:p w14:paraId="7E6E5AE5">
                  <w:pPr>
                    <w:jc w:val="center"/>
                    <w:rPr>
                      <w:color w:val="auto"/>
                      <w:szCs w:val="21"/>
                    </w:rPr>
                  </w:pPr>
                  <w:r>
                    <w:rPr>
                      <w:color w:val="auto"/>
                      <w:szCs w:val="21"/>
                    </w:rPr>
                    <w:t>空间布局约束</w:t>
                  </w:r>
                </w:p>
              </w:tc>
              <w:tc>
                <w:tcPr>
                  <w:tcW w:w="2764" w:type="pct"/>
                  <w:noWrap w:val="0"/>
                  <w:tcMar>
                    <w:top w:w="0" w:type="dxa"/>
                    <w:left w:w="0" w:type="dxa"/>
                    <w:bottom w:w="0" w:type="dxa"/>
                    <w:right w:w="0" w:type="dxa"/>
                  </w:tcMar>
                  <w:vAlign w:val="center"/>
                </w:tcPr>
                <w:p w14:paraId="79189395">
                  <w:pPr>
                    <w:jc w:val="center"/>
                    <w:rPr>
                      <w:rFonts w:hint="eastAsia"/>
                      <w:color w:val="auto"/>
                      <w:szCs w:val="21"/>
                    </w:rPr>
                  </w:pPr>
                  <w:r>
                    <w:rPr>
                      <w:rFonts w:hint="eastAsia"/>
                      <w:color w:val="auto"/>
                      <w:szCs w:val="21"/>
                    </w:rPr>
                    <w:t>（3）禁止引进：列入《产业结构调整指导目录（</w:t>
                  </w:r>
                  <w:r>
                    <w:rPr>
                      <w:rFonts w:hint="eastAsia"/>
                      <w:color w:val="auto"/>
                      <w:szCs w:val="21"/>
                      <w:lang w:val="en-US" w:eastAsia="zh-CN"/>
                    </w:rPr>
                    <w:t>2024</w:t>
                  </w:r>
                  <w:r>
                    <w:rPr>
                      <w:rFonts w:hint="eastAsia"/>
                      <w:color w:val="auto"/>
                      <w:szCs w:val="21"/>
                    </w:rPr>
                    <w:t>年本）》、《江苏省产业结构调整限制、淘汰和禁止目录》、《江苏省工业和信息产业结构调整、限制、淘汰目录及能耗限额》淘汰类的产业；列入《外商投资产业指导目录》禁止类的产业。</w:t>
                  </w:r>
                </w:p>
                <w:p w14:paraId="3A183C3F">
                  <w:pPr>
                    <w:jc w:val="center"/>
                    <w:rPr>
                      <w:rFonts w:hint="eastAsia" w:eastAsia="宋体"/>
                      <w:color w:val="auto"/>
                      <w:szCs w:val="21"/>
                      <w:lang w:eastAsia="zh-CN"/>
                    </w:rPr>
                  </w:pPr>
                  <w:r>
                    <w:rPr>
                      <w:rFonts w:hint="eastAsia"/>
                      <w:color w:val="auto"/>
                      <w:szCs w:val="21"/>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r>
                    <w:rPr>
                      <w:rFonts w:hint="eastAsia"/>
                      <w:color w:val="auto"/>
                      <w:szCs w:val="21"/>
                      <w:lang w:eastAsia="zh-CN"/>
                    </w:rPr>
                    <w:t>。</w:t>
                  </w:r>
                </w:p>
              </w:tc>
              <w:tc>
                <w:tcPr>
                  <w:tcW w:w="980" w:type="pct"/>
                  <w:noWrap w:val="0"/>
                  <w:tcMar>
                    <w:top w:w="0" w:type="dxa"/>
                    <w:left w:w="0" w:type="dxa"/>
                    <w:bottom w:w="0" w:type="dxa"/>
                    <w:right w:w="0" w:type="dxa"/>
                  </w:tcMar>
                  <w:vAlign w:val="center"/>
                </w:tcPr>
                <w:p w14:paraId="66933FF2">
                  <w:pPr>
                    <w:jc w:val="center"/>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3</w:t>
                  </w:r>
                  <w:r>
                    <w:rPr>
                      <w:rFonts w:hint="eastAsia"/>
                      <w:color w:val="auto"/>
                      <w:szCs w:val="21"/>
                      <w:lang w:eastAsia="zh-CN"/>
                    </w:rPr>
                    <w:t>）</w:t>
                  </w:r>
                  <w:r>
                    <w:rPr>
                      <w:rFonts w:hint="eastAsia"/>
                      <w:color w:val="auto"/>
                      <w:szCs w:val="21"/>
                      <w:lang w:val="en-US" w:eastAsia="zh-CN"/>
                    </w:rPr>
                    <w:t>本项目不属于以上禁止类、淘汰类的产业</w:t>
                  </w:r>
                  <w:r>
                    <w:rPr>
                      <w:rFonts w:hint="eastAsia"/>
                      <w:color w:val="auto"/>
                      <w:szCs w:val="21"/>
                    </w:rPr>
                    <w:t>。</w:t>
                  </w:r>
                  <w:r>
                    <w:rPr>
                      <w:rFonts w:hint="eastAsia"/>
                      <w:color w:val="auto"/>
                      <w:szCs w:val="21"/>
                      <w:lang w:eastAsia="zh-CN"/>
                    </w:rPr>
                    <w:t>（</w:t>
                  </w:r>
                  <w:r>
                    <w:rPr>
                      <w:rFonts w:hint="eastAsia"/>
                      <w:color w:val="auto"/>
                      <w:szCs w:val="21"/>
                      <w:lang w:val="en-US" w:eastAsia="zh-CN"/>
                    </w:rPr>
                    <w:t>4</w:t>
                  </w:r>
                  <w:r>
                    <w:rPr>
                      <w:rFonts w:hint="eastAsia"/>
                      <w:color w:val="auto"/>
                      <w:szCs w:val="21"/>
                      <w:lang w:eastAsia="zh-CN"/>
                    </w:rPr>
                    <w:t>）</w:t>
                  </w:r>
                  <w:r>
                    <w:rPr>
                      <w:rFonts w:hint="eastAsia"/>
                      <w:color w:val="auto"/>
                      <w:szCs w:val="21"/>
                      <w:lang w:val="en-US" w:eastAsia="zh-CN"/>
                    </w:rPr>
                    <w:t>本项目不属于以上禁止项目</w:t>
                  </w:r>
                </w:p>
              </w:tc>
              <w:tc>
                <w:tcPr>
                  <w:tcW w:w="425" w:type="pct"/>
                  <w:noWrap w:val="0"/>
                  <w:tcMar>
                    <w:top w:w="0" w:type="dxa"/>
                    <w:left w:w="0" w:type="dxa"/>
                    <w:bottom w:w="0" w:type="dxa"/>
                    <w:right w:w="0" w:type="dxa"/>
                  </w:tcMar>
                  <w:vAlign w:val="center"/>
                </w:tcPr>
                <w:p w14:paraId="156270BC">
                  <w:pPr>
                    <w:jc w:val="center"/>
                    <w:rPr>
                      <w:color w:val="auto"/>
                      <w:szCs w:val="21"/>
                    </w:rPr>
                  </w:pPr>
                  <w:r>
                    <w:rPr>
                      <w:color w:val="auto"/>
                      <w:szCs w:val="21"/>
                    </w:rPr>
                    <w:t>相符</w:t>
                  </w:r>
                </w:p>
              </w:tc>
            </w:tr>
            <w:tr w14:paraId="241BFF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noWrap w:val="0"/>
                  <w:tcMar>
                    <w:top w:w="0" w:type="dxa"/>
                    <w:left w:w="0" w:type="dxa"/>
                    <w:bottom w:w="0" w:type="dxa"/>
                    <w:right w:w="0" w:type="dxa"/>
                  </w:tcMar>
                  <w:vAlign w:val="center"/>
                </w:tcPr>
                <w:p w14:paraId="36FEF06E">
                  <w:pPr>
                    <w:jc w:val="center"/>
                    <w:rPr>
                      <w:color w:val="auto"/>
                      <w:szCs w:val="21"/>
                    </w:rPr>
                  </w:pPr>
                  <w:r>
                    <w:rPr>
                      <w:color w:val="auto"/>
                      <w:szCs w:val="21"/>
                    </w:rPr>
                    <w:t>2</w:t>
                  </w:r>
                </w:p>
              </w:tc>
              <w:tc>
                <w:tcPr>
                  <w:tcW w:w="460" w:type="pct"/>
                  <w:noWrap w:val="0"/>
                  <w:tcMar>
                    <w:top w:w="0" w:type="dxa"/>
                    <w:left w:w="0" w:type="dxa"/>
                    <w:bottom w:w="0" w:type="dxa"/>
                    <w:right w:w="0" w:type="dxa"/>
                  </w:tcMar>
                  <w:vAlign w:val="center"/>
                </w:tcPr>
                <w:p w14:paraId="51DE4468">
                  <w:pPr>
                    <w:jc w:val="center"/>
                    <w:rPr>
                      <w:color w:val="auto"/>
                      <w:szCs w:val="21"/>
                    </w:rPr>
                  </w:pPr>
                  <w:r>
                    <w:rPr>
                      <w:color w:val="auto"/>
                      <w:szCs w:val="21"/>
                    </w:rPr>
                    <w:t>污染物排放管控</w:t>
                  </w:r>
                </w:p>
              </w:tc>
              <w:tc>
                <w:tcPr>
                  <w:tcW w:w="2764" w:type="pct"/>
                  <w:noWrap w:val="0"/>
                  <w:tcMar>
                    <w:top w:w="0" w:type="dxa"/>
                    <w:left w:w="0" w:type="dxa"/>
                    <w:bottom w:w="0" w:type="dxa"/>
                    <w:right w:w="0" w:type="dxa"/>
                  </w:tcMar>
                  <w:vAlign w:val="center"/>
                </w:tcPr>
                <w:p w14:paraId="485805E7">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（1）坚持生态环境质量只能更好、不能变坏，实施污染物总量控制，以环境容量定产业、定项目、定规模，确保开发建设行为不突破生态环境承载力。</w:t>
                  </w:r>
                </w:p>
                <w:p w14:paraId="3892432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980" w:type="pct"/>
                  <w:noWrap w:val="0"/>
                  <w:tcMar>
                    <w:top w:w="0" w:type="dxa"/>
                    <w:left w:w="0" w:type="dxa"/>
                    <w:bottom w:w="0" w:type="dxa"/>
                    <w:right w:w="0" w:type="dxa"/>
                  </w:tcMar>
                  <w:vAlign w:val="center"/>
                </w:tcPr>
                <w:p w14:paraId="7D1872FE">
                  <w:pPr>
                    <w:jc w:val="center"/>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1</w:t>
                  </w:r>
                  <w:r>
                    <w:rPr>
                      <w:rFonts w:hint="eastAsia"/>
                      <w:color w:val="auto"/>
                      <w:szCs w:val="21"/>
                      <w:lang w:eastAsia="zh-CN"/>
                    </w:rPr>
                    <w:t>）</w:t>
                  </w:r>
                  <w:r>
                    <w:rPr>
                      <w:color w:val="auto"/>
                      <w:szCs w:val="21"/>
                    </w:rPr>
                    <w:t>建设项目将根据要求向常州市金坛生态环境局申请总量</w:t>
                  </w:r>
                  <w:r>
                    <w:rPr>
                      <w:rFonts w:hint="eastAsia"/>
                      <w:color w:val="auto"/>
                      <w:szCs w:val="21"/>
                    </w:rPr>
                    <w:t>。</w:t>
                  </w:r>
                  <w:r>
                    <w:rPr>
                      <w:rFonts w:hint="eastAsia"/>
                      <w:color w:val="auto"/>
                      <w:szCs w:val="21"/>
                      <w:lang w:eastAsia="zh-CN"/>
                    </w:rPr>
                    <w:t>（</w:t>
                  </w:r>
                  <w:r>
                    <w:rPr>
                      <w:rFonts w:hint="eastAsia"/>
                      <w:color w:val="auto"/>
                      <w:szCs w:val="21"/>
                      <w:lang w:val="en-US" w:eastAsia="zh-CN"/>
                    </w:rPr>
                    <w:t>2</w:t>
                  </w:r>
                  <w:r>
                    <w:rPr>
                      <w:rFonts w:hint="eastAsia"/>
                      <w:color w:val="auto"/>
                      <w:szCs w:val="21"/>
                      <w:lang w:eastAsia="zh-CN"/>
                    </w:rPr>
                    <w:t>）</w:t>
                  </w:r>
                  <w:r>
                    <w:rPr>
                      <w:rFonts w:hint="eastAsia"/>
                      <w:color w:val="auto"/>
                      <w:szCs w:val="21"/>
                      <w:lang w:val="en-US" w:eastAsia="zh-CN"/>
                    </w:rPr>
                    <w:t>本项目废气均收集处理后排放，实行总量控制，无生产废水排放，生活污水接管至常州金坛区第二污水处理有限公司处理，固废收集处理不外排。</w:t>
                  </w:r>
                </w:p>
              </w:tc>
              <w:tc>
                <w:tcPr>
                  <w:tcW w:w="425" w:type="pct"/>
                  <w:noWrap w:val="0"/>
                  <w:tcMar>
                    <w:top w:w="0" w:type="dxa"/>
                    <w:left w:w="0" w:type="dxa"/>
                    <w:bottom w:w="0" w:type="dxa"/>
                    <w:right w:w="0" w:type="dxa"/>
                  </w:tcMar>
                  <w:vAlign w:val="center"/>
                </w:tcPr>
                <w:p w14:paraId="5A0462D4">
                  <w:pPr>
                    <w:jc w:val="center"/>
                    <w:rPr>
                      <w:color w:val="auto"/>
                      <w:szCs w:val="21"/>
                    </w:rPr>
                  </w:pPr>
                  <w:r>
                    <w:rPr>
                      <w:color w:val="auto"/>
                      <w:szCs w:val="21"/>
                    </w:rPr>
                    <w:t>相符</w:t>
                  </w:r>
                </w:p>
              </w:tc>
            </w:tr>
            <w:tr w14:paraId="0C2962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noWrap w:val="0"/>
                  <w:tcMar>
                    <w:top w:w="0" w:type="dxa"/>
                    <w:left w:w="0" w:type="dxa"/>
                    <w:bottom w:w="0" w:type="dxa"/>
                    <w:right w:w="0" w:type="dxa"/>
                  </w:tcMar>
                  <w:vAlign w:val="center"/>
                </w:tcPr>
                <w:p w14:paraId="310E9FB8">
                  <w:pPr>
                    <w:jc w:val="center"/>
                    <w:rPr>
                      <w:color w:val="auto"/>
                      <w:szCs w:val="21"/>
                    </w:rPr>
                  </w:pPr>
                  <w:r>
                    <w:rPr>
                      <w:color w:val="auto"/>
                      <w:szCs w:val="21"/>
                    </w:rPr>
                    <w:t>3</w:t>
                  </w:r>
                </w:p>
              </w:tc>
              <w:tc>
                <w:tcPr>
                  <w:tcW w:w="460" w:type="pct"/>
                  <w:noWrap w:val="0"/>
                  <w:tcMar>
                    <w:top w:w="0" w:type="dxa"/>
                    <w:left w:w="0" w:type="dxa"/>
                    <w:bottom w:w="0" w:type="dxa"/>
                    <w:right w:w="0" w:type="dxa"/>
                  </w:tcMar>
                  <w:vAlign w:val="center"/>
                </w:tcPr>
                <w:p w14:paraId="3334E226">
                  <w:pPr>
                    <w:jc w:val="center"/>
                    <w:rPr>
                      <w:color w:val="auto"/>
                      <w:szCs w:val="21"/>
                    </w:rPr>
                  </w:pPr>
                  <w:r>
                    <w:rPr>
                      <w:color w:val="auto"/>
                      <w:szCs w:val="21"/>
                    </w:rPr>
                    <w:t>环境风险防控</w:t>
                  </w:r>
                </w:p>
              </w:tc>
              <w:tc>
                <w:tcPr>
                  <w:tcW w:w="2764" w:type="pct"/>
                  <w:noWrap w:val="0"/>
                  <w:tcMar>
                    <w:top w:w="0" w:type="dxa"/>
                    <w:left w:w="0" w:type="dxa"/>
                    <w:bottom w:w="0" w:type="dxa"/>
                    <w:right w:w="0" w:type="dxa"/>
                  </w:tcMar>
                  <w:vAlign w:val="center"/>
                </w:tcPr>
                <w:p w14:paraId="5725EC14">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6EE2E95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980" w:type="pct"/>
                  <w:noWrap w:val="0"/>
                  <w:tcMar>
                    <w:top w:w="0" w:type="dxa"/>
                    <w:left w:w="0" w:type="dxa"/>
                    <w:bottom w:w="0" w:type="dxa"/>
                    <w:right w:w="0" w:type="dxa"/>
                  </w:tcMar>
                  <w:vAlign w:val="center"/>
                </w:tcPr>
                <w:p w14:paraId="3B5612A4">
                  <w:pPr>
                    <w:jc w:val="center"/>
                    <w:rPr>
                      <w:rFonts w:hint="eastAsia"/>
                      <w:color w:val="auto"/>
                      <w:szCs w:val="21"/>
                    </w:rPr>
                  </w:pPr>
                  <w:r>
                    <w:rPr>
                      <w:rFonts w:hint="eastAsia"/>
                      <w:color w:val="auto"/>
                      <w:szCs w:val="21"/>
                      <w:lang w:eastAsia="zh-CN"/>
                    </w:rPr>
                    <w:t>（</w:t>
                  </w:r>
                  <w:r>
                    <w:rPr>
                      <w:rFonts w:hint="eastAsia"/>
                      <w:color w:val="auto"/>
                      <w:szCs w:val="21"/>
                      <w:lang w:val="en-US" w:eastAsia="zh-CN"/>
                    </w:rPr>
                    <w:t>2</w:t>
                  </w:r>
                  <w:r>
                    <w:rPr>
                      <w:rFonts w:hint="eastAsia"/>
                      <w:color w:val="auto"/>
                      <w:szCs w:val="21"/>
                      <w:lang w:eastAsia="zh-CN"/>
                    </w:rPr>
                    <w:t>）</w:t>
                  </w:r>
                  <w:r>
                    <w:rPr>
                      <w:rFonts w:hint="eastAsia"/>
                      <w:color w:val="auto"/>
                      <w:szCs w:val="21"/>
                      <w:lang w:val="en-US" w:eastAsia="zh-CN"/>
                    </w:rPr>
                    <w:t>本项目不在长江1公里范围内。</w:t>
                  </w:r>
                  <w:r>
                    <w:rPr>
                      <w:rFonts w:hint="eastAsia"/>
                      <w:color w:val="auto"/>
                      <w:szCs w:val="21"/>
                      <w:lang w:eastAsia="zh-CN"/>
                    </w:rPr>
                    <w:t>（</w:t>
                  </w:r>
                  <w:r>
                    <w:rPr>
                      <w:rFonts w:hint="eastAsia"/>
                      <w:color w:val="auto"/>
                      <w:szCs w:val="21"/>
                      <w:lang w:val="en-US" w:eastAsia="zh-CN"/>
                    </w:rPr>
                    <w:t>4</w:t>
                  </w:r>
                  <w:r>
                    <w:rPr>
                      <w:rFonts w:hint="eastAsia"/>
                      <w:color w:val="auto"/>
                      <w:szCs w:val="21"/>
                      <w:lang w:eastAsia="zh-CN"/>
                    </w:rPr>
                    <w:t>）</w:t>
                  </w:r>
                  <w:r>
                    <w:rPr>
                      <w:color w:val="auto"/>
                      <w:szCs w:val="21"/>
                    </w:rPr>
                    <w:t>项目实施后，</w:t>
                  </w:r>
                  <w:r>
                    <w:rPr>
                      <w:rFonts w:hint="eastAsia"/>
                      <w:color w:val="auto"/>
                      <w:szCs w:val="21"/>
                    </w:rPr>
                    <w:t>按要求</w:t>
                  </w:r>
                  <w:r>
                    <w:rPr>
                      <w:color w:val="auto"/>
                      <w:szCs w:val="21"/>
                    </w:rPr>
                    <w:t>建立环境应急体系</w:t>
                  </w:r>
                  <w:r>
                    <w:rPr>
                      <w:rFonts w:hint="eastAsia"/>
                      <w:color w:val="auto"/>
                      <w:szCs w:val="21"/>
                    </w:rPr>
                    <w:t>、编制</w:t>
                  </w:r>
                  <w:r>
                    <w:rPr>
                      <w:color w:val="auto"/>
                      <w:szCs w:val="21"/>
                    </w:rPr>
                    <w:t>突发环境事件</w:t>
                  </w:r>
                  <w:r>
                    <w:rPr>
                      <w:rFonts w:hint="eastAsia"/>
                      <w:color w:val="auto"/>
                      <w:szCs w:val="21"/>
                    </w:rPr>
                    <w:t>应急预案</w:t>
                  </w:r>
                  <w:r>
                    <w:rPr>
                      <w:color w:val="auto"/>
                      <w:szCs w:val="21"/>
                    </w:rPr>
                    <w:t>，</w:t>
                  </w:r>
                  <w:r>
                    <w:rPr>
                      <w:rFonts w:hint="eastAsia"/>
                      <w:color w:val="auto"/>
                      <w:szCs w:val="21"/>
                    </w:rPr>
                    <w:t>落实预案中的相关要求，</w:t>
                  </w:r>
                  <w:r>
                    <w:rPr>
                      <w:color w:val="auto"/>
                      <w:szCs w:val="21"/>
                    </w:rPr>
                    <w:t>并报</w:t>
                  </w:r>
                  <w:r>
                    <w:rPr>
                      <w:rFonts w:hint="eastAsia"/>
                      <w:color w:val="auto"/>
                      <w:szCs w:val="21"/>
                    </w:rPr>
                    <w:t>环保部门</w:t>
                  </w:r>
                  <w:r>
                    <w:rPr>
                      <w:color w:val="auto"/>
                      <w:szCs w:val="21"/>
                    </w:rPr>
                    <w:t>备案</w:t>
                  </w:r>
                  <w:r>
                    <w:rPr>
                      <w:rFonts w:hint="eastAsia"/>
                      <w:color w:val="auto"/>
                      <w:szCs w:val="21"/>
                    </w:rPr>
                    <w:t>。</w:t>
                  </w:r>
                  <w:r>
                    <w:rPr>
                      <w:rFonts w:hint="eastAsia"/>
                      <w:color w:val="auto"/>
                      <w:szCs w:val="21"/>
                      <w:lang w:val="en-US" w:eastAsia="zh-CN"/>
                    </w:rPr>
                    <w:t>本项目</w:t>
                  </w:r>
                  <w:r>
                    <w:rPr>
                      <w:color w:val="auto"/>
                      <w:szCs w:val="21"/>
                    </w:rPr>
                    <w:t>产生的危险废物交由有资质单位处置，</w:t>
                  </w:r>
                  <w:r>
                    <w:rPr>
                      <w:rFonts w:hint="eastAsia"/>
                      <w:color w:val="auto"/>
                      <w:szCs w:val="21"/>
                      <w:lang w:val="en-US" w:eastAsia="zh-CN"/>
                    </w:rPr>
                    <w:t>零</w:t>
                  </w:r>
                  <w:r>
                    <w:rPr>
                      <w:color w:val="auto"/>
                      <w:szCs w:val="21"/>
                    </w:rPr>
                    <w:t>排放</w:t>
                  </w:r>
                  <w:r>
                    <w:rPr>
                      <w:rFonts w:hint="eastAsia"/>
                      <w:color w:val="auto"/>
                      <w:szCs w:val="21"/>
                    </w:rPr>
                    <w:t>。</w:t>
                  </w:r>
                </w:p>
              </w:tc>
              <w:tc>
                <w:tcPr>
                  <w:tcW w:w="425" w:type="pct"/>
                  <w:noWrap w:val="0"/>
                  <w:tcMar>
                    <w:top w:w="0" w:type="dxa"/>
                    <w:left w:w="0" w:type="dxa"/>
                    <w:bottom w:w="0" w:type="dxa"/>
                    <w:right w:w="0" w:type="dxa"/>
                  </w:tcMar>
                  <w:vAlign w:val="center"/>
                </w:tcPr>
                <w:p w14:paraId="689851B5">
                  <w:pPr>
                    <w:jc w:val="center"/>
                    <w:rPr>
                      <w:color w:val="auto"/>
                      <w:szCs w:val="21"/>
                    </w:rPr>
                  </w:pPr>
                  <w:r>
                    <w:rPr>
                      <w:color w:val="auto"/>
                      <w:szCs w:val="21"/>
                    </w:rPr>
                    <w:t>相符</w:t>
                  </w:r>
                </w:p>
              </w:tc>
            </w:tr>
            <w:tr w14:paraId="5CAEE7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noWrap w:val="0"/>
                  <w:tcMar>
                    <w:top w:w="0" w:type="dxa"/>
                    <w:left w:w="0" w:type="dxa"/>
                    <w:bottom w:w="0" w:type="dxa"/>
                    <w:right w:w="0" w:type="dxa"/>
                  </w:tcMar>
                  <w:vAlign w:val="center"/>
                </w:tcPr>
                <w:p w14:paraId="5B4C5DB8">
                  <w:pPr>
                    <w:jc w:val="center"/>
                    <w:rPr>
                      <w:color w:val="auto"/>
                      <w:szCs w:val="21"/>
                    </w:rPr>
                  </w:pPr>
                  <w:r>
                    <w:rPr>
                      <w:color w:val="auto"/>
                      <w:szCs w:val="21"/>
                    </w:rPr>
                    <w:t>4</w:t>
                  </w:r>
                </w:p>
              </w:tc>
              <w:tc>
                <w:tcPr>
                  <w:tcW w:w="460" w:type="pct"/>
                  <w:noWrap w:val="0"/>
                  <w:tcMar>
                    <w:top w:w="0" w:type="dxa"/>
                    <w:left w:w="0" w:type="dxa"/>
                    <w:bottom w:w="0" w:type="dxa"/>
                    <w:right w:w="0" w:type="dxa"/>
                  </w:tcMar>
                  <w:vAlign w:val="center"/>
                </w:tcPr>
                <w:p w14:paraId="514E2747">
                  <w:pPr>
                    <w:jc w:val="center"/>
                    <w:rPr>
                      <w:color w:val="auto"/>
                      <w:szCs w:val="21"/>
                    </w:rPr>
                  </w:pPr>
                  <w:r>
                    <w:rPr>
                      <w:color w:val="auto"/>
                      <w:szCs w:val="21"/>
                    </w:rPr>
                    <w:t>资源利用效率要求</w:t>
                  </w:r>
                </w:p>
              </w:tc>
              <w:tc>
                <w:tcPr>
                  <w:tcW w:w="2764" w:type="pct"/>
                  <w:noWrap w:val="0"/>
                  <w:tcMar>
                    <w:top w:w="0" w:type="dxa"/>
                    <w:left w:w="0" w:type="dxa"/>
                    <w:bottom w:w="0" w:type="dxa"/>
                    <w:right w:w="0" w:type="dxa"/>
                  </w:tcMar>
                  <w:vAlign w:val="center"/>
                </w:tcPr>
                <w:p w14:paraId="27B874A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根据《市政府关于公布常州市高污染燃料禁燃区类别的通告》（常政发〔2017〕163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tc>
              <w:tc>
                <w:tcPr>
                  <w:tcW w:w="980" w:type="pct"/>
                  <w:noWrap w:val="0"/>
                  <w:tcMar>
                    <w:top w:w="0" w:type="dxa"/>
                    <w:left w:w="0" w:type="dxa"/>
                    <w:bottom w:w="0" w:type="dxa"/>
                    <w:right w:w="0" w:type="dxa"/>
                  </w:tcMar>
                  <w:vAlign w:val="center"/>
                </w:tcPr>
                <w:p w14:paraId="79E3AA60">
                  <w:pPr>
                    <w:jc w:val="center"/>
                    <w:rPr>
                      <w:rFonts w:hint="eastAsia"/>
                      <w:color w:val="auto"/>
                      <w:szCs w:val="21"/>
                    </w:rPr>
                  </w:pPr>
                  <w:r>
                    <w:rPr>
                      <w:rFonts w:hint="eastAsia"/>
                      <w:color w:val="auto"/>
                      <w:szCs w:val="21"/>
                      <w:lang w:eastAsia="zh-CN"/>
                    </w:rPr>
                    <w:t>（</w:t>
                  </w:r>
                  <w:r>
                    <w:rPr>
                      <w:rFonts w:hint="eastAsia"/>
                      <w:color w:val="auto"/>
                      <w:szCs w:val="21"/>
                      <w:lang w:val="en-US" w:eastAsia="zh-CN"/>
                    </w:rPr>
                    <w:t>3</w:t>
                  </w:r>
                  <w:r>
                    <w:rPr>
                      <w:rFonts w:hint="eastAsia"/>
                      <w:color w:val="auto"/>
                      <w:szCs w:val="21"/>
                      <w:lang w:eastAsia="zh-CN"/>
                    </w:rPr>
                    <w:t>）</w:t>
                  </w:r>
                  <w:r>
                    <w:rPr>
                      <w:rFonts w:hint="eastAsia"/>
                      <w:color w:val="auto"/>
                      <w:szCs w:val="21"/>
                      <w:lang w:val="en-US" w:eastAsia="zh-CN"/>
                    </w:rPr>
                    <w:t>本项目不使用以上禁止燃用的燃料</w:t>
                  </w:r>
                  <w:r>
                    <w:rPr>
                      <w:color w:val="auto"/>
                      <w:szCs w:val="21"/>
                    </w:rPr>
                    <w:t>；</w:t>
                  </w:r>
                  <w:r>
                    <w:rPr>
                      <w:rFonts w:hint="eastAsia"/>
                      <w:color w:val="auto"/>
                      <w:szCs w:val="21"/>
                    </w:rPr>
                    <w:t>使用清洁能源电</w:t>
                  </w:r>
                  <w:r>
                    <w:rPr>
                      <w:color w:val="auto"/>
                      <w:szCs w:val="21"/>
                    </w:rPr>
                    <w:t>；不建设燃煤设施</w:t>
                  </w:r>
                  <w:r>
                    <w:rPr>
                      <w:rFonts w:hint="eastAsia"/>
                      <w:color w:val="auto"/>
                      <w:szCs w:val="21"/>
                    </w:rPr>
                    <w:t>。</w:t>
                  </w:r>
                </w:p>
              </w:tc>
              <w:tc>
                <w:tcPr>
                  <w:tcW w:w="425" w:type="pct"/>
                  <w:noWrap w:val="0"/>
                  <w:tcMar>
                    <w:top w:w="0" w:type="dxa"/>
                    <w:left w:w="0" w:type="dxa"/>
                    <w:bottom w:w="0" w:type="dxa"/>
                    <w:right w:w="0" w:type="dxa"/>
                  </w:tcMar>
                  <w:vAlign w:val="center"/>
                </w:tcPr>
                <w:p w14:paraId="11CE3C89">
                  <w:pPr>
                    <w:jc w:val="center"/>
                    <w:rPr>
                      <w:color w:val="auto"/>
                      <w:szCs w:val="21"/>
                    </w:rPr>
                  </w:pPr>
                  <w:r>
                    <w:rPr>
                      <w:color w:val="auto"/>
                      <w:szCs w:val="21"/>
                    </w:rPr>
                    <w:t>相符</w:t>
                  </w:r>
                </w:p>
              </w:tc>
            </w:tr>
          </w:tbl>
          <w:p w14:paraId="663B9757">
            <w:pPr>
              <w:autoSpaceDE w:val="0"/>
              <w:autoSpaceDN w:val="0"/>
              <w:spacing w:before="120" w:beforeLines="50" w:line="360" w:lineRule="auto"/>
              <w:ind w:firstLine="420" w:firstLineChars="200"/>
              <w:rPr>
                <w:color w:val="auto"/>
                <w:szCs w:val="21"/>
              </w:rPr>
            </w:pPr>
            <w:r>
              <w:rPr>
                <w:rFonts w:hint="eastAsia"/>
                <w:color w:val="auto"/>
                <w:szCs w:val="21"/>
              </w:rPr>
              <w:t>（</w:t>
            </w:r>
            <w:r>
              <w:rPr>
                <w:rFonts w:hint="eastAsia"/>
                <w:color w:val="auto"/>
                <w:szCs w:val="21"/>
                <w:lang w:val="en-US" w:eastAsia="zh-CN"/>
              </w:rPr>
              <w:t>3</w:t>
            </w:r>
            <w:r>
              <w:rPr>
                <w:rFonts w:hint="eastAsia"/>
                <w:color w:val="auto"/>
                <w:szCs w:val="21"/>
              </w:rPr>
              <w:t>）</w:t>
            </w:r>
            <w:r>
              <w:rPr>
                <w:color w:val="auto"/>
                <w:szCs w:val="21"/>
              </w:rPr>
              <w:t>对照</w:t>
            </w:r>
            <w:r>
              <w:rPr>
                <w:bCs/>
                <w:color w:val="auto"/>
                <w:kern w:val="0"/>
                <w:szCs w:val="21"/>
              </w:rPr>
              <w:t>《</w:t>
            </w:r>
            <w:r>
              <w:rPr>
                <w:rFonts w:hint="eastAsia"/>
                <w:bCs/>
                <w:color w:val="auto"/>
                <w:kern w:val="0"/>
                <w:szCs w:val="21"/>
              </w:rPr>
              <w:t>常州市中心城区（金坛区）重点管控单元</w:t>
            </w:r>
            <w:r>
              <w:rPr>
                <w:bCs/>
                <w:color w:val="auto"/>
                <w:kern w:val="0"/>
                <w:szCs w:val="21"/>
              </w:rPr>
              <w:t>》</w:t>
            </w:r>
            <w:r>
              <w:rPr>
                <w:color w:val="auto"/>
                <w:szCs w:val="21"/>
              </w:rPr>
              <w:t>，相符性见下表。</w:t>
            </w:r>
          </w:p>
          <w:p w14:paraId="631BBDA8">
            <w:pPr>
              <w:pStyle w:val="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color w:val="auto"/>
                <w:szCs w:val="21"/>
              </w:rPr>
            </w:pPr>
            <w:r>
              <w:rPr>
                <w:b/>
                <w:bCs/>
                <w:color w:val="auto"/>
                <w:szCs w:val="21"/>
              </w:rPr>
              <w:t>表1-</w:t>
            </w:r>
            <w:r>
              <w:rPr>
                <w:rFonts w:hint="eastAsia"/>
                <w:b/>
                <w:bCs/>
                <w:color w:val="auto"/>
                <w:szCs w:val="21"/>
                <w:lang w:val="en-US" w:eastAsia="zh-CN"/>
              </w:rPr>
              <w:t>9</w:t>
            </w:r>
            <w:r>
              <w:rPr>
                <w:b/>
                <w:bCs/>
                <w:color w:val="auto"/>
                <w:szCs w:val="21"/>
              </w:rPr>
              <w:t xml:space="preserve"> 与</w:t>
            </w:r>
            <w:r>
              <w:rPr>
                <w:rFonts w:hint="eastAsia"/>
                <w:b/>
                <w:bCs/>
                <w:color w:val="auto"/>
                <w:szCs w:val="21"/>
              </w:rPr>
              <w:t>江苏金坛经济开发区重点管控单元</w:t>
            </w:r>
            <w:r>
              <w:rPr>
                <w:b/>
                <w:bCs/>
                <w:color w:val="auto"/>
                <w:szCs w:val="21"/>
              </w:rPr>
              <w:t>相符性</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85"/>
              <w:gridCol w:w="736"/>
              <w:gridCol w:w="3060"/>
              <w:gridCol w:w="2934"/>
              <w:gridCol w:w="680"/>
            </w:tblGrid>
            <w:tr w14:paraId="35C501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6" w:type="pct"/>
                  <w:noWrap w:val="0"/>
                  <w:tcMar>
                    <w:top w:w="0" w:type="dxa"/>
                    <w:left w:w="0" w:type="dxa"/>
                    <w:bottom w:w="0" w:type="dxa"/>
                    <w:right w:w="0" w:type="dxa"/>
                  </w:tcMar>
                  <w:vAlign w:val="center"/>
                </w:tcPr>
                <w:p w14:paraId="3FF4FDDD">
                  <w:pPr>
                    <w:jc w:val="center"/>
                    <w:rPr>
                      <w:b/>
                      <w:bCs/>
                      <w:color w:val="auto"/>
                      <w:szCs w:val="21"/>
                    </w:rPr>
                  </w:pPr>
                  <w:r>
                    <w:rPr>
                      <w:b/>
                      <w:bCs/>
                      <w:color w:val="auto"/>
                      <w:szCs w:val="21"/>
                    </w:rPr>
                    <w:t>序号</w:t>
                  </w:r>
                </w:p>
              </w:tc>
              <w:tc>
                <w:tcPr>
                  <w:tcW w:w="2373" w:type="pct"/>
                  <w:gridSpan w:val="2"/>
                  <w:noWrap w:val="0"/>
                  <w:tcMar>
                    <w:top w:w="0" w:type="dxa"/>
                    <w:left w:w="0" w:type="dxa"/>
                    <w:bottom w:w="0" w:type="dxa"/>
                    <w:right w:w="0" w:type="dxa"/>
                  </w:tcMar>
                  <w:vAlign w:val="center"/>
                </w:tcPr>
                <w:p w14:paraId="134470C0">
                  <w:pPr>
                    <w:jc w:val="center"/>
                    <w:rPr>
                      <w:b/>
                      <w:bCs/>
                      <w:color w:val="auto"/>
                      <w:szCs w:val="21"/>
                    </w:rPr>
                  </w:pPr>
                  <w:r>
                    <w:rPr>
                      <w:b/>
                      <w:bCs/>
                      <w:color w:val="auto"/>
                      <w:szCs w:val="21"/>
                    </w:rPr>
                    <w:t>管控要求</w:t>
                  </w:r>
                </w:p>
              </w:tc>
              <w:tc>
                <w:tcPr>
                  <w:tcW w:w="1834" w:type="pct"/>
                  <w:noWrap w:val="0"/>
                  <w:tcMar>
                    <w:top w:w="0" w:type="dxa"/>
                    <w:left w:w="0" w:type="dxa"/>
                    <w:bottom w:w="0" w:type="dxa"/>
                    <w:right w:w="0" w:type="dxa"/>
                  </w:tcMar>
                  <w:vAlign w:val="center"/>
                </w:tcPr>
                <w:p w14:paraId="7B42841C">
                  <w:pPr>
                    <w:jc w:val="center"/>
                    <w:rPr>
                      <w:b/>
                      <w:bCs/>
                      <w:color w:val="auto"/>
                      <w:szCs w:val="21"/>
                    </w:rPr>
                  </w:pPr>
                  <w:r>
                    <w:rPr>
                      <w:b/>
                      <w:color w:val="auto"/>
                      <w:szCs w:val="21"/>
                    </w:rPr>
                    <w:t>本项目相关内容</w:t>
                  </w:r>
                </w:p>
              </w:tc>
              <w:tc>
                <w:tcPr>
                  <w:tcW w:w="425" w:type="pct"/>
                  <w:noWrap w:val="0"/>
                  <w:tcMar>
                    <w:top w:w="0" w:type="dxa"/>
                    <w:left w:w="0" w:type="dxa"/>
                    <w:bottom w:w="0" w:type="dxa"/>
                    <w:right w:w="0" w:type="dxa"/>
                  </w:tcMar>
                  <w:vAlign w:val="center"/>
                </w:tcPr>
                <w:p w14:paraId="70FA3B80">
                  <w:pPr>
                    <w:jc w:val="center"/>
                    <w:rPr>
                      <w:b/>
                      <w:bCs/>
                      <w:color w:val="auto"/>
                      <w:szCs w:val="21"/>
                    </w:rPr>
                  </w:pPr>
                  <w:r>
                    <w:rPr>
                      <w:b/>
                      <w:bCs/>
                      <w:color w:val="auto"/>
                      <w:szCs w:val="21"/>
                    </w:rPr>
                    <w:t>相符性</w:t>
                  </w:r>
                </w:p>
              </w:tc>
            </w:tr>
            <w:tr w14:paraId="648271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6" w:type="pct"/>
                  <w:noWrap w:val="0"/>
                  <w:tcMar>
                    <w:top w:w="0" w:type="dxa"/>
                    <w:left w:w="0" w:type="dxa"/>
                    <w:bottom w:w="0" w:type="dxa"/>
                    <w:right w:w="0" w:type="dxa"/>
                  </w:tcMar>
                  <w:vAlign w:val="center"/>
                </w:tcPr>
                <w:p w14:paraId="5669E018">
                  <w:pPr>
                    <w:jc w:val="center"/>
                    <w:rPr>
                      <w:color w:val="auto"/>
                      <w:szCs w:val="21"/>
                    </w:rPr>
                  </w:pPr>
                  <w:r>
                    <w:rPr>
                      <w:color w:val="auto"/>
                      <w:szCs w:val="21"/>
                    </w:rPr>
                    <w:t>1</w:t>
                  </w:r>
                </w:p>
              </w:tc>
              <w:tc>
                <w:tcPr>
                  <w:tcW w:w="460" w:type="pct"/>
                  <w:noWrap w:val="0"/>
                  <w:tcMar>
                    <w:top w:w="0" w:type="dxa"/>
                    <w:left w:w="0" w:type="dxa"/>
                    <w:bottom w:w="0" w:type="dxa"/>
                    <w:right w:w="0" w:type="dxa"/>
                  </w:tcMar>
                  <w:vAlign w:val="center"/>
                </w:tcPr>
                <w:p w14:paraId="7DED38F1">
                  <w:pPr>
                    <w:jc w:val="center"/>
                    <w:rPr>
                      <w:color w:val="auto"/>
                      <w:szCs w:val="21"/>
                    </w:rPr>
                  </w:pPr>
                  <w:r>
                    <w:rPr>
                      <w:color w:val="auto"/>
                      <w:szCs w:val="21"/>
                    </w:rPr>
                    <w:t>空间布局约束</w:t>
                  </w:r>
                </w:p>
              </w:tc>
              <w:tc>
                <w:tcPr>
                  <w:tcW w:w="1913" w:type="pct"/>
                  <w:noWrap w:val="0"/>
                  <w:tcMar>
                    <w:top w:w="0" w:type="dxa"/>
                    <w:left w:w="0" w:type="dxa"/>
                    <w:bottom w:w="0" w:type="dxa"/>
                    <w:right w:w="0" w:type="dxa"/>
                  </w:tcMar>
                  <w:vAlign w:val="center"/>
                </w:tcPr>
                <w:p w14:paraId="726172F4">
                  <w:pPr>
                    <w:jc w:val="center"/>
                    <w:rPr>
                      <w:rFonts w:hint="eastAsia" w:eastAsia="宋体"/>
                      <w:color w:val="auto"/>
                      <w:szCs w:val="21"/>
                      <w:lang w:eastAsia="zh-CN"/>
                    </w:rPr>
                  </w:pPr>
                  <w:r>
                    <w:rPr>
                      <w:rFonts w:hint="eastAsia" w:eastAsia="宋体"/>
                      <w:color w:val="auto"/>
                      <w:szCs w:val="21"/>
                      <w:lang w:eastAsia="zh-CN"/>
                    </w:rPr>
                    <w:t>（1）各类开发建设活动应符合常州市总体规划、控制性详细规划、土地利用规划等相关要求。（2）禁止引入列入《产业结构调整指导目录（2019年本）》、《江苏省产业结构调整限制、淘汰和禁止目录》、《江苏省工业和信息产业结构调整、限制、淘汰目录及能耗限额》淘汰类的产业</w:t>
                  </w:r>
                </w:p>
              </w:tc>
              <w:tc>
                <w:tcPr>
                  <w:tcW w:w="1834" w:type="pct"/>
                  <w:noWrap w:val="0"/>
                  <w:tcMar>
                    <w:top w:w="0" w:type="dxa"/>
                    <w:left w:w="0" w:type="dxa"/>
                    <w:bottom w:w="0" w:type="dxa"/>
                    <w:right w:w="0" w:type="dxa"/>
                  </w:tcMar>
                  <w:vAlign w:val="center"/>
                </w:tcPr>
                <w:p w14:paraId="1621C07E">
                  <w:pPr>
                    <w:jc w:val="center"/>
                    <w:rPr>
                      <w:rFonts w:hint="default" w:eastAsia="宋体"/>
                      <w:color w:val="auto"/>
                      <w:szCs w:val="21"/>
                      <w:lang w:val="en-US" w:eastAsia="zh-CN"/>
                    </w:rPr>
                  </w:pPr>
                  <w:r>
                    <w:rPr>
                      <w:rFonts w:hint="eastAsia"/>
                      <w:color w:val="auto"/>
                      <w:szCs w:val="21"/>
                      <w:lang w:val="en-US" w:eastAsia="zh-CN"/>
                    </w:rPr>
                    <w:t>（1）本项目符合相关规划要求；（2）本项目不属于以上禁止类、淘汰类的产业</w:t>
                  </w:r>
                  <w:r>
                    <w:rPr>
                      <w:rFonts w:hint="eastAsia"/>
                      <w:color w:val="auto"/>
                      <w:szCs w:val="21"/>
                    </w:rPr>
                    <w:t>。</w:t>
                  </w:r>
                </w:p>
              </w:tc>
              <w:tc>
                <w:tcPr>
                  <w:tcW w:w="425" w:type="pct"/>
                  <w:noWrap w:val="0"/>
                  <w:tcMar>
                    <w:top w:w="0" w:type="dxa"/>
                    <w:left w:w="0" w:type="dxa"/>
                    <w:bottom w:w="0" w:type="dxa"/>
                    <w:right w:w="0" w:type="dxa"/>
                  </w:tcMar>
                  <w:vAlign w:val="center"/>
                </w:tcPr>
                <w:p w14:paraId="031B2D8A">
                  <w:pPr>
                    <w:jc w:val="center"/>
                    <w:rPr>
                      <w:color w:val="auto"/>
                      <w:szCs w:val="21"/>
                    </w:rPr>
                  </w:pPr>
                  <w:r>
                    <w:rPr>
                      <w:color w:val="auto"/>
                      <w:szCs w:val="21"/>
                    </w:rPr>
                    <w:t>相符</w:t>
                  </w:r>
                </w:p>
              </w:tc>
            </w:tr>
            <w:tr w14:paraId="77417D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6" w:type="pct"/>
                  <w:noWrap w:val="0"/>
                  <w:tcMar>
                    <w:top w:w="0" w:type="dxa"/>
                    <w:left w:w="0" w:type="dxa"/>
                    <w:bottom w:w="0" w:type="dxa"/>
                    <w:right w:w="0" w:type="dxa"/>
                  </w:tcMar>
                  <w:vAlign w:val="center"/>
                </w:tcPr>
                <w:p w14:paraId="5B70E469">
                  <w:pPr>
                    <w:jc w:val="center"/>
                    <w:rPr>
                      <w:color w:val="auto"/>
                      <w:szCs w:val="21"/>
                    </w:rPr>
                  </w:pPr>
                  <w:r>
                    <w:rPr>
                      <w:color w:val="auto"/>
                      <w:szCs w:val="21"/>
                    </w:rPr>
                    <w:t>2</w:t>
                  </w:r>
                </w:p>
              </w:tc>
              <w:tc>
                <w:tcPr>
                  <w:tcW w:w="460" w:type="pct"/>
                  <w:noWrap w:val="0"/>
                  <w:tcMar>
                    <w:top w:w="0" w:type="dxa"/>
                    <w:left w:w="0" w:type="dxa"/>
                    <w:bottom w:w="0" w:type="dxa"/>
                    <w:right w:w="0" w:type="dxa"/>
                  </w:tcMar>
                  <w:vAlign w:val="center"/>
                </w:tcPr>
                <w:p w14:paraId="520987AE">
                  <w:pPr>
                    <w:jc w:val="center"/>
                    <w:rPr>
                      <w:color w:val="auto"/>
                      <w:szCs w:val="21"/>
                    </w:rPr>
                  </w:pPr>
                  <w:r>
                    <w:rPr>
                      <w:color w:val="auto"/>
                      <w:szCs w:val="21"/>
                    </w:rPr>
                    <w:t>污染物排放管控</w:t>
                  </w:r>
                </w:p>
              </w:tc>
              <w:tc>
                <w:tcPr>
                  <w:tcW w:w="1913" w:type="pct"/>
                  <w:noWrap w:val="0"/>
                  <w:tcMar>
                    <w:top w:w="0" w:type="dxa"/>
                    <w:left w:w="0" w:type="dxa"/>
                    <w:bottom w:w="0" w:type="dxa"/>
                    <w:right w:w="0" w:type="dxa"/>
                  </w:tcMar>
                  <w:vAlign w:val="center"/>
                </w:tcPr>
                <w:p w14:paraId="5C038A5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（1）严格实施污染物总量控制制度，根据区域环境质量改善目标，削减污染物排放总量。（2）强化餐饮油烟治理，加强噪声污染防治，严格施工扬尘监管，加强土壤和地下水污染防治与修复。</w:t>
                  </w:r>
                </w:p>
              </w:tc>
              <w:tc>
                <w:tcPr>
                  <w:tcW w:w="1834" w:type="pct"/>
                  <w:noWrap w:val="0"/>
                  <w:tcMar>
                    <w:top w:w="0" w:type="dxa"/>
                    <w:left w:w="0" w:type="dxa"/>
                    <w:bottom w:w="0" w:type="dxa"/>
                    <w:right w:w="0" w:type="dxa"/>
                  </w:tcMar>
                  <w:vAlign w:val="center"/>
                </w:tcPr>
                <w:p w14:paraId="7B2A0ECC">
                  <w:pPr>
                    <w:jc w:val="center"/>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1</w:t>
                  </w:r>
                  <w:r>
                    <w:rPr>
                      <w:rFonts w:hint="eastAsia"/>
                      <w:color w:val="auto"/>
                      <w:szCs w:val="21"/>
                      <w:lang w:eastAsia="zh-CN"/>
                    </w:rPr>
                    <w:t>）</w:t>
                  </w:r>
                  <w:r>
                    <w:rPr>
                      <w:color w:val="auto"/>
                      <w:szCs w:val="21"/>
                    </w:rPr>
                    <w:t>建设项目将根据要求向常州市金坛生态环境局申请总量</w:t>
                  </w:r>
                  <w:r>
                    <w:rPr>
                      <w:rFonts w:hint="eastAsia"/>
                      <w:color w:val="auto"/>
                      <w:szCs w:val="21"/>
                    </w:rPr>
                    <w:t>。</w:t>
                  </w:r>
                  <w:r>
                    <w:rPr>
                      <w:rFonts w:hint="eastAsia"/>
                      <w:color w:val="auto"/>
                      <w:szCs w:val="21"/>
                      <w:lang w:eastAsia="zh-CN"/>
                    </w:rPr>
                    <w:t>（</w:t>
                  </w:r>
                  <w:r>
                    <w:rPr>
                      <w:rFonts w:hint="eastAsia"/>
                      <w:color w:val="auto"/>
                      <w:szCs w:val="21"/>
                      <w:lang w:val="en-US" w:eastAsia="zh-CN"/>
                    </w:rPr>
                    <w:t>2</w:t>
                  </w:r>
                  <w:r>
                    <w:rPr>
                      <w:rFonts w:hint="eastAsia"/>
                      <w:color w:val="auto"/>
                      <w:szCs w:val="21"/>
                      <w:lang w:eastAsia="zh-CN"/>
                    </w:rPr>
                    <w:t>）</w:t>
                  </w:r>
                  <w:r>
                    <w:rPr>
                      <w:rFonts w:hint="eastAsia"/>
                      <w:color w:val="auto"/>
                      <w:szCs w:val="21"/>
                      <w:lang w:val="en-US" w:eastAsia="zh-CN"/>
                    </w:rPr>
                    <w:t>本项目不涉及餐饮，本项目</w:t>
                  </w:r>
                  <w:r>
                    <w:rPr>
                      <w:rFonts w:hint="default" w:ascii="Times New Roman" w:hAnsi="Times New Roman" w:eastAsia="宋体" w:cs="Times New Roman"/>
                      <w:color w:val="auto"/>
                      <w:sz w:val="21"/>
                      <w:szCs w:val="21"/>
                    </w:rPr>
                    <w:t>依托厂区现有</w:t>
                  </w:r>
                  <w:r>
                    <w:rPr>
                      <w:rFonts w:hint="eastAsia" w:ascii="Times New Roman" w:hAnsi="Times New Roman" w:eastAsia="宋体" w:cs="Times New Roman"/>
                      <w:color w:val="auto"/>
                      <w:sz w:val="21"/>
                      <w:szCs w:val="21"/>
                      <w:lang w:val="en-US" w:eastAsia="zh-CN"/>
                    </w:rPr>
                    <w:t>隔声，新建消声、减震措施后达标排放</w:t>
                  </w:r>
                  <w:r>
                    <w:rPr>
                      <w:rFonts w:hint="eastAsia"/>
                      <w:color w:val="auto"/>
                      <w:szCs w:val="21"/>
                      <w:lang w:val="en-US" w:eastAsia="zh-CN"/>
                    </w:rPr>
                    <w:t>。</w:t>
                  </w:r>
                </w:p>
              </w:tc>
              <w:tc>
                <w:tcPr>
                  <w:tcW w:w="425" w:type="pct"/>
                  <w:noWrap w:val="0"/>
                  <w:tcMar>
                    <w:top w:w="0" w:type="dxa"/>
                    <w:left w:w="0" w:type="dxa"/>
                    <w:bottom w:w="0" w:type="dxa"/>
                    <w:right w:w="0" w:type="dxa"/>
                  </w:tcMar>
                  <w:vAlign w:val="center"/>
                </w:tcPr>
                <w:p w14:paraId="77FEC112">
                  <w:pPr>
                    <w:jc w:val="center"/>
                    <w:rPr>
                      <w:color w:val="auto"/>
                      <w:szCs w:val="21"/>
                    </w:rPr>
                  </w:pPr>
                  <w:r>
                    <w:rPr>
                      <w:color w:val="auto"/>
                      <w:szCs w:val="21"/>
                    </w:rPr>
                    <w:t>相符</w:t>
                  </w:r>
                </w:p>
              </w:tc>
            </w:tr>
            <w:tr w14:paraId="69F0F0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6" w:type="pct"/>
                  <w:noWrap w:val="0"/>
                  <w:tcMar>
                    <w:top w:w="0" w:type="dxa"/>
                    <w:left w:w="0" w:type="dxa"/>
                    <w:bottom w:w="0" w:type="dxa"/>
                    <w:right w:w="0" w:type="dxa"/>
                  </w:tcMar>
                  <w:vAlign w:val="center"/>
                </w:tcPr>
                <w:p w14:paraId="48A1DAA2">
                  <w:pPr>
                    <w:jc w:val="center"/>
                    <w:rPr>
                      <w:color w:val="auto"/>
                      <w:szCs w:val="21"/>
                    </w:rPr>
                  </w:pPr>
                  <w:r>
                    <w:rPr>
                      <w:color w:val="auto"/>
                      <w:szCs w:val="21"/>
                    </w:rPr>
                    <w:t>3</w:t>
                  </w:r>
                </w:p>
              </w:tc>
              <w:tc>
                <w:tcPr>
                  <w:tcW w:w="460" w:type="pct"/>
                  <w:noWrap w:val="0"/>
                  <w:tcMar>
                    <w:top w:w="0" w:type="dxa"/>
                    <w:left w:w="0" w:type="dxa"/>
                    <w:bottom w:w="0" w:type="dxa"/>
                    <w:right w:w="0" w:type="dxa"/>
                  </w:tcMar>
                  <w:vAlign w:val="center"/>
                </w:tcPr>
                <w:p w14:paraId="0EDF3437">
                  <w:pPr>
                    <w:jc w:val="center"/>
                    <w:rPr>
                      <w:color w:val="auto"/>
                      <w:szCs w:val="21"/>
                    </w:rPr>
                  </w:pPr>
                  <w:r>
                    <w:rPr>
                      <w:color w:val="auto"/>
                      <w:szCs w:val="21"/>
                    </w:rPr>
                    <w:t>环境风险防控</w:t>
                  </w:r>
                </w:p>
              </w:tc>
              <w:tc>
                <w:tcPr>
                  <w:tcW w:w="1913" w:type="pct"/>
                  <w:noWrap w:val="0"/>
                  <w:tcMar>
                    <w:top w:w="0" w:type="dxa"/>
                    <w:left w:w="0" w:type="dxa"/>
                    <w:bottom w:w="0" w:type="dxa"/>
                    <w:right w:w="0" w:type="dxa"/>
                  </w:tcMar>
                  <w:vAlign w:val="center"/>
                </w:tcPr>
                <w:p w14:paraId="254D1359">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合理布局工业、商业、居住、科教等功能区块，严格控制噪声、恶臭、油烟等污染排放较大的建设项目布局</w:t>
                  </w:r>
                  <w:r>
                    <w:rPr>
                      <w:rFonts w:hint="eastAsia" w:ascii="Times New Roman" w:hAnsi="Times New Roman" w:eastAsia="宋体" w:cs="Times New Roman"/>
                      <w:color w:val="auto"/>
                      <w:szCs w:val="21"/>
                      <w:lang w:eastAsia="zh-CN"/>
                    </w:rPr>
                    <w:t>。</w:t>
                  </w:r>
                </w:p>
              </w:tc>
              <w:tc>
                <w:tcPr>
                  <w:tcW w:w="1834" w:type="pct"/>
                  <w:noWrap w:val="0"/>
                  <w:tcMar>
                    <w:top w:w="0" w:type="dxa"/>
                    <w:left w:w="0" w:type="dxa"/>
                    <w:bottom w:w="0" w:type="dxa"/>
                    <w:right w:w="0" w:type="dxa"/>
                  </w:tcMar>
                  <w:vAlign w:val="center"/>
                </w:tcPr>
                <w:p w14:paraId="2E9ED650">
                  <w:pPr>
                    <w:jc w:val="center"/>
                    <w:rPr>
                      <w:rFonts w:hint="default"/>
                      <w:color w:val="auto"/>
                      <w:szCs w:val="21"/>
                      <w:lang w:val="en-US"/>
                    </w:rPr>
                  </w:pPr>
                  <w:r>
                    <w:rPr>
                      <w:rFonts w:hint="eastAsia"/>
                      <w:color w:val="auto"/>
                      <w:szCs w:val="21"/>
                      <w:lang w:val="en-US" w:eastAsia="zh-CN"/>
                    </w:rPr>
                    <w:t>本项目不新建用地，租赁现有已建空置厂房生产。本项目废气均收集处理后排放，实行总量控制，无生产废水排放，生活污水接管至常州金坛区第二污水处理有限公司处理，固废收集处理不外排，</w:t>
                  </w:r>
                  <w:r>
                    <w:rPr>
                      <w:rFonts w:hint="default" w:ascii="Times New Roman" w:hAnsi="Times New Roman" w:eastAsia="宋体" w:cs="Times New Roman"/>
                      <w:color w:val="auto"/>
                      <w:sz w:val="21"/>
                      <w:szCs w:val="21"/>
                    </w:rPr>
                    <w:t>依托厂区现有</w:t>
                  </w:r>
                  <w:r>
                    <w:rPr>
                      <w:rFonts w:hint="eastAsia" w:ascii="Times New Roman" w:hAnsi="Times New Roman" w:eastAsia="宋体" w:cs="Times New Roman"/>
                      <w:color w:val="auto"/>
                      <w:sz w:val="21"/>
                      <w:szCs w:val="21"/>
                      <w:lang w:val="en-US" w:eastAsia="zh-CN"/>
                    </w:rPr>
                    <w:t>隔声，新建消声、减震措施后达标排放。</w:t>
                  </w:r>
                </w:p>
              </w:tc>
              <w:tc>
                <w:tcPr>
                  <w:tcW w:w="425" w:type="pct"/>
                  <w:noWrap w:val="0"/>
                  <w:tcMar>
                    <w:top w:w="0" w:type="dxa"/>
                    <w:left w:w="0" w:type="dxa"/>
                    <w:bottom w:w="0" w:type="dxa"/>
                    <w:right w:w="0" w:type="dxa"/>
                  </w:tcMar>
                  <w:vAlign w:val="center"/>
                </w:tcPr>
                <w:p w14:paraId="4009C66F">
                  <w:pPr>
                    <w:jc w:val="center"/>
                    <w:rPr>
                      <w:color w:val="auto"/>
                      <w:szCs w:val="21"/>
                    </w:rPr>
                  </w:pPr>
                  <w:r>
                    <w:rPr>
                      <w:color w:val="auto"/>
                      <w:szCs w:val="21"/>
                    </w:rPr>
                    <w:t>相符</w:t>
                  </w:r>
                </w:p>
              </w:tc>
            </w:tr>
            <w:tr w14:paraId="612911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6" w:type="pct"/>
                  <w:noWrap w:val="0"/>
                  <w:tcMar>
                    <w:top w:w="0" w:type="dxa"/>
                    <w:left w:w="0" w:type="dxa"/>
                    <w:bottom w:w="0" w:type="dxa"/>
                    <w:right w:w="0" w:type="dxa"/>
                  </w:tcMar>
                  <w:vAlign w:val="center"/>
                </w:tcPr>
                <w:p w14:paraId="462FADD0">
                  <w:pPr>
                    <w:jc w:val="center"/>
                    <w:rPr>
                      <w:color w:val="auto"/>
                      <w:szCs w:val="21"/>
                    </w:rPr>
                  </w:pPr>
                  <w:r>
                    <w:rPr>
                      <w:color w:val="auto"/>
                      <w:szCs w:val="21"/>
                    </w:rPr>
                    <w:t>4</w:t>
                  </w:r>
                </w:p>
              </w:tc>
              <w:tc>
                <w:tcPr>
                  <w:tcW w:w="460" w:type="pct"/>
                  <w:noWrap w:val="0"/>
                  <w:tcMar>
                    <w:top w:w="0" w:type="dxa"/>
                    <w:left w:w="0" w:type="dxa"/>
                    <w:bottom w:w="0" w:type="dxa"/>
                    <w:right w:w="0" w:type="dxa"/>
                  </w:tcMar>
                  <w:vAlign w:val="center"/>
                </w:tcPr>
                <w:p w14:paraId="7628D65B">
                  <w:pPr>
                    <w:jc w:val="center"/>
                    <w:rPr>
                      <w:color w:val="auto"/>
                      <w:szCs w:val="21"/>
                    </w:rPr>
                  </w:pPr>
                  <w:r>
                    <w:rPr>
                      <w:color w:val="auto"/>
                      <w:szCs w:val="21"/>
                    </w:rPr>
                    <w:t>资源利用效率要求</w:t>
                  </w:r>
                </w:p>
              </w:tc>
              <w:tc>
                <w:tcPr>
                  <w:tcW w:w="1913" w:type="pct"/>
                  <w:noWrap w:val="0"/>
                  <w:tcMar>
                    <w:top w:w="0" w:type="dxa"/>
                    <w:left w:w="0" w:type="dxa"/>
                    <w:bottom w:w="0" w:type="dxa"/>
                    <w:right w:w="0" w:type="dxa"/>
                  </w:tcMar>
                  <w:vAlign w:val="center"/>
                </w:tcPr>
                <w:p w14:paraId="1E6B2CD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全面开展节水型社会建设，推进节水产品推广普及，限制高耗水服务业用水。</w:t>
                  </w:r>
                </w:p>
              </w:tc>
              <w:tc>
                <w:tcPr>
                  <w:tcW w:w="1834" w:type="pct"/>
                  <w:noWrap w:val="0"/>
                  <w:tcMar>
                    <w:top w:w="0" w:type="dxa"/>
                    <w:left w:w="0" w:type="dxa"/>
                    <w:bottom w:w="0" w:type="dxa"/>
                    <w:right w:w="0" w:type="dxa"/>
                  </w:tcMar>
                  <w:vAlign w:val="center"/>
                </w:tcPr>
                <w:p w14:paraId="726C159E">
                  <w:pPr>
                    <w:jc w:val="center"/>
                    <w:rPr>
                      <w:rFonts w:hint="default"/>
                      <w:color w:val="auto"/>
                      <w:szCs w:val="21"/>
                      <w:lang w:val="en-US"/>
                    </w:rPr>
                  </w:pPr>
                  <w:r>
                    <w:rPr>
                      <w:rFonts w:hint="eastAsia"/>
                      <w:color w:val="auto"/>
                      <w:szCs w:val="21"/>
                      <w:lang w:val="en-US" w:eastAsia="zh-CN"/>
                    </w:rPr>
                    <w:t>本项目</w:t>
                  </w:r>
                  <w:r>
                    <w:rPr>
                      <w:rFonts w:hint="eastAsia"/>
                      <w:lang w:val="en-US" w:eastAsia="zh-CN"/>
                    </w:rPr>
                    <w:t>无生产废水产生以及排放</w:t>
                  </w:r>
                  <w:r>
                    <w:rPr>
                      <w:rFonts w:hint="eastAsia"/>
                      <w:color w:val="auto"/>
                      <w:szCs w:val="21"/>
                      <w:lang w:val="en-US" w:eastAsia="zh-CN"/>
                    </w:rPr>
                    <w:t>，生活污水接管至污水处理厂处理，不属于高耗水行业</w:t>
                  </w:r>
                </w:p>
              </w:tc>
              <w:tc>
                <w:tcPr>
                  <w:tcW w:w="425" w:type="pct"/>
                  <w:noWrap w:val="0"/>
                  <w:tcMar>
                    <w:top w:w="0" w:type="dxa"/>
                    <w:left w:w="0" w:type="dxa"/>
                    <w:bottom w:w="0" w:type="dxa"/>
                    <w:right w:w="0" w:type="dxa"/>
                  </w:tcMar>
                  <w:vAlign w:val="center"/>
                </w:tcPr>
                <w:p w14:paraId="61EFE502">
                  <w:pPr>
                    <w:jc w:val="center"/>
                    <w:rPr>
                      <w:color w:val="auto"/>
                      <w:szCs w:val="21"/>
                    </w:rPr>
                  </w:pPr>
                  <w:r>
                    <w:rPr>
                      <w:color w:val="auto"/>
                      <w:szCs w:val="21"/>
                    </w:rPr>
                    <w:t>相符</w:t>
                  </w:r>
                </w:p>
              </w:tc>
            </w:tr>
          </w:tbl>
          <w:p w14:paraId="2CAAC23C">
            <w:pPr>
              <w:spacing w:before="120" w:beforeLines="50" w:line="360" w:lineRule="auto"/>
              <w:ind w:firstLine="420" w:firstLineChars="200"/>
              <w:rPr>
                <w:color w:val="auto"/>
                <w:szCs w:val="21"/>
              </w:rPr>
            </w:pPr>
            <w:r>
              <w:rPr>
                <w:color w:val="auto"/>
                <w:szCs w:val="21"/>
              </w:rPr>
              <w:t>综上所述，本项目符合“三线一单”的相关要求。本项目的建设均符合上述管理要求，项目符合国家及地方的产业政策要求。</w:t>
            </w:r>
          </w:p>
          <w:p w14:paraId="40BE9875">
            <w:pPr>
              <w:spacing w:line="360" w:lineRule="auto"/>
              <w:ind w:firstLine="422" w:firstLineChars="200"/>
              <w:rPr>
                <w:b/>
                <w:bCs/>
                <w:color w:val="auto"/>
                <w:szCs w:val="21"/>
              </w:rPr>
            </w:pPr>
            <w:r>
              <w:rPr>
                <w:rFonts w:hint="eastAsia"/>
                <w:b/>
                <w:bCs/>
                <w:color w:val="auto"/>
                <w:szCs w:val="21"/>
              </w:rPr>
              <w:t>四、</w:t>
            </w:r>
            <w:r>
              <w:rPr>
                <w:b/>
                <w:bCs/>
                <w:color w:val="auto"/>
                <w:szCs w:val="21"/>
              </w:rPr>
              <w:t>与其他相关文件相符性分析</w:t>
            </w:r>
          </w:p>
          <w:p w14:paraId="3AE91A40">
            <w:pPr>
              <w:ind w:firstLine="482"/>
              <w:jc w:val="center"/>
              <w:rPr>
                <w:b/>
                <w:bCs/>
                <w:color w:val="auto"/>
                <w:szCs w:val="21"/>
              </w:rPr>
            </w:pPr>
            <w:r>
              <w:rPr>
                <w:b/>
                <w:bCs/>
                <w:color w:val="auto"/>
                <w:szCs w:val="21"/>
              </w:rPr>
              <w:t>表1-</w:t>
            </w:r>
            <w:r>
              <w:rPr>
                <w:rFonts w:hint="eastAsia"/>
                <w:b/>
                <w:bCs/>
                <w:color w:val="auto"/>
                <w:szCs w:val="21"/>
                <w:lang w:val="en-US" w:eastAsia="zh-CN"/>
              </w:rPr>
              <w:t>10</w:t>
            </w:r>
            <w:r>
              <w:rPr>
                <w:b/>
                <w:bCs/>
                <w:color w:val="auto"/>
                <w:szCs w:val="21"/>
              </w:rPr>
              <w:t xml:space="preserve"> 本项目与相关文件的相符性分析</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4"/>
              <w:gridCol w:w="523"/>
              <w:gridCol w:w="3125"/>
              <w:gridCol w:w="2549"/>
              <w:gridCol w:w="584"/>
            </w:tblGrid>
            <w:tr w14:paraId="147AD9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noWrap w:val="0"/>
                  <w:tcMar>
                    <w:top w:w="0" w:type="dxa"/>
                    <w:left w:w="0" w:type="dxa"/>
                    <w:bottom w:w="0" w:type="dxa"/>
                    <w:right w:w="0" w:type="dxa"/>
                  </w:tcMar>
                  <w:vAlign w:val="center"/>
                </w:tcPr>
                <w:p w14:paraId="3B258D15">
                  <w:pPr>
                    <w:pStyle w:val="75"/>
                    <w:adjustRightInd w:val="0"/>
                    <w:snapToGrid w:val="0"/>
                    <w:spacing w:line="240" w:lineRule="auto"/>
                    <w:rPr>
                      <w:rFonts w:eastAsia="宋体"/>
                      <w:b/>
                      <w:color w:val="auto"/>
                      <w:szCs w:val="21"/>
                    </w:rPr>
                  </w:pPr>
                  <w:r>
                    <w:rPr>
                      <w:rFonts w:eastAsia="宋体"/>
                      <w:b/>
                      <w:color w:val="auto"/>
                      <w:szCs w:val="21"/>
                    </w:rPr>
                    <w:t>文件</w:t>
                  </w:r>
                </w:p>
              </w:tc>
              <w:tc>
                <w:tcPr>
                  <w:tcW w:w="2281" w:type="pct"/>
                  <w:gridSpan w:val="2"/>
                  <w:noWrap w:val="0"/>
                  <w:tcMar>
                    <w:top w:w="0" w:type="dxa"/>
                    <w:left w:w="0" w:type="dxa"/>
                    <w:bottom w:w="0" w:type="dxa"/>
                    <w:right w:w="0" w:type="dxa"/>
                  </w:tcMar>
                  <w:vAlign w:val="center"/>
                </w:tcPr>
                <w:p w14:paraId="4D8C9DF4">
                  <w:pPr>
                    <w:pStyle w:val="75"/>
                    <w:adjustRightInd w:val="0"/>
                    <w:snapToGrid w:val="0"/>
                    <w:spacing w:line="240" w:lineRule="auto"/>
                    <w:rPr>
                      <w:rFonts w:eastAsia="宋体"/>
                      <w:b/>
                      <w:color w:val="auto"/>
                      <w:szCs w:val="21"/>
                    </w:rPr>
                  </w:pPr>
                  <w:r>
                    <w:rPr>
                      <w:rFonts w:eastAsia="宋体"/>
                      <w:b/>
                      <w:color w:val="auto"/>
                      <w:szCs w:val="21"/>
                    </w:rPr>
                    <w:t>与项目相关要求</w:t>
                  </w:r>
                </w:p>
              </w:tc>
              <w:tc>
                <w:tcPr>
                  <w:tcW w:w="1594" w:type="pct"/>
                  <w:noWrap w:val="0"/>
                  <w:tcMar>
                    <w:top w:w="0" w:type="dxa"/>
                    <w:left w:w="0" w:type="dxa"/>
                    <w:bottom w:w="0" w:type="dxa"/>
                    <w:right w:w="0" w:type="dxa"/>
                  </w:tcMar>
                  <w:vAlign w:val="center"/>
                </w:tcPr>
                <w:p w14:paraId="0E8C826B">
                  <w:pPr>
                    <w:pStyle w:val="75"/>
                    <w:adjustRightInd w:val="0"/>
                    <w:snapToGrid w:val="0"/>
                    <w:spacing w:line="240" w:lineRule="auto"/>
                    <w:rPr>
                      <w:rFonts w:eastAsia="宋体"/>
                      <w:b/>
                      <w:color w:val="auto"/>
                      <w:szCs w:val="21"/>
                    </w:rPr>
                  </w:pPr>
                  <w:r>
                    <w:rPr>
                      <w:rFonts w:eastAsia="宋体"/>
                      <w:b/>
                      <w:color w:val="auto"/>
                      <w:szCs w:val="21"/>
                    </w:rPr>
                    <w:t>本项目相符性分析</w:t>
                  </w:r>
                </w:p>
              </w:tc>
              <w:tc>
                <w:tcPr>
                  <w:tcW w:w="365" w:type="pct"/>
                  <w:noWrap w:val="0"/>
                  <w:tcMar>
                    <w:top w:w="0" w:type="dxa"/>
                    <w:left w:w="0" w:type="dxa"/>
                    <w:bottom w:w="0" w:type="dxa"/>
                    <w:right w:w="0" w:type="dxa"/>
                  </w:tcMar>
                  <w:vAlign w:val="center"/>
                </w:tcPr>
                <w:p w14:paraId="19830A21">
                  <w:pPr>
                    <w:pStyle w:val="75"/>
                    <w:adjustRightInd w:val="0"/>
                    <w:snapToGrid w:val="0"/>
                    <w:spacing w:line="240" w:lineRule="auto"/>
                    <w:rPr>
                      <w:rFonts w:eastAsia="宋体"/>
                      <w:b/>
                      <w:color w:val="auto"/>
                      <w:szCs w:val="21"/>
                    </w:rPr>
                  </w:pPr>
                  <w:r>
                    <w:rPr>
                      <w:rFonts w:eastAsia="宋体"/>
                      <w:b/>
                      <w:color w:val="auto"/>
                      <w:szCs w:val="21"/>
                    </w:rPr>
                    <w:t>是否</w:t>
                  </w:r>
                </w:p>
                <w:p w14:paraId="4919AC15">
                  <w:pPr>
                    <w:pStyle w:val="75"/>
                    <w:adjustRightInd w:val="0"/>
                    <w:snapToGrid w:val="0"/>
                    <w:spacing w:line="240" w:lineRule="auto"/>
                    <w:rPr>
                      <w:rFonts w:eastAsia="宋体"/>
                      <w:b/>
                      <w:color w:val="auto"/>
                      <w:szCs w:val="21"/>
                    </w:rPr>
                  </w:pPr>
                  <w:r>
                    <w:rPr>
                      <w:rFonts w:eastAsia="宋体"/>
                      <w:b/>
                      <w:color w:val="auto"/>
                      <w:szCs w:val="21"/>
                    </w:rPr>
                    <w:t>相符</w:t>
                  </w:r>
                </w:p>
              </w:tc>
            </w:tr>
            <w:tr w14:paraId="64F8A7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759" w:type="pct"/>
                  <w:vMerge w:val="restart"/>
                  <w:noWrap w:val="0"/>
                  <w:tcMar>
                    <w:top w:w="0" w:type="dxa"/>
                    <w:left w:w="0" w:type="dxa"/>
                    <w:bottom w:w="0" w:type="dxa"/>
                    <w:right w:w="0" w:type="dxa"/>
                  </w:tcMar>
                  <w:vAlign w:val="center"/>
                </w:tcPr>
                <w:p w14:paraId="1BAD8A91">
                  <w:pPr>
                    <w:pStyle w:val="75"/>
                    <w:adjustRightInd w:val="0"/>
                    <w:snapToGrid w:val="0"/>
                    <w:spacing w:line="240" w:lineRule="auto"/>
                    <w:rPr>
                      <w:rFonts w:eastAsia="宋体"/>
                      <w:bCs/>
                      <w:color w:val="auto"/>
                      <w:szCs w:val="21"/>
                    </w:rPr>
                  </w:pPr>
                  <w:r>
                    <w:rPr>
                      <w:rFonts w:eastAsia="宋体"/>
                      <w:bCs/>
                      <w:color w:val="auto"/>
                      <w:szCs w:val="21"/>
                    </w:rPr>
                    <w:t>《</w:t>
                  </w:r>
                  <w:r>
                    <w:rPr>
                      <w:rFonts w:hint="eastAsia" w:eastAsia="宋体"/>
                      <w:bCs/>
                      <w:color w:val="auto"/>
                      <w:szCs w:val="21"/>
                    </w:rPr>
                    <w:t>江苏省大气污染防治条例</w:t>
                  </w:r>
                  <w:r>
                    <w:rPr>
                      <w:rFonts w:eastAsia="宋体"/>
                      <w:bCs/>
                      <w:color w:val="auto"/>
                      <w:szCs w:val="21"/>
                    </w:rPr>
                    <w:t>》</w:t>
                  </w:r>
                </w:p>
              </w:tc>
              <w:tc>
                <w:tcPr>
                  <w:tcW w:w="2281" w:type="pct"/>
                  <w:gridSpan w:val="2"/>
                  <w:noWrap w:val="0"/>
                  <w:tcMar>
                    <w:top w:w="0" w:type="dxa"/>
                    <w:left w:w="0" w:type="dxa"/>
                    <w:bottom w:w="0" w:type="dxa"/>
                    <w:right w:w="0" w:type="dxa"/>
                  </w:tcMar>
                  <w:vAlign w:val="center"/>
                </w:tcPr>
                <w:p w14:paraId="4C41C043">
                  <w:pPr>
                    <w:pStyle w:val="75"/>
                    <w:adjustRightInd w:val="0"/>
                    <w:snapToGrid w:val="0"/>
                    <w:spacing w:line="240" w:lineRule="auto"/>
                    <w:jc w:val="both"/>
                    <w:rPr>
                      <w:rFonts w:eastAsia="宋体"/>
                      <w:color w:val="auto"/>
                      <w:szCs w:val="21"/>
                    </w:rPr>
                  </w:pPr>
                  <w:r>
                    <w:rPr>
                      <w:rFonts w:eastAsia="宋体"/>
                      <w:color w:val="auto"/>
                      <w:szCs w:val="21"/>
                    </w:rPr>
                    <w:t>禁止使用列入淘汰名录的高污染工艺设备。淘汰的高污染工艺设备，企业不得转让给他人使用。</w:t>
                  </w:r>
                </w:p>
              </w:tc>
              <w:tc>
                <w:tcPr>
                  <w:tcW w:w="1594" w:type="pct"/>
                  <w:noWrap w:val="0"/>
                  <w:tcMar>
                    <w:top w:w="0" w:type="dxa"/>
                    <w:left w:w="0" w:type="dxa"/>
                    <w:bottom w:w="0" w:type="dxa"/>
                    <w:right w:w="0" w:type="dxa"/>
                  </w:tcMar>
                  <w:vAlign w:val="center"/>
                </w:tcPr>
                <w:p w14:paraId="606CA9B8">
                  <w:pPr>
                    <w:pStyle w:val="75"/>
                    <w:adjustRightInd w:val="0"/>
                    <w:snapToGrid w:val="0"/>
                    <w:spacing w:line="240" w:lineRule="auto"/>
                    <w:rPr>
                      <w:rFonts w:hint="eastAsia" w:eastAsia="宋体"/>
                      <w:color w:val="auto"/>
                      <w:szCs w:val="21"/>
                      <w:lang w:eastAsia="zh-CN"/>
                    </w:rPr>
                  </w:pPr>
                  <w:r>
                    <w:rPr>
                      <w:rFonts w:eastAsia="宋体"/>
                      <w:color w:val="auto"/>
                      <w:szCs w:val="21"/>
                    </w:rPr>
                    <w:t>项目不使用淘汰的高污染工艺设备</w:t>
                  </w:r>
                  <w:r>
                    <w:rPr>
                      <w:rFonts w:hint="eastAsia" w:eastAsia="宋体"/>
                      <w:color w:val="auto"/>
                      <w:szCs w:val="21"/>
                      <w:lang w:eastAsia="zh-CN"/>
                    </w:rPr>
                    <w:t>。</w:t>
                  </w:r>
                </w:p>
              </w:tc>
              <w:tc>
                <w:tcPr>
                  <w:tcW w:w="365" w:type="pct"/>
                  <w:noWrap w:val="0"/>
                  <w:tcMar>
                    <w:top w:w="0" w:type="dxa"/>
                    <w:left w:w="0" w:type="dxa"/>
                    <w:bottom w:w="0" w:type="dxa"/>
                    <w:right w:w="0" w:type="dxa"/>
                  </w:tcMar>
                  <w:vAlign w:val="center"/>
                </w:tcPr>
                <w:p w14:paraId="20940740">
                  <w:pPr>
                    <w:pStyle w:val="75"/>
                    <w:adjustRightInd w:val="0"/>
                    <w:snapToGrid w:val="0"/>
                    <w:spacing w:line="240" w:lineRule="auto"/>
                    <w:rPr>
                      <w:rFonts w:eastAsia="宋体"/>
                      <w:color w:val="auto"/>
                      <w:szCs w:val="21"/>
                    </w:rPr>
                  </w:pPr>
                  <w:r>
                    <w:rPr>
                      <w:rFonts w:eastAsia="宋体"/>
                      <w:color w:val="auto"/>
                      <w:szCs w:val="21"/>
                    </w:rPr>
                    <w:t>相符</w:t>
                  </w:r>
                </w:p>
              </w:tc>
            </w:tr>
            <w:tr w14:paraId="0FB21D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9" w:type="pct"/>
                  <w:vMerge w:val="continue"/>
                  <w:noWrap w:val="0"/>
                  <w:tcMar>
                    <w:top w:w="0" w:type="dxa"/>
                    <w:left w:w="0" w:type="dxa"/>
                    <w:bottom w:w="0" w:type="dxa"/>
                    <w:right w:w="0" w:type="dxa"/>
                  </w:tcMar>
                  <w:vAlign w:val="center"/>
                </w:tcPr>
                <w:p w14:paraId="2B7ECC7E">
                  <w:pPr>
                    <w:pStyle w:val="75"/>
                    <w:adjustRightInd w:val="0"/>
                    <w:snapToGrid w:val="0"/>
                    <w:spacing w:line="240" w:lineRule="auto"/>
                    <w:rPr>
                      <w:rFonts w:eastAsia="宋体"/>
                      <w:bCs/>
                      <w:color w:val="auto"/>
                      <w:szCs w:val="21"/>
                    </w:rPr>
                  </w:pPr>
                </w:p>
              </w:tc>
              <w:tc>
                <w:tcPr>
                  <w:tcW w:w="2281" w:type="pct"/>
                  <w:gridSpan w:val="2"/>
                  <w:noWrap w:val="0"/>
                  <w:tcMar>
                    <w:top w:w="0" w:type="dxa"/>
                    <w:left w:w="0" w:type="dxa"/>
                    <w:bottom w:w="0" w:type="dxa"/>
                    <w:right w:w="0" w:type="dxa"/>
                  </w:tcMar>
                  <w:vAlign w:val="center"/>
                </w:tcPr>
                <w:p w14:paraId="7A5AA6C4">
                  <w:pPr>
                    <w:pStyle w:val="75"/>
                    <w:adjustRightInd w:val="0"/>
                    <w:snapToGrid w:val="0"/>
                    <w:spacing w:line="240" w:lineRule="auto"/>
                    <w:jc w:val="both"/>
                    <w:rPr>
                      <w:rFonts w:eastAsia="宋体"/>
                      <w:color w:val="auto"/>
                      <w:szCs w:val="21"/>
                    </w:rPr>
                  </w:pPr>
                  <w:r>
                    <w:rPr>
                      <w:rFonts w:eastAsia="宋体"/>
                      <w:color w:val="auto"/>
                      <w:szCs w:val="21"/>
                    </w:rPr>
                    <w:t>企业应当使用资源利用率高、污染物排放量少的工艺、设备，采用最佳实用大气污染控制技术，减少大气污染物的产生。</w:t>
                  </w:r>
                </w:p>
              </w:tc>
              <w:tc>
                <w:tcPr>
                  <w:tcW w:w="1594" w:type="pct"/>
                  <w:noWrap w:val="0"/>
                  <w:tcMar>
                    <w:top w:w="0" w:type="dxa"/>
                    <w:left w:w="0" w:type="dxa"/>
                    <w:bottom w:w="0" w:type="dxa"/>
                    <w:right w:w="0" w:type="dxa"/>
                  </w:tcMar>
                  <w:vAlign w:val="center"/>
                </w:tcPr>
                <w:p w14:paraId="250E375E">
                  <w:pPr>
                    <w:pStyle w:val="75"/>
                    <w:adjustRightInd w:val="0"/>
                    <w:snapToGrid w:val="0"/>
                    <w:spacing w:line="240" w:lineRule="auto"/>
                    <w:jc w:val="both"/>
                    <w:rPr>
                      <w:rFonts w:hint="eastAsia" w:eastAsia="宋体"/>
                      <w:color w:val="auto"/>
                      <w:szCs w:val="21"/>
                      <w:lang w:eastAsia="zh-CN"/>
                    </w:rPr>
                  </w:pPr>
                  <w:r>
                    <w:rPr>
                      <w:rFonts w:hint="eastAsia" w:eastAsia="宋体" w:cs="Times New Roman"/>
                      <w:color w:val="auto"/>
                      <w:szCs w:val="21"/>
                      <w:lang w:val="en-US" w:eastAsia="zh-CN"/>
                    </w:rPr>
                    <w:t>本项目</w:t>
                  </w:r>
                  <w:r>
                    <w:rPr>
                      <w:rFonts w:hint="default" w:ascii="Times New Roman" w:hAnsi="Times New Roman" w:eastAsia="宋体" w:cs="Times New Roman"/>
                      <w:color w:val="auto"/>
                      <w:szCs w:val="21"/>
                    </w:rPr>
                    <w:t>配料、投料粉尘</w:t>
                  </w:r>
                  <w:r>
                    <w:rPr>
                      <w:rFonts w:hint="eastAsia" w:eastAsia="宋体" w:cs="Times New Roman"/>
                      <w:color w:val="auto"/>
                      <w:szCs w:val="21"/>
                      <w:lang w:val="en-US" w:eastAsia="zh-CN"/>
                    </w:rPr>
                    <w:t>集气罩</w:t>
                  </w:r>
                  <w:r>
                    <w:rPr>
                      <w:rFonts w:hint="default" w:ascii="Times New Roman" w:hAnsi="Times New Roman" w:eastAsia="宋体" w:cs="Times New Roman"/>
                      <w:color w:val="auto"/>
                      <w:szCs w:val="21"/>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rFonts w:eastAsia="宋体"/>
                      <w:color w:val="auto"/>
                      <w:szCs w:val="21"/>
                    </w:rPr>
                    <w:t>废气经处理后均可达标排放，对大气环境影响较小，不会对区域大气环境质量造成明显影响</w:t>
                  </w:r>
                  <w:r>
                    <w:rPr>
                      <w:rFonts w:hint="eastAsia" w:eastAsia="宋体"/>
                      <w:color w:val="auto"/>
                      <w:szCs w:val="21"/>
                      <w:lang w:eastAsia="zh-CN"/>
                    </w:rPr>
                    <w:t>。</w:t>
                  </w:r>
                </w:p>
              </w:tc>
              <w:tc>
                <w:tcPr>
                  <w:tcW w:w="365" w:type="pct"/>
                  <w:noWrap w:val="0"/>
                  <w:tcMar>
                    <w:top w:w="0" w:type="dxa"/>
                    <w:left w:w="0" w:type="dxa"/>
                    <w:bottom w:w="0" w:type="dxa"/>
                    <w:right w:w="0" w:type="dxa"/>
                  </w:tcMar>
                  <w:vAlign w:val="center"/>
                </w:tcPr>
                <w:p w14:paraId="01137341">
                  <w:pPr>
                    <w:adjustRightInd w:val="0"/>
                    <w:snapToGrid w:val="0"/>
                    <w:jc w:val="center"/>
                    <w:rPr>
                      <w:color w:val="auto"/>
                      <w:szCs w:val="21"/>
                    </w:rPr>
                  </w:pPr>
                  <w:r>
                    <w:rPr>
                      <w:color w:val="auto"/>
                      <w:szCs w:val="21"/>
                    </w:rPr>
                    <w:t>相符</w:t>
                  </w:r>
                </w:p>
              </w:tc>
            </w:tr>
            <w:tr w14:paraId="5C7C00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31DE194D">
                  <w:pPr>
                    <w:pStyle w:val="75"/>
                    <w:adjustRightInd w:val="0"/>
                    <w:snapToGrid w:val="0"/>
                    <w:spacing w:line="240" w:lineRule="auto"/>
                    <w:rPr>
                      <w:rFonts w:eastAsia="宋体"/>
                      <w:bCs/>
                      <w:color w:val="auto"/>
                      <w:szCs w:val="21"/>
                    </w:rPr>
                  </w:pPr>
                </w:p>
              </w:tc>
              <w:tc>
                <w:tcPr>
                  <w:tcW w:w="2281" w:type="pct"/>
                  <w:gridSpan w:val="2"/>
                  <w:noWrap w:val="0"/>
                  <w:tcMar>
                    <w:top w:w="0" w:type="dxa"/>
                    <w:left w:w="0" w:type="dxa"/>
                    <w:bottom w:w="0" w:type="dxa"/>
                    <w:right w:w="0" w:type="dxa"/>
                  </w:tcMar>
                  <w:vAlign w:val="center"/>
                </w:tcPr>
                <w:p w14:paraId="652556E4">
                  <w:pPr>
                    <w:pStyle w:val="75"/>
                    <w:adjustRightInd w:val="0"/>
                    <w:snapToGrid w:val="0"/>
                    <w:spacing w:line="240" w:lineRule="auto"/>
                    <w:jc w:val="both"/>
                    <w:rPr>
                      <w:rFonts w:eastAsia="宋体"/>
                      <w:color w:val="auto"/>
                      <w:szCs w:val="21"/>
                    </w:rPr>
                  </w:pPr>
                  <w:r>
                    <w:rPr>
                      <w:rFonts w:eastAsia="宋体"/>
                      <w:color w:val="auto"/>
                      <w:szCs w:val="21"/>
                    </w:rPr>
                    <w:t>产生挥发性有机物废气的生产经营活动，应当在密闭空间或者设备中进行，并设置废气收集和处理系统等污染防治设施，保持其正常使用。</w:t>
                  </w:r>
                </w:p>
              </w:tc>
              <w:tc>
                <w:tcPr>
                  <w:tcW w:w="1594" w:type="pct"/>
                  <w:noWrap w:val="0"/>
                  <w:tcMar>
                    <w:top w:w="0" w:type="dxa"/>
                    <w:left w:w="0" w:type="dxa"/>
                    <w:bottom w:w="0" w:type="dxa"/>
                    <w:right w:w="0" w:type="dxa"/>
                  </w:tcMar>
                  <w:vAlign w:val="center"/>
                </w:tcPr>
                <w:p w14:paraId="3AE4983A">
                  <w:pPr>
                    <w:pStyle w:val="75"/>
                    <w:adjustRightInd w:val="0"/>
                    <w:snapToGrid w:val="0"/>
                    <w:spacing w:line="240" w:lineRule="auto"/>
                    <w:jc w:val="both"/>
                    <w:rPr>
                      <w:rFonts w:eastAsia="宋体"/>
                      <w:color w:val="auto"/>
                      <w:szCs w:val="21"/>
                    </w:rPr>
                  </w:pPr>
                  <w:r>
                    <w:rPr>
                      <w:rFonts w:eastAsia="宋体"/>
                      <w:color w:val="auto"/>
                      <w:szCs w:val="21"/>
                    </w:rPr>
                    <w:t>本项目</w:t>
                  </w:r>
                  <w:r>
                    <w:rPr>
                      <w:rFonts w:hint="eastAsia" w:eastAsia="宋体"/>
                      <w:color w:val="auto"/>
                      <w:szCs w:val="21"/>
                    </w:rPr>
                    <w:t>配料、投料粉尘</w:t>
                  </w:r>
                  <w:r>
                    <w:rPr>
                      <w:rFonts w:hint="eastAsia" w:eastAsia="宋体" w:cs="Times New Roman"/>
                      <w:color w:val="auto"/>
                      <w:szCs w:val="21"/>
                      <w:lang w:val="en-US" w:eastAsia="zh-CN"/>
                    </w:rPr>
                    <w:t>集气罩</w:t>
                  </w:r>
                  <w:r>
                    <w:rPr>
                      <w:rFonts w:hint="eastAsia" w:eastAsia="宋体"/>
                      <w:color w:val="auto"/>
                      <w:szCs w:val="21"/>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rFonts w:eastAsia="宋体"/>
                      <w:color w:val="auto"/>
                      <w:szCs w:val="21"/>
                    </w:rPr>
                    <w:t>，</w:t>
                  </w:r>
                  <w:r>
                    <w:rPr>
                      <w:rFonts w:hint="eastAsia" w:eastAsia="宋体"/>
                      <w:color w:val="auto"/>
                      <w:szCs w:val="21"/>
                      <w:lang w:val="en-US" w:eastAsia="zh-CN"/>
                    </w:rPr>
                    <w:t>有机</w:t>
                  </w:r>
                  <w:r>
                    <w:rPr>
                      <w:rFonts w:hint="eastAsia" w:eastAsia="宋体"/>
                      <w:bCs/>
                      <w:color w:val="auto"/>
                      <w:szCs w:val="21"/>
                    </w:rPr>
                    <w:t>废气收集、净化处理效率均不低于90%</w:t>
                  </w:r>
                </w:p>
              </w:tc>
              <w:tc>
                <w:tcPr>
                  <w:tcW w:w="365" w:type="pct"/>
                  <w:noWrap w:val="0"/>
                  <w:tcMar>
                    <w:top w:w="0" w:type="dxa"/>
                    <w:left w:w="0" w:type="dxa"/>
                    <w:bottom w:w="0" w:type="dxa"/>
                    <w:right w:w="0" w:type="dxa"/>
                  </w:tcMar>
                  <w:vAlign w:val="center"/>
                </w:tcPr>
                <w:p w14:paraId="20C1894B">
                  <w:pPr>
                    <w:adjustRightInd w:val="0"/>
                    <w:snapToGrid w:val="0"/>
                    <w:jc w:val="center"/>
                    <w:rPr>
                      <w:color w:val="auto"/>
                      <w:szCs w:val="21"/>
                    </w:rPr>
                  </w:pPr>
                  <w:r>
                    <w:rPr>
                      <w:color w:val="auto"/>
                      <w:szCs w:val="21"/>
                    </w:rPr>
                    <w:t>相符</w:t>
                  </w:r>
                </w:p>
              </w:tc>
            </w:tr>
            <w:tr w14:paraId="7001D2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restart"/>
                  <w:noWrap w:val="0"/>
                  <w:tcMar>
                    <w:top w:w="0" w:type="dxa"/>
                    <w:left w:w="0" w:type="dxa"/>
                    <w:bottom w:w="0" w:type="dxa"/>
                    <w:right w:w="0" w:type="dxa"/>
                  </w:tcMar>
                  <w:vAlign w:val="center"/>
                </w:tcPr>
                <w:p w14:paraId="09A87ED4">
                  <w:pPr>
                    <w:pStyle w:val="75"/>
                    <w:adjustRightInd w:val="0"/>
                    <w:snapToGrid w:val="0"/>
                    <w:spacing w:line="240" w:lineRule="auto"/>
                    <w:rPr>
                      <w:rFonts w:eastAsia="宋体"/>
                      <w:bCs/>
                      <w:color w:val="auto"/>
                      <w:szCs w:val="21"/>
                    </w:rPr>
                  </w:pPr>
                  <w:r>
                    <w:rPr>
                      <w:rFonts w:eastAsia="宋体"/>
                      <w:bCs/>
                      <w:color w:val="auto"/>
                      <w:szCs w:val="21"/>
                    </w:rPr>
                    <w:t>《关于印发＜江苏省重点行业挥发性有机物污染控制指南＞的通知》（苏环办[2014]128号文）</w:t>
                  </w:r>
                </w:p>
              </w:tc>
              <w:tc>
                <w:tcPr>
                  <w:tcW w:w="2281" w:type="pct"/>
                  <w:gridSpan w:val="2"/>
                  <w:noWrap w:val="0"/>
                  <w:tcMar>
                    <w:top w:w="0" w:type="dxa"/>
                    <w:left w:w="0" w:type="dxa"/>
                    <w:bottom w:w="0" w:type="dxa"/>
                    <w:right w:w="0" w:type="dxa"/>
                  </w:tcMar>
                  <w:vAlign w:val="center"/>
                </w:tcPr>
                <w:p w14:paraId="23E6EAA1">
                  <w:pPr>
                    <w:pStyle w:val="75"/>
                    <w:adjustRightInd w:val="0"/>
                    <w:snapToGrid w:val="0"/>
                    <w:spacing w:line="240" w:lineRule="auto"/>
                    <w:jc w:val="both"/>
                    <w:rPr>
                      <w:rFonts w:eastAsia="宋体"/>
                      <w:color w:val="auto"/>
                      <w:szCs w:val="21"/>
                    </w:rPr>
                  </w:pPr>
                  <w:r>
                    <w:rPr>
                      <w:rFonts w:eastAsia="宋体"/>
                      <w:color w:val="auto"/>
                      <w:szCs w:val="21"/>
                    </w:rPr>
                    <w:t>所有产生有机废气污染的企业，应优先采用环保型原辅料、生产工艺和装备，对相应生产单元或设施进行密闭，从源头控制VOCs的产生，减少废气污染物排放。</w:t>
                  </w:r>
                </w:p>
              </w:tc>
              <w:tc>
                <w:tcPr>
                  <w:tcW w:w="1594" w:type="pct"/>
                  <w:noWrap w:val="0"/>
                  <w:tcMar>
                    <w:top w:w="0" w:type="dxa"/>
                    <w:left w:w="0" w:type="dxa"/>
                    <w:bottom w:w="0" w:type="dxa"/>
                    <w:right w:w="0" w:type="dxa"/>
                  </w:tcMar>
                  <w:vAlign w:val="center"/>
                </w:tcPr>
                <w:p w14:paraId="18A42020">
                  <w:pPr>
                    <w:pStyle w:val="75"/>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本项目配料、投料粉尘</w:t>
                  </w:r>
                  <w:r>
                    <w:rPr>
                      <w:rFonts w:hint="eastAsia" w:eastAsia="宋体" w:cs="Times New Roman"/>
                      <w:color w:val="auto"/>
                      <w:szCs w:val="21"/>
                      <w:lang w:val="en-US" w:eastAsia="zh-CN"/>
                    </w:rPr>
                    <w:t>集气罩</w:t>
                  </w:r>
                  <w:r>
                    <w:rPr>
                      <w:rFonts w:hint="default" w:ascii="Times New Roman" w:hAnsi="Times New Roman" w:eastAsia="宋体" w:cs="Times New Roman"/>
                      <w:color w:val="auto"/>
                      <w:sz w:val="21"/>
                      <w:szCs w:val="21"/>
                      <w:lang w:val="en-US" w:eastAsia="zh-CN"/>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rFonts w:hint="eastAsia" w:ascii="Times New Roman" w:hAnsi="Times New Roman" w:eastAsia="宋体" w:cs="Times New Roman"/>
                      <w:color w:val="auto"/>
                      <w:sz w:val="21"/>
                      <w:szCs w:val="21"/>
                      <w:lang w:val="en-US" w:eastAsia="zh-CN"/>
                    </w:rPr>
                    <w:t>。废气经处理后均可达标排放，不会对区域大气环境质量造成明显影响。</w:t>
                  </w:r>
                </w:p>
              </w:tc>
              <w:tc>
                <w:tcPr>
                  <w:tcW w:w="365" w:type="pct"/>
                  <w:noWrap w:val="0"/>
                  <w:tcMar>
                    <w:top w:w="0" w:type="dxa"/>
                    <w:left w:w="0" w:type="dxa"/>
                    <w:bottom w:w="0" w:type="dxa"/>
                    <w:right w:w="0" w:type="dxa"/>
                  </w:tcMar>
                  <w:vAlign w:val="center"/>
                </w:tcPr>
                <w:p w14:paraId="066B5B5B">
                  <w:pPr>
                    <w:pStyle w:val="75"/>
                    <w:adjustRightInd w:val="0"/>
                    <w:snapToGrid w:val="0"/>
                    <w:spacing w:line="240" w:lineRule="auto"/>
                    <w:rPr>
                      <w:rFonts w:eastAsia="宋体"/>
                      <w:color w:val="auto"/>
                      <w:szCs w:val="21"/>
                    </w:rPr>
                  </w:pPr>
                  <w:r>
                    <w:rPr>
                      <w:rFonts w:eastAsia="宋体"/>
                      <w:color w:val="auto"/>
                      <w:szCs w:val="21"/>
                    </w:rPr>
                    <w:t>相符</w:t>
                  </w:r>
                </w:p>
              </w:tc>
            </w:tr>
            <w:tr w14:paraId="5A6C27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30AD0521">
                  <w:pPr>
                    <w:pStyle w:val="75"/>
                    <w:adjustRightInd w:val="0"/>
                    <w:snapToGrid w:val="0"/>
                    <w:spacing w:line="240" w:lineRule="auto"/>
                    <w:rPr>
                      <w:rFonts w:eastAsia="宋体"/>
                      <w:bCs/>
                      <w:color w:val="auto"/>
                      <w:szCs w:val="21"/>
                    </w:rPr>
                  </w:pPr>
                </w:p>
              </w:tc>
              <w:tc>
                <w:tcPr>
                  <w:tcW w:w="2281" w:type="pct"/>
                  <w:gridSpan w:val="2"/>
                  <w:noWrap w:val="0"/>
                  <w:tcMar>
                    <w:top w:w="0" w:type="dxa"/>
                    <w:left w:w="0" w:type="dxa"/>
                    <w:bottom w:w="0" w:type="dxa"/>
                    <w:right w:w="0" w:type="dxa"/>
                  </w:tcMar>
                  <w:vAlign w:val="center"/>
                </w:tcPr>
                <w:p w14:paraId="107C8335">
                  <w:pPr>
                    <w:pStyle w:val="75"/>
                    <w:adjustRightInd w:val="0"/>
                    <w:snapToGrid w:val="0"/>
                    <w:spacing w:line="240" w:lineRule="auto"/>
                    <w:jc w:val="both"/>
                    <w:rPr>
                      <w:rFonts w:hint="eastAsia" w:eastAsia="宋体"/>
                      <w:color w:val="auto"/>
                      <w:szCs w:val="21"/>
                    </w:rPr>
                  </w:pPr>
                  <w:r>
                    <w:rPr>
                      <w:rFonts w:eastAsia="宋体"/>
                      <w:color w:val="auto"/>
                      <w:szCs w:val="21"/>
                    </w:rPr>
                    <w:t>鼓励对排放的非甲烷总烃进行回收利用，并优先在生产系统内回用。对浓度、性状差异较大的废气应分类收集，并采用适宜的方式进行有效处理，确保非甲烷总烃总去除率满足管要求，其中有机化工、</w:t>
                  </w:r>
                  <w:r>
                    <w:rPr>
                      <w:rFonts w:hint="eastAsia" w:eastAsia="宋体"/>
                      <w:color w:val="auto"/>
                      <w:szCs w:val="21"/>
                    </w:rPr>
                    <w:t>医药化工、橡胶和塑料制品(有溶剂浸胶工艺)、溶剂型涂料表面涂装、包装印刷业的VOCS总收集、净化处理率均不低于90%，其他行业原则上不低于75%。</w:t>
                  </w:r>
                </w:p>
              </w:tc>
              <w:tc>
                <w:tcPr>
                  <w:tcW w:w="1594" w:type="pct"/>
                  <w:noWrap w:val="0"/>
                  <w:tcMar>
                    <w:top w:w="0" w:type="dxa"/>
                    <w:left w:w="0" w:type="dxa"/>
                    <w:bottom w:w="0" w:type="dxa"/>
                    <w:right w:w="0" w:type="dxa"/>
                  </w:tcMar>
                  <w:vAlign w:val="center"/>
                </w:tcPr>
                <w:p w14:paraId="1AA97C05">
                  <w:pPr>
                    <w:pStyle w:val="75"/>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配料、投料粉尘</w:t>
                  </w:r>
                  <w:r>
                    <w:rPr>
                      <w:rFonts w:hint="eastAsia" w:eastAsia="宋体" w:cs="Times New Roman"/>
                      <w:color w:val="auto"/>
                      <w:szCs w:val="21"/>
                      <w:lang w:val="en-US" w:eastAsia="zh-CN"/>
                    </w:rPr>
                    <w:t>集气罩</w:t>
                  </w:r>
                  <w:r>
                    <w:rPr>
                      <w:rFonts w:hint="default" w:ascii="Times New Roman" w:hAnsi="Times New Roman" w:eastAsia="宋体" w:cs="Times New Roman"/>
                      <w:color w:val="auto"/>
                      <w:sz w:val="21"/>
                      <w:szCs w:val="21"/>
                      <w:lang w:val="en-US" w:eastAsia="zh-CN"/>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rFonts w:hint="eastAsia" w:eastAsia="宋体" w:cs="Times New Roman"/>
                      <w:color w:val="auto"/>
                      <w:sz w:val="21"/>
                      <w:szCs w:val="21"/>
                      <w:lang w:val="en-US" w:eastAsia="zh-CN"/>
                    </w:rPr>
                    <w:t>有机</w:t>
                  </w:r>
                  <w:r>
                    <w:rPr>
                      <w:rFonts w:hint="default" w:ascii="Times New Roman" w:hAnsi="Times New Roman" w:eastAsia="宋体" w:cs="Times New Roman"/>
                      <w:bCs/>
                      <w:color w:val="auto"/>
                      <w:sz w:val="21"/>
                      <w:szCs w:val="21"/>
                      <w:lang w:eastAsia="zh-CN"/>
                    </w:rPr>
                    <w:t>废气收集、净化处理效率均不低于90%。</w:t>
                  </w:r>
                </w:p>
              </w:tc>
              <w:tc>
                <w:tcPr>
                  <w:tcW w:w="365" w:type="pct"/>
                  <w:noWrap w:val="0"/>
                  <w:tcMar>
                    <w:top w:w="0" w:type="dxa"/>
                    <w:left w:w="0" w:type="dxa"/>
                    <w:bottom w:w="0" w:type="dxa"/>
                    <w:right w:w="0" w:type="dxa"/>
                  </w:tcMar>
                  <w:vAlign w:val="center"/>
                </w:tcPr>
                <w:p w14:paraId="1A27FBF4">
                  <w:pPr>
                    <w:pStyle w:val="75"/>
                    <w:adjustRightInd w:val="0"/>
                    <w:snapToGrid w:val="0"/>
                    <w:spacing w:line="240" w:lineRule="auto"/>
                    <w:rPr>
                      <w:rFonts w:eastAsia="宋体"/>
                      <w:color w:val="auto"/>
                      <w:szCs w:val="21"/>
                    </w:rPr>
                  </w:pPr>
                  <w:r>
                    <w:rPr>
                      <w:rFonts w:eastAsia="宋体"/>
                      <w:color w:val="auto"/>
                      <w:szCs w:val="21"/>
                    </w:rPr>
                    <w:t>相符</w:t>
                  </w:r>
                </w:p>
              </w:tc>
            </w:tr>
            <w:tr w14:paraId="608A08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restart"/>
                  <w:noWrap w:val="0"/>
                  <w:tcMar>
                    <w:top w:w="0" w:type="dxa"/>
                    <w:left w:w="0" w:type="dxa"/>
                    <w:bottom w:w="0" w:type="dxa"/>
                    <w:right w:w="0" w:type="dxa"/>
                  </w:tcMar>
                  <w:vAlign w:val="center"/>
                </w:tcPr>
                <w:p w14:paraId="5AF4E800">
                  <w:pPr>
                    <w:pStyle w:val="75"/>
                    <w:adjustRightInd w:val="0"/>
                    <w:snapToGrid w:val="0"/>
                    <w:spacing w:line="240" w:lineRule="auto"/>
                    <w:rPr>
                      <w:rFonts w:eastAsia="宋体"/>
                      <w:bCs/>
                      <w:color w:val="auto"/>
                      <w:szCs w:val="21"/>
                    </w:rPr>
                  </w:pPr>
                  <w:r>
                    <w:rPr>
                      <w:rFonts w:eastAsia="宋体"/>
                      <w:bCs/>
                      <w:color w:val="auto"/>
                      <w:szCs w:val="21"/>
                    </w:rPr>
                    <w:t>《生态环境部关于印发〈重点行业挥发性有机物综合治理方案〉的通知》（环大气[2019]53号）</w:t>
                  </w:r>
                </w:p>
              </w:tc>
              <w:tc>
                <w:tcPr>
                  <w:tcW w:w="327" w:type="pct"/>
                  <w:noWrap w:val="0"/>
                  <w:tcMar>
                    <w:top w:w="0" w:type="dxa"/>
                    <w:left w:w="0" w:type="dxa"/>
                    <w:bottom w:w="0" w:type="dxa"/>
                    <w:right w:w="0" w:type="dxa"/>
                  </w:tcMar>
                  <w:vAlign w:val="center"/>
                </w:tcPr>
                <w:p w14:paraId="6AC260F1">
                  <w:pPr>
                    <w:pStyle w:val="75"/>
                    <w:adjustRightInd w:val="0"/>
                    <w:snapToGrid w:val="0"/>
                    <w:spacing w:line="240" w:lineRule="auto"/>
                    <w:rPr>
                      <w:rFonts w:eastAsia="宋体"/>
                      <w:color w:val="auto"/>
                      <w:szCs w:val="21"/>
                    </w:rPr>
                  </w:pPr>
                  <w:r>
                    <w:rPr>
                      <w:rFonts w:hint="eastAsia" w:eastAsia="宋体"/>
                      <w:bCs/>
                      <w:color w:val="auto"/>
                      <w:szCs w:val="21"/>
                    </w:rPr>
                    <w:t>全面加强无组织排放控制</w:t>
                  </w:r>
                </w:p>
              </w:tc>
              <w:tc>
                <w:tcPr>
                  <w:tcW w:w="1954" w:type="pct"/>
                  <w:noWrap w:val="0"/>
                  <w:tcMar>
                    <w:top w:w="0" w:type="dxa"/>
                    <w:left w:w="0" w:type="dxa"/>
                    <w:bottom w:w="0" w:type="dxa"/>
                    <w:right w:w="0" w:type="dxa"/>
                  </w:tcMar>
                  <w:vAlign w:val="center"/>
                </w:tcPr>
                <w:p w14:paraId="10C735A5">
                  <w:pPr>
                    <w:suppressAutoHyphens/>
                    <w:rPr>
                      <w:bCs/>
                      <w:color w:val="auto"/>
                      <w:szCs w:val="21"/>
                    </w:rPr>
                  </w:pPr>
                  <w:r>
                    <w:rPr>
                      <w:rFonts w:hint="eastAsia"/>
                      <w:bCs/>
                      <w:color w:val="auto"/>
                      <w:szCs w:val="21"/>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含VOCs物料生产和使用过程，应采取有效收集措施或在密闭空间中操作。</w:t>
                  </w:r>
                </w:p>
              </w:tc>
              <w:tc>
                <w:tcPr>
                  <w:tcW w:w="1594" w:type="pct"/>
                  <w:noWrap w:val="0"/>
                  <w:tcMar>
                    <w:top w:w="0" w:type="dxa"/>
                    <w:left w:w="0" w:type="dxa"/>
                    <w:bottom w:w="0" w:type="dxa"/>
                    <w:right w:w="0" w:type="dxa"/>
                  </w:tcMar>
                  <w:vAlign w:val="center"/>
                </w:tcPr>
                <w:p w14:paraId="193A798D">
                  <w:pPr>
                    <w:keepNext w:val="0"/>
                    <w:keepLines w:val="0"/>
                    <w:pageBreakBefore w:val="0"/>
                    <w:widowControl w:val="0"/>
                    <w:suppressAutoHyphens/>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项目配料、投料粉尘</w:t>
                  </w:r>
                  <w:r>
                    <w:rPr>
                      <w:rFonts w:hint="eastAsia" w:eastAsia="宋体" w:cs="Times New Roman"/>
                      <w:color w:val="auto"/>
                      <w:szCs w:val="21"/>
                      <w:lang w:val="en-US" w:eastAsia="zh-CN"/>
                    </w:rPr>
                    <w:t>集气罩</w:t>
                  </w:r>
                  <w:r>
                    <w:rPr>
                      <w:rFonts w:hint="default" w:ascii="Times New Roman" w:hAnsi="Times New Roman" w:eastAsia="宋体" w:cs="Times New Roman"/>
                      <w:bCs/>
                      <w:color w:val="auto"/>
                      <w:sz w:val="21"/>
                      <w:szCs w:val="21"/>
                      <w:lang w:eastAsia="zh-CN"/>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有机</w:t>
                  </w:r>
                  <w:r>
                    <w:rPr>
                      <w:rFonts w:hint="default" w:ascii="Times New Roman" w:hAnsi="Times New Roman" w:eastAsia="宋体" w:cs="Times New Roman"/>
                      <w:bCs/>
                      <w:color w:val="auto"/>
                      <w:sz w:val="21"/>
                      <w:szCs w:val="21"/>
                      <w:lang w:eastAsia="zh-CN"/>
                    </w:rPr>
                    <w:t>废气收集、净化处理效率均不低于90%。</w:t>
                  </w:r>
                </w:p>
              </w:tc>
              <w:tc>
                <w:tcPr>
                  <w:tcW w:w="365" w:type="pct"/>
                  <w:noWrap w:val="0"/>
                  <w:tcMar>
                    <w:top w:w="0" w:type="dxa"/>
                    <w:left w:w="0" w:type="dxa"/>
                    <w:bottom w:w="0" w:type="dxa"/>
                    <w:right w:w="0" w:type="dxa"/>
                  </w:tcMar>
                  <w:vAlign w:val="center"/>
                </w:tcPr>
                <w:p w14:paraId="7AC25774">
                  <w:pPr>
                    <w:pStyle w:val="75"/>
                    <w:adjustRightInd w:val="0"/>
                    <w:snapToGrid w:val="0"/>
                    <w:spacing w:line="240" w:lineRule="auto"/>
                    <w:rPr>
                      <w:rFonts w:eastAsia="宋体"/>
                      <w:color w:val="auto"/>
                      <w:szCs w:val="21"/>
                    </w:rPr>
                  </w:pPr>
                  <w:r>
                    <w:rPr>
                      <w:rFonts w:eastAsia="宋体"/>
                      <w:color w:val="auto"/>
                      <w:szCs w:val="21"/>
                    </w:rPr>
                    <w:t>相符</w:t>
                  </w:r>
                </w:p>
              </w:tc>
            </w:tr>
            <w:tr w14:paraId="79C280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9" w:type="pct"/>
                  <w:vMerge w:val="continue"/>
                  <w:noWrap w:val="0"/>
                  <w:tcMar>
                    <w:top w:w="0" w:type="dxa"/>
                    <w:left w:w="0" w:type="dxa"/>
                    <w:bottom w:w="0" w:type="dxa"/>
                    <w:right w:w="0" w:type="dxa"/>
                  </w:tcMar>
                  <w:vAlign w:val="center"/>
                </w:tcPr>
                <w:p w14:paraId="11F202E4">
                  <w:pPr>
                    <w:pStyle w:val="75"/>
                    <w:adjustRightInd w:val="0"/>
                    <w:snapToGrid w:val="0"/>
                    <w:spacing w:line="240" w:lineRule="auto"/>
                    <w:rPr>
                      <w:rFonts w:eastAsia="宋体"/>
                      <w:bCs/>
                      <w:color w:val="auto"/>
                      <w:szCs w:val="21"/>
                    </w:rPr>
                  </w:pPr>
                </w:p>
              </w:tc>
              <w:tc>
                <w:tcPr>
                  <w:tcW w:w="327" w:type="pct"/>
                  <w:noWrap w:val="0"/>
                  <w:tcMar>
                    <w:top w:w="0" w:type="dxa"/>
                    <w:left w:w="0" w:type="dxa"/>
                    <w:bottom w:w="0" w:type="dxa"/>
                    <w:right w:w="0" w:type="dxa"/>
                  </w:tcMar>
                  <w:vAlign w:val="center"/>
                </w:tcPr>
                <w:p w14:paraId="55526029">
                  <w:pPr>
                    <w:pStyle w:val="75"/>
                    <w:adjustRightInd w:val="0"/>
                    <w:snapToGrid w:val="0"/>
                    <w:spacing w:line="240" w:lineRule="auto"/>
                    <w:rPr>
                      <w:rFonts w:eastAsia="宋体"/>
                      <w:color w:val="auto"/>
                      <w:szCs w:val="21"/>
                    </w:rPr>
                  </w:pPr>
                  <w:r>
                    <w:rPr>
                      <w:rFonts w:hint="eastAsia" w:eastAsia="宋体"/>
                      <w:bCs/>
                      <w:color w:val="auto"/>
                      <w:szCs w:val="21"/>
                    </w:rPr>
                    <w:t>推进建设适宜高效的治污设施</w:t>
                  </w:r>
                </w:p>
              </w:tc>
              <w:tc>
                <w:tcPr>
                  <w:tcW w:w="1954" w:type="pct"/>
                  <w:noWrap w:val="0"/>
                  <w:tcMar>
                    <w:top w:w="0" w:type="dxa"/>
                    <w:left w:w="0" w:type="dxa"/>
                    <w:bottom w:w="0" w:type="dxa"/>
                    <w:right w:w="0" w:type="dxa"/>
                  </w:tcMar>
                  <w:vAlign w:val="center"/>
                </w:tcPr>
                <w:p w14:paraId="7E40A29F">
                  <w:pPr>
                    <w:suppressAutoHyphens/>
                    <w:jc w:val="center"/>
                    <w:rPr>
                      <w:bCs/>
                      <w:color w:val="auto"/>
                      <w:szCs w:val="21"/>
                    </w:rPr>
                  </w:pPr>
                  <w:r>
                    <w:rPr>
                      <w:rFonts w:hint="eastAsia"/>
                      <w:bCs/>
                      <w:color w:val="auto"/>
                      <w:szCs w:val="21"/>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94" w:type="pct"/>
                  <w:noWrap w:val="0"/>
                  <w:tcMar>
                    <w:top w:w="0" w:type="dxa"/>
                    <w:left w:w="0" w:type="dxa"/>
                    <w:bottom w:w="0" w:type="dxa"/>
                    <w:right w:w="0" w:type="dxa"/>
                  </w:tcMar>
                  <w:vAlign w:val="center"/>
                </w:tcPr>
                <w:p w14:paraId="0113CE12">
                  <w:pPr>
                    <w:keepNext w:val="0"/>
                    <w:keepLines w:val="0"/>
                    <w:pageBreakBefore w:val="0"/>
                    <w:widowControl w:val="0"/>
                    <w:suppressAutoHyphens/>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本项目</w:t>
                  </w:r>
                  <w:r>
                    <w:rPr>
                      <w:rFonts w:hint="eastAsia" w:ascii="Times New Roman" w:hAnsi="Times New Roman" w:eastAsia="宋体" w:cs="Times New Roman"/>
                      <w:bCs/>
                      <w:color w:val="auto"/>
                      <w:sz w:val="21"/>
                      <w:szCs w:val="21"/>
                      <w:lang w:val="en-US" w:eastAsia="zh-CN"/>
                    </w:rPr>
                    <w:t>所在</w:t>
                  </w:r>
                  <w:r>
                    <w:rPr>
                      <w:rFonts w:hint="default" w:ascii="Times New Roman" w:hAnsi="Times New Roman" w:eastAsia="宋体" w:cs="Times New Roman"/>
                      <w:bCs/>
                      <w:color w:val="auto"/>
                      <w:sz w:val="21"/>
                      <w:szCs w:val="21"/>
                      <w:lang w:eastAsia="zh-CN"/>
                    </w:rPr>
                    <w:t>区域为大气重点控制区。</w:t>
                  </w:r>
                  <w:r>
                    <w:rPr>
                      <w:rFonts w:hint="default" w:ascii="Times New Roman" w:hAnsi="Times New Roman" w:eastAsia="宋体" w:cs="Times New Roman"/>
                      <w:color w:val="auto"/>
                      <w:sz w:val="21"/>
                      <w:szCs w:val="21"/>
                    </w:rPr>
                    <w:t>本项目配料、投料粉尘</w:t>
                  </w:r>
                  <w:r>
                    <w:rPr>
                      <w:rFonts w:hint="eastAsia" w:eastAsia="宋体" w:cs="Times New Roman"/>
                      <w:color w:val="auto"/>
                      <w:szCs w:val="21"/>
                      <w:lang w:val="en-US" w:eastAsia="zh-CN"/>
                    </w:rPr>
                    <w:t>集气罩</w:t>
                  </w:r>
                  <w:r>
                    <w:rPr>
                      <w:rFonts w:hint="default" w:ascii="Times New Roman" w:hAnsi="Times New Roman" w:eastAsia="宋体" w:cs="Times New Roman"/>
                      <w:color w:val="auto"/>
                      <w:sz w:val="21"/>
                      <w:szCs w:val="21"/>
                    </w:rPr>
                    <w:t>收集至布袋除尘器处理后通过1根15米高排气筒DA001排放，挤出、烘干、测试废气半密闭收集至1套“水喷淋塔+除湿器+二级活性炭吸附装置”处理后通过1根15米高排气筒DA002排放，破碎过程密闭操作，产生的微量粉尘无组织排放</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Cs/>
                      <w:color w:val="auto"/>
                      <w:sz w:val="21"/>
                      <w:szCs w:val="21"/>
                      <w:lang w:eastAsia="zh-CN"/>
                    </w:rPr>
                    <w:t>废气收集、净化处理效率均不低于</w:t>
                  </w:r>
                  <w:r>
                    <w:rPr>
                      <w:rFonts w:hint="eastAsia" w:cs="Times New Roman"/>
                      <w:bCs/>
                      <w:color w:val="auto"/>
                      <w:sz w:val="21"/>
                      <w:szCs w:val="21"/>
                      <w:lang w:val="en-US" w:eastAsia="zh-CN"/>
                    </w:rPr>
                    <w:t>80</w:t>
                  </w:r>
                  <w:r>
                    <w:rPr>
                      <w:rFonts w:hint="default"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初始排放速率小于2kg/h，</w:t>
                  </w:r>
                  <w:r>
                    <w:rPr>
                      <w:rFonts w:hint="default" w:ascii="Times New Roman" w:hAnsi="Times New Roman" w:eastAsia="宋体" w:cs="Times New Roman"/>
                      <w:bCs/>
                      <w:color w:val="auto"/>
                      <w:sz w:val="21"/>
                      <w:szCs w:val="21"/>
                      <w:lang w:eastAsia="zh-CN"/>
                    </w:rPr>
                    <w:t>非甲烷总烃废气排放执行《大气污染物综合排放标准》（DB32/4041-2021）中标准限值。</w:t>
                  </w:r>
                </w:p>
              </w:tc>
              <w:tc>
                <w:tcPr>
                  <w:tcW w:w="365" w:type="pct"/>
                  <w:noWrap w:val="0"/>
                  <w:tcMar>
                    <w:top w:w="0" w:type="dxa"/>
                    <w:left w:w="0" w:type="dxa"/>
                    <w:bottom w:w="0" w:type="dxa"/>
                    <w:right w:w="0" w:type="dxa"/>
                  </w:tcMar>
                  <w:vAlign w:val="center"/>
                </w:tcPr>
                <w:p w14:paraId="34856D8D">
                  <w:pPr>
                    <w:pStyle w:val="75"/>
                    <w:adjustRightInd w:val="0"/>
                    <w:snapToGrid w:val="0"/>
                    <w:spacing w:line="240" w:lineRule="auto"/>
                    <w:rPr>
                      <w:rFonts w:eastAsia="宋体"/>
                      <w:color w:val="auto"/>
                      <w:szCs w:val="21"/>
                    </w:rPr>
                  </w:pPr>
                  <w:r>
                    <w:rPr>
                      <w:rFonts w:eastAsia="宋体"/>
                      <w:color w:val="auto"/>
                      <w:szCs w:val="21"/>
                    </w:rPr>
                    <w:t>相符</w:t>
                  </w:r>
                </w:p>
              </w:tc>
            </w:tr>
            <w:tr w14:paraId="6709AB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54639913">
                  <w:pPr>
                    <w:pStyle w:val="75"/>
                    <w:adjustRightInd w:val="0"/>
                    <w:snapToGrid w:val="0"/>
                    <w:spacing w:line="240" w:lineRule="auto"/>
                    <w:rPr>
                      <w:rFonts w:eastAsia="宋体"/>
                      <w:bCs/>
                      <w:color w:val="auto"/>
                      <w:szCs w:val="21"/>
                    </w:rPr>
                  </w:pPr>
                </w:p>
              </w:tc>
              <w:tc>
                <w:tcPr>
                  <w:tcW w:w="327" w:type="pct"/>
                  <w:noWrap w:val="0"/>
                  <w:tcMar>
                    <w:top w:w="0" w:type="dxa"/>
                    <w:left w:w="0" w:type="dxa"/>
                    <w:bottom w:w="0" w:type="dxa"/>
                    <w:right w:w="0" w:type="dxa"/>
                  </w:tcMar>
                  <w:vAlign w:val="center"/>
                </w:tcPr>
                <w:p w14:paraId="629E9B7E">
                  <w:pPr>
                    <w:pStyle w:val="75"/>
                    <w:adjustRightInd w:val="0"/>
                    <w:snapToGrid w:val="0"/>
                    <w:spacing w:line="240" w:lineRule="auto"/>
                    <w:rPr>
                      <w:rFonts w:eastAsia="宋体"/>
                      <w:color w:val="auto"/>
                      <w:szCs w:val="21"/>
                    </w:rPr>
                  </w:pPr>
                  <w:r>
                    <w:rPr>
                      <w:rFonts w:hint="eastAsia" w:eastAsia="宋体"/>
                      <w:bCs/>
                      <w:color w:val="auto"/>
                      <w:szCs w:val="21"/>
                    </w:rPr>
                    <w:t>深入实施精细化管控</w:t>
                  </w:r>
                </w:p>
              </w:tc>
              <w:tc>
                <w:tcPr>
                  <w:tcW w:w="1954" w:type="pct"/>
                  <w:noWrap w:val="0"/>
                  <w:tcMar>
                    <w:top w:w="0" w:type="dxa"/>
                    <w:left w:w="0" w:type="dxa"/>
                    <w:bottom w:w="0" w:type="dxa"/>
                    <w:right w:w="0" w:type="dxa"/>
                  </w:tcMar>
                  <w:vAlign w:val="center"/>
                </w:tcPr>
                <w:p w14:paraId="6D24A475">
                  <w:pPr>
                    <w:suppressAutoHyphens/>
                    <w:jc w:val="center"/>
                    <w:rPr>
                      <w:bCs/>
                      <w:color w:val="auto"/>
                      <w:szCs w:val="21"/>
                    </w:rPr>
                  </w:pPr>
                  <w:r>
                    <w:rPr>
                      <w:rFonts w:hint="eastAsia"/>
                      <w:bCs/>
                      <w:color w:val="auto"/>
                      <w:szCs w:val="21"/>
                    </w:rPr>
                    <w:t>加强企业运行管理。企业应系统梳理VOCs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1594" w:type="pct"/>
                  <w:noWrap w:val="0"/>
                  <w:tcMar>
                    <w:top w:w="0" w:type="dxa"/>
                    <w:left w:w="0" w:type="dxa"/>
                    <w:bottom w:w="0" w:type="dxa"/>
                    <w:right w:w="0" w:type="dxa"/>
                  </w:tcMar>
                  <w:vAlign w:val="center"/>
                </w:tcPr>
                <w:p w14:paraId="07466F3C">
                  <w:pPr>
                    <w:suppressAutoHyphens/>
                    <w:spacing w:line="240" w:lineRule="auto"/>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本项目产生非甲烷总烃、</w:t>
                  </w:r>
                  <w:r>
                    <w:rPr>
                      <w:rFonts w:hint="default" w:ascii="Times New Roman" w:hAnsi="Times New Roman" w:eastAsia="宋体" w:cs="Times New Roman"/>
                      <w:bCs/>
                      <w:color w:val="auto"/>
                      <w:sz w:val="21"/>
                      <w:szCs w:val="21"/>
                      <w:lang w:val="en-US" w:eastAsia="zh-CN"/>
                    </w:rPr>
                    <w:t>颗粒物</w:t>
                  </w:r>
                  <w:r>
                    <w:rPr>
                      <w:rFonts w:hint="default" w:ascii="Times New Roman" w:hAnsi="Times New Roman" w:eastAsia="宋体" w:cs="Times New Roman"/>
                      <w:bCs/>
                      <w:color w:val="auto"/>
                      <w:sz w:val="21"/>
                      <w:szCs w:val="21"/>
                      <w:lang w:eastAsia="zh-CN"/>
                    </w:rPr>
                    <w:t>等废气，项目安排环保专员负责相关具体工作，并根据相关规定实行台账制度。</w:t>
                  </w:r>
                </w:p>
              </w:tc>
              <w:tc>
                <w:tcPr>
                  <w:tcW w:w="365" w:type="pct"/>
                  <w:noWrap w:val="0"/>
                  <w:tcMar>
                    <w:top w:w="0" w:type="dxa"/>
                    <w:left w:w="0" w:type="dxa"/>
                    <w:bottom w:w="0" w:type="dxa"/>
                    <w:right w:w="0" w:type="dxa"/>
                  </w:tcMar>
                  <w:vAlign w:val="center"/>
                </w:tcPr>
                <w:p w14:paraId="1C9FD731">
                  <w:pPr>
                    <w:pStyle w:val="75"/>
                    <w:adjustRightInd w:val="0"/>
                    <w:snapToGrid w:val="0"/>
                    <w:spacing w:line="240" w:lineRule="auto"/>
                    <w:rPr>
                      <w:rFonts w:eastAsia="宋体"/>
                      <w:color w:val="auto"/>
                      <w:szCs w:val="21"/>
                    </w:rPr>
                  </w:pPr>
                  <w:r>
                    <w:rPr>
                      <w:rFonts w:eastAsia="宋体"/>
                      <w:color w:val="auto"/>
                      <w:szCs w:val="21"/>
                    </w:rPr>
                    <w:t>相符</w:t>
                  </w:r>
                </w:p>
              </w:tc>
            </w:tr>
            <w:tr w14:paraId="70EB03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759" w:type="pct"/>
                  <w:vMerge w:val="restart"/>
                  <w:noWrap w:val="0"/>
                  <w:tcMar>
                    <w:top w:w="0" w:type="dxa"/>
                    <w:left w:w="0" w:type="dxa"/>
                    <w:bottom w:w="0" w:type="dxa"/>
                    <w:right w:w="0" w:type="dxa"/>
                  </w:tcMar>
                  <w:vAlign w:val="center"/>
                </w:tcPr>
                <w:p w14:paraId="0AD656E6">
                  <w:pPr>
                    <w:pStyle w:val="75"/>
                    <w:adjustRightInd w:val="0"/>
                    <w:snapToGrid w:val="0"/>
                    <w:spacing w:line="240" w:lineRule="auto"/>
                    <w:rPr>
                      <w:rFonts w:eastAsia="宋体"/>
                      <w:bCs/>
                      <w:color w:val="auto"/>
                      <w:szCs w:val="21"/>
                    </w:rPr>
                  </w:pPr>
                  <w:r>
                    <w:rPr>
                      <w:rFonts w:eastAsia="宋体"/>
                      <w:bCs/>
                      <w:color w:val="auto"/>
                      <w:szCs w:val="21"/>
                    </w:rPr>
                    <w:t>《2021年常州市深入打好污染防治攻坚战工作方案》</w:t>
                  </w:r>
                </w:p>
              </w:tc>
              <w:tc>
                <w:tcPr>
                  <w:tcW w:w="2281" w:type="pct"/>
                  <w:gridSpan w:val="2"/>
                  <w:noWrap w:val="0"/>
                  <w:tcMar>
                    <w:top w:w="0" w:type="dxa"/>
                    <w:left w:w="0" w:type="dxa"/>
                    <w:bottom w:w="0" w:type="dxa"/>
                    <w:right w:w="0" w:type="dxa"/>
                  </w:tcMar>
                  <w:vAlign w:val="center"/>
                </w:tcPr>
                <w:p w14:paraId="7EA98AFB">
                  <w:pPr>
                    <w:pStyle w:val="75"/>
                    <w:adjustRightInd w:val="0"/>
                    <w:snapToGrid w:val="0"/>
                    <w:spacing w:line="240" w:lineRule="auto"/>
                    <w:jc w:val="both"/>
                    <w:rPr>
                      <w:rFonts w:eastAsia="宋体"/>
                      <w:color w:val="auto"/>
                      <w:szCs w:val="21"/>
                    </w:rPr>
                  </w:pPr>
                  <w:r>
                    <w:rPr>
                      <w:rFonts w:eastAsia="宋体"/>
                      <w:color w:val="auto"/>
                      <w:szCs w:val="21"/>
                    </w:rPr>
                    <w:t>推广实施《低挥发性有机化合物含量涂料产品技术要求》（GB/T38597-2020），完成低挥发性有机物等原辅料源头替代项目50个以上。</w:t>
                  </w:r>
                </w:p>
              </w:tc>
              <w:tc>
                <w:tcPr>
                  <w:tcW w:w="1594" w:type="pct"/>
                  <w:noWrap w:val="0"/>
                  <w:tcMar>
                    <w:top w:w="0" w:type="dxa"/>
                    <w:left w:w="0" w:type="dxa"/>
                    <w:bottom w:w="0" w:type="dxa"/>
                    <w:right w:w="0" w:type="dxa"/>
                  </w:tcMar>
                  <w:vAlign w:val="center"/>
                </w:tcPr>
                <w:p w14:paraId="427525F8">
                  <w:pPr>
                    <w:pStyle w:val="75"/>
                    <w:adjustRightInd w:val="0"/>
                    <w:snapToGrid w:val="0"/>
                    <w:spacing w:line="240" w:lineRule="auto"/>
                    <w:rPr>
                      <w:rFonts w:hint="eastAsia" w:eastAsia="宋体"/>
                      <w:color w:val="auto"/>
                      <w:szCs w:val="21"/>
                      <w:lang w:eastAsia="zh-CN"/>
                    </w:rPr>
                  </w:pPr>
                  <w:r>
                    <w:rPr>
                      <w:rFonts w:hint="eastAsia" w:eastAsia="宋体"/>
                      <w:color w:val="auto"/>
                      <w:szCs w:val="21"/>
                    </w:rPr>
                    <w:t>本</w:t>
                  </w:r>
                  <w:r>
                    <w:rPr>
                      <w:rFonts w:eastAsia="宋体"/>
                      <w:color w:val="auto"/>
                      <w:szCs w:val="21"/>
                    </w:rPr>
                    <w:t>项目不使用涂料</w:t>
                  </w:r>
                  <w:r>
                    <w:rPr>
                      <w:rFonts w:hint="eastAsia" w:eastAsia="宋体"/>
                      <w:color w:val="auto"/>
                      <w:szCs w:val="21"/>
                      <w:lang w:eastAsia="zh-CN"/>
                    </w:rPr>
                    <w:t>。</w:t>
                  </w:r>
                </w:p>
              </w:tc>
              <w:tc>
                <w:tcPr>
                  <w:tcW w:w="365" w:type="pct"/>
                  <w:noWrap w:val="0"/>
                  <w:tcMar>
                    <w:top w:w="0" w:type="dxa"/>
                    <w:left w:w="0" w:type="dxa"/>
                    <w:bottom w:w="0" w:type="dxa"/>
                    <w:right w:w="0" w:type="dxa"/>
                  </w:tcMar>
                  <w:vAlign w:val="center"/>
                </w:tcPr>
                <w:p w14:paraId="24524D9D">
                  <w:pPr>
                    <w:pStyle w:val="75"/>
                    <w:adjustRightInd w:val="0"/>
                    <w:snapToGrid w:val="0"/>
                    <w:spacing w:line="240" w:lineRule="auto"/>
                    <w:rPr>
                      <w:rFonts w:eastAsia="宋体"/>
                      <w:color w:val="auto"/>
                      <w:szCs w:val="21"/>
                    </w:rPr>
                  </w:pPr>
                  <w:r>
                    <w:rPr>
                      <w:rFonts w:eastAsia="宋体"/>
                      <w:color w:val="auto"/>
                      <w:szCs w:val="21"/>
                    </w:rPr>
                    <w:t>相符</w:t>
                  </w:r>
                </w:p>
              </w:tc>
            </w:tr>
            <w:tr w14:paraId="199328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769596BE">
                  <w:pPr>
                    <w:pStyle w:val="75"/>
                    <w:adjustRightInd w:val="0"/>
                    <w:snapToGrid w:val="0"/>
                    <w:spacing w:line="240" w:lineRule="auto"/>
                    <w:rPr>
                      <w:rFonts w:eastAsia="宋体"/>
                      <w:bCs/>
                      <w:color w:val="auto"/>
                      <w:szCs w:val="21"/>
                    </w:rPr>
                  </w:pPr>
                </w:p>
              </w:tc>
              <w:tc>
                <w:tcPr>
                  <w:tcW w:w="2281" w:type="pct"/>
                  <w:gridSpan w:val="2"/>
                  <w:noWrap w:val="0"/>
                  <w:tcMar>
                    <w:top w:w="0" w:type="dxa"/>
                    <w:left w:w="0" w:type="dxa"/>
                    <w:bottom w:w="0" w:type="dxa"/>
                    <w:right w:w="0" w:type="dxa"/>
                  </w:tcMar>
                  <w:vAlign w:val="center"/>
                </w:tcPr>
                <w:p w14:paraId="23A6C981">
                  <w:pPr>
                    <w:pStyle w:val="75"/>
                    <w:adjustRightInd w:val="0"/>
                    <w:snapToGrid w:val="0"/>
                    <w:spacing w:line="240" w:lineRule="auto"/>
                    <w:rPr>
                      <w:rFonts w:eastAsia="宋体"/>
                      <w:color w:val="auto"/>
                      <w:szCs w:val="21"/>
                    </w:rPr>
                  </w:pPr>
                  <w:r>
                    <w:rPr>
                      <w:rFonts w:eastAsia="宋体"/>
                      <w:color w:val="auto"/>
                      <w:szCs w:val="21"/>
                    </w:rPr>
                    <w:t>工业园区和重点行业企业污水稳定达标排放，实现雨污分流、清污分流。</w:t>
                  </w:r>
                </w:p>
              </w:tc>
              <w:tc>
                <w:tcPr>
                  <w:tcW w:w="1594" w:type="pct"/>
                  <w:noWrap w:val="0"/>
                  <w:tcMar>
                    <w:top w:w="0" w:type="dxa"/>
                    <w:left w:w="0" w:type="dxa"/>
                    <w:bottom w:w="0" w:type="dxa"/>
                    <w:right w:w="0" w:type="dxa"/>
                  </w:tcMar>
                  <w:vAlign w:val="center"/>
                </w:tcPr>
                <w:p w14:paraId="74868788">
                  <w:pPr>
                    <w:pStyle w:val="75"/>
                    <w:adjustRightInd w:val="0"/>
                    <w:snapToGrid w:val="0"/>
                    <w:spacing w:line="240" w:lineRule="auto"/>
                    <w:rPr>
                      <w:rFonts w:hint="eastAsia" w:eastAsia="宋体"/>
                      <w:color w:val="auto"/>
                      <w:szCs w:val="21"/>
                      <w:lang w:eastAsia="zh-CN"/>
                    </w:rPr>
                  </w:pPr>
                  <w:r>
                    <w:rPr>
                      <w:rFonts w:eastAsia="宋体"/>
                      <w:color w:val="auto"/>
                      <w:szCs w:val="21"/>
                    </w:rPr>
                    <w:t>项目所在厂区已实施雨污分流</w:t>
                  </w:r>
                  <w:r>
                    <w:rPr>
                      <w:rFonts w:hint="eastAsia" w:eastAsia="宋体"/>
                      <w:color w:val="auto"/>
                      <w:szCs w:val="21"/>
                      <w:lang w:eastAsia="zh-CN"/>
                    </w:rPr>
                    <w:t>。</w:t>
                  </w:r>
                </w:p>
              </w:tc>
              <w:tc>
                <w:tcPr>
                  <w:tcW w:w="365" w:type="pct"/>
                  <w:noWrap w:val="0"/>
                  <w:tcMar>
                    <w:top w:w="0" w:type="dxa"/>
                    <w:left w:w="0" w:type="dxa"/>
                    <w:bottom w:w="0" w:type="dxa"/>
                    <w:right w:w="0" w:type="dxa"/>
                  </w:tcMar>
                  <w:vAlign w:val="center"/>
                </w:tcPr>
                <w:p w14:paraId="1DC47326">
                  <w:pPr>
                    <w:pStyle w:val="75"/>
                    <w:adjustRightInd w:val="0"/>
                    <w:snapToGrid w:val="0"/>
                    <w:spacing w:line="240" w:lineRule="auto"/>
                    <w:rPr>
                      <w:rFonts w:eastAsia="宋体"/>
                      <w:color w:val="auto"/>
                      <w:szCs w:val="21"/>
                    </w:rPr>
                  </w:pPr>
                  <w:r>
                    <w:rPr>
                      <w:rFonts w:eastAsia="宋体"/>
                      <w:color w:val="auto"/>
                      <w:szCs w:val="21"/>
                    </w:rPr>
                    <w:t>相符</w:t>
                  </w:r>
                </w:p>
              </w:tc>
            </w:tr>
            <w:tr w14:paraId="4E8A9B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1C5E6A35">
                  <w:pPr>
                    <w:pStyle w:val="75"/>
                    <w:adjustRightInd w:val="0"/>
                    <w:snapToGrid w:val="0"/>
                    <w:spacing w:line="240" w:lineRule="auto"/>
                    <w:rPr>
                      <w:rFonts w:eastAsia="宋体"/>
                      <w:bCs/>
                      <w:color w:val="auto"/>
                      <w:szCs w:val="21"/>
                    </w:rPr>
                  </w:pPr>
                </w:p>
              </w:tc>
              <w:tc>
                <w:tcPr>
                  <w:tcW w:w="2281" w:type="pct"/>
                  <w:gridSpan w:val="2"/>
                  <w:noWrap w:val="0"/>
                  <w:tcMar>
                    <w:top w:w="0" w:type="dxa"/>
                    <w:left w:w="0" w:type="dxa"/>
                    <w:bottom w:w="0" w:type="dxa"/>
                    <w:right w:w="0" w:type="dxa"/>
                  </w:tcMar>
                  <w:vAlign w:val="center"/>
                </w:tcPr>
                <w:p w14:paraId="410F1556">
                  <w:pPr>
                    <w:pStyle w:val="75"/>
                    <w:adjustRightInd w:val="0"/>
                    <w:snapToGrid w:val="0"/>
                    <w:spacing w:line="240" w:lineRule="auto"/>
                    <w:rPr>
                      <w:rFonts w:eastAsia="宋体"/>
                      <w:color w:val="auto"/>
                      <w:szCs w:val="21"/>
                    </w:rPr>
                  </w:pPr>
                  <w:r>
                    <w:rPr>
                      <w:rFonts w:eastAsia="宋体"/>
                      <w:color w:val="auto"/>
                      <w:szCs w:val="21"/>
                    </w:rPr>
                    <w:t>深入打击和遏制危险废物非法转移倾倒等环境违法犯罪行为，建立问题清单，实行销号管理。</w:t>
                  </w:r>
                </w:p>
              </w:tc>
              <w:tc>
                <w:tcPr>
                  <w:tcW w:w="1594" w:type="pct"/>
                  <w:noWrap w:val="0"/>
                  <w:tcMar>
                    <w:top w:w="0" w:type="dxa"/>
                    <w:left w:w="0" w:type="dxa"/>
                    <w:bottom w:w="0" w:type="dxa"/>
                    <w:right w:w="0" w:type="dxa"/>
                  </w:tcMar>
                  <w:vAlign w:val="center"/>
                </w:tcPr>
                <w:p w14:paraId="36370F22">
                  <w:pPr>
                    <w:pStyle w:val="75"/>
                    <w:adjustRightInd w:val="0"/>
                    <w:snapToGrid w:val="0"/>
                    <w:spacing w:line="240" w:lineRule="auto"/>
                    <w:jc w:val="both"/>
                    <w:rPr>
                      <w:rFonts w:hint="eastAsia" w:eastAsia="宋体"/>
                      <w:color w:val="auto"/>
                      <w:szCs w:val="21"/>
                      <w:lang w:eastAsia="zh-CN"/>
                    </w:rPr>
                  </w:pPr>
                  <w:r>
                    <w:rPr>
                      <w:rFonts w:eastAsia="宋体"/>
                      <w:color w:val="auto"/>
                      <w:szCs w:val="21"/>
                    </w:rPr>
                    <w:t>项目产生的危险废物收集后暂存于危险废物仓库，定期委托有资质单位处置</w:t>
                  </w:r>
                  <w:r>
                    <w:rPr>
                      <w:rFonts w:hint="eastAsia" w:eastAsia="宋体"/>
                      <w:color w:val="auto"/>
                      <w:szCs w:val="21"/>
                      <w:lang w:eastAsia="zh-CN"/>
                    </w:rPr>
                    <w:t>。</w:t>
                  </w:r>
                </w:p>
              </w:tc>
              <w:tc>
                <w:tcPr>
                  <w:tcW w:w="365" w:type="pct"/>
                  <w:noWrap w:val="0"/>
                  <w:tcMar>
                    <w:top w:w="0" w:type="dxa"/>
                    <w:left w:w="0" w:type="dxa"/>
                    <w:bottom w:w="0" w:type="dxa"/>
                    <w:right w:w="0" w:type="dxa"/>
                  </w:tcMar>
                  <w:vAlign w:val="center"/>
                </w:tcPr>
                <w:p w14:paraId="0299D6B5">
                  <w:pPr>
                    <w:pStyle w:val="75"/>
                    <w:adjustRightInd w:val="0"/>
                    <w:snapToGrid w:val="0"/>
                    <w:spacing w:line="240" w:lineRule="auto"/>
                    <w:rPr>
                      <w:rFonts w:eastAsia="宋体"/>
                      <w:color w:val="auto"/>
                      <w:szCs w:val="21"/>
                    </w:rPr>
                  </w:pPr>
                  <w:r>
                    <w:rPr>
                      <w:rFonts w:eastAsia="宋体"/>
                      <w:color w:val="auto"/>
                      <w:szCs w:val="21"/>
                    </w:rPr>
                    <w:t>相符</w:t>
                  </w:r>
                </w:p>
              </w:tc>
            </w:tr>
            <w:tr w14:paraId="2595F3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9" w:type="pct"/>
                  <w:vMerge w:val="restart"/>
                  <w:noWrap w:val="0"/>
                  <w:tcMar>
                    <w:top w:w="0" w:type="dxa"/>
                    <w:left w:w="0" w:type="dxa"/>
                    <w:bottom w:w="0" w:type="dxa"/>
                    <w:right w:w="0" w:type="dxa"/>
                  </w:tcMar>
                  <w:vAlign w:val="center"/>
                </w:tcPr>
                <w:p w14:paraId="0DEC1D34">
                  <w:pPr>
                    <w:pStyle w:val="75"/>
                    <w:adjustRightInd w:val="0"/>
                    <w:snapToGrid w:val="0"/>
                    <w:spacing w:line="240" w:lineRule="auto"/>
                    <w:rPr>
                      <w:rFonts w:eastAsia="宋体"/>
                      <w:bCs/>
                      <w:color w:val="auto"/>
                      <w:szCs w:val="21"/>
                    </w:rPr>
                  </w:pPr>
                  <w:r>
                    <w:rPr>
                      <w:rFonts w:eastAsia="宋体"/>
                      <w:bCs/>
                      <w:color w:val="auto"/>
                      <w:szCs w:val="21"/>
                    </w:rPr>
                    <w:t xml:space="preserve">省大气办关于印发《江苏省挥发性有机物清洁原料替代工作方案》的通知（苏大气办〔2021〕2号 </w:t>
                  </w:r>
                </w:p>
              </w:tc>
              <w:tc>
                <w:tcPr>
                  <w:tcW w:w="2281" w:type="pct"/>
                  <w:gridSpan w:val="2"/>
                  <w:noWrap w:val="0"/>
                  <w:tcMar>
                    <w:top w:w="0" w:type="dxa"/>
                    <w:left w:w="0" w:type="dxa"/>
                    <w:bottom w:w="0" w:type="dxa"/>
                    <w:right w:w="0" w:type="dxa"/>
                  </w:tcMar>
                  <w:vAlign w:val="center"/>
                </w:tcPr>
                <w:p w14:paraId="6B0382D7">
                  <w:pPr>
                    <w:pStyle w:val="75"/>
                    <w:adjustRightInd w:val="0"/>
                    <w:snapToGrid w:val="0"/>
                    <w:spacing w:line="240" w:lineRule="auto"/>
                    <w:rPr>
                      <w:rFonts w:eastAsia="宋体"/>
                      <w:color w:val="auto"/>
                      <w:szCs w:val="21"/>
                    </w:rPr>
                  </w:pPr>
                  <w:r>
                    <w:rPr>
                      <w:rFonts w:eastAsia="宋体"/>
                      <w:color w:val="auto"/>
                      <w:szCs w:val="21"/>
                    </w:rPr>
                    <w:t>企业使用涂料、油墨、清洗剂、胶黏剂等产品应符合相关标准中VOCs含量的限值要求。</w:t>
                  </w:r>
                </w:p>
              </w:tc>
              <w:tc>
                <w:tcPr>
                  <w:tcW w:w="1594" w:type="pct"/>
                  <w:vMerge w:val="restart"/>
                  <w:noWrap w:val="0"/>
                  <w:tcMar>
                    <w:top w:w="0" w:type="dxa"/>
                    <w:left w:w="0" w:type="dxa"/>
                    <w:bottom w:w="0" w:type="dxa"/>
                    <w:right w:w="0" w:type="dxa"/>
                  </w:tcMar>
                  <w:vAlign w:val="center"/>
                </w:tcPr>
                <w:p w14:paraId="6CEE8B2E">
                  <w:pPr>
                    <w:pStyle w:val="75"/>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本项目不使用涂料、油墨、清洗剂、胶黏剂等</w:t>
                  </w:r>
                  <w:r>
                    <w:rPr>
                      <w:rFonts w:hint="eastAsia" w:cs="Times New Roman"/>
                      <w:color w:val="auto"/>
                      <w:sz w:val="21"/>
                      <w:szCs w:val="21"/>
                      <w:lang w:val="en-US" w:eastAsia="zh-CN"/>
                    </w:rPr>
                    <w:t>。</w:t>
                  </w:r>
                </w:p>
              </w:tc>
              <w:tc>
                <w:tcPr>
                  <w:tcW w:w="365" w:type="pct"/>
                  <w:noWrap w:val="0"/>
                  <w:tcMar>
                    <w:top w:w="0" w:type="dxa"/>
                    <w:left w:w="0" w:type="dxa"/>
                    <w:bottom w:w="0" w:type="dxa"/>
                    <w:right w:w="0" w:type="dxa"/>
                  </w:tcMar>
                  <w:vAlign w:val="center"/>
                </w:tcPr>
                <w:p w14:paraId="241A60A3">
                  <w:pPr>
                    <w:pStyle w:val="75"/>
                    <w:adjustRightInd w:val="0"/>
                    <w:snapToGrid w:val="0"/>
                    <w:spacing w:line="240" w:lineRule="auto"/>
                    <w:rPr>
                      <w:rFonts w:eastAsia="宋体"/>
                      <w:color w:val="auto"/>
                      <w:szCs w:val="21"/>
                    </w:rPr>
                  </w:pPr>
                  <w:r>
                    <w:rPr>
                      <w:rFonts w:eastAsia="宋体"/>
                      <w:color w:val="auto"/>
                      <w:szCs w:val="21"/>
                    </w:rPr>
                    <w:t>相符</w:t>
                  </w:r>
                </w:p>
              </w:tc>
            </w:tr>
            <w:tr w14:paraId="585EDA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56473CA8">
                  <w:pPr>
                    <w:pStyle w:val="75"/>
                    <w:adjustRightInd w:val="0"/>
                    <w:snapToGrid w:val="0"/>
                    <w:spacing w:line="240" w:lineRule="auto"/>
                    <w:rPr>
                      <w:rFonts w:eastAsia="宋体"/>
                      <w:bCs/>
                      <w:color w:val="auto"/>
                      <w:szCs w:val="21"/>
                    </w:rPr>
                  </w:pPr>
                </w:p>
              </w:tc>
              <w:tc>
                <w:tcPr>
                  <w:tcW w:w="2281" w:type="pct"/>
                  <w:gridSpan w:val="2"/>
                  <w:noWrap w:val="0"/>
                  <w:tcMar>
                    <w:top w:w="0" w:type="dxa"/>
                    <w:left w:w="0" w:type="dxa"/>
                    <w:bottom w:w="0" w:type="dxa"/>
                    <w:right w:w="0" w:type="dxa"/>
                  </w:tcMar>
                  <w:vAlign w:val="center"/>
                </w:tcPr>
                <w:p w14:paraId="5CF43C25">
                  <w:pPr>
                    <w:pStyle w:val="75"/>
                    <w:adjustRightInd w:val="0"/>
                    <w:snapToGrid w:val="0"/>
                    <w:spacing w:line="240" w:lineRule="auto"/>
                    <w:rPr>
                      <w:rFonts w:eastAsia="宋体"/>
                      <w:color w:val="auto"/>
                      <w:szCs w:val="21"/>
                    </w:rPr>
                  </w:pPr>
                  <w:r>
                    <w:rPr>
                      <w:rFonts w:eastAsia="宋体"/>
                      <w:color w:val="auto"/>
                      <w:szCs w:val="21"/>
                    </w:rPr>
                    <w:t>禁止建设生产和使用高VOCs含量的涂料、油墨、胶黏剂等项目。</w:t>
                  </w:r>
                </w:p>
              </w:tc>
              <w:tc>
                <w:tcPr>
                  <w:tcW w:w="1594" w:type="pct"/>
                  <w:vMerge w:val="continue"/>
                  <w:noWrap w:val="0"/>
                  <w:tcMar>
                    <w:top w:w="0" w:type="dxa"/>
                    <w:left w:w="0" w:type="dxa"/>
                    <w:bottom w:w="0" w:type="dxa"/>
                    <w:right w:w="0" w:type="dxa"/>
                  </w:tcMar>
                  <w:vAlign w:val="center"/>
                </w:tcPr>
                <w:p w14:paraId="109996A2">
                  <w:pPr>
                    <w:pStyle w:val="75"/>
                    <w:adjustRightInd w:val="0"/>
                    <w:snapToGrid w:val="0"/>
                    <w:spacing w:line="240" w:lineRule="auto"/>
                    <w:rPr>
                      <w:rFonts w:eastAsia="宋体"/>
                      <w:color w:val="auto"/>
                      <w:szCs w:val="21"/>
                    </w:rPr>
                  </w:pPr>
                </w:p>
              </w:tc>
              <w:tc>
                <w:tcPr>
                  <w:tcW w:w="365" w:type="pct"/>
                  <w:noWrap w:val="0"/>
                  <w:tcMar>
                    <w:top w:w="0" w:type="dxa"/>
                    <w:left w:w="0" w:type="dxa"/>
                    <w:bottom w:w="0" w:type="dxa"/>
                    <w:right w:w="0" w:type="dxa"/>
                  </w:tcMar>
                  <w:vAlign w:val="center"/>
                </w:tcPr>
                <w:p w14:paraId="0F7F2852">
                  <w:pPr>
                    <w:adjustRightInd w:val="0"/>
                    <w:snapToGrid w:val="0"/>
                    <w:jc w:val="center"/>
                    <w:rPr>
                      <w:color w:val="auto"/>
                      <w:szCs w:val="21"/>
                    </w:rPr>
                  </w:pPr>
                  <w:r>
                    <w:rPr>
                      <w:color w:val="auto"/>
                      <w:szCs w:val="21"/>
                    </w:rPr>
                    <w:t>相符</w:t>
                  </w:r>
                </w:p>
              </w:tc>
            </w:tr>
            <w:tr w14:paraId="27DEC1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restart"/>
                  <w:noWrap w:val="0"/>
                  <w:tcMar>
                    <w:top w:w="0" w:type="dxa"/>
                    <w:left w:w="0" w:type="dxa"/>
                    <w:bottom w:w="0" w:type="dxa"/>
                    <w:right w:w="0" w:type="dxa"/>
                  </w:tcMar>
                  <w:vAlign w:val="center"/>
                </w:tcPr>
                <w:p w14:paraId="2A95364F">
                  <w:pPr>
                    <w:pStyle w:val="75"/>
                    <w:adjustRightInd w:val="0"/>
                    <w:snapToGrid w:val="0"/>
                    <w:spacing w:line="240" w:lineRule="auto"/>
                    <w:rPr>
                      <w:rFonts w:eastAsia="宋体"/>
                      <w:bCs/>
                      <w:color w:val="auto"/>
                      <w:szCs w:val="21"/>
                    </w:rPr>
                  </w:pPr>
                  <w:r>
                    <w:rPr>
                      <w:rFonts w:eastAsia="宋体"/>
                      <w:bCs/>
                      <w:color w:val="auto"/>
                      <w:szCs w:val="21"/>
                    </w:rPr>
                    <w:t>《关于印发常州市挥发性有机物清洁原料替代工作方案的通知》（常污防攻坚指办〔2021〕32号）</w:t>
                  </w:r>
                </w:p>
              </w:tc>
              <w:tc>
                <w:tcPr>
                  <w:tcW w:w="2281" w:type="pct"/>
                  <w:gridSpan w:val="2"/>
                  <w:noWrap w:val="0"/>
                  <w:tcMar>
                    <w:top w:w="0" w:type="dxa"/>
                    <w:left w:w="0" w:type="dxa"/>
                    <w:bottom w:w="0" w:type="dxa"/>
                    <w:right w:w="0" w:type="dxa"/>
                  </w:tcMar>
                  <w:vAlign w:val="center"/>
                </w:tcPr>
                <w:p w14:paraId="59456C8E">
                  <w:pPr>
                    <w:pStyle w:val="75"/>
                    <w:adjustRightInd w:val="0"/>
                    <w:snapToGrid w:val="0"/>
                    <w:spacing w:line="240" w:lineRule="auto"/>
                    <w:rPr>
                      <w:rFonts w:eastAsia="宋体"/>
                      <w:color w:val="auto"/>
                      <w:szCs w:val="21"/>
                    </w:rPr>
                  </w:pPr>
                  <w:r>
                    <w:rPr>
                      <w:rFonts w:eastAsia="宋体"/>
                      <w:color w:val="auto"/>
                      <w:szCs w:val="21"/>
                    </w:rPr>
                    <w:t>企业要使用符合《胶粘剂挥发性有机化合物限量》（GB33372-2020）规定的水基型、本体型胶黏剂产品。</w:t>
                  </w:r>
                </w:p>
              </w:tc>
              <w:tc>
                <w:tcPr>
                  <w:tcW w:w="1594" w:type="pct"/>
                  <w:vMerge w:val="continue"/>
                  <w:noWrap w:val="0"/>
                  <w:tcMar>
                    <w:top w:w="0" w:type="dxa"/>
                    <w:left w:w="0" w:type="dxa"/>
                    <w:bottom w:w="0" w:type="dxa"/>
                    <w:right w:w="0" w:type="dxa"/>
                  </w:tcMar>
                  <w:vAlign w:val="center"/>
                </w:tcPr>
                <w:p w14:paraId="7B821468">
                  <w:pPr>
                    <w:pStyle w:val="75"/>
                    <w:adjustRightInd w:val="0"/>
                    <w:snapToGrid w:val="0"/>
                    <w:spacing w:line="240" w:lineRule="auto"/>
                    <w:rPr>
                      <w:rFonts w:eastAsia="宋体"/>
                      <w:color w:val="auto"/>
                      <w:szCs w:val="21"/>
                    </w:rPr>
                  </w:pPr>
                </w:p>
              </w:tc>
              <w:tc>
                <w:tcPr>
                  <w:tcW w:w="365" w:type="pct"/>
                  <w:noWrap w:val="0"/>
                  <w:tcMar>
                    <w:top w:w="0" w:type="dxa"/>
                    <w:left w:w="0" w:type="dxa"/>
                    <w:bottom w:w="0" w:type="dxa"/>
                    <w:right w:w="0" w:type="dxa"/>
                  </w:tcMar>
                  <w:vAlign w:val="center"/>
                </w:tcPr>
                <w:p w14:paraId="28303FC1">
                  <w:pPr>
                    <w:adjustRightInd w:val="0"/>
                    <w:snapToGrid w:val="0"/>
                    <w:jc w:val="center"/>
                    <w:rPr>
                      <w:color w:val="auto"/>
                      <w:szCs w:val="21"/>
                    </w:rPr>
                  </w:pPr>
                  <w:r>
                    <w:rPr>
                      <w:color w:val="auto"/>
                      <w:szCs w:val="21"/>
                    </w:rPr>
                    <w:t>相符</w:t>
                  </w:r>
                </w:p>
              </w:tc>
            </w:tr>
            <w:tr w14:paraId="538FE4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3397E099">
                  <w:pPr>
                    <w:pStyle w:val="75"/>
                    <w:adjustRightInd w:val="0"/>
                    <w:snapToGrid w:val="0"/>
                    <w:spacing w:line="240" w:lineRule="auto"/>
                    <w:rPr>
                      <w:rFonts w:eastAsia="宋体"/>
                      <w:bCs/>
                      <w:color w:val="auto"/>
                      <w:szCs w:val="21"/>
                    </w:rPr>
                  </w:pPr>
                </w:p>
              </w:tc>
              <w:tc>
                <w:tcPr>
                  <w:tcW w:w="2281" w:type="pct"/>
                  <w:gridSpan w:val="2"/>
                  <w:noWrap w:val="0"/>
                  <w:tcMar>
                    <w:top w:w="0" w:type="dxa"/>
                    <w:left w:w="0" w:type="dxa"/>
                    <w:bottom w:w="0" w:type="dxa"/>
                    <w:right w:w="0" w:type="dxa"/>
                  </w:tcMar>
                  <w:vAlign w:val="center"/>
                </w:tcPr>
                <w:p w14:paraId="69BE3CE6">
                  <w:pPr>
                    <w:pStyle w:val="75"/>
                    <w:adjustRightInd w:val="0"/>
                    <w:snapToGrid w:val="0"/>
                    <w:spacing w:line="240" w:lineRule="auto"/>
                    <w:rPr>
                      <w:rFonts w:eastAsia="宋体"/>
                      <w:color w:val="auto"/>
                      <w:szCs w:val="21"/>
                    </w:rPr>
                  </w:pPr>
                  <w:r>
                    <w:rPr>
                      <w:rFonts w:eastAsia="宋体"/>
                      <w:color w:val="auto"/>
                      <w:szCs w:val="21"/>
                    </w:rPr>
                    <w:t>禁止建设生产和使用高VOCs含量的涂料、油墨、胶黏剂等项目。</w:t>
                  </w:r>
                </w:p>
              </w:tc>
              <w:tc>
                <w:tcPr>
                  <w:tcW w:w="1594" w:type="pct"/>
                  <w:vMerge w:val="continue"/>
                  <w:noWrap w:val="0"/>
                  <w:tcMar>
                    <w:top w:w="0" w:type="dxa"/>
                    <w:left w:w="0" w:type="dxa"/>
                    <w:bottom w:w="0" w:type="dxa"/>
                    <w:right w:w="0" w:type="dxa"/>
                  </w:tcMar>
                  <w:vAlign w:val="center"/>
                </w:tcPr>
                <w:p w14:paraId="04590A3C">
                  <w:pPr>
                    <w:pStyle w:val="75"/>
                    <w:adjustRightInd w:val="0"/>
                    <w:snapToGrid w:val="0"/>
                    <w:spacing w:line="240" w:lineRule="auto"/>
                    <w:rPr>
                      <w:rFonts w:eastAsia="宋体"/>
                      <w:color w:val="auto"/>
                      <w:szCs w:val="21"/>
                    </w:rPr>
                  </w:pPr>
                </w:p>
              </w:tc>
              <w:tc>
                <w:tcPr>
                  <w:tcW w:w="365" w:type="pct"/>
                  <w:noWrap w:val="0"/>
                  <w:tcMar>
                    <w:top w:w="0" w:type="dxa"/>
                    <w:left w:w="0" w:type="dxa"/>
                    <w:bottom w:w="0" w:type="dxa"/>
                    <w:right w:w="0" w:type="dxa"/>
                  </w:tcMar>
                  <w:vAlign w:val="center"/>
                </w:tcPr>
                <w:p w14:paraId="05B87AE4">
                  <w:pPr>
                    <w:adjustRightInd w:val="0"/>
                    <w:snapToGrid w:val="0"/>
                    <w:jc w:val="center"/>
                    <w:rPr>
                      <w:color w:val="auto"/>
                      <w:szCs w:val="21"/>
                    </w:rPr>
                  </w:pPr>
                  <w:r>
                    <w:rPr>
                      <w:color w:val="auto"/>
                      <w:szCs w:val="21"/>
                    </w:rPr>
                    <w:t>相符</w:t>
                  </w:r>
                </w:p>
              </w:tc>
            </w:tr>
            <w:tr w14:paraId="29E4E8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restart"/>
                  <w:noWrap w:val="0"/>
                  <w:tcMar>
                    <w:top w:w="0" w:type="dxa"/>
                    <w:left w:w="0" w:type="dxa"/>
                    <w:bottom w:w="0" w:type="dxa"/>
                    <w:right w:w="0" w:type="dxa"/>
                  </w:tcMar>
                  <w:vAlign w:val="center"/>
                </w:tcPr>
                <w:p w14:paraId="603D4101">
                  <w:pPr>
                    <w:pStyle w:val="75"/>
                    <w:adjustRightInd w:val="0"/>
                    <w:snapToGrid w:val="0"/>
                    <w:spacing w:line="240" w:lineRule="auto"/>
                    <w:rPr>
                      <w:rFonts w:eastAsia="宋体"/>
                      <w:bCs/>
                      <w:color w:val="auto"/>
                      <w:szCs w:val="21"/>
                    </w:rPr>
                  </w:pPr>
                  <w:r>
                    <w:rPr>
                      <w:rFonts w:eastAsia="宋体"/>
                      <w:bCs/>
                      <w:color w:val="auto"/>
                      <w:szCs w:val="21"/>
                    </w:rPr>
                    <w:t>《太湖流域管理条例》</w:t>
                  </w:r>
                </w:p>
              </w:tc>
              <w:tc>
                <w:tcPr>
                  <w:tcW w:w="2281" w:type="pct"/>
                  <w:gridSpan w:val="2"/>
                  <w:noWrap w:val="0"/>
                  <w:tcMar>
                    <w:top w:w="0" w:type="dxa"/>
                    <w:left w:w="0" w:type="dxa"/>
                    <w:bottom w:w="0" w:type="dxa"/>
                    <w:right w:w="0" w:type="dxa"/>
                  </w:tcMar>
                  <w:vAlign w:val="center"/>
                </w:tcPr>
                <w:p w14:paraId="3D710F25">
                  <w:pPr>
                    <w:adjustRightInd w:val="0"/>
                    <w:snapToGrid w:val="0"/>
                    <w:jc w:val="center"/>
                    <w:rPr>
                      <w:color w:val="auto"/>
                      <w:szCs w:val="21"/>
                    </w:rPr>
                  </w:pPr>
                  <w:r>
                    <w:rPr>
                      <w:color w:val="auto"/>
                      <w:szCs w:val="21"/>
                    </w:rPr>
                    <w:t>排污单位排放水污染物，不得超过经核定的水污染物排放总量，并应当按照规定设置便于检查、采样的规范化排污口，悬挂标志牌；不得私设暗管或者采取其他规避监管的方式排放水污染物。</w:t>
                  </w:r>
                </w:p>
              </w:tc>
              <w:tc>
                <w:tcPr>
                  <w:tcW w:w="1594" w:type="pct"/>
                  <w:noWrap w:val="0"/>
                  <w:tcMar>
                    <w:top w:w="0" w:type="dxa"/>
                    <w:left w:w="0" w:type="dxa"/>
                    <w:bottom w:w="0" w:type="dxa"/>
                    <w:right w:w="0" w:type="dxa"/>
                  </w:tcMar>
                  <w:vAlign w:val="center"/>
                </w:tcPr>
                <w:p w14:paraId="0AB509ED">
                  <w:pPr>
                    <w:adjustRightInd w:val="0"/>
                    <w:snapToGrid w:val="0"/>
                    <w:rPr>
                      <w:rFonts w:hint="eastAsia" w:eastAsia="宋体"/>
                      <w:color w:val="auto"/>
                      <w:szCs w:val="21"/>
                      <w:lang w:eastAsia="zh-CN"/>
                    </w:rPr>
                  </w:pPr>
                  <w:r>
                    <w:rPr>
                      <w:color w:val="auto"/>
                      <w:szCs w:val="21"/>
                    </w:rPr>
                    <w:t>本次环评要求建设单位申请水污染物排放总量，</w:t>
                  </w:r>
                  <w:r>
                    <w:rPr>
                      <w:rFonts w:hint="eastAsia"/>
                      <w:color w:val="auto"/>
                      <w:szCs w:val="21"/>
                    </w:rPr>
                    <w:t>建设单位已</w:t>
                  </w:r>
                  <w:r>
                    <w:rPr>
                      <w:color w:val="auto"/>
                      <w:szCs w:val="21"/>
                    </w:rPr>
                    <w:t>按照规定设置便于检查、采样的规范化排放口，悬挂标志牌；建设单位不得私设暗管或者采取其他</w:t>
                  </w:r>
                  <w:r>
                    <w:rPr>
                      <w:rFonts w:hint="eastAsia"/>
                      <w:lang w:val="en-US" w:eastAsia="zh-CN"/>
                    </w:rPr>
                    <w:t>规避</w:t>
                  </w:r>
                  <w:r>
                    <w:rPr>
                      <w:color w:val="auto"/>
                      <w:szCs w:val="21"/>
                    </w:rPr>
                    <w:t>监管的方式排放水污染物</w:t>
                  </w:r>
                  <w:r>
                    <w:rPr>
                      <w:rFonts w:hint="eastAsia"/>
                      <w:color w:val="auto"/>
                      <w:szCs w:val="21"/>
                      <w:lang w:eastAsia="zh-CN"/>
                    </w:rPr>
                    <w:t>。</w:t>
                  </w:r>
                </w:p>
              </w:tc>
              <w:tc>
                <w:tcPr>
                  <w:tcW w:w="365" w:type="pct"/>
                  <w:noWrap w:val="0"/>
                  <w:tcMar>
                    <w:top w:w="0" w:type="dxa"/>
                    <w:left w:w="0" w:type="dxa"/>
                    <w:bottom w:w="0" w:type="dxa"/>
                    <w:right w:w="0" w:type="dxa"/>
                  </w:tcMar>
                  <w:vAlign w:val="center"/>
                </w:tcPr>
                <w:p w14:paraId="2279CB78">
                  <w:pPr>
                    <w:pStyle w:val="75"/>
                    <w:adjustRightInd w:val="0"/>
                    <w:snapToGrid w:val="0"/>
                    <w:spacing w:line="240" w:lineRule="auto"/>
                    <w:rPr>
                      <w:rFonts w:eastAsia="宋体"/>
                      <w:color w:val="auto"/>
                      <w:szCs w:val="21"/>
                    </w:rPr>
                  </w:pPr>
                  <w:r>
                    <w:rPr>
                      <w:rFonts w:eastAsia="宋体"/>
                      <w:color w:val="auto"/>
                      <w:szCs w:val="21"/>
                    </w:rPr>
                    <w:t>相符</w:t>
                  </w:r>
                </w:p>
              </w:tc>
            </w:tr>
            <w:tr w14:paraId="35E319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6E3D7B82">
                  <w:pPr>
                    <w:adjustRightInd w:val="0"/>
                    <w:snapToGrid w:val="0"/>
                    <w:jc w:val="center"/>
                    <w:rPr>
                      <w:bCs/>
                      <w:color w:val="auto"/>
                      <w:szCs w:val="21"/>
                    </w:rPr>
                  </w:pPr>
                </w:p>
              </w:tc>
              <w:tc>
                <w:tcPr>
                  <w:tcW w:w="2281" w:type="pct"/>
                  <w:gridSpan w:val="2"/>
                  <w:noWrap w:val="0"/>
                  <w:tcMar>
                    <w:top w:w="0" w:type="dxa"/>
                    <w:left w:w="0" w:type="dxa"/>
                    <w:bottom w:w="0" w:type="dxa"/>
                    <w:right w:w="0" w:type="dxa"/>
                  </w:tcMar>
                  <w:vAlign w:val="center"/>
                </w:tcPr>
                <w:p w14:paraId="44DB6A49">
                  <w:pPr>
                    <w:adjustRightInd w:val="0"/>
                    <w:snapToGrid w:val="0"/>
                    <w:jc w:val="center"/>
                    <w:rPr>
                      <w:color w:val="auto"/>
                      <w:szCs w:val="21"/>
                    </w:rPr>
                  </w:pPr>
                  <w:r>
                    <w:rPr>
                      <w:color w:val="auto"/>
                      <w:szCs w:val="21"/>
                    </w:rPr>
                    <w:t>禁止在太湖流域设置不符合国家产业政策和水环境综合治理要求的造纸、制革、酒精、淀粉、冶金、酿造、印</w:t>
                  </w:r>
                  <w:r>
                    <w:rPr>
                      <w:color w:val="auto"/>
                      <w:szCs w:val="21"/>
                    </w:rPr>
                    <w:cr/>
                  </w:r>
                  <w:r>
                    <w:rPr>
                      <w:color w:val="auto"/>
                      <w:szCs w:val="21"/>
                    </w:rPr>
                    <w:t>染、电镀等排放水污染物的生产项目，现有生产项目不能实现达标排放的，应当依法关闭。</w:t>
                  </w:r>
                </w:p>
              </w:tc>
              <w:tc>
                <w:tcPr>
                  <w:tcW w:w="1594" w:type="pct"/>
                  <w:noWrap w:val="0"/>
                  <w:tcMar>
                    <w:top w:w="0" w:type="dxa"/>
                    <w:left w:w="0" w:type="dxa"/>
                    <w:bottom w:w="0" w:type="dxa"/>
                    <w:right w:w="0" w:type="dxa"/>
                  </w:tcMar>
                  <w:vAlign w:val="center"/>
                </w:tcPr>
                <w:p w14:paraId="76944722">
                  <w:pPr>
                    <w:adjustRightInd w:val="0"/>
                    <w:snapToGrid w:val="0"/>
                    <w:rPr>
                      <w:rFonts w:hint="eastAsia" w:eastAsia="宋体"/>
                      <w:color w:val="auto"/>
                      <w:szCs w:val="21"/>
                      <w:lang w:eastAsia="zh-CN"/>
                    </w:rPr>
                  </w:pPr>
                  <w:r>
                    <w:rPr>
                      <w:color w:val="auto"/>
                      <w:szCs w:val="21"/>
                    </w:rPr>
                    <w:t>项目主要</w:t>
                  </w:r>
                  <w:r>
                    <w:rPr>
                      <w:rFonts w:hint="eastAsia"/>
                      <w:color w:val="auto"/>
                      <w:szCs w:val="21"/>
                      <w:lang w:eastAsia="zh-CN"/>
                    </w:rPr>
                    <w:t>热塑性弹性体颗</w:t>
                  </w:r>
                  <w:r>
                    <w:rPr>
                      <w:rFonts w:hint="eastAsia" w:ascii="Times New Roman" w:hAnsi="Times New Roman" w:eastAsia="宋体" w:cs="Times New Roman"/>
                      <w:color w:val="auto"/>
                      <w:lang w:eastAsia="zh-CN"/>
                    </w:rPr>
                    <w:t>粒</w:t>
                  </w:r>
                  <w:r>
                    <w:rPr>
                      <w:rFonts w:hint="eastAsia"/>
                      <w:color w:val="auto"/>
                      <w:szCs w:val="21"/>
                      <w:lang w:eastAsia="zh-CN"/>
                    </w:rPr>
                    <w:t>、汽车密封件</w:t>
                  </w:r>
                  <w:r>
                    <w:rPr>
                      <w:color w:val="auto"/>
                      <w:szCs w:val="21"/>
                    </w:rPr>
                    <w:t>生产，不属于禁止类项目，无生产废水排放</w:t>
                  </w:r>
                  <w:r>
                    <w:rPr>
                      <w:rFonts w:hint="eastAsia"/>
                      <w:color w:val="auto"/>
                      <w:szCs w:val="21"/>
                      <w:lang w:eastAsia="zh-CN"/>
                    </w:rPr>
                    <w:t>。</w:t>
                  </w:r>
                </w:p>
              </w:tc>
              <w:tc>
                <w:tcPr>
                  <w:tcW w:w="365" w:type="pct"/>
                  <w:noWrap w:val="0"/>
                  <w:tcMar>
                    <w:top w:w="0" w:type="dxa"/>
                    <w:left w:w="0" w:type="dxa"/>
                    <w:bottom w:w="0" w:type="dxa"/>
                    <w:right w:w="0" w:type="dxa"/>
                  </w:tcMar>
                  <w:vAlign w:val="center"/>
                </w:tcPr>
                <w:p w14:paraId="6CF7B045">
                  <w:pPr>
                    <w:pStyle w:val="75"/>
                    <w:adjustRightInd w:val="0"/>
                    <w:snapToGrid w:val="0"/>
                    <w:spacing w:line="240" w:lineRule="auto"/>
                    <w:rPr>
                      <w:rFonts w:eastAsia="宋体"/>
                      <w:color w:val="auto"/>
                      <w:szCs w:val="21"/>
                    </w:rPr>
                  </w:pPr>
                  <w:r>
                    <w:rPr>
                      <w:rFonts w:eastAsia="宋体"/>
                      <w:color w:val="auto"/>
                      <w:szCs w:val="21"/>
                    </w:rPr>
                    <w:t>相符</w:t>
                  </w:r>
                </w:p>
              </w:tc>
            </w:tr>
            <w:tr w14:paraId="524768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4694CFA4">
                  <w:pPr>
                    <w:adjustRightInd w:val="0"/>
                    <w:snapToGrid w:val="0"/>
                    <w:jc w:val="center"/>
                    <w:rPr>
                      <w:bCs/>
                      <w:color w:val="auto"/>
                      <w:szCs w:val="21"/>
                    </w:rPr>
                  </w:pPr>
                </w:p>
              </w:tc>
              <w:tc>
                <w:tcPr>
                  <w:tcW w:w="2281" w:type="pct"/>
                  <w:gridSpan w:val="2"/>
                  <w:noWrap w:val="0"/>
                  <w:tcMar>
                    <w:top w:w="0" w:type="dxa"/>
                    <w:left w:w="0" w:type="dxa"/>
                    <w:bottom w:w="0" w:type="dxa"/>
                    <w:right w:w="0" w:type="dxa"/>
                  </w:tcMar>
                  <w:vAlign w:val="center"/>
                </w:tcPr>
                <w:p w14:paraId="07F2D3A6">
                  <w:pPr>
                    <w:adjustRightInd w:val="0"/>
                    <w:snapToGrid w:val="0"/>
                    <w:jc w:val="center"/>
                    <w:rPr>
                      <w:color w:val="auto"/>
                      <w:szCs w:val="21"/>
                    </w:rPr>
                  </w:pPr>
                  <w:r>
                    <w:rPr>
                      <w:color w:val="auto"/>
                      <w:szCs w:val="21"/>
                    </w:rPr>
                    <w:t>在太湖流域新设企业应当符合国家规定的清洁生产要求，现有的企业尚未达到清洁生产要求的，</w:t>
                  </w:r>
                  <w:r>
                    <w:rPr>
                      <w:color w:val="auto"/>
                      <w:szCs w:val="21"/>
                    </w:rPr>
                    <w:cr/>
                  </w:r>
                  <w:r>
                    <w:rPr>
                      <w:color w:val="auto"/>
                      <w:szCs w:val="21"/>
                    </w:rPr>
                    <w:t>应当按照清洁生产规划要求进行技术改造，两省一市人民政府应当加强监督检查。</w:t>
                  </w:r>
                </w:p>
              </w:tc>
              <w:tc>
                <w:tcPr>
                  <w:tcW w:w="1594" w:type="pct"/>
                  <w:noWrap w:val="0"/>
                  <w:tcMar>
                    <w:top w:w="0" w:type="dxa"/>
                    <w:left w:w="0" w:type="dxa"/>
                    <w:bottom w:w="0" w:type="dxa"/>
                    <w:right w:w="0" w:type="dxa"/>
                  </w:tcMar>
                  <w:vAlign w:val="center"/>
                </w:tcPr>
                <w:p w14:paraId="18471582">
                  <w:pPr>
                    <w:adjustRightInd w:val="0"/>
                    <w:snapToGrid w:val="0"/>
                    <w:rPr>
                      <w:rFonts w:hint="eastAsia" w:eastAsia="宋体"/>
                      <w:color w:val="auto"/>
                      <w:szCs w:val="21"/>
                      <w:lang w:eastAsia="zh-CN"/>
                    </w:rPr>
                  </w:pPr>
                  <w:r>
                    <w:rPr>
                      <w:color w:val="auto"/>
                      <w:szCs w:val="21"/>
                    </w:rPr>
                    <w:t>项目将使用符合国家规定的清洁生产要求的生产工艺和设备</w:t>
                  </w:r>
                  <w:r>
                    <w:rPr>
                      <w:rFonts w:hint="eastAsia"/>
                      <w:color w:val="auto"/>
                      <w:szCs w:val="21"/>
                      <w:lang w:eastAsia="zh-CN"/>
                    </w:rPr>
                    <w:t>。</w:t>
                  </w:r>
                </w:p>
              </w:tc>
              <w:tc>
                <w:tcPr>
                  <w:tcW w:w="365" w:type="pct"/>
                  <w:noWrap w:val="0"/>
                  <w:tcMar>
                    <w:top w:w="0" w:type="dxa"/>
                    <w:left w:w="0" w:type="dxa"/>
                    <w:bottom w:w="0" w:type="dxa"/>
                    <w:right w:w="0" w:type="dxa"/>
                  </w:tcMar>
                  <w:vAlign w:val="center"/>
                </w:tcPr>
                <w:p w14:paraId="1497E2DE">
                  <w:pPr>
                    <w:pStyle w:val="75"/>
                    <w:adjustRightInd w:val="0"/>
                    <w:snapToGrid w:val="0"/>
                    <w:spacing w:line="240" w:lineRule="auto"/>
                    <w:rPr>
                      <w:rFonts w:eastAsia="宋体"/>
                      <w:color w:val="auto"/>
                      <w:szCs w:val="21"/>
                    </w:rPr>
                  </w:pPr>
                  <w:r>
                    <w:rPr>
                      <w:rFonts w:eastAsia="宋体"/>
                      <w:color w:val="auto"/>
                      <w:szCs w:val="21"/>
                    </w:rPr>
                    <w:t>相符</w:t>
                  </w:r>
                </w:p>
              </w:tc>
            </w:tr>
            <w:tr w14:paraId="5A0C63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restart"/>
                  <w:noWrap w:val="0"/>
                  <w:tcMar>
                    <w:top w:w="0" w:type="dxa"/>
                    <w:left w:w="0" w:type="dxa"/>
                    <w:bottom w:w="0" w:type="dxa"/>
                    <w:right w:w="0" w:type="dxa"/>
                  </w:tcMar>
                  <w:vAlign w:val="center"/>
                </w:tcPr>
                <w:p w14:paraId="67E32EAC">
                  <w:pPr>
                    <w:pStyle w:val="75"/>
                    <w:adjustRightInd w:val="0"/>
                    <w:snapToGrid w:val="0"/>
                    <w:spacing w:line="240" w:lineRule="auto"/>
                    <w:rPr>
                      <w:rFonts w:eastAsia="宋体"/>
                      <w:bCs/>
                      <w:color w:val="auto"/>
                      <w:szCs w:val="21"/>
                    </w:rPr>
                  </w:pPr>
                  <w:r>
                    <w:rPr>
                      <w:rFonts w:eastAsia="宋体"/>
                      <w:bCs/>
                      <w:color w:val="auto"/>
                      <w:szCs w:val="21"/>
                    </w:rPr>
                    <w:t>《江苏省太湖水污染防治条例》</w:t>
                  </w:r>
                </w:p>
              </w:tc>
              <w:tc>
                <w:tcPr>
                  <w:tcW w:w="2281" w:type="pct"/>
                  <w:gridSpan w:val="2"/>
                  <w:noWrap w:val="0"/>
                  <w:tcMar>
                    <w:top w:w="0" w:type="dxa"/>
                    <w:left w:w="0" w:type="dxa"/>
                    <w:bottom w:w="0" w:type="dxa"/>
                    <w:right w:w="0" w:type="dxa"/>
                  </w:tcMar>
                  <w:vAlign w:val="center"/>
                </w:tcPr>
                <w:p w14:paraId="7B3C4155">
                  <w:pPr>
                    <w:adjustRightInd w:val="0"/>
                    <w:snapToGrid w:val="0"/>
                    <w:jc w:val="center"/>
                    <w:rPr>
                      <w:color w:val="auto"/>
                      <w:szCs w:val="21"/>
                    </w:rPr>
                  </w:pPr>
                  <w:r>
                    <w:rPr>
                      <w:color w:val="auto"/>
                      <w:szCs w:val="21"/>
                    </w:rPr>
                    <w:t>在太湖流域新建、改建、扩建可能产生水污染的建设项目应当依法进行环境影响评价。</w:t>
                  </w:r>
                </w:p>
              </w:tc>
              <w:tc>
                <w:tcPr>
                  <w:tcW w:w="1594" w:type="pct"/>
                  <w:noWrap w:val="0"/>
                  <w:tcMar>
                    <w:top w:w="0" w:type="dxa"/>
                    <w:left w:w="0" w:type="dxa"/>
                    <w:bottom w:w="0" w:type="dxa"/>
                    <w:right w:w="0" w:type="dxa"/>
                  </w:tcMar>
                  <w:vAlign w:val="center"/>
                </w:tcPr>
                <w:p w14:paraId="5005C38A">
                  <w:pPr>
                    <w:adjustRightInd w:val="0"/>
                    <w:snapToGrid w:val="0"/>
                    <w:rPr>
                      <w:rFonts w:hint="eastAsia" w:eastAsia="宋体"/>
                      <w:color w:val="auto"/>
                      <w:szCs w:val="21"/>
                      <w:lang w:eastAsia="zh-CN"/>
                    </w:rPr>
                  </w:pPr>
                  <w:r>
                    <w:rPr>
                      <w:color w:val="auto"/>
                      <w:szCs w:val="21"/>
                    </w:rPr>
                    <w:t>本项目目前正在进行环境影响评价</w:t>
                  </w:r>
                  <w:r>
                    <w:rPr>
                      <w:rFonts w:hint="eastAsia"/>
                      <w:color w:val="auto"/>
                      <w:szCs w:val="21"/>
                      <w:lang w:eastAsia="zh-CN"/>
                    </w:rPr>
                    <w:t>。</w:t>
                  </w:r>
                </w:p>
              </w:tc>
              <w:tc>
                <w:tcPr>
                  <w:tcW w:w="365" w:type="pct"/>
                  <w:noWrap w:val="0"/>
                  <w:tcMar>
                    <w:top w:w="0" w:type="dxa"/>
                    <w:left w:w="0" w:type="dxa"/>
                    <w:bottom w:w="0" w:type="dxa"/>
                    <w:right w:w="0" w:type="dxa"/>
                  </w:tcMar>
                  <w:vAlign w:val="center"/>
                </w:tcPr>
                <w:p w14:paraId="1F3D14C5">
                  <w:pPr>
                    <w:pStyle w:val="75"/>
                    <w:adjustRightInd w:val="0"/>
                    <w:snapToGrid w:val="0"/>
                    <w:spacing w:line="240" w:lineRule="auto"/>
                    <w:rPr>
                      <w:rFonts w:eastAsia="宋体"/>
                      <w:color w:val="auto"/>
                      <w:szCs w:val="21"/>
                    </w:rPr>
                  </w:pPr>
                  <w:r>
                    <w:rPr>
                      <w:rFonts w:eastAsia="宋体"/>
                      <w:color w:val="auto"/>
                      <w:szCs w:val="21"/>
                    </w:rPr>
                    <w:t>相符</w:t>
                  </w:r>
                </w:p>
              </w:tc>
            </w:tr>
            <w:tr w14:paraId="3AA772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2B7BA33D">
                  <w:pPr>
                    <w:adjustRightInd w:val="0"/>
                    <w:snapToGrid w:val="0"/>
                    <w:jc w:val="center"/>
                    <w:rPr>
                      <w:color w:val="auto"/>
                      <w:szCs w:val="21"/>
                    </w:rPr>
                  </w:pPr>
                </w:p>
              </w:tc>
              <w:tc>
                <w:tcPr>
                  <w:tcW w:w="2281" w:type="pct"/>
                  <w:gridSpan w:val="2"/>
                  <w:noWrap w:val="0"/>
                  <w:tcMar>
                    <w:top w:w="0" w:type="dxa"/>
                    <w:left w:w="0" w:type="dxa"/>
                    <w:bottom w:w="0" w:type="dxa"/>
                    <w:right w:w="0" w:type="dxa"/>
                  </w:tcMar>
                  <w:vAlign w:val="center"/>
                </w:tcPr>
                <w:p w14:paraId="3849BA1B">
                  <w:pPr>
                    <w:adjustRightInd w:val="0"/>
                    <w:snapToGrid w:val="0"/>
                    <w:jc w:val="center"/>
                    <w:rPr>
                      <w:color w:val="auto"/>
                      <w:szCs w:val="21"/>
                    </w:rPr>
                  </w:pPr>
                  <w:r>
                    <w:rPr>
                      <w:color w:val="auto"/>
                      <w:szCs w:val="21"/>
                    </w:rPr>
                    <w:t>建设项目中防治水污染的设施，应当与主体工程同时设计、同时</w:t>
                  </w:r>
                  <w:r>
                    <w:rPr>
                      <w:color w:val="auto"/>
                      <w:szCs w:val="21"/>
                    </w:rPr>
                    <w:cr/>
                  </w:r>
                  <w:r>
                    <w:rPr>
                      <w:color w:val="auto"/>
                      <w:szCs w:val="21"/>
                    </w:rPr>
                    <w:t>施工、同时投产使用。</w:t>
                  </w:r>
                </w:p>
              </w:tc>
              <w:tc>
                <w:tcPr>
                  <w:tcW w:w="1594" w:type="pct"/>
                  <w:noWrap w:val="0"/>
                  <w:tcMar>
                    <w:top w:w="0" w:type="dxa"/>
                    <w:left w:w="0" w:type="dxa"/>
                    <w:bottom w:w="0" w:type="dxa"/>
                    <w:right w:w="0" w:type="dxa"/>
                  </w:tcMar>
                  <w:vAlign w:val="center"/>
                </w:tcPr>
                <w:p w14:paraId="3FED3497">
                  <w:pPr>
                    <w:adjustRightInd w:val="0"/>
                    <w:snapToGrid w:val="0"/>
                    <w:rPr>
                      <w:rFonts w:hint="eastAsia" w:eastAsia="宋体"/>
                      <w:color w:val="auto"/>
                      <w:szCs w:val="21"/>
                      <w:lang w:eastAsia="zh-CN"/>
                    </w:rPr>
                  </w:pPr>
                  <w:r>
                    <w:rPr>
                      <w:color w:val="auto"/>
                      <w:szCs w:val="21"/>
                    </w:rPr>
                    <w:t>本次环评要求建设单位严格执行“三同时制度”</w:t>
                  </w:r>
                  <w:r>
                    <w:rPr>
                      <w:rFonts w:hint="eastAsia"/>
                      <w:color w:val="auto"/>
                      <w:szCs w:val="21"/>
                      <w:lang w:eastAsia="zh-CN"/>
                    </w:rPr>
                    <w:t>。</w:t>
                  </w:r>
                </w:p>
              </w:tc>
              <w:tc>
                <w:tcPr>
                  <w:tcW w:w="365" w:type="pct"/>
                  <w:noWrap w:val="0"/>
                  <w:tcMar>
                    <w:top w:w="0" w:type="dxa"/>
                    <w:left w:w="0" w:type="dxa"/>
                    <w:bottom w:w="0" w:type="dxa"/>
                    <w:right w:w="0" w:type="dxa"/>
                  </w:tcMar>
                  <w:vAlign w:val="center"/>
                </w:tcPr>
                <w:p w14:paraId="7BFDEE3D">
                  <w:pPr>
                    <w:pStyle w:val="75"/>
                    <w:adjustRightInd w:val="0"/>
                    <w:snapToGrid w:val="0"/>
                    <w:spacing w:line="240" w:lineRule="auto"/>
                    <w:rPr>
                      <w:rFonts w:eastAsia="宋体"/>
                      <w:color w:val="auto"/>
                      <w:szCs w:val="21"/>
                    </w:rPr>
                  </w:pPr>
                  <w:r>
                    <w:rPr>
                      <w:rFonts w:eastAsia="宋体"/>
                      <w:color w:val="auto"/>
                      <w:szCs w:val="21"/>
                    </w:rPr>
                    <w:t>相符</w:t>
                  </w:r>
                </w:p>
              </w:tc>
            </w:tr>
            <w:tr w14:paraId="2FB22C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47FC7211">
                  <w:pPr>
                    <w:adjustRightInd w:val="0"/>
                    <w:snapToGrid w:val="0"/>
                    <w:jc w:val="center"/>
                    <w:rPr>
                      <w:color w:val="auto"/>
                      <w:szCs w:val="21"/>
                    </w:rPr>
                  </w:pPr>
                </w:p>
              </w:tc>
              <w:tc>
                <w:tcPr>
                  <w:tcW w:w="2281" w:type="pct"/>
                  <w:gridSpan w:val="2"/>
                  <w:noWrap w:val="0"/>
                  <w:tcMar>
                    <w:top w:w="0" w:type="dxa"/>
                    <w:left w:w="0" w:type="dxa"/>
                    <w:bottom w:w="0" w:type="dxa"/>
                    <w:right w:w="0" w:type="dxa"/>
                  </w:tcMar>
                  <w:vAlign w:val="center"/>
                </w:tcPr>
                <w:p w14:paraId="4A67486E">
                  <w:pPr>
                    <w:adjustRightInd w:val="0"/>
                    <w:snapToGrid w:val="0"/>
                    <w:jc w:val="center"/>
                    <w:rPr>
                      <w:color w:val="auto"/>
                      <w:szCs w:val="21"/>
                    </w:rPr>
                  </w:pPr>
                  <w:r>
                    <w:rPr>
                      <w:color w:val="auto"/>
                      <w:szCs w:val="21"/>
                    </w:rPr>
                    <w:t>直接或者间接向水体排放污染物的企业事业单位和其他生产经营者应当按照国家和省有关规定设置排污口。禁止私设排污口。</w:t>
                  </w:r>
                </w:p>
              </w:tc>
              <w:tc>
                <w:tcPr>
                  <w:tcW w:w="1594" w:type="pct"/>
                  <w:noWrap w:val="0"/>
                  <w:tcMar>
                    <w:top w:w="0" w:type="dxa"/>
                    <w:left w:w="0" w:type="dxa"/>
                    <w:bottom w:w="0" w:type="dxa"/>
                    <w:right w:w="0" w:type="dxa"/>
                  </w:tcMar>
                  <w:vAlign w:val="center"/>
                </w:tcPr>
                <w:p w14:paraId="3235079C">
                  <w:pPr>
                    <w:adjustRightInd w:val="0"/>
                    <w:snapToGrid w:val="0"/>
                    <w:rPr>
                      <w:rFonts w:hint="eastAsia" w:eastAsia="宋体"/>
                      <w:color w:val="auto"/>
                      <w:szCs w:val="21"/>
                      <w:lang w:eastAsia="zh-CN"/>
                    </w:rPr>
                  </w:pPr>
                  <w:r>
                    <w:rPr>
                      <w:rFonts w:hint="eastAsia"/>
                      <w:color w:val="auto"/>
                      <w:szCs w:val="21"/>
                    </w:rPr>
                    <w:t>本</w:t>
                  </w:r>
                  <w:r>
                    <w:rPr>
                      <w:color w:val="auto"/>
                      <w:szCs w:val="21"/>
                    </w:rPr>
                    <w:t>项目生活污水排放依托</w:t>
                  </w:r>
                  <w:r>
                    <w:rPr>
                      <w:rFonts w:hint="eastAsia"/>
                      <w:color w:val="auto"/>
                      <w:szCs w:val="21"/>
                    </w:rPr>
                    <w:t>厂区</w:t>
                  </w:r>
                  <w:r>
                    <w:rPr>
                      <w:color w:val="auto"/>
                      <w:szCs w:val="21"/>
                    </w:rPr>
                    <w:t>排污口，</w:t>
                  </w:r>
                  <w:r>
                    <w:rPr>
                      <w:rFonts w:hint="eastAsia"/>
                      <w:color w:val="auto"/>
                      <w:szCs w:val="21"/>
                    </w:rPr>
                    <w:t>不另设</w:t>
                  </w:r>
                  <w:r>
                    <w:rPr>
                      <w:color w:val="auto"/>
                      <w:szCs w:val="21"/>
                    </w:rPr>
                    <w:t>排污口</w:t>
                  </w:r>
                  <w:r>
                    <w:rPr>
                      <w:rFonts w:hint="eastAsia"/>
                      <w:color w:val="auto"/>
                      <w:szCs w:val="21"/>
                      <w:lang w:eastAsia="zh-CN"/>
                    </w:rPr>
                    <w:t>。</w:t>
                  </w:r>
                </w:p>
              </w:tc>
              <w:tc>
                <w:tcPr>
                  <w:tcW w:w="365" w:type="pct"/>
                  <w:noWrap w:val="0"/>
                  <w:tcMar>
                    <w:top w:w="0" w:type="dxa"/>
                    <w:left w:w="0" w:type="dxa"/>
                    <w:bottom w:w="0" w:type="dxa"/>
                    <w:right w:w="0" w:type="dxa"/>
                  </w:tcMar>
                  <w:vAlign w:val="center"/>
                </w:tcPr>
                <w:p w14:paraId="057EFBCB">
                  <w:pPr>
                    <w:pStyle w:val="75"/>
                    <w:adjustRightInd w:val="0"/>
                    <w:snapToGrid w:val="0"/>
                    <w:spacing w:line="240" w:lineRule="auto"/>
                    <w:rPr>
                      <w:rFonts w:eastAsia="宋体"/>
                      <w:color w:val="auto"/>
                      <w:szCs w:val="21"/>
                    </w:rPr>
                  </w:pPr>
                  <w:r>
                    <w:rPr>
                      <w:rFonts w:eastAsia="宋体"/>
                      <w:color w:val="auto"/>
                      <w:szCs w:val="21"/>
                    </w:rPr>
                    <w:t>相符</w:t>
                  </w:r>
                </w:p>
              </w:tc>
            </w:tr>
            <w:tr w14:paraId="237E58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5E43EBD8">
                  <w:pPr>
                    <w:adjustRightInd w:val="0"/>
                    <w:snapToGrid w:val="0"/>
                    <w:jc w:val="center"/>
                    <w:rPr>
                      <w:color w:val="auto"/>
                      <w:szCs w:val="21"/>
                    </w:rPr>
                  </w:pPr>
                </w:p>
              </w:tc>
              <w:tc>
                <w:tcPr>
                  <w:tcW w:w="2281" w:type="pct"/>
                  <w:gridSpan w:val="2"/>
                  <w:noWrap w:val="0"/>
                  <w:tcMar>
                    <w:top w:w="0" w:type="dxa"/>
                    <w:left w:w="0" w:type="dxa"/>
                    <w:bottom w:w="0" w:type="dxa"/>
                    <w:right w:w="0" w:type="dxa"/>
                  </w:tcMar>
                  <w:vAlign w:val="center"/>
                </w:tcPr>
                <w:p w14:paraId="46BCCA18">
                  <w:pPr>
                    <w:adjustRightInd w:val="0"/>
                    <w:snapToGrid w:val="0"/>
                    <w:jc w:val="center"/>
                    <w:rPr>
                      <w:color w:val="auto"/>
                      <w:szCs w:val="21"/>
                    </w:rPr>
                  </w:pPr>
                  <w:r>
                    <w:rPr>
                      <w:color w:val="auto"/>
                      <w:szCs w:val="21"/>
                    </w:rPr>
                    <w:t>各类污水处理设施产生的污泥应当进行安全处置，不得随意堆放和弃置，不得排入水体；属于危险废物的，应当委托有资质的单位处置。污泥的收集、贮存应当符合国家相关规定和标准。</w:t>
                  </w:r>
                </w:p>
              </w:tc>
              <w:tc>
                <w:tcPr>
                  <w:tcW w:w="1594" w:type="pct"/>
                  <w:noWrap w:val="0"/>
                  <w:tcMar>
                    <w:top w:w="0" w:type="dxa"/>
                    <w:left w:w="0" w:type="dxa"/>
                    <w:bottom w:w="0" w:type="dxa"/>
                    <w:right w:w="0" w:type="dxa"/>
                  </w:tcMar>
                  <w:vAlign w:val="center"/>
                </w:tcPr>
                <w:p w14:paraId="61A33748">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本项目无污泥产生及排放。</w:t>
                  </w:r>
                </w:p>
              </w:tc>
              <w:tc>
                <w:tcPr>
                  <w:tcW w:w="365" w:type="pct"/>
                  <w:noWrap w:val="0"/>
                  <w:tcMar>
                    <w:top w:w="0" w:type="dxa"/>
                    <w:left w:w="0" w:type="dxa"/>
                    <w:bottom w:w="0" w:type="dxa"/>
                    <w:right w:w="0" w:type="dxa"/>
                  </w:tcMar>
                  <w:vAlign w:val="center"/>
                </w:tcPr>
                <w:p w14:paraId="690F8B5C">
                  <w:pPr>
                    <w:pStyle w:val="75"/>
                    <w:adjustRightInd w:val="0"/>
                    <w:snapToGrid w:val="0"/>
                    <w:spacing w:line="240" w:lineRule="auto"/>
                    <w:rPr>
                      <w:rFonts w:eastAsia="宋体"/>
                      <w:color w:val="auto"/>
                      <w:szCs w:val="21"/>
                    </w:rPr>
                  </w:pPr>
                  <w:r>
                    <w:rPr>
                      <w:rFonts w:eastAsia="宋体"/>
                      <w:color w:val="auto"/>
                      <w:szCs w:val="21"/>
                    </w:rPr>
                    <w:t>相符</w:t>
                  </w:r>
                </w:p>
              </w:tc>
            </w:tr>
            <w:tr w14:paraId="78DD78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vMerge w:val="continue"/>
                  <w:noWrap w:val="0"/>
                  <w:tcMar>
                    <w:top w:w="0" w:type="dxa"/>
                    <w:left w:w="0" w:type="dxa"/>
                    <w:bottom w:w="0" w:type="dxa"/>
                    <w:right w:w="0" w:type="dxa"/>
                  </w:tcMar>
                  <w:vAlign w:val="center"/>
                </w:tcPr>
                <w:p w14:paraId="368A9265">
                  <w:pPr>
                    <w:adjustRightInd w:val="0"/>
                    <w:snapToGrid w:val="0"/>
                    <w:jc w:val="center"/>
                    <w:rPr>
                      <w:color w:val="auto"/>
                      <w:szCs w:val="21"/>
                    </w:rPr>
                  </w:pPr>
                </w:p>
              </w:tc>
              <w:tc>
                <w:tcPr>
                  <w:tcW w:w="2281" w:type="pct"/>
                  <w:gridSpan w:val="2"/>
                  <w:noWrap w:val="0"/>
                  <w:tcMar>
                    <w:top w:w="0" w:type="dxa"/>
                    <w:left w:w="0" w:type="dxa"/>
                    <w:bottom w:w="0" w:type="dxa"/>
                    <w:right w:w="0" w:type="dxa"/>
                  </w:tcMar>
                  <w:vAlign w:val="center"/>
                </w:tcPr>
                <w:p w14:paraId="019E1705">
                  <w:pPr>
                    <w:adjustRightInd w:val="0"/>
                    <w:snapToGrid w:val="0"/>
                    <w:jc w:val="center"/>
                    <w:rPr>
                      <w:color w:val="auto"/>
                      <w:szCs w:val="21"/>
                    </w:rPr>
                  </w:pPr>
                  <w:r>
                    <w:rPr>
                      <w:color w:val="auto"/>
                      <w:szCs w:val="21"/>
                    </w:rPr>
                    <w:t>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w:t>
                  </w:r>
                </w:p>
              </w:tc>
              <w:tc>
                <w:tcPr>
                  <w:tcW w:w="1594" w:type="pct"/>
                  <w:noWrap w:val="0"/>
                  <w:tcMar>
                    <w:top w:w="0" w:type="dxa"/>
                    <w:left w:w="0" w:type="dxa"/>
                    <w:bottom w:w="0" w:type="dxa"/>
                    <w:right w:w="0" w:type="dxa"/>
                  </w:tcMar>
                  <w:vAlign w:val="center"/>
                </w:tcPr>
                <w:p w14:paraId="70445CDD">
                  <w:pPr>
                    <w:adjustRightInd w:val="0"/>
                    <w:snapToGrid w:val="0"/>
                    <w:jc w:val="left"/>
                    <w:rPr>
                      <w:rFonts w:hint="eastAsia" w:eastAsia="宋体"/>
                      <w:color w:val="auto"/>
                      <w:szCs w:val="21"/>
                      <w:lang w:eastAsia="zh-CN"/>
                    </w:rPr>
                  </w:pPr>
                  <w:r>
                    <w:rPr>
                      <w:color w:val="auto"/>
                      <w:szCs w:val="21"/>
                    </w:rPr>
                    <w:t>（一）本项目不属于禁止类项目；（二）本项目</w:t>
                  </w:r>
                  <w:r>
                    <w:rPr>
                      <w:rFonts w:hint="eastAsia"/>
                      <w:color w:val="auto"/>
                      <w:szCs w:val="21"/>
                      <w:lang w:val="en-US" w:eastAsia="zh-CN"/>
                    </w:rPr>
                    <w:t>不</w:t>
                  </w:r>
                  <w:r>
                    <w:rPr>
                      <w:color w:val="auto"/>
                      <w:szCs w:val="21"/>
                    </w:rPr>
                    <w:t>使用含磷洗涤用品；（三）项目不排放生产废水，不向水体排放或倾倒废水、废渣及其他废弃物</w:t>
                  </w:r>
                  <w:r>
                    <w:rPr>
                      <w:rFonts w:hint="eastAsia"/>
                      <w:color w:val="auto"/>
                      <w:szCs w:val="21"/>
                      <w:lang w:eastAsia="zh-CN"/>
                    </w:rPr>
                    <w:t>。</w:t>
                  </w:r>
                </w:p>
              </w:tc>
              <w:tc>
                <w:tcPr>
                  <w:tcW w:w="365" w:type="pct"/>
                  <w:noWrap w:val="0"/>
                  <w:tcMar>
                    <w:top w:w="0" w:type="dxa"/>
                    <w:left w:w="0" w:type="dxa"/>
                    <w:bottom w:w="0" w:type="dxa"/>
                    <w:right w:w="0" w:type="dxa"/>
                  </w:tcMar>
                  <w:vAlign w:val="center"/>
                </w:tcPr>
                <w:p w14:paraId="0D866E3D">
                  <w:pPr>
                    <w:pStyle w:val="75"/>
                    <w:adjustRightInd w:val="0"/>
                    <w:snapToGrid w:val="0"/>
                    <w:spacing w:line="240" w:lineRule="auto"/>
                    <w:rPr>
                      <w:rFonts w:eastAsia="宋体"/>
                      <w:color w:val="auto"/>
                      <w:szCs w:val="21"/>
                    </w:rPr>
                  </w:pPr>
                  <w:r>
                    <w:rPr>
                      <w:rFonts w:eastAsia="宋体"/>
                      <w:color w:val="auto"/>
                      <w:szCs w:val="21"/>
                    </w:rPr>
                    <w:t>相符</w:t>
                  </w:r>
                </w:p>
              </w:tc>
            </w:tr>
            <w:tr w14:paraId="19402C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9" w:type="pct"/>
                  <w:noWrap w:val="0"/>
                  <w:tcMar>
                    <w:top w:w="0" w:type="dxa"/>
                    <w:left w:w="0" w:type="dxa"/>
                    <w:bottom w:w="0" w:type="dxa"/>
                    <w:right w:w="0" w:type="dxa"/>
                  </w:tcMar>
                  <w:vAlign w:val="center"/>
                </w:tcPr>
                <w:p w14:paraId="08D58B34">
                  <w:pPr>
                    <w:pStyle w:val="8"/>
                    <w:jc w:val="center"/>
                    <w:rPr>
                      <w:color w:val="auto"/>
                      <w:szCs w:val="21"/>
                    </w:rPr>
                  </w:pPr>
                  <w:r>
                    <w:rPr>
                      <w:rFonts w:hint="eastAsia"/>
                      <w:color w:val="auto"/>
                      <w:szCs w:val="21"/>
                    </w:rPr>
                    <w:t>《关于做好生态环境和应急管理部门联动工作的意见》（苏环[2020]101号）</w:t>
                  </w:r>
                </w:p>
              </w:tc>
              <w:tc>
                <w:tcPr>
                  <w:tcW w:w="2281" w:type="pct"/>
                  <w:gridSpan w:val="2"/>
                  <w:noWrap w:val="0"/>
                  <w:tcMar>
                    <w:top w:w="0" w:type="dxa"/>
                    <w:left w:w="0" w:type="dxa"/>
                    <w:bottom w:w="0" w:type="dxa"/>
                    <w:right w:w="0" w:type="dxa"/>
                  </w:tcMar>
                  <w:vAlign w:val="center"/>
                </w:tcPr>
                <w:p w14:paraId="3ADABB80">
                  <w:pPr>
                    <w:adjustRightInd w:val="0"/>
                    <w:snapToGrid w:val="0"/>
                    <w:jc w:val="center"/>
                    <w:rPr>
                      <w:color w:val="auto"/>
                      <w:szCs w:val="21"/>
                    </w:rPr>
                  </w:pPr>
                  <w:r>
                    <w:rPr>
                      <w:rFonts w:hint="eastAsia"/>
                      <w:color w:val="auto"/>
                      <w:szCs w:val="21"/>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594" w:type="pct"/>
                  <w:noWrap w:val="0"/>
                  <w:tcMar>
                    <w:top w:w="0" w:type="dxa"/>
                    <w:left w:w="0" w:type="dxa"/>
                    <w:bottom w:w="0" w:type="dxa"/>
                    <w:right w:w="0" w:type="dxa"/>
                  </w:tcMar>
                  <w:vAlign w:val="center"/>
                </w:tcPr>
                <w:p w14:paraId="0CBF5441">
                  <w:pPr>
                    <w:adjustRightInd w:val="0"/>
                    <w:snapToGrid w:val="0"/>
                    <w:jc w:val="center"/>
                    <w:rPr>
                      <w:color w:val="auto"/>
                      <w:szCs w:val="21"/>
                    </w:rPr>
                  </w:pPr>
                  <w:r>
                    <w:rPr>
                      <w:color w:val="auto"/>
                      <w:szCs w:val="21"/>
                    </w:rPr>
                    <w:t>本项目实施后，按要求</w:t>
                  </w:r>
                  <w:r>
                    <w:rPr>
                      <w:rFonts w:hint="eastAsia"/>
                      <w:color w:val="auto"/>
                      <w:szCs w:val="21"/>
                    </w:rPr>
                    <w:t>编制环保设施安全风险辨识评估报告。</w:t>
                  </w:r>
                </w:p>
              </w:tc>
              <w:tc>
                <w:tcPr>
                  <w:tcW w:w="365" w:type="pct"/>
                  <w:noWrap w:val="0"/>
                  <w:tcMar>
                    <w:top w:w="0" w:type="dxa"/>
                    <w:left w:w="0" w:type="dxa"/>
                    <w:bottom w:w="0" w:type="dxa"/>
                    <w:right w:w="0" w:type="dxa"/>
                  </w:tcMar>
                  <w:vAlign w:val="center"/>
                </w:tcPr>
                <w:p w14:paraId="6098088B">
                  <w:pPr>
                    <w:pStyle w:val="75"/>
                    <w:adjustRightInd w:val="0"/>
                    <w:snapToGrid w:val="0"/>
                    <w:spacing w:line="240" w:lineRule="auto"/>
                    <w:rPr>
                      <w:rFonts w:eastAsia="宋体"/>
                      <w:color w:val="auto"/>
                      <w:szCs w:val="21"/>
                    </w:rPr>
                  </w:pPr>
                  <w:r>
                    <w:rPr>
                      <w:rFonts w:hint="eastAsia" w:eastAsia="宋体"/>
                      <w:color w:val="auto"/>
                      <w:szCs w:val="21"/>
                    </w:rPr>
                    <w:t>相符</w:t>
                  </w:r>
                </w:p>
              </w:tc>
            </w:tr>
          </w:tbl>
          <w:p w14:paraId="038F59B7">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textAlignment w:val="auto"/>
              <w:rPr>
                <w:b/>
                <w:bCs/>
                <w:color w:val="auto"/>
                <w:szCs w:val="21"/>
              </w:rPr>
            </w:pPr>
            <w:r>
              <w:rPr>
                <w:rFonts w:hint="eastAsia"/>
                <w:b/>
                <w:bCs/>
                <w:color w:val="auto"/>
                <w:szCs w:val="21"/>
              </w:rPr>
              <w:t>五、</w:t>
            </w:r>
            <w:r>
              <w:rPr>
                <w:b/>
                <w:bCs/>
                <w:color w:val="auto"/>
                <w:szCs w:val="21"/>
              </w:rPr>
              <w:t>与《省生态环境厅关于进一步做好建设项目环境审批工作的通知》（苏环办[2019]36号）相符性</w:t>
            </w:r>
          </w:p>
          <w:p w14:paraId="22B189E8">
            <w:pPr>
              <w:pStyle w:val="6"/>
              <w:adjustRightInd w:val="0"/>
              <w:snapToGrid w:val="0"/>
              <w:spacing w:line="360" w:lineRule="auto"/>
              <w:rPr>
                <w:color w:val="auto"/>
                <w:szCs w:val="21"/>
              </w:rPr>
            </w:pPr>
            <w:r>
              <w:rPr>
                <w:color w:val="auto"/>
                <w:szCs w:val="21"/>
              </w:rPr>
              <w:t>本项目与“苏环办[2019]36号”相符性分析具体见下表。</w:t>
            </w:r>
          </w:p>
          <w:p w14:paraId="6B3D9288">
            <w:pPr>
              <w:pStyle w:val="6"/>
              <w:adjustRightInd w:val="0"/>
              <w:snapToGrid w:val="0"/>
              <w:ind w:firstLine="0" w:firstLineChars="0"/>
              <w:jc w:val="center"/>
              <w:rPr>
                <w:b/>
                <w:bCs/>
                <w:color w:val="auto"/>
                <w:szCs w:val="21"/>
              </w:rPr>
            </w:pPr>
            <w:r>
              <w:rPr>
                <w:b/>
                <w:color w:val="auto"/>
                <w:szCs w:val="21"/>
              </w:rPr>
              <w:t>表1-</w:t>
            </w:r>
            <w:r>
              <w:rPr>
                <w:rFonts w:hint="eastAsia"/>
                <w:b/>
                <w:color w:val="auto"/>
                <w:szCs w:val="21"/>
                <w:lang w:val="en-US" w:eastAsia="zh-CN"/>
              </w:rPr>
              <w:t>11</w:t>
            </w:r>
            <w:r>
              <w:rPr>
                <w:b/>
                <w:color w:val="auto"/>
                <w:szCs w:val="21"/>
              </w:rPr>
              <w:t xml:space="preserve"> 与“苏环办[2019]36号”</w:t>
            </w:r>
            <w:r>
              <w:rPr>
                <w:b/>
                <w:bCs/>
                <w:color w:val="auto"/>
                <w:szCs w:val="21"/>
              </w:rPr>
              <w:t>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23"/>
              <w:gridCol w:w="3477"/>
              <w:gridCol w:w="2624"/>
              <w:gridCol w:w="574"/>
            </w:tblGrid>
            <w:tr w14:paraId="70BAD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827" w:type="pct"/>
                  <w:noWrap w:val="0"/>
                  <w:vAlign w:val="center"/>
                </w:tcPr>
                <w:p w14:paraId="3238F578">
                  <w:pPr>
                    <w:widowControl/>
                    <w:jc w:val="center"/>
                    <w:rPr>
                      <w:b/>
                      <w:color w:val="auto"/>
                      <w:kern w:val="0"/>
                      <w:szCs w:val="21"/>
                    </w:rPr>
                  </w:pPr>
                  <w:r>
                    <w:rPr>
                      <w:b/>
                      <w:color w:val="auto"/>
                      <w:kern w:val="0"/>
                      <w:szCs w:val="21"/>
                    </w:rPr>
                    <w:t>类别</w:t>
                  </w:r>
                </w:p>
              </w:tc>
              <w:tc>
                <w:tcPr>
                  <w:tcW w:w="2173" w:type="pct"/>
                  <w:noWrap w:val="0"/>
                  <w:vAlign w:val="center"/>
                </w:tcPr>
                <w:p w14:paraId="77EBE0DA">
                  <w:pPr>
                    <w:widowControl/>
                    <w:jc w:val="center"/>
                    <w:rPr>
                      <w:b/>
                      <w:color w:val="auto"/>
                      <w:kern w:val="0"/>
                      <w:szCs w:val="21"/>
                    </w:rPr>
                  </w:pPr>
                  <w:r>
                    <w:rPr>
                      <w:b/>
                      <w:color w:val="auto"/>
                      <w:kern w:val="0"/>
                      <w:szCs w:val="21"/>
                    </w:rPr>
                    <w:t>文件要求（建设项目环评审批要点）</w:t>
                  </w:r>
                </w:p>
              </w:tc>
              <w:tc>
                <w:tcPr>
                  <w:tcW w:w="1640" w:type="pct"/>
                  <w:noWrap w:val="0"/>
                  <w:vAlign w:val="center"/>
                </w:tcPr>
                <w:p w14:paraId="7D50D8CC">
                  <w:pPr>
                    <w:widowControl/>
                    <w:jc w:val="center"/>
                    <w:rPr>
                      <w:b/>
                      <w:color w:val="auto"/>
                      <w:kern w:val="0"/>
                      <w:szCs w:val="21"/>
                    </w:rPr>
                  </w:pPr>
                  <w:r>
                    <w:rPr>
                      <w:b/>
                      <w:color w:val="auto"/>
                      <w:kern w:val="0"/>
                      <w:szCs w:val="21"/>
                    </w:rPr>
                    <w:t>符合性分析</w:t>
                  </w:r>
                </w:p>
              </w:tc>
              <w:tc>
                <w:tcPr>
                  <w:tcW w:w="358" w:type="pct"/>
                  <w:noWrap w:val="0"/>
                  <w:vAlign w:val="center"/>
                </w:tcPr>
                <w:p w14:paraId="38F79244">
                  <w:pPr>
                    <w:widowControl/>
                    <w:jc w:val="center"/>
                    <w:rPr>
                      <w:b/>
                      <w:color w:val="auto"/>
                      <w:kern w:val="0"/>
                      <w:szCs w:val="21"/>
                    </w:rPr>
                  </w:pPr>
                  <w:r>
                    <w:rPr>
                      <w:b/>
                      <w:color w:val="auto"/>
                      <w:kern w:val="0"/>
                      <w:szCs w:val="21"/>
                    </w:rPr>
                    <w:t>符合情况</w:t>
                  </w:r>
                </w:p>
              </w:tc>
            </w:tr>
            <w:tr w14:paraId="41D3D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27" w:type="pct"/>
                  <w:noWrap w:val="0"/>
                  <w:vAlign w:val="center"/>
                </w:tcPr>
                <w:p w14:paraId="2F43B06D">
                  <w:pPr>
                    <w:widowControl/>
                    <w:jc w:val="center"/>
                    <w:rPr>
                      <w:color w:val="auto"/>
                      <w:kern w:val="0"/>
                      <w:szCs w:val="21"/>
                    </w:rPr>
                  </w:pPr>
                  <w:r>
                    <w:rPr>
                      <w:color w:val="auto"/>
                      <w:kern w:val="0"/>
                      <w:szCs w:val="21"/>
                    </w:rPr>
                    <w:t>《建设项目环境保护管理条例》</w:t>
                  </w:r>
                </w:p>
              </w:tc>
              <w:tc>
                <w:tcPr>
                  <w:tcW w:w="2173" w:type="pct"/>
                  <w:noWrap w:val="0"/>
                  <w:vAlign w:val="center"/>
                </w:tcPr>
                <w:p w14:paraId="24695CA8">
                  <w:pPr>
                    <w:widowControl/>
                    <w:jc w:val="left"/>
                    <w:rPr>
                      <w:color w:val="auto"/>
                      <w:kern w:val="0"/>
                      <w:szCs w:val="21"/>
                    </w:rPr>
                  </w:pPr>
                  <w:r>
                    <w:rPr>
                      <w:color w:val="auto"/>
                      <w:kern w:val="0"/>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640" w:type="pct"/>
                  <w:noWrap w:val="0"/>
                  <w:vAlign w:val="center"/>
                </w:tcPr>
                <w:p w14:paraId="4824B159">
                  <w:pPr>
                    <w:widowControl/>
                    <w:rPr>
                      <w:color w:val="auto"/>
                      <w:kern w:val="0"/>
                      <w:szCs w:val="21"/>
                    </w:rPr>
                  </w:pPr>
                  <w:r>
                    <w:rPr>
                      <w:color w:val="auto"/>
                      <w:kern w:val="0"/>
                      <w:szCs w:val="21"/>
                    </w:rPr>
                    <w:t>（1）本项目位于</w:t>
                  </w:r>
                  <w:r>
                    <w:rPr>
                      <w:rFonts w:hint="eastAsia"/>
                      <w:color w:val="auto"/>
                      <w:szCs w:val="21"/>
                      <w:lang w:eastAsia="zh-CN"/>
                    </w:rPr>
                    <w:t>常州市金坛区经济开发区东湖路28号</w:t>
                  </w:r>
                  <w:r>
                    <w:rPr>
                      <w:color w:val="auto"/>
                      <w:kern w:val="0"/>
                      <w:szCs w:val="21"/>
                    </w:rPr>
                    <w:t>，</w:t>
                  </w:r>
                  <w:r>
                    <w:rPr>
                      <w:rFonts w:hint="eastAsia"/>
                      <w:color w:val="auto"/>
                      <w:kern w:val="0"/>
                      <w:szCs w:val="21"/>
                    </w:rPr>
                    <w:t>利用</w:t>
                  </w:r>
                  <w:r>
                    <w:rPr>
                      <w:rFonts w:hint="eastAsia"/>
                      <w:color w:val="auto"/>
                      <w:kern w:val="0"/>
                      <w:szCs w:val="21"/>
                      <w:lang w:val="en-US" w:eastAsia="zh-CN"/>
                    </w:rPr>
                    <w:t>租赁</w:t>
                  </w:r>
                  <w:r>
                    <w:rPr>
                      <w:rFonts w:hint="eastAsia"/>
                      <w:color w:val="auto"/>
                      <w:kern w:val="0"/>
                      <w:szCs w:val="21"/>
                    </w:rPr>
                    <w:t>厂房空置部分</w:t>
                  </w:r>
                  <w:r>
                    <w:rPr>
                      <w:color w:val="auto"/>
                      <w:kern w:val="0"/>
                      <w:szCs w:val="21"/>
                    </w:rPr>
                    <w:t>，从事</w:t>
                  </w:r>
                  <w:r>
                    <w:rPr>
                      <w:rFonts w:hint="eastAsia"/>
                      <w:color w:val="auto"/>
                      <w:kern w:val="0"/>
                      <w:szCs w:val="21"/>
                      <w:lang w:eastAsia="zh-CN"/>
                    </w:rPr>
                    <w:t>热塑性弹性体颗</w:t>
                  </w:r>
                  <w:r>
                    <w:rPr>
                      <w:rFonts w:hint="eastAsia" w:ascii="Times New Roman" w:hAnsi="Times New Roman" w:eastAsia="宋体" w:cs="Times New Roman"/>
                      <w:color w:val="auto"/>
                      <w:lang w:eastAsia="zh-CN"/>
                    </w:rPr>
                    <w:t>粒</w:t>
                  </w:r>
                  <w:r>
                    <w:rPr>
                      <w:rFonts w:hint="eastAsia"/>
                      <w:color w:val="auto"/>
                      <w:kern w:val="0"/>
                      <w:szCs w:val="21"/>
                      <w:lang w:eastAsia="zh-CN"/>
                    </w:rPr>
                    <w:t>、汽车密封件</w:t>
                  </w:r>
                  <w:r>
                    <w:rPr>
                      <w:color w:val="auto"/>
                      <w:kern w:val="0"/>
                      <w:szCs w:val="21"/>
                    </w:rPr>
                    <w:t>的生产。根据</w:t>
                  </w:r>
                  <w:r>
                    <w:rPr>
                      <w:rFonts w:hint="eastAsia"/>
                      <w:color w:val="auto"/>
                      <w:lang w:eastAsia="zh-CN"/>
                    </w:rPr>
                    <w:t>常州市金坛区金沙老城控制性详细规划（修改）</w:t>
                  </w:r>
                  <w:r>
                    <w:rPr>
                      <w:color w:val="auto"/>
                      <w:kern w:val="0"/>
                      <w:szCs w:val="21"/>
                    </w:rPr>
                    <w:t>，项目所在地块为工业用地，与规划相符；（2）</w:t>
                  </w:r>
                  <w:r>
                    <w:rPr>
                      <w:color w:val="auto"/>
                      <w:spacing w:val="6"/>
                      <w:szCs w:val="21"/>
                    </w:rPr>
                    <w:t>本项目所在区域属于环境空气不达标区，根据大气环境质量改善方案，大气环境质量状况可以得到进一步改善</w:t>
                  </w:r>
                  <w:r>
                    <w:rPr>
                      <w:color w:val="auto"/>
                      <w:kern w:val="0"/>
                      <w:szCs w:val="21"/>
                    </w:rPr>
                    <w:t>；根据现状监测结果可知，项目所在地的</w:t>
                  </w:r>
                  <w:r>
                    <w:rPr>
                      <w:rFonts w:hint="eastAsia"/>
                      <w:color w:val="auto"/>
                      <w:kern w:val="0"/>
                      <w:szCs w:val="21"/>
                    </w:rPr>
                    <w:t>大气、</w:t>
                  </w:r>
                  <w:r>
                    <w:rPr>
                      <w:color w:val="auto"/>
                      <w:kern w:val="0"/>
                      <w:szCs w:val="21"/>
                    </w:rPr>
                    <w:t>地表水检测结果均满足相应质量标准</w:t>
                  </w:r>
                  <w:r>
                    <w:rPr>
                      <w:rFonts w:hint="eastAsia"/>
                      <w:color w:val="auto"/>
                      <w:kern w:val="0"/>
                      <w:szCs w:val="21"/>
                    </w:rPr>
                    <w:t>；</w:t>
                  </w:r>
                  <w:r>
                    <w:rPr>
                      <w:color w:val="auto"/>
                      <w:kern w:val="0"/>
                      <w:szCs w:val="21"/>
                    </w:rPr>
                    <w:t>本项目拟采取的措施能够满足区域环境质量改善目标管理要求；（3）项目污染物经处理后可稳定达到国家和地方排放标准；（4）本项目为</w:t>
                  </w:r>
                  <w:r>
                    <w:rPr>
                      <w:rFonts w:hint="eastAsia"/>
                      <w:color w:val="auto"/>
                      <w:kern w:val="0"/>
                      <w:szCs w:val="21"/>
                      <w:lang w:val="en-US" w:eastAsia="zh-CN"/>
                    </w:rPr>
                    <w:t>搬迁</w:t>
                  </w:r>
                  <w:r>
                    <w:rPr>
                      <w:color w:val="auto"/>
                      <w:kern w:val="0"/>
                      <w:szCs w:val="21"/>
                    </w:rPr>
                    <w:t>项目，</w:t>
                  </w:r>
                  <w:r>
                    <w:rPr>
                      <w:rFonts w:hint="eastAsia"/>
                      <w:color w:val="auto"/>
                      <w:kern w:val="0"/>
                      <w:szCs w:val="21"/>
                      <w:lang w:val="en-US" w:eastAsia="zh-CN"/>
                    </w:rPr>
                    <w:t>原有</w:t>
                  </w:r>
                  <w:r>
                    <w:rPr>
                      <w:color w:val="auto"/>
                      <w:kern w:val="0"/>
                      <w:szCs w:val="21"/>
                    </w:rPr>
                    <w:t>项目已取得审批意见；（5）本项目基础资料由</w:t>
                  </w:r>
                  <w:r>
                    <w:rPr>
                      <w:rFonts w:hint="eastAsia"/>
                      <w:color w:val="auto"/>
                      <w:szCs w:val="21"/>
                    </w:rPr>
                    <w:t>建设单位</w:t>
                  </w:r>
                  <w:r>
                    <w:rPr>
                      <w:color w:val="auto"/>
                      <w:kern w:val="0"/>
                      <w:szCs w:val="21"/>
                    </w:rPr>
                    <w:t>进行认真核实，并对提供资料的真实性进行承诺，基础数据真实有效，评价结论合理可信。</w:t>
                  </w:r>
                </w:p>
              </w:tc>
              <w:tc>
                <w:tcPr>
                  <w:tcW w:w="358" w:type="pct"/>
                  <w:noWrap w:val="0"/>
                  <w:vAlign w:val="center"/>
                </w:tcPr>
                <w:p w14:paraId="550BD199">
                  <w:pPr>
                    <w:widowControl/>
                    <w:jc w:val="center"/>
                    <w:rPr>
                      <w:color w:val="auto"/>
                      <w:kern w:val="0"/>
                      <w:szCs w:val="21"/>
                    </w:rPr>
                  </w:pPr>
                  <w:r>
                    <w:rPr>
                      <w:color w:val="auto"/>
                      <w:kern w:val="0"/>
                      <w:szCs w:val="21"/>
                    </w:rPr>
                    <w:t>相符</w:t>
                  </w:r>
                </w:p>
              </w:tc>
            </w:tr>
            <w:tr w14:paraId="0658E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27" w:type="pct"/>
                  <w:noWrap w:val="0"/>
                  <w:vAlign w:val="center"/>
                </w:tcPr>
                <w:p w14:paraId="1E366F1B">
                  <w:pPr>
                    <w:widowControl/>
                    <w:jc w:val="center"/>
                    <w:rPr>
                      <w:color w:val="auto"/>
                      <w:kern w:val="0"/>
                      <w:szCs w:val="21"/>
                    </w:rPr>
                  </w:pPr>
                  <w:r>
                    <w:rPr>
                      <w:color w:val="auto"/>
                      <w:kern w:val="0"/>
                      <w:szCs w:val="21"/>
                    </w:rPr>
                    <w:t>《农用地土壤环境管理办法（试行）》（环境保护部 农业部令第46号）</w:t>
                  </w:r>
                </w:p>
              </w:tc>
              <w:tc>
                <w:tcPr>
                  <w:tcW w:w="2173" w:type="pct"/>
                  <w:noWrap w:val="0"/>
                  <w:vAlign w:val="center"/>
                </w:tcPr>
                <w:p w14:paraId="6A77B6CB">
                  <w:pPr>
                    <w:widowControl/>
                    <w:rPr>
                      <w:color w:val="auto"/>
                      <w:kern w:val="0"/>
                      <w:szCs w:val="21"/>
                    </w:rPr>
                  </w:pPr>
                  <w:r>
                    <w:rPr>
                      <w:color w:val="auto"/>
                      <w:kern w:val="0"/>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640" w:type="pct"/>
                  <w:noWrap w:val="0"/>
                  <w:vAlign w:val="center"/>
                </w:tcPr>
                <w:p w14:paraId="211CFFBA">
                  <w:pPr>
                    <w:widowControl/>
                    <w:jc w:val="left"/>
                    <w:rPr>
                      <w:color w:val="auto"/>
                      <w:kern w:val="0"/>
                      <w:szCs w:val="21"/>
                    </w:rPr>
                  </w:pPr>
                  <w:r>
                    <w:rPr>
                      <w:color w:val="auto"/>
                      <w:spacing w:val="-2"/>
                      <w:kern w:val="0"/>
                      <w:szCs w:val="21"/>
                    </w:rPr>
                    <w:t>本项目</w:t>
                  </w:r>
                  <w:r>
                    <w:rPr>
                      <w:color w:val="auto"/>
                      <w:kern w:val="0"/>
                      <w:szCs w:val="21"/>
                    </w:rPr>
                    <w:t>从事</w:t>
                  </w:r>
                  <w:r>
                    <w:rPr>
                      <w:rFonts w:hint="eastAsia"/>
                      <w:color w:val="auto"/>
                      <w:kern w:val="0"/>
                      <w:szCs w:val="21"/>
                      <w:lang w:eastAsia="zh-CN"/>
                    </w:rPr>
                    <w:t>热塑性弹性体颗</w:t>
                  </w:r>
                  <w:r>
                    <w:rPr>
                      <w:rFonts w:hint="eastAsia" w:ascii="Times New Roman" w:hAnsi="Times New Roman" w:eastAsia="宋体" w:cs="Times New Roman"/>
                      <w:color w:val="auto"/>
                      <w:lang w:eastAsia="zh-CN"/>
                    </w:rPr>
                    <w:t>粒</w:t>
                  </w:r>
                  <w:r>
                    <w:rPr>
                      <w:rFonts w:hint="eastAsia"/>
                      <w:color w:val="auto"/>
                      <w:kern w:val="0"/>
                      <w:szCs w:val="21"/>
                      <w:lang w:eastAsia="zh-CN"/>
                    </w:rPr>
                    <w:t>、汽车密封件</w:t>
                  </w:r>
                  <w:r>
                    <w:rPr>
                      <w:color w:val="auto"/>
                      <w:kern w:val="0"/>
                      <w:szCs w:val="21"/>
                    </w:rPr>
                    <w:t>的生产，项目用地性质为工业用地。</w:t>
                  </w:r>
                </w:p>
              </w:tc>
              <w:tc>
                <w:tcPr>
                  <w:tcW w:w="358" w:type="pct"/>
                  <w:noWrap w:val="0"/>
                  <w:vAlign w:val="center"/>
                </w:tcPr>
                <w:p w14:paraId="5F2941FC">
                  <w:pPr>
                    <w:widowControl/>
                    <w:jc w:val="center"/>
                    <w:rPr>
                      <w:color w:val="auto"/>
                      <w:kern w:val="0"/>
                      <w:szCs w:val="21"/>
                    </w:rPr>
                  </w:pPr>
                  <w:r>
                    <w:rPr>
                      <w:color w:val="auto"/>
                      <w:kern w:val="0"/>
                      <w:szCs w:val="21"/>
                    </w:rPr>
                    <w:t>相符</w:t>
                  </w:r>
                </w:p>
              </w:tc>
            </w:tr>
            <w:tr w14:paraId="10A35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27" w:type="pct"/>
                  <w:noWrap w:val="0"/>
                  <w:vAlign w:val="center"/>
                </w:tcPr>
                <w:p w14:paraId="1B2573FE">
                  <w:pPr>
                    <w:widowControl/>
                    <w:jc w:val="center"/>
                    <w:rPr>
                      <w:color w:val="auto"/>
                      <w:kern w:val="0"/>
                      <w:szCs w:val="21"/>
                    </w:rPr>
                  </w:pPr>
                  <w:r>
                    <w:rPr>
                      <w:color w:val="auto"/>
                      <w:kern w:val="0"/>
                      <w:szCs w:val="21"/>
                    </w:rPr>
                    <w:t>《关于印发&lt;建设项目主要污染物排放总量指标审核及管理暂行办法&gt;的通</w:t>
                  </w:r>
                  <w:r>
                    <w:rPr>
                      <w:color w:val="auto"/>
                      <w:kern w:val="0"/>
                      <w:szCs w:val="21"/>
                    </w:rPr>
                    <w:cr/>
                  </w:r>
                  <w:r>
                    <w:rPr>
                      <w:color w:val="auto"/>
                      <w:kern w:val="0"/>
                      <w:szCs w:val="21"/>
                    </w:rPr>
                    <w:t>》（环发[2014]197号）</w:t>
                  </w:r>
                </w:p>
              </w:tc>
              <w:tc>
                <w:tcPr>
                  <w:tcW w:w="2173" w:type="pct"/>
                  <w:noWrap w:val="0"/>
                  <w:vAlign w:val="center"/>
                </w:tcPr>
                <w:p w14:paraId="7D1D0562">
                  <w:pPr>
                    <w:widowControl/>
                    <w:rPr>
                      <w:color w:val="auto"/>
                      <w:kern w:val="0"/>
                      <w:szCs w:val="21"/>
                    </w:rPr>
                  </w:pPr>
                  <w:r>
                    <w:rPr>
                      <w:color w:val="auto"/>
                      <w:kern w:val="0"/>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640" w:type="pct"/>
                  <w:noWrap w:val="0"/>
                  <w:vAlign w:val="center"/>
                </w:tcPr>
                <w:p w14:paraId="71341B3A">
                  <w:pPr>
                    <w:widowControl/>
                    <w:jc w:val="left"/>
                    <w:rPr>
                      <w:color w:val="auto"/>
                      <w:kern w:val="0"/>
                      <w:szCs w:val="21"/>
                    </w:rPr>
                  </w:pPr>
                  <w:r>
                    <w:rPr>
                      <w:rFonts w:hint="eastAsia"/>
                      <w:color w:val="auto"/>
                      <w:kern w:val="0"/>
                      <w:szCs w:val="21"/>
                    </w:rPr>
                    <w:t>本项目</w:t>
                  </w:r>
                  <w:r>
                    <w:rPr>
                      <w:color w:val="auto"/>
                      <w:kern w:val="0"/>
                      <w:szCs w:val="21"/>
                    </w:rPr>
                    <w:t>在环境影响评价文件审批前，取得主要污染物排放总量指标。</w:t>
                  </w:r>
                </w:p>
              </w:tc>
              <w:tc>
                <w:tcPr>
                  <w:tcW w:w="358" w:type="pct"/>
                  <w:noWrap w:val="0"/>
                  <w:vAlign w:val="center"/>
                </w:tcPr>
                <w:p w14:paraId="7AF365DA">
                  <w:pPr>
                    <w:widowControl/>
                    <w:jc w:val="center"/>
                    <w:rPr>
                      <w:color w:val="auto"/>
                      <w:kern w:val="0"/>
                      <w:szCs w:val="21"/>
                    </w:rPr>
                  </w:pPr>
                  <w:r>
                    <w:rPr>
                      <w:color w:val="auto"/>
                      <w:kern w:val="0"/>
                      <w:szCs w:val="21"/>
                    </w:rPr>
                    <w:t>相符</w:t>
                  </w:r>
                </w:p>
              </w:tc>
            </w:tr>
            <w:tr w14:paraId="29A31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27" w:type="pct"/>
                  <w:noWrap w:val="0"/>
                  <w:vAlign w:val="center"/>
                </w:tcPr>
                <w:p w14:paraId="5AACE577">
                  <w:pPr>
                    <w:widowControl/>
                    <w:jc w:val="center"/>
                    <w:rPr>
                      <w:color w:val="auto"/>
                      <w:kern w:val="0"/>
                      <w:szCs w:val="21"/>
                    </w:rPr>
                  </w:pPr>
                  <w:r>
                    <w:rPr>
                      <w:color w:val="auto"/>
                      <w:kern w:val="0"/>
                      <w:szCs w:val="21"/>
                    </w:rPr>
                    <w:t>《关于以改善环境质量为核心加强环境影响评价管理的通知》（环环评[2016]150号）</w:t>
                  </w:r>
                </w:p>
              </w:tc>
              <w:tc>
                <w:tcPr>
                  <w:tcW w:w="2173" w:type="pct"/>
                  <w:noWrap w:val="0"/>
                  <w:vAlign w:val="center"/>
                </w:tcPr>
                <w:p w14:paraId="2AE04BA0">
                  <w:pPr>
                    <w:widowControl/>
                    <w:rPr>
                      <w:color w:val="auto"/>
                      <w:kern w:val="0"/>
                      <w:szCs w:val="21"/>
                    </w:rPr>
                  </w:pPr>
                  <w:r>
                    <w:rPr>
                      <w:color w:val="auto"/>
                      <w:kern w:val="0"/>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640" w:type="pct"/>
                  <w:noWrap w:val="0"/>
                  <w:vAlign w:val="center"/>
                </w:tcPr>
                <w:p w14:paraId="7190F2FC">
                  <w:pPr>
                    <w:widowControl/>
                    <w:rPr>
                      <w:color w:val="auto"/>
                      <w:spacing w:val="6"/>
                      <w:szCs w:val="21"/>
                    </w:rPr>
                  </w:pPr>
                  <w:r>
                    <w:rPr>
                      <w:color w:val="auto"/>
                      <w:spacing w:val="6"/>
                      <w:szCs w:val="21"/>
                    </w:rPr>
                    <w:t>（1）</w:t>
                  </w:r>
                  <w:r>
                    <w:rPr>
                      <w:color w:val="auto"/>
                      <w:szCs w:val="21"/>
                    </w:rPr>
                    <w:t>本项目位于</w:t>
                  </w:r>
                  <w:r>
                    <w:rPr>
                      <w:rFonts w:hint="eastAsia"/>
                      <w:color w:val="auto"/>
                      <w:szCs w:val="21"/>
                      <w:lang w:eastAsia="zh-CN"/>
                    </w:rPr>
                    <w:t>常州市金坛区经济开发区东湖路28号</w:t>
                  </w:r>
                  <w:r>
                    <w:rPr>
                      <w:color w:val="auto"/>
                      <w:szCs w:val="21"/>
                    </w:rPr>
                    <w:t>，</w:t>
                  </w:r>
                  <w:r>
                    <w:rPr>
                      <w:rFonts w:hint="eastAsia"/>
                      <w:color w:val="auto"/>
                      <w:kern w:val="0"/>
                      <w:szCs w:val="21"/>
                      <w:lang w:val="en-US" w:eastAsia="zh-CN"/>
                    </w:rPr>
                    <w:t>所在区域无规划环评</w:t>
                  </w:r>
                  <w:r>
                    <w:rPr>
                      <w:color w:val="auto"/>
                      <w:spacing w:val="6"/>
                      <w:szCs w:val="21"/>
                    </w:rPr>
                    <w:t>。（2）</w:t>
                  </w:r>
                  <w:r>
                    <w:rPr>
                      <w:rFonts w:hint="eastAsia"/>
                      <w:color w:val="auto"/>
                      <w:spacing w:val="6"/>
                      <w:szCs w:val="21"/>
                      <w:lang w:val="en-US" w:eastAsia="zh-CN"/>
                    </w:rPr>
                    <w:t>同类型项目无环境污染或生态破坏严重情况、无环境违法违规现象等问题。</w:t>
                  </w:r>
                  <w:r>
                    <w:rPr>
                      <w:rFonts w:hint="eastAsia"/>
                      <w:color w:val="auto"/>
                      <w:spacing w:val="6"/>
                      <w:szCs w:val="21"/>
                      <w:lang w:eastAsia="zh-CN"/>
                    </w:rPr>
                    <w:t>（</w:t>
                  </w:r>
                  <w:r>
                    <w:rPr>
                      <w:rFonts w:hint="eastAsia"/>
                      <w:color w:val="auto"/>
                      <w:spacing w:val="6"/>
                      <w:szCs w:val="21"/>
                      <w:lang w:val="en-US" w:eastAsia="zh-CN"/>
                    </w:rPr>
                    <w:t>3</w:t>
                  </w:r>
                  <w:r>
                    <w:rPr>
                      <w:rFonts w:hint="eastAsia"/>
                      <w:color w:val="auto"/>
                      <w:spacing w:val="6"/>
                      <w:szCs w:val="21"/>
                      <w:lang w:eastAsia="zh-CN"/>
                    </w:rPr>
                    <w:t>）</w:t>
                  </w:r>
                  <w:r>
                    <w:rPr>
                      <w:color w:val="auto"/>
                      <w:spacing w:val="6"/>
                      <w:szCs w:val="21"/>
                    </w:rPr>
                    <w:t>本项目所在区域属于环境空气不达标区，根据大气环境质量改善方案，大气环境质量状况可以得到进一步改善。本项目产生的污染物经采取相应污染物防治措施后均能达标排放，对周边环境影响较小。</w:t>
                  </w:r>
                </w:p>
              </w:tc>
              <w:tc>
                <w:tcPr>
                  <w:tcW w:w="358" w:type="pct"/>
                  <w:noWrap w:val="0"/>
                  <w:vAlign w:val="center"/>
                </w:tcPr>
                <w:p w14:paraId="03046A11">
                  <w:pPr>
                    <w:widowControl/>
                    <w:jc w:val="center"/>
                    <w:rPr>
                      <w:color w:val="auto"/>
                      <w:kern w:val="0"/>
                      <w:szCs w:val="21"/>
                    </w:rPr>
                  </w:pPr>
                  <w:r>
                    <w:rPr>
                      <w:color w:val="auto"/>
                      <w:kern w:val="0"/>
                      <w:szCs w:val="21"/>
                    </w:rPr>
                    <w:t>相符</w:t>
                  </w:r>
                </w:p>
              </w:tc>
            </w:tr>
            <w:tr w14:paraId="02AC7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27" w:type="pct"/>
                  <w:noWrap w:val="0"/>
                  <w:vAlign w:val="center"/>
                </w:tcPr>
                <w:p w14:paraId="5F4EC033">
                  <w:pPr>
                    <w:widowControl/>
                    <w:jc w:val="center"/>
                    <w:rPr>
                      <w:color w:val="auto"/>
                      <w:kern w:val="0"/>
                      <w:szCs w:val="21"/>
                    </w:rPr>
                  </w:pPr>
                  <w:r>
                    <w:rPr>
                      <w:color w:val="auto"/>
                      <w:kern w:val="0"/>
                      <w:szCs w:val="21"/>
                    </w:rPr>
                    <w:t>《关于全面加强生态环境保护坚决打好污染防治攻坚战的实施意见》（苏发[2018]24号）</w:t>
                  </w:r>
                </w:p>
              </w:tc>
              <w:tc>
                <w:tcPr>
                  <w:tcW w:w="2173" w:type="pct"/>
                  <w:noWrap w:val="0"/>
                  <w:vAlign w:val="center"/>
                </w:tcPr>
                <w:p w14:paraId="74A04F18">
                  <w:pPr>
                    <w:widowControl/>
                    <w:rPr>
                      <w:color w:val="auto"/>
                      <w:kern w:val="0"/>
                      <w:szCs w:val="21"/>
                    </w:rPr>
                  </w:pPr>
                  <w:r>
                    <w:rPr>
                      <w:color w:val="auto"/>
                      <w:kern w:val="0"/>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640" w:type="pct"/>
                  <w:noWrap w:val="0"/>
                  <w:vAlign w:val="center"/>
                </w:tcPr>
                <w:p w14:paraId="5F3A606D">
                  <w:pPr>
                    <w:widowControl/>
                    <w:rPr>
                      <w:color w:val="auto"/>
                      <w:kern w:val="0"/>
                      <w:szCs w:val="21"/>
                    </w:rPr>
                  </w:pPr>
                  <w:r>
                    <w:rPr>
                      <w:color w:val="auto"/>
                      <w:kern w:val="0"/>
                      <w:szCs w:val="21"/>
                    </w:rPr>
                    <w:t>本项目位于</w:t>
                  </w:r>
                  <w:r>
                    <w:rPr>
                      <w:rFonts w:hint="eastAsia"/>
                      <w:color w:val="auto"/>
                      <w:szCs w:val="21"/>
                      <w:lang w:eastAsia="zh-CN"/>
                    </w:rPr>
                    <w:t>常州市金坛区经济开发区东湖路28号</w:t>
                  </w:r>
                  <w:r>
                    <w:rPr>
                      <w:color w:val="auto"/>
                      <w:kern w:val="0"/>
                      <w:szCs w:val="21"/>
                    </w:rPr>
                    <w:t>，不属于化工企业，不从事化工项目，不在长江干流及主要支流岸线1公里范围内。</w:t>
                  </w:r>
                </w:p>
              </w:tc>
              <w:tc>
                <w:tcPr>
                  <w:tcW w:w="358" w:type="pct"/>
                  <w:noWrap w:val="0"/>
                  <w:vAlign w:val="center"/>
                </w:tcPr>
                <w:p w14:paraId="59717910">
                  <w:pPr>
                    <w:widowControl/>
                    <w:jc w:val="center"/>
                    <w:rPr>
                      <w:color w:val="auto"/>
                      <w:kern w:val="0"/>
                      <w:szCs w:val="21"/>
                    </w:rPr>
                  </w:pPr>
                  <w:r>
                    <w:rPr>
                      <w:color w:val="auto"/>
                      <w:kern w:val="0"/>
                      <w:szCs w:val="21"/>
                    </w:rPr>
                    <w:t>相符</w:t>
                  </w:r>
                </w:p>
              </w:tc>
            </w:tr>
            <w:tr w14:paraId="0C2AB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27" w:type="pct"/>
                  <w:noWrap w:val="0"/>
                  <w:vAlign w:val="center"/>
                </w:tcPr>
                <w:p w14:paraId="501E5466">
                  <w:pPr>
                    <w:widowControl/>
                    <w:jc w:val="center"/>
                    <w:rPr>
                      <w:color w:val="auto"/>
                      <w:kern w:val="0"/>
                      <w:szCs w:val="21"/>
                    </w:rPr>
                  </w:pPr>
                  <w:r>
                    <w:rPr>
                      <w:color w:val="auto"/>
                      <w:kern w:val="0"/>
                      <w:szCs w:val="21"/>
                    </w:rPr>
                    <w:t>《省政府关于印发江苏省国家级生态保护红线规划的通知》（苏政发[2018]74号）</w:t>
                  </w:r>
                </w:p>
              </w:tc>
              <w:tc>
                <w:tcPr>
                  <w:tcW w:w="2173" w:type="pct"/>
                  <w:noWrap w:val="0"/>
                  <w:vAlign w:val="center"/>
                </w:tcPr>
                <w:p w14:paraId="7D295773">
                  <w:pPr>
                    <w:widowControl/>
                    <w:jc w:val="left"/>
                    <w:rPr>
                      <w:color w:val="auto"/>
                      <w:kern w:val="0"/>
                      <w:szCs w:val="21"/>
                    </w:rPr>
                  </w:pPr>
                  <w:r>
                    <w:rPr>
                      <w:color w:val="auto"/>
                      <w:kern w:val="0"/>
                      <w:szCs w:val="21"/>
                    </w:rPr>
                    <w:t>生态保护红线原则上按禁止开发区域的要求进行管理，严禁不符合主体功能定位的各类开发活动，严禁任意改变用途。</w:t>
                  </w:r>
                </w:p>
              </w:tc>
              <w:tc>
                <w:tcPr>
                  <w:tcW w:w="1640" w:type="pct"/>
                  <w:noWrap w:val="0"/>
                  <w:vAlign w:val="center"/>
                </w:tcPr>
                <w:p w14:paraId="653B6066">
                  <w:pPr>
                    <w:widowControl/>
                    <w:jc w:val="center"/>
                    <w:rPr>
                      <w:color w:val="auto"/>
                      <w:kern w:val="0"/>
                      <w:szCs w:val="21"/>
                    </w:rPr>
                  </w:pPr>
                  <w:r>
                    <w:rPr>
                      <w:color w:val="auto"/>
                      <w:kern w:val="0"/>
                      <w:szCs w:val="21"/>
                    </w:rPr>
                    <w:t>本项目不在生态保护红线内。</w:t>
                  </w:r>
                </w:p>
              </w:tc>
              <w:tc>
                <w:tcPr>
                  <w:tcW w:w="358" w:type="pct"/>
                  <w:noWrap w:val="0"/>
                  <w:vAlign w:val="center"/>
                </w:tcPr>
                <w:p w14:paraId="2E251522">
                  <w:pPr>
                    <w:widowControl/>
                    <w:jc w:val="center"/>
                    <w:rPr>
                      <w:color w:val="auto"/>
                      <w:kern w:val="0"/>
                      <w:szCs w:val="21"/>
                    </w:rPr>
                  </w:pPr>
                  <w:r>
                    <w:rPr>
                      <w:color w:val="auto"/>
                      <w:kern w:val="0"/>
                      <w:szCs w:val="21"/>
                    </w:rPr>
                    <w:t>相符</w:t>
                  </w:r>
                </w:p>
              </w:tc>
            </w:tr>
            <w:tr w14:paraId="06BF8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27" w:type="pct"/>
                  <w:noWrap w:val="0"/>
                  <w:vAlign w:val="center"/>
                </w:tcPr>
                <w:p w14:paraId="7743C817">
                  <w:pPr>
                    <w:widowControl/>
                    <w:jc w:val="center"/>
                    <w:rPr>
                      <w:color w:val="auto"/>
                      <w:kern w:val="0"/>
                      <w:szCs w:val="21"/>
                    </w:rPr>
                  </w:pPr>
                  <w:r>
                    <w:rPr>
                      <w:color w:val="auto"/>
                      <w:kern w:val="0"/>
                      <w:szCs w:val="21"/>
                    </w:rPr>
                    <w:t>《关于发布长江经济带发展负面清单指南（试行）的通知》（推动长江经济带发展领导小组办公室文件第89号）</w:t>
                  </w:r>
                </w:p>
              </w:tc>
              <w:tc>
                <w:tcPr>
                  <w:tcW w:w="2173" w:type="pct"/>
                  <w:noWrap w:val="0"/>
                  <w:vAlign w:val="center"/>
                </w:tcPr>
                <w:p w14:paraId="28C0E2BF">
                  <w:pPr>
                    <w:widowControl/>
                    <w:rPr>
                      <w:color w:val="auto"/>
                      <w:kern w:val="0"/>
                      <w:szCs w:val="21"/>
                    </w:rPr>
                  </w:pPr>
                  <w:r>
                    <w:rPr>
                      <w:color w:val="auto"/>
                      <w:kern w:val="0"/>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tc>
              <w:tc>
                <w:tcPr>
                  <w:tcW w:w="1640" w:type="pct"/>
                  <w:noWrap w:val="0"/>
                  <w:vAlign w:val="center"/>
                </w:tcPr>
                <w:p w14:paraId="77BD40F9">
                  <w:pPr>
                    <w:widowControl/>
                    <w:rPr>
                      <w:color w:val="auto"/>
                      <w:kern w:val="0"/>
                      <w:szCs w:val="21"/>
                    </w:rPr>
                  </w:pPr>
                  <w:r>
                    <w:rPr>
                      <w:color w:val="auto"/>
                      <w:spacing w:val="-2"/>
                      <w:kern w:val="0"/>
                      <w:szCs w:val="21"/>
                    </w:rPr>
                    <w:t>本项</w:t>
                  </w:r>
                  <w:r>
                    <w:rPr>
                      <w:color w:val="auto"/>
                      <w:kern w:val="0"/>
                      <w:szCs w:val="21"/>
                    </w:rPr>
                    <w:t>目从事</w:t>
                  </w:r>
                  <w:r>
                    <w:rPr>
                      <w:rFonts w:hint="eastAsia"/>
                      <w:color w:val="auto"/>
                      <w:kern w:val="0"/>
                      <w:szCs w:val="21"/>
                      <w:lang w:eastAsia="zh-CN"/>
                    </w:rPr>
                    <w:t>热塑性弹性体颗</w:t>
                  </w:r>
                  <w:r>
                    <w:rPr>
                      <w:rFonts w:hint="eastAsia" w:ascii="Times New Roman" w:hAnsi="Times New Roman" w:eastAsia="宋体" w:cs="Times New Roman"/>
                      <w:color w:val="auto"/>
                      <w:lang w:eastAsia="zh-CN"/>
                    </w:rPr>
                    <w:t>粒</w:t>
                  </w:r>
                  <w:r>
                    <w:rPr>
                      <w:rFonts w:hint="eastAsia"/>
                      <w:color w:val="auto"/>
                      <w:kern w:val="0"/>
                      <w:szCs w:val="21"/>
                      <w:lang w:eastAsia="zh-CN"/>
                    </w:rPr>
                    <w:t>、汽车密封件</w:t>
                  </w:r>
                  <w:r>
                    <w:rPr>
                      <w:color w:val="auto"/>
                      <w:kern w:val="0"/>
                      <w:szCs w:val="21"/>
                    </w:rPr>
                    <w:t>的生产，位于</w:t>
                  </w:r>
                  <w:r>
                    <w:rPr>
                      <w:rFonts w:hint="eastAsia"/>
                      <w:color w:val="auto"/>
                      <w:szCs w:val="21"/>
                      <w:lang w:eastAsia="zh-CN"/>
                    </w:rPr>
                    <w:t>常州市金坛区经济开发区东湖路28号</w:t>
                  </w:r>
                  <w:r>
                    <w:rPr>
                      <w:color w:val="auto"/>
                      <w:kern w:val="0"/>
                      <w:szCs w:val="21"/>
                    </w:rPr>
                    <w:t>，不在饮用水源保护区、国家湿地公园、生态红线和永久基本农田范围内，其产业不属于禁止或限制类产业，也不属于落后产能项目、严重过剩产能行业的项目。</w:t>
                  </w:r>
                </w:p>
              </w:tc>
              <w:tc>
                <w:tcPr>
                  <w:tcW w:w="358" w:type="pct"/>
                  <w:noWrap w:val="0"/>
                  <w:vAlign w:val="center"/>
                </w:tcPr>
                <w:p w14:paraId="704D4EF0">
                  <w:pPr>
                    <w:widowControl/>
                    <w:jc w:val="center"/>
                    <w:rPr>
                      <w:color w:val="auto"/>
                      <w:kern w:val="0"/>
                      <w:szCs w:val="21"/>
                    </w:rPr>
                  </w:pPr>
                  <w:r>
                    <w:rPr>
                      <w:color w:val="auto"/>
                      <w:kern w:val="0"/>
                      <w:szCs w:val="21"/>
                    </w:rPr>
                    <w:t>相符</w:t>
                  </w:r>
                </w:p>
              </w:tc>
            </w:tr>
            <w:tr w14:paraId="511C4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27" w:type="pct"/>
                  <w:noWrap w:val="0"/>
                  <w:vAlign w:val="center"/>
                </w:tcPr>
                <w:p w14:paraId="37CC38C3">
                  <w:pPr>
                    <w:pStyle w:val="8"/>
                    <w:jc w:val="center"/>
                    <w:rPr>
                      <w:rFonts w:hint="eastAsia"/>
                      <w:color w:val="auto"/>
                      <w:kern w:val="2"/>
                      <w:sz w:val="21"/>
                      <w:szCs w:val="21"/>
                      <w:lang w:val="en-US" w:eastAsia="zh-CN" w:bidi="ar-SA"/>
                    </w:rPr>
                  </w:pPr>
                  <w:r>
                    <w:rPr>
                      <w:rFonts w:hint="eastAsia"/>
                      <w:color w:val="auto"/>
                      <w:szCs w:val="21"/>
                    </w:rPr>
                    <w:t>《关于加强重点行业涉新污染物建设项目环境影响评价工作的意见》环环评〔2025〕28号</w:t>
                  </w:r>
                </w:p>
              </w:tc>
              <w:tc>
                <w:tcPr>
                  <w:tcW w:w="2173" w:type="pct"/>
                  <w:noWrap w:val="0"/>
                  <w:vAlign w:val="center"/>
                </w:tcPr>
                <w:p w14:paraId="101996A4">
                  <w:pPr>
                    <w:adjustRightInd w:val="0"/>
                    <w:snapToGrid w:val="0"/>
                    <w:jc w:val="center"/>
                    <w:rPr>
                      <w:rFonts w:hint="eastAsia" w:eastAsia="宋体"/>
                      <w:color w:val="auto"/>
                      <w:kern w:val="2"/>
                      <w:sz w:val="21"/>
                      <w:szCs w:val="21"/>
                      <w:lang w:val="en-US" w:eastAsia="zh-CN" w:bidi="ar-SA"/>
                    </w:rPr>
                  </w:pPr>
                  <w:r>
                    <w:rPr>
                      <w:rFonts w:hint="eastAsia"/>
                      <w:color w:val="auto"/>
                      <w:szCs w:val="21"/>
                    </w:rPr>
                    <w:t>二、禁止审批不符合新污染物管控要求的建设项目</w:t>
                  </w:r>
                  <w:r>
                    <w:rPr>
                      <w:rFonts w:hint="eastAsia"/>
                      <w:color w:val="auto"/>
                      <w:szCs w:val="21"/>
                      <w:lang w:eastAsia="zh-CN"/>
                    </w:rPr>
                    <w:t>。</w:t>
                  </w:r>
                  <w:r>
                    <w:rPr>
                      <w:rFonts w:hint="eastAsia"/>
                      <w:color w:val="auto"/>
                      <w:szCs w:val="21"/>
                    </w:rPr>
                    <w:t>各级环评审批部门在受理和审批建设项目环评文件时，应落实重点管控新污染物清单、产业结构调整指导目录、《斯德哥尔摩公约》、生态环境分区管控方案和项目所在园区规划环评等有关管控要求。对照</w:t>
                  </w:r>
                  <w:r>
                    <w:rPr>
                      <w:rFonts w:hint="eastAsia"/>
                      <w:color w:val="auto"/>
                      <w:szCs w:val="21"/>
                    </w:rPr>
                    <w:fldChar w:fldCharType="begin"/>
                  </w:r>
                  <w:r>
                    <w:rPr>
                      <w:rFonts w:hint="eastAsia"/>
                      <w:color w:val="auto"/>
                      <w:szCs w:val="21"/>
                    </w:rPr>
                    <w:instrText xml:space="preserve"> HYPERLINK "https://www.gov.cn/zhengce/zhengceku/202504/P020250415726910785034.pdf" \o "不予审批环评的项目类别.pdf" </w:instrText>
                  </w:r>
                  <w:r>
                    <w:rPr>
                      <w:rFonts w:hint="eastAsia"/>
                      <w:color w:val="auto"/>
                      <w:szCs w:val="21"/>
                    </w:rPr>
                    <w:fldChar w:fldCharType="separate"/>
                  </w:r>
                  <w:r>
                    <w:rPr>
                      <w:rFonts w:hint="eastAsia"/>
                      <w:color w:val="auto"/>
                      <w:szCs w:val="21"/>
                    </w:rPr>
                    <w:t>不予审批环评的项目类别</w:t>
                  </w:r>
                  <w:r>
                    <w:rPr>
                      <w:rFonts w:hint="eastAsia"/>
                      <w:color w:val="auto"/>
                      <w:szCs w:val="21"/>
                    </w:rPr>
                    <w:fldChar w:fldCharType="end"/>
                  </w:r>
                  <w:r>
                    <w:rPr>
                      <w:rFonts w:hint="eastAsia"/>
                      <w:color w:val="auto"/>
                      <w:szCs w:val="21"/>
                    </w:rPr>
                    <w:t>（见附表），严格审核建设项目原辅材料和产品，对于以禁止生产、加工使用的新污染物作为原辅料或产品的建设项目，依法不予审批</w:t>
                  </w:r>
                  <w:r>
                    <w:rPr>
                      <w:rFonts w:hint="eastAsia"/>
                      <w:color w:val="auto"/>
                      <w:szCs w:val="21"/>
                      <w:lang w:eastAsia="zh-CN"/>
                    </w:rPr>
                    <w:t>。</w:t>
                  </w:r>
                </w:p>
              </w:tc>
              <w:tc>
                <w:tcPr>
                  <w:tcW w:w="1640" w:type="pct"/>
                  <w:noWrap w:val="0"/>
                  <w:vAlign w:val="center"/>
                </w:tcPr>
                <w:p w14:paraId="0F697404">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本项目原辅料不在《</w:t>
                  </w:r>
                  <w:r>
                    <w:rPr>
                      <w:rFonts w:hint="eastAsia"/>
                      <w:color w:val="auto"/>
                      <w:szCs w:val="21"/>
                    </w:rPr>
                    <w:t>重点管控新污染物清单（2023年版）</w:t>
                  </w:r>
                  <w:r>
                    <w:rPr>
                      <w:rFonts w:hint="eastAsia"/>
                      <w:color w:val="auto"/>
                      <w:szCs w:val="21"/>
                      <w:lang w:val="en-US" w:eastAsia="zh-CN"/>
                    </w:rPr>
                    <w:t>》《</w:t>
                  </w:r>
                  <w:r>
                    <w:rPr>
                      <w:rFonts w:hint="eastAsia"/>
                      <w:color w:val="auto"/>
                      <w:szCs w:val="21"/>
                    </w:rPr>
                    <w:fldChar w:fldCharType="begin"/>
                  </w:r>
                  <w:r>
                    <w:rPr>
                      <w:rFonts w:hint="eastAsia"/>
                      <w:color w:val="auto"/>
                      <w:szCs w:val="21"/>
                    </w:rPr>
                    <w:instrText xml:space="preserve"> HYPERLINK "https://www.gov.cn/zhengce/zhengceku/202504/P020250415726910785034.pdf" \o "不予审批环评的项目类别.pdf" </w:instrText>
                  </w:r>
                  <w:r>
                    <w:rPr>
                      <w:rFonts w:hint="eastAsia"/>
                      <w:color w:val="auto"/>
                      <w:szCs w:val="21"/>
                    </w:rPr>
                    <w:fldChar w:fldCharType="separate"/>
                  </w:r>
                  <w:r>
                    <w:rPr>
                      <w:rFonts w:hint="eastAsia"/>
                      <w:color w:val="auto"/>
                      <w:szCs w:val="21"/>
                    </w:rPr>
                    <w:t>不予审批环评的项目类别</w:t>
                  </w:r>
                  <w:r>
                    <w:rPr>
                      <w:rFonts w:hint="eastAsia"/>
                      <w:color w:val="auto"/>
                      <w:szCs w:val="21"/>
                    </w:rPr>
                    <w:fldChar w:fldCharType="end"/>
                  </w:r>
                  <w:r>
                    <w:rPr>
                      <w:rFonts w:hint="eastAsia"/>
                      <w:color w:val="auto"/>
                      <w:szCs w:val="21"/>
                      <w:lang w:val="en-US" w:eastAsia="zh-CN"/>
                    </w:rPr>
                    <w:t>》内；本项目原辅料不属于持久性有机污染物，符合</w:t>
                  </w:r>
                  <w:r>
                    <w:rPr>
                      <w:rFonts w:hint="eastAsia"/>
                      <w:color w:val="auto"/>
                      <w:szCs w:val="21"/>
                    </w:rPr>
                    <w:t>《斯德哥尔摩公约》</w:t>
                  </w:r>
                  <w:r>
                    <w:rPr>
                      <w:rFonts w:hint="eastAsia"/>
                      <w:color w:val="auto"/>
                      <w:szCs w:val="21"/>
                      <w:lang w:val="en-US" w:eastAsia="zh-CN"/>
                    </w:rPr>
                    <w:t>；本项目</w:t>
                  </w:r>
                  <w:r>
                    <w:rPr>
                      <w:rFonts w:ascii="Times New Roman" w:hAnsi="Times New Roman" w:eastAsia="宋体" w:cs="Times New Roman"/>
                      <w:color w:val="auto"/>
                      <w:kern w:val="2"/>
                      <w:sz w:val="21"/>
                      <w:szCs w:val="21"/>
                    </w:rPr>
                    <w:t>产品及采用的生产工艺、设备等均不属于国家发改委《产业结构调整指导目录（20</w:t>
                  </w:r>
                  <w:r>
                    <w:rPr>
                      <w:rFonts w:hint="eastAsia" w:ascii="Times New Roman" w:hAnsi="Times New Roman" w:eastAsia="宋体" w:cs="Times New Roman"/>
                      <w:color w:val="auto"/>
                      <w:kern w:val="2"/>
                      <w:sz w:val="21"/>
                      <w:szCs w:val="21"/>
                    </w:rPr>
                    <w:t>24</w:t>
                  </w:r>
                  <w:r>
                    <w:rPr>
                      <w:rFonts w:ascii="Times New Roman" w:hAnsi="Times New Roman" w:eastAsia="宋体" w:cs="Times New Roman"/>
                      <w:color w:val="auto"/>
                      <w:kern w:val="2"/>
                      <w:sz w:val="21"/>
                      <w:szCs w:val="21"/>
                    </w:rPr>
                    <w:t>年本）》中限制类和淘汰类项目</w:t>
                  </w:r>
                  <w:r>
                    <w:rPr>
                      <w:rFonts w:hint="eastAsia" w:ascii="Times New Roman" w:hAnsi="Times New Roman" w:eastAsia="宋体" w:cs="Times New Roman"/>
                      <w:color w:val="auto"/>
                      <w:kern w:val="2"/>
                      <w:sz w:val="21"/>
                      <w:szCs w:val="21"/>
                      <w:lang w:eastAsia="zh-CN"/>
                    </w:rPr>
                    <w:t>。</w:t>
                  </w:r>
                </w:p>
              </w:tc>
              <w:tc>
                <w:tcPr>
                  <w:tcW w:w="358" w:type="pct"/>
                  <w:noWrap w:val="0"/>
                  <w:vAlign w:val="center"/>
                </w:tcPr>
                <w:p w14:paraId="7A70B974">
                  <w:pPr>
                    <w:pStyle w:val="75"/>
                    <w:adjustRightInd w:val="0"/>
                    <w:snapToGrid w:val="0"/>
                    <w:spacing w:line="240" w:lineRule="auto"/>
                    <w:rPr>
                      <w:rFonts w:hint="eastAsia" w:eastAsia="宋体"/>
                      <w:color w:val="auto"/>
                      <w:kern w:val="2"/>
                      <w:sz w:val="21"/>
                      <w:szCs w:val="21"/>
                      <w:lang w:val="en-US" w:eastAsia="zh-CN" w:bidi="ar-SA"/>
                    </w:rPr>
                  </w:pPr>
                  <w:r>
                    <w:rPr>
                      <w:rFonts w:hint="eastAsia" w:eastAsia="宋体"/>
                      <w:color w:val="auto"/>
                      <w:szCs w:val="21"/>
                    </w:rPr>
                    <w:t>相符</w:t>
                  </w:r>
                </w:p>
              </w:tc>
            </w:tr>
          </w:tbl>
          <w:p w14:paraId="158E3387">
            <w:pPr>
              <w:pStyle w:val="6"/>
              <w:adjustRightInd w:val="0"/>
              <w:snapToGrid w:val="0"/>
              <w:ind w:firstLine="0" w:firstLineChars="0"/>
              <w:jc w:val="center"/>
              <w:rPr>
                <w:b/>
                <w:color w:val="auto"/>
                <w:szCs w:val="21"/>
              </w:rPr>
            </w:pPr>
          </w:p>
          <w:p w14:paraId="1A83B0FE">
            <w:pPr>
              <w:pStyle w:val="6"/>
              <w:adjustRightInd w:val="0"/>
              <w:snapToGrid w:val="0"/>
              <w:ind w:firstLine="0" w:firstLineChars="0"/>
              <w:jc w:val="center"/>
              <w:rPr>
                <w:b/>
                <w:color w:val="auto"/>
                <w:szCs w:val="21"/>
              </w:rPr>
            </w:pPr>
          </w:p>
          <w:p w14:paraId="7BA27DD5">
            <w:pPr>
              <w:pStyle w:val="6"/>
              <w:adjustRightInd w:val="0"/>
              <w:snapToGrid w:val="0"/>
              <w:ind w:firstLine="0" w:firstLineChars="0"/>
              <w:jc w:val="center"/>
              <w:rPr>
                <w:b/>
                <w:color w:val="auto"/>
                <w:szCs w:val="21"/>
              </w:rPr>
            </w:pPr>
          </w:p>
          <w:p w14:paraId="69F3A019">
            <w:pPr>
              <w:pStyle w:val="6"/>
              <w:adjustRightInd w:val="0"/>
              <w:snapToGrid w:val="0"/>
              <w:ind w:firstLine="0" w:firstLineChars="0"/>
              <w:jc w:val="center"/>
              <w:rPr>
                <w:b/>
                <w:color w:val="auto"/>
                <w:szCs w:val="21"/>
              </w:rPr>
            </w:pPr>
          </w:p>
          <w:p w14:paraId="0DDC77A8">
            <w:pPr>
              <w:pStyle w:val="6"/>
              <w:adjustRightInd w:val="0"/>
              <w:snapToGrid w:val="0"/>
              <w:ind w:firstLine="0" w:firstLineChars="0"/>
              <w:jc w:val="center"/>
              <w:rPr>
                <w:b/>
                <w:color w:val="auto"/>
                <w:szCs w:val="21"/>
              </w:rPr>
            </w:pPr>
          </w:p>
          <w:p w14:paraId="4269A709">
            <w:pPr>
              <w:pStyle w:val="6"/>
              <w:adjustRightInd w:val="0"/>
              <w:snapToGrid w:val="0"/>
              <w:ind w:firstLine="0" w:firstLineChars="0"/>
              <w:jc w:val="center"/>
              <w:rPr>
                <w:b/>
                <w:color w:val="auto"/>
                <w:szCs w:val="21"/>
              </w:rPr>
            </w:pPr>
          </w:p>
          <w:p w14:paraId="0F52C654">
            <w:pPr>
              <w:pStyle w:val="6"/>
              <w:adjustRightInd w:val="0"/>
              <w:snapToGrid w:val="0"/>
              <w:ind w:firstLine="0" w:firstLineChars="0"/>
              <w:jc w:val="center"/>
              <w:rPr>
                <w:b/>
                <w:color w:val="auto"/>
                <w:szCs w:val="21"/>
              </w:rPr>
            </w:pPr>
          </w:p>
          <w:p w14:paraId="27E8E769">
            <w:pPr>
              <w:pStyle w:val="6"/>
              <w:adjustRightInd w:val="0"/>
              <w:snapToGrid w:val="0"/>
              <w:ind w:firstLine="0" w:firstLineChars="0"/>
              <w:jc w:val="center"/>
              <w:rPr>
                <w:b/>
                <w:color w:val="auto"/>
                <w:szCs w:val="21"/>
              </w:rPr>
            </w:pPr>
          </w:p>
          <w:p w14:paraId="29DCD4A9">
            <w:pPr>
              <w:pStyle w:val="6"/>
              <w:adjustRightInd w:val="0"/>
              <w:snapToGrid w:val="0"/>
              <w:ind w:firstLine="0" w:firstLineChars="0"/>
              <w:jc w:val="center"/>
              <w:rPr>
                <w:b/>
                <w:color w:val="auto"/>
                <w:szCs w:val="21"/>
              </w:rPr>
            </w:pPr>
          </w:p>
          <w:p w14:paraId="7B8B8A20">
            <w:pPr>
              <w:pStyle w:val="6"/>
              <w:adjustRightInd w:val="0"/>
              <w:snapToGrid w:val="0"/>
              <w:ind w:firstLine="0" w:firstLineChars="0"/>
              <w:jc w:val="center"/>
              <w:rPr>
                <w:b/>
                <w:color w:val="auto"/>
                <w:szCs w:val="21"/>
              </w:rPr>
            </w:pPr>
          </w:p>
          <w:p w14:paraId="3271024D">
            <w:pPr>
              <w:pStyle w:val="6"/>
              <w:adjustRightInd w:val="0"/>
              <w:snapToGrid w:val="0"/>
              <w:ind w:firstLine="0" w:firstLineChars="0"/>
              <w:jc w:val="center"/>
              <w:rPr>
                <w:b/>
                <w:color w:val="auto"/>
                <w:szCs w:val="21"/>
              </w:rPr>
            </w:pPr>
          </w:p>
          <w:p w14:paraId="71618D85">
            <w:pPr>
              <w:pStyle w:val="6"/>
              <w:adjustRightInd w:val="0"/>
              <w:snapToGrid w:val="0"/>
              <w:ind w:firstLine="0" w:firstLineChars="0"/>
              <w:jc w:val="center"/>
              <w:rPr>
                <w:b/>
                <w:color w:val="auto"/>
                <w:szCs w:val="21"/>
              </w:rPr>
            </w:pPr>
          </w:p>
          <w:p w14:paraId="10DED53B">
            <w:pPr>
              <w:pStyle w:val="6"/>
              <w:adjustRightInd w:val="0"/>
              <w:snapToGrid w:val="0"/>
              <w:ind w:firstLine="0" w:firstLineChars="0"/>
              <w:jc w:val="center"/>
              <w:rPr>
                <w:b/>
                <w:color w:val="auto"/>
                <w:szCs w:val="21"/>
              </w:rPr>
            </w:pPr>
          </w:p>
          <w:p w14:paraId="2CB488C5">
            <w:pPr>
              <w:pStyle w:val="6"/>
              <w:adjustRightInd w:val="0"/>
              <w:snapToGrid w:val="0"/>
              <w:ind w:firstLine="0" w:firstLineChars="0"/>
              <w:jc w:val="center"/>
              <w:rPr>
                <w:b/>
                <w:color w:val="auto"/>
                <w:szCs w:val="21"/>
              </w:rPr>
            </w:pPr>
          </w:p>
          <w:p w14:paraId="3AB0812B">
            <w:pPr>
              <w:pStyle w:val="6"/>
              <w:adjustRightInd w:val="0"/>
              <w:snapToGrid w:val="0"/>
              <w:ind w:firstLine="0" w:firstLineChars="0"/>
              <w:jc w:val="center"/>
              <w:rPr>
                <w:b/>
                <w:color w:val="auto"/>
                <w:szCs w:val="21"/>
              </w:rPr>
            </w:pPr>
          </w:p>
          <w:p w14:paraId="0EA1600A">
            <w:pPr>
              <w:pStyle w:val="6"/>
              <w:adjustRightInd w:val="0"/>
              <w:snapToGrid w:val="0"/>
              <w:ind w:firstLine="0" w:firstLineChars="0"/>
              <w:jc w:val="center"/>
              <w:rPr>
                <w:b/>
                <w:color w:val="auto"/>
                <w:szCs w:val="21"/>
              </w:rPr>
            </w:pPr>
          </w:p>
          <w:p w14:paraId="684EA3FC">
            <w:pPr>
              <w:pStyle w:val="6"/>
              <w:adjustRightInd w:val="0"/>
              <w:snapToGrid w:val="0"/>
              <w:ind w:firstLine="0" w:firstLineChars="0"/>
              <w:jc w:val="center"/>
              <w:rPr>
                <w:b/>
                <w:color w:val="auto"/>
                <w:szCs w:val="21"/>
              </w:rPr>
            </w:pPr>
          </w:p>
          <w:p w14:paraId="106E83F5">
            <w:pPr>
              <w:pStyle w:val="6"/>
              <w:adjustRightInd w:val="0"/>
              <w:snapToGrid w:val="0"/>
              <w:ind w:firstLine="0" w:firstLineChars="0"/>
              <w:jc w:val="center"/>
              <w:rPr>
                <w:b/>
                <w:color w:val="auto"/>
                <w:szCs w:val="21"/>
              </w:rPr>
            </w:pPr>
          </w:p>
          <w:p w14:paraId="72683A12">
            <w:pPr>
              <w:pStyle w:val="6"/>
              <w:adjustRightInd w:val="0"/>
              <w:snapToGrid w:val="0"/>
              <w:ind w:firstLine="0" w:firstLineChars="0"/>
              <w:jc w:val="center"/>
              <w:rPr>
                <w:b/>
                <w:color w:val="auto"/>
                <w:szCs w:val="21"/>
              </w:rPr>
            </w:pPr>
          </w:p>
          <w:p w14:paraId="4C60ED33">
            <w:pPr>
              <w:pStyle w:val="6"/>
              <w:adjustRightInd w:val="0"/>
              <w:snapToGrid w:val="0"/>
              <w:ind w:firstLine="0" w:firstLineChars="0"/>
              <w:jc w:val="center"/>
              <w:rPr>
                <w:b/>
                <w:color w:val="auto"/>
                <w:szCs w:val="21"/>
              </w:rPr>
            </w:pPr>
          </w:p>
          <w:p w14:paraId="795EDA4E">
            <w:pPr>
              <w:pStyle w:val="6"/>
              <w:adjustRightInd w:val="0"/>
              <w:snapToGrid w:val="0"/>
              <w:ind w:firstLine="0" w:firstLineChars="0"/>
              <w:jc w:val="center"/>
              <w:rPr>
                <w:b/>
                <w:color w:val="auto"/>
                <w:szCs w:val="21"/>
              </w:rPr>
            </w:pPr>
          </w:p>
          <w:p w14:paraId="2BAA16C7">
            <w:pPr>
              <w:pStyle w:val="6"/>
              <w:adjustRightInd w:val="0"/>
              <w:snapToGrid w:val="0"/>
              <w:ind w:firstLine="0" w:firstLineChars="0"/>
              <w:jc w:val="center"/>
              <w:rPr>
                <w:b/>
                <w:color w:val="auto"/>
                <w:szCs w:val="21"/>
              </w:rPr>
            </w:pPr>
          </w:p>
          <w:p w14:paraId="48771E74">
            <w:pPr>
              <w:pStyle w:val="6"/>
              <w:adjustRightInd w:val="0"/>
              <w:snapToGrid w:val="0"/>
              <w:ind w:firstLine="0" w:firstLineChars="0"/>
              <w:jc w:val="center"/>
              <w:rPr>
                <w:b/>
                <w:color w:val="auto"/>
                <w:szCs w:val="21"/>
              </w:rPr>
            </w:pPr>
          </w:p>
          <w:p w14:paraId="04347451">
            <w:pPr>
              <w:pStyle w:val="6"/>
              <w:adjustRightInd w:val="0"/>
              <w:snapToGrid w:val="0"/>
              <w:ind w:firstLine="0" w:firstLineChars="0"/>
              <w:jc w:val="center"/>
              <w:rPr>
                <w:b/>
                <w:color w:val="auto"/>
                <w:szCs w:val="21"/>
              </w:rPr>
            </w:pPr>
          </w:p>
          <w:p w14:paraId="00B71605">
            <w:pPr>
              <w:pStyle w:val="6"/>
              <w:adjustRightInd w:val="0"/>
              <w:snapToGrid w:val="0"/>
              <w:ind w:firstLine="0" w:firstLineChars="0"/>
              <w:jc w:val="center"/>
              <w:rPr>
                <w:b/>
                <w:color w:val="auto"/>
                <w:szCs w:val="21"/>
              </w:rPr>
            </w:pPr>
          </w:p>
          <w:p w14:paraId="1BDFC14F">
            <w:pPr>
              <w:pStyle w:val="6"/>
              <w:adjustRightInd w:val="0"/>
              <w:snapToGrid w:val="0"/>
              <w:ind w:firstLine="0" w:firstLineChars="0"/>
              <w:jc w:val="center"/>
              <w:rPr>
                <w:b/>
                <w:color w:val="auto"/>
                <w:szCs w:val="21"/>
              </w:rPr>
            </w:pPr>
          </w:p>
          <w:p w14:paraId="73D04DCA">
            <w:pPr>
              <w:pStyle w:val="6"/>
              <w:adjustRightInd w:val="0"/>
              <w:snapToGrid w:val="0"/>
              <w:ind w:firstLine="0" w:firstLineChars="0"/>
              <w:jc w:val="center"/>
              <w:rPr>
                <w:b/>
                <w:color w:val="auto"/>
                <w:szCs w:val="21"/>
              </w:rPr>
            </w:pPr>
          </w:p>
          <w:p w14:paraId="5EA52E7C">
            <w:pPr>
              <w:pStyle w:val="6"/>
              <w:adjustRightInd w:val="0"/>
              <w:snapToGrid w:val="0"/>
              <w:ind w:firstLine="0" w:firstLineChars="0"/>
              <w:jc w:val="center"/>
              <w:rPr>
                <w:b/>
                <w:color w:val="auto"/>
                <w:szCs w:val="21"/>
              </w:rPr>
            </w:pPr>
          </w:p>
          <w:p w14:paraId="651EAC86">
            <w:pPr>
              <w:pStyle w:val="6"/>
              <w:adjustRightInd w:val="0"/>
              <w:snapToGrid w:val="0"/>
              <w:ind w:firstLine="0" w:firstLineChars="0"/>
              <w:jc w:val="center"/>
              <w:rPr>
                <w:b/>
                <w:color w:val="auto"/>
                <w:szCs w:val="21"/>
              </w:rPr>
            </w:pPr>
          </w:p>
          <w:p w14:paraId="09EFDBD2">
            <w:pPr>
              <w:pStyle w:val="6"/>
              <w:adjustRightInd w:val="0"/>
              <w:snapToGrid w:val="0"/>
              <w:ind w:firstLine="0" w:firstLineChars="0"/>
              <w:jc w:val="center"/>
              <w:rPr>
                <w:b/>
                <w:color w:val="auto"/>
                <w:szCs w:val="21"/>
              </w:rPr>
            </w:pPr>
          </w:p>
          <w:p w14:paraId="42CE6501">
            <w:pPr>
              <w:pStyle w:val="6"/>
              <w:adjustRightInd w:val="0"/>
              <w:snapToGrid w:val="0"/>
              <w:ind w:firstLine="0" w:firstLineChars="0"/>
              <w:jc w:val="center"/>
              <w:rPr>
                <w:b/>
                <w:color w:val="auto"/>
                <w:szCs w:val="21"/>
              </w:rPr>
            </w:pPr>
          </w:p>
          <w:p w14:paraId="69B63D97">
            <w:pPr>
              <w:pStyle w:val="6"/>
              <w:adjustRightInd w:val="0"/>
              <w:snapToGrid w:val="0"/>
              <w:ind w:firstLine="0" w:firstLineChars="0"/>
              <w:jc w:val="center"/>
              <w:rPr>
                <w:b/>
                <w:color w:val="auto"/>
                <w:szCs w:val="21"/>
              </w:rPr>
            </w:pPr>
          </w:p>
          <w:p w14:paraId="21C75A8E">
            <w:pPr>
              <w:pStyle w:val="6"/>
              <w:ind w:firstLine="0" w:firstLineChars="0"/>
              <w:rPr>
                <w:color w:val="auto"/>
                <w:kern w:val="0"/>
                <w:szCs w:val="21"/>
              </w:rPr>
            </w:pPr>
          </w:p>
        </w:tc>
      </w:tr>
    </w:tbl>
    <w:p w14:paraId="1935AC79">
      <w:pPr>
        <w:spacing w:line="360" w:lineRule="auto"/>
        <w:outlineLvl w:val="0"/>
        <w:rPr>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3E42811">
      <w:pPr>
        <w:pStyle w:val="25"/>
        <w:adjustRightInd w:val="0"/>
        <w:snapToGrid w:val="0"/>
        <w:spacing w:before="0" w:beforeAutospacing="0" w:after="0" w:afterAutospacing="0"/>
        <w:outlineLvl w:val="0"/>
        <w:rPr>
          <w:rFonts w:ascii="Times New Roman" w:hAnsi="Times New Roman"/>
          <w:b/>
          <w:bCs/>
          <w:snapToGrid w:val="0"/>
          <w:color w:val="auto"/>
          <w:sz w:val="28"/>
          <w:szCs w:val="28"/>
        </w:rPr>
      </w:pPr>
      <w:bookmarkStart w:id="3" w:name="_Toc518"/>
      <w:r>
        <w:rPr>
          <w:rFonts w:ascii="Times New Roman" w:hAnsi="Times New Roman"/>
          <w:b/>
          <w:bCs/>
          <w:snapToGrid w:val="0"/>
          <w:color w:val="auto"/>
          <w:sz w:val="28"/>
          <w:szCs w:val="28"/>
        </w:rPr>
        <w:t>二、建设项目工程分析</w:t>
      </w:r>
      <w:bookmarkEnd w:id="3"/>
    </w:p>
    <w:tbl>
      <w:tblPr>
        <w:tblStyle w:val="28"/>
        <w:tblW w:w="90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50"/>
        <w:gridCol w:w="8510"/>
      </w:tblGrid>
      <w:tr w14:paraId="2874A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50" w:type="dxa"/>
            <w:noWrap w:val="0"/>
            <w:tcMar>
              <w:top w:w="0" w:type="dxa"/>
              <w:left w:w="0" w:type="dxa"/>
              <w:bottom w:w="0" w:type="dxa"/>
              <w:right w:w="0" w:type="dxa"/>
            </w:tcMar>
            <w:vAlign w:val="center"/>
          </w:tcPr>
          <w:p w14:paraId="0E8A1294">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8510" w:type="dxa"/>
            <w:noWrap w:val="0"/>
            <w:vAlign w:val="top"/>
          </w:tcPr>
          <w:p w14:paraId="4668671C">
            <w:pPr>
              <w:spacing w:before="120" w:beforeLines="50"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一、项目由来</w:t>
            </w:r>
          </w:p>
          <w:p w14:paraId="37B59E9A">
            <w:pPr>
              <w:spacing w:line="360" w:lineRule="auto"/>
              <w:ind w:firstLine="420" w:firstLineChars="2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常州和瑞新材料科技有限公司</w:t>
            </w:r>
            <w:r>
              <w:rPr>
                <w:rFonts w:hint="default" w:ascii="Times New Roman" w:hAnsi="Times New Roman" w:eastAsia="宋体" w:cs="Times New Roman"/>
                <w:color w:val="auto"/>
                <w:szCs w:val="21"/>
              </w:rPr>
              <w:t>成立于</w:t>
            </w:r>
            <w:r>
              <w:rPr>
                <w:rFonts w:hint="eastAsia" w:ascii="Times New Roman" w:hAnsi="Times New Roman" w:eastAsia="宋体" w:cs="Times New Roman"/>
                <w:color w:val="auto"/>
                <w:szCs w:val="21"/>
                <w:lang w:eastAsia="zh-CN"/>
              </w:rPr>
              <w:t>2021年12月4日</w:t>
            </w:r>
            <w:r>
              <w:rPr>
                <w:rFonts w:hint="default" w:ascii="Times New Roman" w:hAnsi="Times New Roman" w:eastAsia="宋体" w:cs="Times New Roman"/>
                <w:color w:val="auto"/>
                <w:szCs w:val="21"/>
              </w:rPr>
              <w:t>，注册地址：一般项目：新材料技术研发；橡胶制品制造；塑料制品制造；塑料制品销售；玻璃纤维增强塑料制品销售；化工产品销售（不含许可类化工产品）（除依法须经批准的项目外，凭营业执照依法自主开展经营活动）。</w:t>
            </w:r>
          </w:p>
          <w:p w14:paraId="2EA97AB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建设单位于2021年</w:t>
            </w:r>
            <w:r>
              <w:rPr>
                <w:rFonts w:hint="eastAsia" w:cs="Times New Roman"/>
                <w:color w:val="auto"/>
                <w:sz w:val="21"/>
                <w:szCs w:val="21"/>
                <w:lang w:val="en-US" w:eastAsia="zh-CN"/>
              </w:rPr>
              <w:t>投资</w:t>
            </w:r>
            <w:r>
              <w:rPr>
                <w:rFonts w:hint="eastAsia"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lang w:val="en-US" w:eastAsia="zh-CN"/>
              </w:rPr>
              <w:t>万元，租赁</w:t>
            </w:r>
            <w:r>
              <w:rPr>
                <w:rFonts w:hint="eastAsia" w:ascii="Times New Roman" w:hAnsi="Times New Roman" w:eastAsia="宋体" w:cs="Times New Roman"/>
                <w:color w:val="auto"/>
                <w:sz w:val="21"/>
                <w:szCs w:val="21"/>
                <w:lang w:val="en-US" w:eastAsia="zh-CN"/>
              </w:rPr>
              <w:t>金博通众创园8幢闲置厂房</w:t>
            </w: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sz w:val="21"/>
                <w:szCs w:val="21"/>
                <w:lang w:eastAsia="zh-CN"/>
              </w:rPr>
              <w:t>“</w:t>
            </w:r>
            <w:r>
              <w:rPr>
                <w:rFonts w:eastAsia="宋体"/>
                <w:b w:val="0"/>
                <w:bCs/>
                <w:color w:val="auto"/>
              </w:rPr>
              <w:t>新建热塑性弹性体及制品项目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年</w:t>
            </w:r>
            <w:r>
              <w:rPr>
                <w:rFonts w:hint="eastAsia"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编制了《</w:t>
            </w:r>
            <w:r>
              <w:rPr>
                <w:rFonts w:hint="eastAsia" w:ascii="Times New Roman" w:hAnsi="Times New Roman" w:eastAsia="宋体" w:cs="Times New Roman"/>
                <w:color w:val="auto"/>
                <w:sz w:val="21"/>
                <w:szCs w:val="21"/>
                <w:lang w:eastAsia="zh-CN"/>
              </w:rPr>
              <w:t>常州和瑞新材料科技有限公司</w:t>
            </w:r>
            <w:r>
              <w:rPr>
                <w:rFonts w:eastAsia="宋体"/>
                <w:b w:val="0"/>
                <w:bCs/>
                <w:color w:val="auto"/>
              </w:rPr>
              <w:t>新建热塑性弹性体及制品项目</w:t>
            </w:r>
            <w:r>
              <w:rPr>
                <w:rFonts w:hint="default" w:ascii="Times New Roman" w:hAnsi="Times New Roman" w:eastAsia="宋体" w:cs="Times New Roman"/>
                <w:color w:val="auto"/>
                <w:szCs w:val="21"/>
                <w:lang w:val="en-US" w:eastAsia="zh-CN"/>
              </w:rPr>
              <w:t>环境影响报告表》</w:t>
            </w:r>
            <w:r>
              <w:rPr>
                <w:rFonts w:hint="default" w:ascii="Times New Roman" w:hAnsi="Times New Roman" w:eastAsia="宋体" w:cs="Times New Roman"/>
                <w:color w:val="auto"/>
                <w:sz w:val="21"/>
                <w:szCs w:val="21"/>
                <w:lang w:val="en-US" w:eastAsia="zh-CN"/>
              </w:rPr>
              <w:t>于202</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lang w:val="en-US" w:eastAsia="zh-CN"/>
              </w:rPr>
              <w:t>日经</w:t>
            </w:r>
            <w:r>
              <w:rPr>
                <w:rFonts w:hint="default" w:ascii="Times New Roman" w:hAnsi="Times New Roman" w:eastAsia="宋体" w:cs="Times New Roman"/>
                <w:color w:val="auto"/>
                <w:sz w:val="21"/>
                <w:szCs w:val="21"/>
              </w:rPr>
              <w:t>常州市生态环境局审批通过（</w:t>
            </w:r>
            <w:r>
              <w:rPr>
                <w:rFonts w:hint="default" w:ascii="Times New Roman" w:hAnsi="Times New Roman" w:eastAsia="宋体" w:cs="Times New Roman"/>
                <w:color w:val="auto"/>
                <w:sz w:val="21"/>
                <w:szCs w:val="21"/>
                <w:lang w:val="en-US" w:eastAsia="zh-CN"/>
              </w:rPr>
              <w:t>批文号：常金环审</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146号</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项目建成后全厂年生产</w:t>
            </w:r>
            <w:r>
              <w:rPr>
                <w:rFonts w:hint="default" w:ascii="Times New Roman" w:hAnsi="Times New Roman" w:eastAsia="宋体" w:cs="Times New Roman"/>
                <w:color w:val="auto"/>
                <w:sz w:val="21"/>
                <w:szCs w:val="21"/>
                <w:lang w:val="en-US" w:eastAsia="zh-CN" w:bidi="ar-SA"/>
              </w:rPr>
              <w:t>热塑性弹性体颗粒</w:t>
            </w:r>
            <w:r>
              <w:rPr>
                <w:rFonts w:hint="eastAsia" w:ascii="Times New Roman" w:hAnsi="Times New Roman" w:eastAsia="宋体" w:cs="Times New Roman"/>
                <w:color w:val="auto"/>
                <w:sz w:val="21"/>
                <w:szCs w:val="21"/>
                <w:lang w:val="en-US" w:eastAsia="zh-CN" w:bidi="ar-SA"/>
              </w:rPr>
              <w:t>2000t、汽车密封件30t</w:t>
            </w:r>
            <w:r>
              <w:rPr>
                <w:rFonts w:hint="default" w:ascii="Times New Roman" w:hAnsi="Times New Roman" w:eastAsia="宋体" w:cs="Times New Roman"/>
                <w:bCs/>
                <w:color w:val="auto"/>
                <w:szCs w:val="21"/>
              </w:rPr>
              <w:t>。</w:t>
            </w:r>
            <w:r>
              <w:rPr>
                <w:rFonts w:hint="default" w:ascii="Times New Roman" w:hAnsi="Times New Roman" w:eastAsia="宋体" w:cs="Times New Roman"/>
                <w:color w:val="auto"/>
                <w:sz w:val="21"/>
                <w:szCs w:val="21"/>
                <w:lang w:val="en-US" w:eastAsia="zh-CN"/>
              </w:rPr>
              <w:t>该项目于202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月</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日完成自主验收，年生产</w:t>
            </w:r>
            <w:r>
              <w:rPr>
                <w:rFonts w:hint="default" w:ascii="Times New Roman" w:hAnsi="Times New Roman" w:eastAsia="宋体" w:cs="Times New Roman"/>
                <w:color w:val="auto"/>
                <w:sz w:val="21"/>
                <w:szCs w:val="21"/>
                <w:lang w:val="en-US" w:eastAsia="zh-CN" w:bidi="ar-SA"/>
              </w:rPr>
              <w:t>热塑性弹性体颗粒</w:t>
            </w:r>
            <w:r>
              <w:rPr>
                <w:rFonts w:hint="eastAsia" w:ascii="Times New Roman" w:hAnsi="Times New Roman" w:eastAsia="宋体" w:cs="Times New Roman"/>
                <w:color w:val="auto"/>
                <w:sz w:val="21"/>
                <w:szCs w:val="21"/>
                <w:lang w:val="en-US" w:eastAsia="zh-CN" w:bidi="ar-SA"/>
              </w:rPr>
              <w:t>2000t、汽车密封件30t</w:t>
            </w:r>
            <w:r>
              <w:rPr>
                <w:rFonts w:hint="default" w:ascii="Times New Roman" w:hAnsi="Times New Roman" w:eastAsia="宋体" w:cs="Times New Roman"/>
                <w:bCs/>
                <w:color w:val="auto"/>
                <w:szCs w:val="21"/>
              </w:rPr>
              <w:t>。</w:t>
            </w:r>
          </w:p>
          <w:p w14:paraId="2BB41667">
            <w:pPr>
              <w:spacing w:line="360" w:lineRule="auto"/>
              <w:ind w:firstLine="420" w:firstLineChars="200"/>
              <w:rPr>
                <w:rFonts w:hint="eastAsia" w:cs="Times New Roman"/>
                <w:color w:val="auto"/>
                <w:szCs w:val="21"/>
                <w:lang w:eastAsia="zh-CN"/>
              </w:rPr>
            </w:pPr>
            <w:r>
              <w:rPr>
                <w:rFonts w:hint="default" w:ascii="Times New Roman" w:hAnsi="Times New Roman" w:eastAsia="宋体" w:cs="Times New Roman"/>
                <w:color w:val="auto"/>
                <w:szCs w:val="21"/>
                <w:lang w:val="en-US" w:eastAsia="zh-CN"/>
              </w:rPr>
              <w:t>建设单位拟投资</w:t>
            </w:r>
            <w:r>
              <w:rPr>
                <w:rFonts w:hint="eastAsia" w:ascii="Times New Roman" w:hAnsi="Times New Roman" w:eastAsia="宋体" w:cs="Times New Roman"/>
                <w:color w:val="auto"/>
                <w:szCs w:val="21"/>
                <w:lang w:val="en-US" w:eastAsia="zh-CN"/>
              </w:rPr>
              <w:t>500</w:t>
            </w:r>
            <w:r>
              <w:rPr>
                <w:rFonts w:hint="default" w:ascii="Times New Roman" w:hAnsi="Times New Roman" w:eastAsia="宋体" w:cs="Times New Roman"/>
                <w:color w:val="auto"/>
                <w:szCs w:val="21"/>
                <w:lang w:val="en-US" w:eastAsia="zh-CN"/>
              </w:rPr>
              <w:t>万元</w:t>
            </w:r>
            <w:r>
              <w:rPr>
                <w:rFonts w:hint="eastAsia" w:ascii="Times New Roman" w:hAnsi="Times New Roman" w:eastAsia="宋体" w:cs="Times New Roman"/>
                <w:color w:val="auto"/>
                <w:szCs w:val="21"/>
                <w:lang w:val="en-US" w:eastAsia="zh-CN"/>
              </w:rPr>
              <w:t>，搬迁至</w:t>
            </w:r>
            <w:r>
              <w:rPr>
                <w:rFonts w:hint="eastAsia"/>
                <w:color w:val="auto"/>
                <w:szCs w:val="21"/>
                <w:lang w:eastAsia="zh-CN"/>
              </w:rPr>
              <w:t>常州市金坛区经济开发区东湖路28号，</w:t>
            </w:r>
            <w:r>
              <w:rPr>
                <w:rFonts w:hint="eastAsia"/>
                <w:color w:val="auto"/>
                <w:szCs w:val="21"/>
                <w:lang w:val="en-US" w:eastAsia="zh-CN"/>
              </w:rPr>
              <w:t>租赁常州市金坛区欣阳服饰有限公司现有空置厂房1660m</w:t>
            </w:r>
            <w:r>
              <w:rPr>
                <w:rFonts w:hint="eastAsia"/>
                <w:color w:val="auto"/>
                <w:szCs w:val="21"/>
                <w:vertAlign w:val="superscript"/>
                <w:lang w:val="en-US" w:eastAsia="zh-CN"/>
              </w:rPr>
              <w:t>2</w:t>
            </w:r>
            <w:r>
              <w:rPr>
                <w:rFonts w:hint="default" w:ascii="Times New Roman" w:hAnsi="Times New Roman" w:eastAsia="宋体" w:cs="Times New Roman"/>
                <w:color w:val="auto"/>
                <w:szCs w:val="21"/>
                <w:lang w:val="en-US" w:eastAsia="zh-CN"/>
              </w:rPr>
              <w:t>建设</w:t>
            </w:r>
            <w:r>
              <w:rPr>
                <w:rFonts w:hint="default"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eastAsia="zh-CN"/>
              </w:rPr>
              <w:t>新建热塑性弹性体及汽车密封件项目</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（以下简称</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w:t>
            </w:r>
            <w:r>
              <w:rPr>
                <w:rFonts w:hint="eastAsia" w:cs="Times New Roman"/>
                <w:color w:val="auto"/>
                <w:szCs w:val="21"/>
                <w:lang w:eastAsia="zh-CN"/>
              </w:rPr>
              <w:t>。</w:t>
            </w:r>
          </w:p>
          <w:p w14:paraId="54E7AA7D">
            <w:pPr>
              <w:spacing w:line="360" w:lineRule="auto"/>
              <w:ind w:firstLine="420" w:firstLineChars="200"/>
              <w:rPr>
                <w:rFonts w:hint="default" w:ascii="Times New Roman" w:hAnsi="Times New Roman" w:eastAsia="宋体" w:cs="Times New Roman"/>
                <w:color w:val="0000FF"/>
                <w:szCs w:val="21"/>
                <w:lang w:val="en-US" w:eastAsia="zh-CN"/>
              </w:rPr>
            </w:pPr>
            <w:r>
              <w:rPr>
                <w:rFonts w:hint="eastAsia"/>
                <w:color w:val="0000FF"/>
                <w:lang w:val="en-US" w:eastAsia="zh-CN"/>
              </w:rPr>
              <w:t>本次搬迁后，汽车密封件生产线所需的原材料不再对外采购，本项目生产的部分热塑性弹性体颗粒（30t/a）直接作为汽车密封件的原材料使用。项目建成后，年生产热塑性弹性体颗粒2000t、汽车密封件30t，最终销售产品为热塑性弹性体颗粒1970t、汽车密封件30t。</w:t>
            </w:r>
          </w:p>
          <w:p w14:paraId="4D31BE1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本项目已于</w:t>
            </w:r>
            <w:r>
              <w:rPr>
                <w:rFonts w:hint="eastAsia" w:ascii="Times New Roman" w:hAnsi="Times New Roman" w:eastAsia="宋体" w:cs="Times New Roman"/>
                <w:color w:val="auto"/>
                <w:szCs w:val="21"/>
                <w:lang w:eastAsia="zh-CN"/>
              </w:rPr>
              <w:t>2025年12月17日</w:t>
            </w:r>
            <w:r>
              <w:rPr>
                <w:rFonts w:hint="default" w:ascii="Times New Roman" w:hAnsi="Times New Roman" w:eastAsia="宋体" w:cs="Times New Roman"/>
                <w:color w:val="auto"/>
                <w:szCs w:val="21"/>
              </w:rPr>
              <w:t>取得江苏金坛经济开发区经济发展局关于《</w:t>
            </w:r>
            <w:r>
              <w:rPr>
                <w:rFonts w:hint="eastAsia" w:ascii="Times New Roman" w:hAnsi="Times New Roman" w:eastAsia="宋体" w:cs="Times New Roman"/>
                <w:color w:val="auto"/>
                <w:szCs w:val="21"/>
                <w:lang w:eastAsia="zh-CN"/>
              </w:rPr>
              <w:t>新建热塑性弹性体及汽车密封件项目</w:t>
            </w:r>
            <w:r>
              <w:rPr>
                <w:rFonts w:hint="default" w:ascii="Times New Roman" w:hAnsi="Times New Roman" w:eastAsia="宋体" w:cs="Times New Roman"/>
                <w:color w:val="auto"/>
                <w:szCs w:val="21"/>
              </w:rPr>
              <w:t>》备案（</w:t>
            </w:r>
            <w:r>
              <w:rPr>
                <w:rFonts w:hint="eastAsia" w:ascii="Times New Roman" w:hAnsi="Times New Roman" w:eastAsia="宋体" w:cs="Times New Roman"/>
                <w:color w:val="auto"/>
                <w:szCs w:val="21"/>
                <w:lang w:eastAsia="zh-CN"/>
              </w:rPr>
              <w:t>坛开经发备字[2025]347号</w:t>
            </w:r>
            <w:r>
              <w:rPr>
                <w:rFonts w:hint="default" w:ascii="Times New Roman" w:hAnsi="Times New Roman" w:eastAsia="宋体" w:cs="Times New Roman"/>
                <w:color w:val="auto"/>
                <w:szCs w:val="21"/>
              </w:rPr>
              <w:t>），项目代码为</w:t>
            </w:r>
            <w:r>
              <w:rPr>
                <w:rFonts w:hint="eastAsia" w:ascii="Times New Roman" w:hAnsi="Times New Roman" w:eastAsia="宋体" w:cs="Times New Roman"/>
                <w:color w:val="auto"/>
                <w:szCs w:val="21"/>
                <w:lang w:eastAsia="zh-CN"/>
              </w:rPr>
              <w:t>2512-320458-89-01-873292</w:t>
            </w:r>
            <w:r>
              <w:rPr>
                <w:rFonts w:hint="default" w:ascii="Times New Roman" w:hAnsi="Times New Roman" w:eastAsia="宋体" w:cs="Times New Roman"/>
                <w:color w:val="auto"/>
                <w:szCs w:val="21"/>
              </w:rPr>
              <w:t>。</w:t>
            </w:r>
          </w:p>
          <w:p w14:paraId="2615AC5B">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遵照《中华人民共和国环境保护法》《中华人民共和国环境影响评价法》以及《建设项目环境影响评价分类管理名录》（2021）的有关规定，本项目属于《建设项目环境影响评价分类管理名录》（2021）</w:t>
            </w:r>
            <w:r>
              <w:rPr>
                <w:rFonts w:hint="default" w:ascii="Times New Roman" w:hAnsi="Times New Roman" w:eastAsia="宋体" w:cs="Times New Roman"/>
                <w:color w:val="auto"/>
                <w:kern w:val="0"/>
                <w:szCs w:val="21"/>
                <w:lang w:bidi="ar"/>
              </w:rPr>
              <w:t>“二十六、橡胶和塑料制品业29—53塑料制品业292”中“</w:t>
            </w:r>
            <w:r>
              <w:rPr>
                <w:rFonts w:hint="default" w:ascii="Times New Roman" w:hAnsi="Times New Roman" w:eastAsia="宋体" w:cs="Times New Roman"/>
                <w:color w:val="auto"/>
                <w:kern w:val="0"/>
                <w:szCs w:val="21"/>
                <w:lang w:eastAsia="zh-CN" w:bidi="ar"/>
              </w:rPr>
              <w:t>其他</w:t>
            </w:r>
            <w:r>
              <w:rPr>
                <w:rFonts w:hint="default" w:ascii="Times New Roman" w:hAnsi="Times New Roman" w:eastAsia="宋体" w:cs="Times New Roman"/>
                <w:color w:val="auto"/>
                <w:kern w:val="0"/>
                <w:szCs w:val="21"/>
                <w:lang w:bidi="ar"/>
              </w:rPr>
              <w:t>”项目，</w:t>
            </w:r>
            <w:r>
              <w:rPr>
                <w:rFonts w:hint="default" w:ascii="Times New Roman" w:hAnsi="Times New Roman" w:eastAsia="宋体" w:cs="Times New Roman"/>
                <w:color w:val="auto"/>
                <w:szCs w:val="21"/>
              </w:rPr>
              <w:t>需要编制环境影响报告表。为此，</w:t>
            </w:r>
            <w:r>
              <w:rPr>
                <w:rFonts w:hint="eastAsia" w:ascii="Times New Roman" w:hAnsi="Times New Roman" w:eastAsia="宋体" w:cs="Times New Roman"/>
                <w:color w:val="auto"/>
                <w:szCs w:val="21"/>
                <w:lang w:eastAsia="zh-CN"/>
              </w:rPr>
              <w:t>常州和瑞新材料科技有限公司</w:t>
            </w:r>
            <w:r>
              <w:rPr>
                <w:rFonts w:hint="default" w:ascii="Times New Roman" w:hAnsi="Times New Roman" w:eastAsia="宋体" w:cs="Times New Roman"/>
                <w:color w:val="auto"/>
                <w:szCs w:val="21"/>
              </w:rPr>
              <w:t>委托南京昊晟环保科技有限公司承担本项目的环境影响报告表的编制工作。我单位接受委托后，认真研究了该项目的有关资料，在踏勘现场的社会、自然环境状况，调查、收集有关建设项目资料的基础上，根据项目所在区域的环境特征、结合工程污染特性等因素，编制了本项目环境影响报告表。</w:t>
            </w:r>
          </w:p>
          <w:p w14:paraId="45E07F60">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二、工程内容及生产规模</w:t>
            </w:r>
          </w:p>
          <w:p w14:paraId="5828FF30">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1、本项目产品方案见下表。</w:t>
            </w:r>
          </w:p>
          <w:p w14:paraId="5C510B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6DC00B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18FC4C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74D0E7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13C5FB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表2-1 项目产品方案一览表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
              <w:gridCol w:w="1102"/>
              <w:gridCol w:w="889"/>
              <w:gridCol w:w="2033"/>
              <w:gridCol w:w="816"/>
              <w:gridCol w:w="846"/>
              <w:gridCol w:w="867"/>
              <w:gridCol w:w="720"/>
              <w:gridCol w:w="735"/>
            </w:tblGrid>
            <w:tr w14:paraId="04DFF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71" w:type="pct"/>
                  <w:vMerge w:val="restart"/>
                  <w:noWrap w:val="0"/>
                  <w:tcMar>
                    <w:top w:w="0" w:type="dxa"/>
                    <w:left w:w="0" w:type="dxa"/>
                    <w:bottom w:w="0" w:type="dxa"/>
                    <w:right w:w="0" w:type="dxa"/>
                  </w:tcMar>
                  <w:vAlign w:val="center"/>
                </w:tcPr>
                <w:p w14:paraId="77C9CA0E">
                  <w:pPr>
                    <w:pStyle w:val="76"/>
                    <w:rPr>
                      <w:rFonts w:hint="default" w:ascii="Times New Roman" w:hAnsi="Times New Roman" w:eastAsia="宋体" w:cs="Times New Roman"/>
                      <w:b/>
                      <w:color w:val="auto"/>
                    </w:rPr>
                  </w:pPr>
                  <w:r>
                    <w:rPr>
                      <w:rFonts w:hint="default" w:ascii="Times New Roman" w:hAnsi="Times New Roman" w:eastAsia="宋体" w:cs="Times New Roman"/>
                      <w:b/>
                      <w:color w:val="auto"/>
                    </w:rPr>
                    <w:t>序号</w:t>
                  </w:r>
                </w:p>
              </w:tc>
              <w:tc>
                <w:tcPr>
                  <w:tcW w:w="665" w:type="pct"/>
                  <w:vMerge w:val="restart"/>
                  <w:noWrap w:val="0"/>
                  <w:tcMar>
                    <w:top w:w="0" w:type="dxa"/>
                    <w:left w:w="0" w:type="dxa"/>
                    <w:bottom w:w="0" w:type="dxa"/>
                    <w:right w:w="0" w:type="dxa"/>
                  </w:tcMar>
                  <w:vAlign w:val="center"/>
                </w:tcPr>
                <w:p w14:paraId="0E1A88C5">
                  <w:pPr>
                    <w:pStyle w:val="76"/>
                    <w:rPr>
                      <w:rFonts w:hint="default" w:ascii="Times New Roman" w:hAnsi="Times New Roman" w:eastAsia="宋体" w:cs="Times New Roman"/>
                      <w:b/>
                      <w:color w:val="auto"/>
                    </w:rPr>
                  </w:pPr>
                  <w:r>
                    <w:rPr>
                      <w:rFonts w:hint="default" w:ascii="Times New Roman" w:hAnsi="Times New Roman" w:eastAsia="宋体" w:cs="Times New Roman"/>
                      <w:b/>
                      <w:color w:val="auto"/>
                    </w:rPr>
                    <w:t>工程名称</w:t>
                  </w:r>
                </w:p>
              </w:tc>
              <w:tc>
                <w:tcPr>
                  <w:tcW w:w="536" w:type="pct"/>
                  <w:vMerge w:val="restart"/>
                  <w:noWrap w:val="0"/>
                  <w:tcMar>
                    <w:top w:w="0" w:type="dxa"/>
                    <w:left w:w="0" w:type="dxa"/>
                    <w:bottom w:w="0" w:type="dxa"/>
                    <w:right w:w="0" w:type="dxa"/>
                  </w:tcMar>
                  <w:vAlign w:val="center"/>
                </w:tcPr>
                <w:p w14:paraId="0884425B">
                  <w:pPr>
                    <w:pStyle w:val="76"/>
                    <w:rPr>
                      <w:rFonts w:hint="default" w:ascii="Times New Roman" w:hAnsi="Times New Roman" w:eastAsia="宋体" w:cs="Times New Roman"/>
                      <w:b/>
                      <w:color w:val="auto"/>
                    </w:rPr>
                  </w:pPr>
                  <w:r>
                    <w:rPr>
                      <w:rFonts w:hint="default" w:ascii="Times New Roman" w:hAnsi="Times New Roman" w:eastAsia="宋体" w:cs="Times New Roman"/>
                      <w:b/>
                      <w:color w:val="auto"/>
                    </w:rPr>
                    <w:t>产品</w:t>
                  </w:r>
                </w:p>
              </w:tc>
              <w:tc>
                <w:tcPr>
                  <w:tcW w:w="1226" w:type="pct"/>
                  <w:vMerge w:val="restart"/>
                  <w:noWrap w:val="0"/>
                  <w:tcMar>
                    <w:top w:w="0" w:type="dxa"/>
                    <w:left w:w="0" w:type="dxa"/>
                    <w:bottom w:w="0" w:type="dxa"/>
                    <w:right w:w="0" w:type="dxa"/>
                  </w:tcMar>
                  <w:vAlign w:val="center"/>
                </w:tcPr>
                <w:p w14:paraId="1D20376F">
                  <w:pPr>
                    <w:pStyle w:val="76"/>
                    <w:rPr>
                      <w:rFonts w:hint="default" w:ascii="Times New Roman" w:hAnsi="Times New Roman" w:eastAsia="宋体" w:cs="Times New Roman"/>
                      <w:b/>
                      <w:color w:val="auto"/>
                      <w:highlight w:val="none"/>
                    </w:rPr>
                  </w:pPr>
                  <w:r>
                    <w:rPr>
                      <w:rFonts w:hint="default" w:ascii="Times New Roman" w:hAnsi="Times New Roman" w:eastAsia="宋体" w:cs="Times New Roman"/>
                      <w:b/>
                      <w:bCs/>
                      <w:color w:val="auto"/>
                      <w:highlight w:val="none"/>
                    </w:rPr>
                    <w:t>规格及技术参数</w:t>
                  </w:r>
                </w:p>
              </w:tc>
              <w:tc>
                <w:tcPr>
                  <w:tcW w:w="1525" w:type="pct"/>
                  <w:gridSpan w:val="3"/>
                  <w:noWrap w:val="0"/>
                  <w:tcMar>
                    <w:top w:w="0" w:type="dxa"/>
                    <w:left w:w="0" w:type="dxa"/>
                    <w:bottom w:w="0" w:type="dxa"/>
                    <w:right w:w="0" w:type="dxa"/>
                  </w:tcMar>
                  <w:vAlign w:val="center"/>
                </w:tcPr>
                <w:p w14:paraId="7D41F898">
                  <w:pPr>
                    <w:pStyle w:val="76"/>
                    <w:rPr>
                      <w:rFonts w:hint="default" w:ascii="Times New Roman" w:hAnsi="Times New Roman" w:eastAsia="宋体" w:cs="Times New Roman"/>
                      <w:b/>
                      <w:color w:val="auto"/>
                    </w:rPr>
                  </w:pPr>
                  <w:r>
                    <w:rPr>
                      <w:rFonts w:hint="default" w:ascii="Times New Roman" w:hAnsi="Times New Roman" w:eastAsia="宋体" w:cs="Times New Roman"/>
                      <w:b/>
                      <w:color w:val="auto"/>
                    </w:rPr>
                    <w:t>设计能力（</w:t>
                  </w:r>
                  <w:r>
                    <w:rPr>
                      <w:rFonts w:hint="eastAsia" w:ascii="Times New Roman" w:hAnsi="Times New Roman" w:eastAsia="宋体" w:cs="Times New Roman"/>
                      <w:b/>
                      <w:color w:val="auto"/>
                      <w:lang w:val="en-US" w:eastAsia="zh-CN"/>
                    </w:rPr>
                    <w:t>t</w:t>
                  </w:r>
                  <w:r>
                    <w:rPr>
                      <w:rFonts w:hint="default" w:ascii="Times New Roman" w:hAnsi="Times New Roman" w:eastAsia="宋体" w:cs="Times New Roman"/>
                      <w:b/>
                      <w:color w:val="auto"/>
                    </w:rPr>
                    <w:t>/a）</w:t>
                  </w:r>
                </w:p>
              </w:tc>
              <w:tc>
                <w:tcPr>
                  <w:tcW w:w="434" w:type="pct"/>
                  <w:vMerge w:val="restart"/>
                  <w:noWrap w:val="0"/>
                  <w:tcMar>
                    <w:top w:w="0" w:type="dxa"/>
                    <w:left w:w="0" w:type="dxa"/>
                    <w:bottom w:w="0" w:type="dxa"/>
                    <w:right w:w="0" w:type="dxa"/>
                  </w:tcMar>
                  <w:vAlign w:val="center"/>
                </w:tcPr>
                <w:p w14:paraId="20FD2819">
                  <w:pPr>
                    <w:pStyle w:val="76"/>
                    <w:rPr>
                      <w:rFonts w:hint="eastAsia" w:ascii="Times New Roman" w:hAnsi="Times New Roman" w:eastAsia="宋体" w:cs="Times New Roman"/>
                      <w:b/>
                      <w:color w:val="0000FF"/>
                      <w:lang w:val="en-US" w:eastAsia="zh-CN"/>
                    </w:rPr>
                  </w:pPr>
                  <w:r>
                    <w:rPr>
                      <w:rFonts w:hint="eastAsia" w:ascii="Times New Roman" w:hAnsi="Times New Roman" w:cs="Times New Roman"/>
                      <w:b/>
                      <w:color w:val="0000FF"/>
                      <w:lang w:val="en-US" w:eastAsia="zh-CN"/>
                    </w:rPr>
                    <w:t>备注</w:t>
                  </w:r>
                </w:p>
              </w:tc>
              <w:tc>
                <w:tcPr>
                  <w:tcW w:w="442" w:type="pct"/>
                  <w:vMerge w:val="restart"/>
                  <w:noWrap w:val="0"/>
                  <w:tcMar>
                    <w:top w:w="0" w:type="dxa"/>
                    <w:left w:w="0" w:type="dxa"/>
                    <w:bottom w:w="0" w:type="dxa"/>
                    <w:right w:w="0" w:type="dxa"/>
                  </w:tcMar>
                  <w:vAlign w:val="center"/>
                </w:tcPr>
                <w:p w14:paraId="410F33C9">
                  <w:pPr>
                    <w:pStyle w:val="76"/>
                    <w:rPr>
                      <w:rFonts w:hint="default" w:ascii="Times New Roman" w:hAnsi="Times New Roman" w:eastAsia="宋体" w:cs="Times New Roman"/>
                      <w:b/>
                      <w:color w:val="auto"/>
                    </w:rPr>
                  </w:pPr>
                  <w:r>
                    <w:rPr>
                      <w:rFonts w:hint="default" w:ascii="Times New Roman" w:hAnsi="Times New Roman" w:eastAsia="宋体" w:cs="Times New Roman"/>
                      <w:b/>
                      <w:color w:val="auto"/>
                    </w:rPr>
                    <w:t>年运行时数</w:t>
                  </w:r>
                </w:p>
              </w:tc>
            </w:tr>
            <w:tr w14:paraId="76484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1" w:type="pct"/>
                  <w:vMerge w:val="continue"/>
                  <w:noWrap w:val="0"/>
                  <w:tcMar>
                    <w:top w:w="0" w:type="dxa"/>
                    <w:left w:w="0" w:type="dxa"/>
                    <w:bottom w:w="0" w:type="dxa"/>
                    <w:right w:w="0" w:type="dxa"/>
                  </w:tcMar>
                  <w:vAlign w:val="center"/>
                </w:tcPr>
                <w:p w14:paraId="12F8D9C6">
                  <w:pPr>
                    <w:pStyle w:val="76"/>
                    <w:rPr>
                      <w:rFonts w:hint="default" w:ascii="Times New Roman" w:hAnsi="Times New Roman" w:eastAsia="宋体" w:cs="Times New Roman"/>
                      <w:b/>
                      <w:color w:val="auto"/>
                    </w:rPr>
                  </w:pPr>
                </w:p>
              </w:tc>
              <w:tc>
                <w:tcPr>
                  <w:tcW w:w="665" w:type="pct"/>
                  <w:vMerge w:val="continue"/>
                  <w:noWrap w:val="0"/>
                  <w:tcMar>
                    <w:top w:w="0" w:type="dxa"/>
                    <w:left w:w="0" w:type="dxa"/>
                    <w:bottom w:w="0" w:type="dxa"/>
                    <w:right w:w="0" w:type="dxa"/>
                  </w:tcMar>
                  <w:vAlign w:val="center"/>
                </w:tcPr>
                <w:p w14:paraId="3A4A3731">
                  <w:pPr>
                    <w:pStyle w:val="76"/>
                    <w:rPr>
                      <w:rFonts w:hint="default" w:ascii="Times New Roman" w:hAnsi="Times New Roman" w:eastAsia="宋体" w:cs="Times New Roman"/>
                      <w:b/>
                      <w:color w:val="auto"/>
                    </w:rPr>
                  </w:pPr>
                </w:p>
              </w:tc>
              <w:tc>
                <w:tcPr>
                  <w:tcW w:w="536" w:type="pct"/>
                  <w:vMerge w:val="continue"/>
                  <w:noWrap w:val="0"/>
                  <w:tcMar>
                    <w:top w:w="0" w:type="dxa"/>
                    <w:left w:w="0" w:type="dxa"/>
                    <w:bottom w:w="0" w:type="dxa"/>
                    <w:right w:w="0" w:type="dxa"/>
                  </w:tcMar>
                  <w:vAlign w:val="center"/>
                </w:tcPr>
                <w:p w14:paraId="2594CAB8">
                  <w:pPr>
                    <w:pStyle w:val="76"/>
                    <w:rPr>
                      <w:rFonts w:hint="default" w:ascii="Times New Roman" w:hAnsi="Times New Roman" w:eastAsia="宋体" w:cs="Times New Roman"/>
                      <w:b/>
                      <w:color w:val="auto"/>
                    </w:rPr>
                  </w:pPr>
                </w:p>
              </w:tc>
              <w:tc>
                <w:tcPr>
                  <w:tcW w:w="1226" w:type="pct"/>
                  <w:vMerge w:val="continue"/>
                  <w:noWrap w:val="0"/>
                  <w:tcMar>
                    <w:top w:w="0" w:type="dxa"/>
                    <w:left w:w="0" w:type="dxa"/>
                    <w:bottom w:w="0" w:type="dxa"/>
                    <w:right w:w="0" w:type="dxa"/>
                  </w:tcMar>
                  <w:vAlign w:val="center"/>
                </w:tcPr>
                <w:p w14:paraId="3199EEFD">
                  <w:pPr>
                    <w:pStyle w:val="76"/>
                    <w:rPr>
                      <w:rFonts w:hint="default" w:ascii="Times New Roman" w:hAnsi="Times New Roman" w:eastAsia="宋体" w:cs="Times New Roman"/>
                      <w:b/>
                      <w:color w:val="auto"/>
                    </w:rPr>
                  </w:pPr>
                </w:p>
              </w:tc>
              <w:tc>
                <w:tcPr>
                  <w:tcW w:w="492" w:type="pct"/>
                  <w:noWrap w:val="0"/>
                  <w:tcMar>
                    <w:top w:w="0" w:type="dxa"/>
                    <w:left w:w="0" w:type="dxa"/>
                    <w:bottom w:w="0" w:type="dxa"/>
                    <w:right w:w="0" w:type="dxa"/>
                  </w:tcMar>
                  <w:vAlign w:val="center"/>
                </w:tcPr>
                <w:p w14:paraId="60FCD7ED">
                  <w:pPr>
                    <w:pStyle w:val="76"/>
                    <w:rPr>
                      <w:rFonts w:hint="default" w:ascii="Times New Roman" w:hAnsi="Times New Roman" w:eastAsia="宋体" w:cs="Times New Roman"/>
                      <w:b/>
                      <w:color w:val="auto"/>
                    </w:rPr>
                  </w:pPr>
                  <w:r>
                    <w:rPr>
                      <w:rFonts w:hint="default" w:ascii="Times New Roman" w:hAnsi="Times New Roman" w:eastAsia="宋体" w:cs="Times New Roman"/>
                      <w:b/>
                      <w:color w:val="auto"/>
                    </w:rPr>
                    <w:t>扩建前</w:t>
                  </w:r>
                </w:p>
              </w:tc>
              <w:tc>
                <w:tcPr>
                  <w:tcW w:w="510" w:type="pct"/>
                  <w:noWrap w:val="0"/>
                  <w:tcMar>
                    <w:top w:w="0" w:type="dxa"/>
                    <w:left w:w="0" w:type="dxa"/>
                    <w:bottom w:w="0" w:type="dxa"/>
                    <w:right w:w="0" w:type="dxa"/>
                  </w:tcMar>
                  <w:vAlign w:val="center"/>
                </w:tcPr>
                <w:p w14:paraId="1F935FBD">
                  <w:pPr>
                    <w:pStyle w:val="76"/>
                    <w:rPr>
                      <w:rFonts w:hint="default" w:ascii="Times New Roman" w:hAnsi="Times New Roman" w:eastAsia="宋体" w:cs="Times New Roman"/>
                      <w:b/>
                      <w:color w:val="auto"/>
                    </w:rPr>
                  </w:pPr>
                  <w:r>
                    <w:rPr>
                      <w:rFonts w:hint="default" w:ascii="Times New Roman" w:hAnsi="Times New Roman" w:eastAsia="宋体" w:cs="Times New Roman"/>
                      <w:b/>
                      <w:color w:val="auto"/>
                    </w:rPr>
                    <w:t>扩建后</w:t>
                  </w:r>
                </w:p>
              </w:tc>
              <w:tc>
                <w:tcPr>
                  <w:tcW w:w="522" w:type="pct"/>
                  <w:noWrap w:val="0"/>
                  <w:tcMar>
                    <w:top w:w="0" w:type="dxa"/>
                    <w:left w:w="0" w:type="dxa"/>
                    <w:bottom w:w="0" w:type="dxa"/>
                    <w:right w:w="0" w:type="dxa"/>
                  </w:tcMar>
                  <w:vAlign w:val="center"/>
                </w:tcPr>
                <w:p w14:paraId="7B7BB8E0">
                  <w:pPr>
                    <w:pStyle w:val="76"/>
                    <w:rPr>
                      <w:rFonts w:hint="default" w:ascii="Times New Roman" w:hAnsi="Times New Roman" w:eastAsia="宋体" w:cs="Times New Roman"/>
                      <w:b/>
                      <w:color w:val="auto"/>
                    </w:rPr>
                  </w:pPr>
                  <w:r>
                    <w:rPr>
                      <w:rFonts w:hint="default" w:ascii="Times New Roman" w:hAnsi="Times New Roman" w:eastAsia="宋体" w:cs="Times New Roman"/>
                      <w:b/>
                      <w:color w:val="auto"/>
                    </w:rPr>
                    <w:t>增量</w:t>
                  </w:r>
                </w:p>
              </w:tc>
              <w:tc>
                <w:tcPr>
                  <w:tcW w:w="434" w:type="pct"/>
                  <w:vMerge w:val="continue"/>
                  <w:noWrap w:val="0"/>
                  <w:tcMar>
                    <w:top w:w="0" w:type="dxa"/>
                    <w:left w:w="0" w:type="dxa"/>
                    <w:bottom w:w="0" w:type="dxa"/>
                    <w:right w:w="0" w:type="dxa"/>
                  </w:tcMar>
                  <w:vAlign w:val="center"/>
                </w:tcPr>
                <w:p w14:paraId="5E056026">
                  <w:pPr>
                    <w:pStyle w:val="76"/>
                    <w:rPr>
                      <w:rFonts w:hint="default" w:ascii="Times New Roman" w:hAnsi="Times New Roman" w:eastAsia="宋体" w:cs="Times New Roman"/>
                      <w:b/>
                      <w:color w:val="0000FF"/>
                    </w:rPr>
                  </w:pPr>
                </w:p>
              </w:tc>
              <w:tc>
                <w:tcPr>
                  <w:tcW w:w="442" w:type="pct"/>
                  <w:vMerge w:val="continue"/>
                  <w:noWrap w:val="0"/>
                  <w:tcMar>
                    <w:top w:w="0" w:type="dxa"/>
                    <w:left w:w="0" w:type="dxa"/>
                    <w:bottom w:w="0" w:type="dxa"/>
                    <w:right w:w="0" w:type="dxa"/>
                  </w:tcMar>
                  <w:vAlign w:val="center"/>
                </w:tcPr>
                <w:p w14:paraId="05B5F7B9">
                  <w:pPr>
                    <w:pStyle w:val="76"/>
                    <w:rPr>
                      <w:rFonts w:hint="default" w:ascii="Times New Roman" w:hAnsi="Times New Roman" w:eastAsia="宋体" w:cs="Times New Roman"/>
                      <w:b/>
                      <w:color w:val="auto"/>
                    </w:rPr>
                  </w:pPr>
                </w:p>
              </w:tc>
            </w:tr>
            <w:tr w14:paraId="1BF2A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171" w:type="pct"/>
                  <w:noWrap w:val="0"/>
                  <w:tcMar>
                    <w:top w:w="0" w:type="dxa"/>
                    <w:left w:w="0" w:type="dxa"/>
                    <w:bottom w:w="0" w:type="dxa"/>
                    <w:right w:w="0" w:type="dxa"/>
                  </w:tcMar>
                  <w:vAlign w:val="center"/>
                </w:tcPr>
                <w:p w14:paraId="5567EBAB">
                  <w:pPr>
                    <w:pStyle w:val="76"/>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1</w:t>
                  </w:r>
                </w:p>
              </w:tc>
              <w:tc>
                <w:tcPr>
                  <w:tcW w:w="665" w:type="pct"/>
                  <w:noWrap w:val="0"/>
                  <w:tcMar>
                    <w:top w:w="0" w:type="dxa"/>
                    <w:left w:w="0" w:type="dxa"/>
                    <w:bottom w:w="0" w:type="dxa"/>
                    <w:right w:w="0" w:type="dxa"/>
                  </w:tcMar>
                  <w:vAlign w:val="center"/>
                </w:tcPr>
                <w:p w14:paraId="3B9746F3">
                  <w:pPr>
                    <w:pStyle w:val="66"/>
                    <w:spacing w:beforeLines="0" w:afterLines="0"/>
                    <w:rPr>
                      <w:rFonts w:hint="default" w:ascii="Times New Roman" w:hAnsi="Times New Roman" w:eastAsia="宋体" w:cs="宋体"/>
                      <w:b w:val="0"/>
                      <w:bCs/>
                      <w:color w:val="auto"/>
                      <w:kern w:val="2"/>
                      <w:sz w:val="21"/>
                      <w:szCs w:val="21"/>
                      <w:lang w:val="en-US" w:eastAsia="zh-CN" w:bidi="ar-SA"/>
                    </w:rPr>
                  </w:pPr>
                  <w:r>
                    <w:rPr>
                      <w:rFonts w:ascii="Times New Roman" w:hAnsi="Times New Roman" w:eastAsia="宋体"/>
                      <w:b w:val="0"/>
                      <w:bCs/>
                      <w:color w:val="auto"/>
                      <w:sz w:val="21"/>
                      <w:szCs w:val="21"/>
                    </w:rPr>
                    <w:t>热塑性弹性体颗粒生产线</w:t>
                  </w:r>
                </w:p>
              </w:tc>
              <w:tc>
                <w:tcPr>
                  <w:tcW w:w="536" w:type="pct"/>
                  <w:noWrap w:val="0"/>
                  <w:tcMar>
                    <w:top w:w="0" w:type="dxa"/>
                    <w:left w:w="0" w:type="dxa"/>
                    <w:bottom w:w="0" w:type="dxa"/>
                    <w:right w:w="0" w:type="dxa"/>
                  </w:tcMar>
                  <w:vAlign w:val="center"/>
                </w:tcPr>
                <w:p w14:paraId="1A96EA37">
                  <w:pPr>
                    <w:pStyle w:val="66"/>
                    <w:spacing w:beforeLines="0" w:afterLines="0"/>
                    <w:rPr>
                      <w:rFonts w:hint="default" w:ascii="Times New Roman" w:hAnsi="Times New Roman" w:eastAsia="宋体" w:cs="宋体"/>
                      <w:b w:val="0"/>
                      <w:bCs/>
                      <w:color w:val="auto"/>
                      <w:kern w:val="2"/>
                      <w:sz w:val="21"/>
                      <w:szCs w:val="21"/>
                      <w:lang w:val="en-US" w:eastAsia="zh-CN" w:bidi="ar-SA"/>
                    </w:rPr>
                  </w:pPr>
                  <w:r>
                    <w:rPr>
                      <w:rFonts w:ascii="Times New Roman" w:hAnsi="Times New Roman" w:eastAsia="宋体"/>
                      <w:b w:val="0"/>
                      <w:bCs/>
                      <w:color w:val="auto"/>
                      <w:sz w:val="21"/>
                      <w:szCs w:val="21"/>
                    </w:rPr>
                    <w:t>热塑性弹性体颗粒</w:t>
                  </w:r>
                </w:p>
              </w:tc>
              <w:tc>
                <w:tcPr>
                  <w:tcW w:w="1226" w:type="pct"/>
                  <w:noWrap w:val="0"/>
                  <w:tcMar>
                    <w:top w:w="0" w:type="dxa"/>
                    <w:left w:w="0" w:type="dxa"/>
                    <w:bottom w:w="0" w:type="dxa"/>
                    <w:right w:w="0" w:type="dxa"/>
                  </w:tcMar>
                  <w:vAlign w:val="center"/>
                </w:tcPr>
                <w:p w14:paraId="1860E31C">
                  <w:pPr>
                    <w:pStyle w:val="66"/>
                    <w:spacing w:beforeLines="0" w:afterLines="0"/>
                    <w:rPr>
                      <w:rFonts w:hint="default" w:ascii="Times New Roman" w:hAnsi="Times New Roman" w:eastAsia="宋体" w:cs="宋体"/>
                      <w:b/>
                      <w:bCs/>
                      <w:color w:val="auto"/>
                      <w:kern w:val="2"/>
                      <w:sz w:val="21"/>
                      <w:szCs w:val="21"/>
                      <w:lang w:val="en-US" w:eastAsia="zh-CN" w:bidi="ar-SA"/>
                    </w:rPr>
                  </w:pPr>
                  <w:r>
                    <w:rPr>
                      <w:rFonts w:ascii="Times New Roman" w:hAnsi="Times New Roman" w:eastAsia="宋体"/>
                      <w:color w:val="auto"/>
                    </w:rPr>
                    <w:drawing>
                      <wp:inline distT="0" distB="0" distL="114300" distR="114300">
                        <wp:extent cx="984250" cy="854710"/>
                        <wp:effectExtent l="0" t="0" r="6350" b="2540"/>
                        <wp:docPr id="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5"/>
                                <pic:cNvPicPr>
                                  <a:picLocks noChangeAspect="1"/>
                                </pic:cNvPicPr>
                              </pic:nvPicPr>
                              <pic:blipFill>
                                <a:blip r:embed="rId9"/>
                                <a:stretch>
                                  <a:fillRect/>
                                </a:stretch>
                              </pic:blipFill>
                              <pic:spPr>
                                <a:xfrm>
                                  <a:off x="0" y="0"/>
                                  <a:ext cx="984250" cy="854710"/>
                                </a:xfrm>
                                <a:prstGeom prst="rect">
                                  <a:avLst/>
                                </a:prstGeom>
                                <a:noFill/>
                                <a:ln>
                                  <a:noFill/>
                                </a:ln>
                              </pic:spPr>
                            </pic:pic>
                          </a:graphicData>
                        </a:graphic>
                      </wp:inline>
                    </w:drawing>
                  </w:r>
                </w:p>
              </w:tc>
              <w:tc>
                <w:tcPr>
                  <w:tcW w:w="492" w:type="pct"/>
                  <w:noWrap w:val="0"/>
                  <w:tcMar>
                    <w:top w:w="0" w:type="dxa"/>
                    <w:left w:w="0" w:type="dxa"/>
                    <w:bottom w:w="0" w:type="dxa"/>
                    <w:right w:w="0" w:type="dxa"/>
                  </w:tcMar>
                  <w:vAlign w:val="center"/>
                </w:tcPr>
                <w:p w14:paraId="02DDD45A">
                  <w:pPr>
                    <w:pStyle w:val="66"/>
                    <w:spacing w:beforeLines="0" w:afterLines="0"/>
                    <w:rPr>
                      <w:rFonts w:hint="default" w:ascii="Times New Roman" w:hAnsi="Times New Roman" w:eastAsia="宋体" w:cs="宋体"/>
                      <w:b w:val="0"/>
                      <w:bCs/>
                      <w:color w:val="auto"/>
                      <w:kern w:val="2"/>
                      <w:sz w:val="21"/>
                      <w:szCs w:val="21"/>
                      <w:lang w:val="en-US" w:eastAsia="zh-CN" w:bidi="ar-SA"/>
                    </w:rPr>
                  </w:pPr>
                  <w:r>
                    <w:rPr>
                      <w:rFonts w:ascii="Times New Roman" w:hAnsi="Times New Roman" w:eastAsia="宋体"/>
                      <w:b w:val="0"/>
                      <w:bCs/>
                      <w:color w:val="auto"/>
                      <w:sz w:val="21"/>
                      <w:szCs w:val="21"/>
                    </w:rPr>
                    <w:t>2000</w:t>
                  </w:r>
                </w:p>
              </w:tc>
              <w:tc>
                <w:tcPr>
                  <w:tcW w:w="510" w:type="pct"/>
                  <w:noWrap w:val="0"/>
                  <w:tcMar>
                    <w:top w:w="0" w:type="dxa"/>
                    <w:left w:w="0" w:type="dxa"/>
                    <w:bottom w:w="0" w:type="dxa"/>
                    <w:right w:w="0" w:type="dxa"/>
                  </w:tcMar>
                  <w:vAlign w:val="center"/>
                </w:tcPr>
                <w:p w14:paraId="48F42D3E">
                  <w:pPr>
                    <w:pStyle w:val="66"/>
                    <w:spacing w:beforeLines="0" w:afterLines="0"/>
                    <w:rPr>
                      <w:rFonts w:hint="default" w:ascii="Times New Roman" w:hAnsi="Times New Roman" w:eastAsia="宋体" w:cs="宋体"/>
                      <w:b w:val="0"/>
                      <w:bCs/>
                      <w:color w:val="0000FF"/>
                      <w:kern w:val="2"/>
                      <w:sz w:val="21"/>
                      <w:szCs w:val="21"/>
                      <w:lang w:val="en-US" w:eastAsia="zh-CN" w:bidi="ar-SA"/>
                    </w:rPr>
                  </w:pPr>
                  <w:r>
                    <w:rPr>
                      <w:rFonts w:hint="eastAsia" w:ascii="Times New Roman" w:hAnsi="Times New Roman" w:eastAsia="宋体"/>
                      <w:b w:val="0"/>
                      <w:bCs/>
                      <w:color w:val="0000FF"/>
                      <w:sz w:val="21"/>
                      <w:szCs w:val="21"/>
                      <w:lang w:val="en-US" w:eastAsia="zh-CN"/>
                    </w:rPr>
                    <w:t>2000</w:t>
                  </w:r>
                </w:p>
              </w:tc>
              <w:tc>
                <w:tcPr>
                  <w:tcW w:w="522" w:type="pct"/>
                  <w:noWrap w:val="0"/>
                  <w:tcMar>
                    <w:top w:w="0" w:type="dxa"/>
                    <w:left w:w="0" w:type="dxa"/>
                    <w:bottom w:w="0" w:type="dxa"/>
                    <w:right w:w="0" w:type="dxa"/>
                  </w:tcMar>
                  <w:vAlign w:val="center"/>
                </w:tcPr>
                <w:p w14:paraId="705F17DD">
                  <w:pPr>
                    <w:pStyle w:val="76"/>
                    <w:rPr>
                      <w:rFonts w:hint="default" w:ascii="Times New Roman" w:hAnsi="Times New Roman" w:eastAsia="宋体" w:cs="Times New Roman"/>
                      <w:bCs/>
                      <w:color w:val="0000FF"/>
                      <w:lang w:val="en-US" w:eastAsia="zh-CN"/>
                    </w:rPr>
                  </w:pPr>
                  <w:r>
                    <w:rPr>
                      <w:rFonts w:hint="eastAsia" w:ascii="Times New Roman" w:hAnsi="Times New Roman" w:eastAsia="宋体" w:cs="Times New Roman"/>
                      <w:bCs/>
                      <w:color w:val="0000FF"/>
                      <w:lang w:val="en-US" w:eastAsia="zh-CN"/>
                    </w:rPr>
                    <w:t>+</w:t>
                  </w:r>
                  <w:r>
                    <w:rPr>
                      <w:rFonts w:hint="eastAsia" w:ascii="Times New Roman" w:hAnsi="Times New Roman" w:cs="Times New Roman"/>
                      <w:bCs/>
                      <w:color w:val="0000FF"/>
                      <w:lang w:val="en-US" w:eastAsia="zh-CN"/>
                    </w:rPr>
                    <w:t>0</w:t>
                  </w:r>
                </w:p>
              </w:tc>
              <w:tc>
                <w:tcPr>
                  <w:tcW w:w="434" w:type="pct"/>
                  <w:noWrap w:val="0"/>
                  <w:tcMar>
                    <w:top w:w="0" w:type="dxa"/>
                    <w:left w:w="0" w:type="dxa"/>
                    <w:bottom w:w="0" w:type="dxa"/>
                    <w:right w:w="0" w:type="dxa"/>
                  </w:tcMar>
                  <w:vAlign w:val="center"/>
                </w:tcPr>
                <w:p w14:paraId="6D6792EB">
                  <w:pPr>
                    <w:pStyle w:val="76"/>
                    <w:rPr>
                      <w:rFonts w:hint="default" w:ascii="Times New Roman" w:hAnsi="Times New Roman" w:eastAsia="宋体" w:cs="Times New Roman"/>
                      <w:bCs/>
                      <w:color w:val="0000FF"/>
                      <w:lang w:val="en-US" w:eastAsia="zh-CN"/>
                    </w:rPr>
                  </w:pPr>
                  <w:r>
                    <w:rPr>
                      <w:rFonts w:hint="eastAsia" w:ascii="Times New Roman" w:hAnsi="Times New Roman" w:cs="Times New Roman"/>
                      <w:bCs/>
                      <w:color w:val="0000FF"/>
                      <w:lang w:val="en-US" w:eastAsia="zh-CN"/>
                    </w:rPr>
                    <w:t>1970t作为产品出售</w:t>
                  </w:r>
                </w:p>
              </w:tc>
              <w:tc>
                <w:tcPr>
                  <w:tcW w:w="442" w:type="pct"/>
                  <w:vMerge w:val="restart"/>
                  <w:noWrap w:val="0"/>
                  <w:tcMar>
                    <w:top w:w="0" w:type="dxa"/>
                    <w:left w:w="0" w:type="dxa"/>
                    <w:bottom w:w="0" w:type="dxa"/>
                    <w:right w:w="0" w:type="dxa"/>
                  </w:tcMar>
                  <w:vAlign w:val="center"/>
                </w:tcPr>
                <w:p w14:paraId="68F8EA0A">
                  <w:pPr>
                    <w:pStyle w:val="76"/>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2400h</w:t>
                  </w:r>
                </w:p>
              </w:tc>
            </w:tr>
            <w:tr w14:paraId="7632E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71" w:type="pct"/>
                  <w:noWrap w:val="0"/>
                  <w:tcMar>
                    <w:top w:w="0" w:type="dxa"/>
                    <w:left w:w="0" w:type="dxa"/>
                    <w:bottom w:w="0" w:type="dxa"/>
                    <w:right w:w="0" w:type="dxa"/>
                  </w:tcMar>
                  <w:vAlign w:val="center"/>
                </w:tcPr>
                <w:p w14:paraId="76F1203A">
                  <w:pPr>
                    <w:pStyle w:val="76"/>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2</w:t>
                  </w:r>
                </w:p>
              </w:tc>
              <w:tc>
                <w:tcPr>
                  <w:tcW w:w="665" w:type="pct"/>
                  <w:noWrap w:val="0"/>
                  <w:tcMar>
                    <w:top w:w="0" w:type="dxa"/>
                    <w:left w:w="0" w:type="dxa"/>
                    <w:bottom w:w="0" w:type="dxa"/>
                    <w:right w:w="0" w:type="dxa"/>
                  </w:tcMar>
                  <w:vAlign w:val="center"/>
                </w:tcPr>
                <w:p w14:paraId="7B61F8DE">
                  <w:pPr>
                    <w:pStyle w:val="66"/>
                    <w:spacing w:beforeLines="0" w:afterLines="0"/>
                    <w:rPr>
                      <w:rFonts w:hint="default" w:ascii="Times New Roman" w:hAnsi="Times New Roman" w:eastAsia="宋体" w:cs="宋体"/>
                      <w:b w:val="0"/>
                      <w:bCs/>
                      <w:color w:val="auto"/>
                      <w:kern w:val="2"/>
                      <w:sz w:val="21"/>
                      <w:szCs w:val="21"/>
                      <w:lang w:val="en-US" w:eastAsia="zh-CN" w:bidi="ar-SA"/>
                    </w:rPr>
                  </w:pPr>
                  <w:r>
                    <w:rPr>
                      <w:rFonts w:ascii="Times New Roman" w:hAnsi="Times New Roman" w:eastAsia="宋体"/>
                      <w:b w:val="0"/>
                      <w:bCs/>
                      <w:color w:val="auto"/>
                      <w:sz w:val="21"/>
                      <w:szCs w:val="21"/>
                    </w:rPr>
                    <w:t>汽车密封件生产线</w:t>
                  </w:r>
                </w:p>
              </w:tc>
              <w:tc>
                <w:tcPr>
                  <w:tcW w:w="536" w:type="pct"/>
                  <w:noWrap w:val="0"/>
                  <w:tcMar>
                    <w:top w:w="0" w:type="dxa"/>
                    <w:left w:w="0" w:type="dxa"/>
                    <w:bottom w:w="0" w:type="dxa"/>
                    <w:right w:w="0" w:type="dxa"/>
                  </w:tcMar>
                  <w:vAlign w:val="center"/>
                </w:tcPr>
                <w:p w14:paraId="6B470259">
                  <w:pPr>
                    <w:pStyle w:val="66"/>
                    <w:spacing w:beforeLines="0" w:afterLines="0"/>
                    <w:rPr>
                      <w:rFonts w:hint="default" w:ascii="Times New Roman" w:hAnsi="Times New Roman" w:eastAsia="宋体" w:cs="宋体"/>
                      <w:b w:val="0"/>
                      <w:bCs/>
                      <w:color w:val="auto"/>
                      <w:kern w:val="2"/>
                      <w:sz w:val="21"/>
                      <w:szCs w:val="21"/>
                      <w:lang w:val="en-US" w:eastAsia="zh-CN" w:bidi="ar-SA"/>
                    </w:rPr>
                  </w:pPr>
                  <w:r>
                    <w:rPr>
                      <w:rFonts w:ascii="Times New Roman" w:hAnsi="Times New Roman" w:eastAsia="宋体"/>
                      <w:b w:val="0"/>
                      <w:bCs/>
                      <w:color w:val="auto"/>
                      <w:sz w:val="21"/>
                      <w:szCs w:val="21"/>
                    </w:rPr>
                    <w:t>汽车密封件</w:t>
                  </w:r>
                </w:p>
              </w:tc>
              <w:tc>
                <w:tcPr>
                  <w:tcW w:w="1226" w:type="pct"/>
                  <w:noWrap w:val="0"/>
                  <w:tcMar>
                    <w:top w:w="0" w:type="dxa"/>
                    <w:left w:w="0" w:type="dxa"/>
                    <w:bottom w:w="0" w:type="dxa"/>
                    <w:right w:w="0" w:type="dxa"/>
                  </w:tcMar>
                  <w:vAlign w:val="center"/>
                </w:tcPr>
                <w:p w14:paraId="79A7466D">
                  <w:pPr>
                    <w:pStyle w:val="66"/>
                    <w:spacing w:beforeLines="0" w:afterLines="0"/>
                    <w:rPr>
                      <w:rFonts w:hint="default" w:ascii="Times New Roman" w:hAnsi="Times New Roman" w:eastAsia="宋体" w:cs="宋体"/>
                      <w:b/>
                      <w:bCs/>
                      <w:color w:val="auto"/>
                      <w:kern w:val="2"/>
                      <w:sz w:val="21"/>
                      <w:szCs w:val="21"/>
                      <w:lang w:val="en-US" w:eastAsia="zh-CN" w:bidi="ar-SA"/>
                    </w:rPr>
                  </w:pPr>
                  <w:r>
                    <w:rPr>
                      <w:rFonts w:ascii="Times New Roman" w:hAnsi="Times New Roman" w:eastAsia="宋体"/>
                      <w:color w:val="auto"/>
                    </w:rPr>
                    <w:drawing>
                      <wp:inline distT="0" distB="0" distL="114300" distR="114300">
                        <wp:extent cx="970915" cy="607060"/>
                        <wp:effectExtent l="0" t="0" r="635" b="2540"/>
                        <wp:docPr id="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6"/>
                                <pic:cNvPicPr>
                                  <a:picLocks noChangeAspect="1"/>
                                </pic:cNvPicPr>
                              </pic:nvPicPr>
                              <pic:blipFill>
                                <a:blip r:embed="rId10"/>
                                <a:stretch>
                                  <a:fillRect/>
                                </a:stretch>
                              </pic:blipFill>
                              <pic:spPr>
                                <a:xfrm>
                                  <a:off x="0" y="0"/>
                                  <a:ext cx="970915" cy="607060"/>
                                </a:xfrm>
                                <a:prstGeom prst="rect">
                                  <a:avLst/>
                                </a:prstGeom>
                                <a:noFill/>
                                <a:ln>
                                  <a:noFill/>
                                </a:ln>
                              </pic:spPr>
                            </pic:pic>
                          </a:graphicData>
                        </a:graphic>
                      </wp:inline>
                    </w:drawing>
                  </w:r>
                </w:p>
              </w:tc>
              <w:tc>
                <w:tcPr>
                  <w:tcW w:w="492" w:type="pct"/>
                  <w:noWrap w:val="0"/>
                  <w:tcMar>
                    <w:top w:w="0" w:type="dxa"/>
                    <w:left w:w="0" w:type="dxa"/>
                    <w:bottom w:w="0" w:type="dxa"/>
                    <w:right w:w="0" w:type="dxa"/>
                  </w:tcMar>
                  <w:vAlign w:val="center"/>
                </w:tcPr>
                <w:p w14:paraId="2CDD17FA">
                  <w:pPr>
                    <w:pStyle w:val="66"/>
                    <w:spacing w:beforeLines="0" w:afterLines="0"/>
                    <w:rPr>
                      <w:rFonts w:hint="default" w:ascii="Times New Roman" w:hAnsi="Times New Roman" w:eastAsia="宋体" w:cs="宋体"/>
                      <w:b w:val="0"/>
                      <w:bCs/>
                      <w:color w:val="auto"/>
                      <w:kern w:val="2"/>
                      <w:sz w:val="21"/>
                      <w:szCs w:val="21"/>
                      <w:lang w:val="en-US" w:eastAsia="zh-CN" w:bidi="ar-SA"/>
                    </w:rPr>
                  </w:pPr>
                  <w:r>
                    <w:rPr>
                      <w:rFonts w:ascii="Times New Roman" w:hAnsi="Times New Roman" w:eastAsia="宋体"/>
                      <w:b w:val="0"/>
                      <w:bCs/>
                      <w:color w:val="auto"/>
                      <w:sz w:val="21"/>
                      <w:szCs w:val="21"/>
                    </w:rPr>
                    <w:t>30</w:t>
                  </w:r>
                </w:p>
              </w:tc>
              <w:tc>
                <w:tcPr>
                  <w:tcW w:w="510" w:type="pct"/>
                  <w:noWrap w:val="0"/>
                  <w:tcMar>
                    <w:top w:w="0" w:type="dxa"/>
                    <w:left w:w="0" w:type="dxa"/>
                    <w:bottom w:w="0" w:type="dxa"/>
                    <w:right w:w="0" w:type="dxa"/>
                  </w:tcMar>
                  <w:vAlign w:val="center"/>
                </w:tcPr>
                <w:p w14:paraId="7BF5B86B">
                  <w:pPr>
                    <w:pStyle w:val="66"/>
                    <w:spacing w:beforeLines="0" w:afterLines="0"/>
                    <w:rPr>
                      <w:rFonts w:hint="default" w:ascii="Times New Roman" w:hAnsi="Times New Roman" w:eastAsia="宋体" w:cs="宋体"/>
                      <w:b w:val="0"/>
                      <w:bCs/>
                      <w:color w:val="auto"/>
                      <w:kern w:val="2"/>
                      <w:sz w:val="21"/>
                      <w:szCs w:val="21"/>
                      <w:lang w:val="en-US" w:eastAsia="zh-CN" w:bidi="ar-SA"/>
                    </w:rPr>
                  </w:pPr>
                  <w:r>
                    <w:rPr>
                      <w:rFonts w:ascii="Times New Roman" w:hAnsi="Times New Roman" w:eastAsia="宋体"/>
                      <w:b w:val="0"/>
                      <w:bCs/>
                      <w:color w:val="auto"/>
                      <w:sz w:val="21"/>
                      <w:szCs w:val="21"/>
                    </w:rPr>
                    <w:t>30</w:t>
                  </w:r>
                </w:p>
              </w:tc>
              <w:tc>
                <w:tcPr>
                  <w:tcW w:w="522" w:type="pct"/>
                  <w:noWrap w:val="0"/>
                  <w:tcMar>
                    <w:top w:w="0" w:type="dxa"/>
                    <w:left w:w="0" w:type="dxa"/>
                    <w:bottom w:w="0" w:type="dxa"/>
                    <w:right w:w="0" w:type="dxa"/>
                  </w:tcMar>
                  <w:vAlign w:val="center"/>
                </w:tcPr>
                <w:p w14:paraId="40A6538B">
                  <w:pPr>
                    <w:pStyle w:val="76"/>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+0</w:t>
                  </w:r>
                </w:p>
              </w:tc>
              <w:tc>
                <w:tcPr>
                  <w:tcW w:w="434" w:type="pct"/>
                  <w:noWrap w:val="0"/>
                  <w:tcMar>
                    <w:top w:w="0" w:type="dxa"/>
                    <w:left w:w="0" w:type="dxa"/>
                    <w:bottom w:w="0" w:type="dxa"/>
                    <w:right w:w="0" w:type="dxa"/>
                  </w:tcMar>
                  <w:vAlign w:val="center"/>
                </w:tcPr>
                <w:p w14:paraId="58FF1FE8">
                  <w:pPr>
                    <w:pStyle w:val="76"/>
                    <w:rPr>
                      <w:rFonts w:hint="default" w:ascii="Times New Roman" w:hAnsi="Times New Roman" w:eastAsia="宋体" w:cs="Times New Roman"/>
                      <w:bCs/>
                      <w:color w:val="0000FF"/>
                      <w:lang w:val="en-US" w:eastAsia="zh-CN"/>
                    </w:rPr>
                  </w:pPr>
                  <w:r>
                    <w:rPr>
                      <w:rFonts w:hint="eastAsia" w:ascii="Times New Roman" w:hAnsi="Times New Roman" w:cs="Times New Roman"/>
                      <w:bCs/>
                      <w:color w:val="0000FF"/>
                      <w:lang w:val="en-US" w:eastAsia="zh-CN"/>
                    </w:rPr>
                    <w:t>/</w:t>
                  </w:r>
                </w:p>
              </w:tc>
              <w:tc>
                <w:tcPr>
                  <w:tcW w:w="442" w:type="pct"/>
                  <w:vMerge w:val="continue"/>
                  <w:noWrap w:val="0"/>
                  <w:tcMar>
                    <w:top w:w="0" w:type="dxa"/>
                    <w:left w:w="0" w:type="dxa"/>
                    <w:bottom w:w="0" w:type="dxa"/>
                    <w:right w:w="0" w:type="dxa"/>
                  </w:tcMar>
                  <w:vAlign w:val="center"/>
                </w:tcPr>
                <w:p w14:paraId="7AFD7F12">
                  <w:pPr>
                    <w:pStyle w:val="76"/>
                    <w:rPr>
                      <w:rFonts w:hint="default" w:ascii="Times New Roman" w:hAnsi="Times New Roman" w:eastAsia="宋体" w:cs="Times New Roman"/>
                      <w:bCs/>
                      <w:color w:val="auto"/>
                      <w:lang w:val="en-US" w:eastAsia="zh-CN"/>
                    </w:rPr>
                  </w:pPr>
                </w:p>
              </w:tc>
            </w:tr>
            <w:tr w14:paraId="18C16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00" w:type="pct"/>
                  <w:gridSpan w:val="9"/>
                  <w:noWrap w:val="0"/>
                  <w:tcMar>
                    <w:top w:w="0" w:type="dxa"/>
                    <w:left w:w="0" w:type="dxa"/>
                    <w:bottom w:w="0" w:type="dxa"/>
                    <w:right w:w="0" w:type="dxa"/>
                  </w:tcMar>
                  <w:vAlign w:val="center"/>
                </w:tcPr>
                <w:p w14:paraId="45BCF0A0">
                  <w:pPr>
                    <w:pStyle w:val="76"/>
                    <w:jc w:val="left"/>
                    <w:rPr>
                      <w:rFonts w:hint="default" w:ascii="Times New Roman" w:hAnsi="Times New Roman" w:eastAsia="宋体" w:cs="Times New Roman"/>
                      <w:bCs/>
                      <w:color w:val="0000FF"/>
                      <w:lang w:val="en-US" w:eastAsia="zh-CN"/>
                    </w:rPr>
                  </w:pPr>
                  <w:r>
                    <w:rPr>
                      <w:rFonts w:hint="eastAsia" w:ascii="Times New Roman" w:hAnsi="Times New Roman" w:cs="Times New Roman"/>
                      <w:bCs/>
                      <w:color w:val="0000FF"/>
                      <w:lang w:val="en-US" w:eastAsia="zh-CN"/>
                    </w:rPr>
                    <w:t>注：本项目</w:t>
                  </w:r>
                  <w:r>
                    <w:rPr>
                      <w:rFonts w:hint="eastAsia" w:ascii="Times New Roman" w:hAnsi="Times New Roman"/>
                      <w:b w:val="0"/>
                      <w:bCs/>
                      <w:color w:val="0000FF"/>
                      <w:sz w:val="21"/>
                      <w:szCs w:val="21"/>
                      <w:lang w:val="en-US" w:eastAsia="zh-CN"/>
                    </w:rPr>
                    <w:t>年生产2000t</w:t>
                  </w:r>
                  <w:r>
                    <w:rPr>
                      <w:rFonts w:ascii="Times New Roman" w:hAnsi="Times New Roman" w:eastAsia="宋体"/>
                      <w:b w:val="0"/>
                      <w:bCs/>
                      <w:color w:val="0000FF"/>
                      <w:sz w:val="21"/>
                      <w:szCs w:val="21"/>
                    </w:rPr>
                    <w:t>热塑性弹性体颗粒</w:t>
                  </w:r>
                  <w:r>
                    <w:rPr>
                      <w:rFonts w:hint="eastAsia" w:ascii="Times New Roman" w:hAnsi="Times New Roman"/>
                      <w:b w:val="0"/>
                      <w:bCs/>
                      <w:color w:val="0000FF"/>
                      <w:sz w:val="21"/>
                      <w:szCs w:val="21"/>
                      <w:lang w:val="en-US" w:eastAsia="zh-CN"/>
                    </w:rPr>
                    <w:t>，其中1970t作为产品</w:t>
                  </w:r>
                  <w:r>
                    <w:rPr>
                      <w:rFonts w:hint="eastAsia" w:ascii="Times New Roman" w:hAnsi="Times New Roman" w:cs="Times New Roman"/>
                      <w:bCs/>
                      <w:color w:val="0000FF"/>
                      <w:lang w:val="en-US" w:eastAsia="zh-CN"/>
                    </w:rPr>
                    <w:t>出售</w:t>
                  </w:r>
                  <w:r>
                    <w:rPr>
                      <w:rFonts w:hint="eastAsia" w:ascii="Times New Roman" w:hAnsi="Times New Roman"/>
                      <w:b w:val="0"/>
                      <w:bCs/>
                      <w:color w:val="0000FF"/>
                      <w:sz w:val="21"/>
                      <w:szCs w:val="21"/>
                      <w:lang w:val="en-US" w:eastAsia="zh-CN"/>
                    </w:rPr>
                    <w:t>，30t作为汽车密封件原材料。</w:t>
                  </w:r>
                </w:p>
              </w:tc>
            </w:tr>
          </w:tbl>
          <w:p w14:paraId="0DEBBF53">
            <w:pPr>
              <w:spacing w:before="120" w:beforeLines="50"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2、劳动定员及工作制度</w:t>
            </w:r>
          </w:p>
          <w:p w14:paraId="604B8E75">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lang w:val="en-US" w:eastAsia="zh-CN"/>
              </w:rPr>
              <w:t>员工人数：</w:t>
            </w:r>
            <w:r>
              <w:rPr>
                <w:rFonts w:hint="eastAsia" w:ascii="Times New Roman" w:hAnsi="Times New Roman" w:eastAsia="宋体" w:cs="Times New Roman"/>
                <w:color w:val="auto"/>
                <w:szCs w:val="21"/>
                <w:lang w:val="en-US" w:eastAsia="zh-CN"/>
              </w:rPr>
              <w:t>本项目搬迁后</w:t>
            </w:r>
            <w:r>
              <w:rPr>
                <w:rFonts w:hint="default" w:ascii="Times New Roman" w:hAnsi="Times New Roman" w:eastAsia="宋体" w:cs="Times New Roman"/>
                <w:color w:val="auto"/>
                <w:sz w:val="21"/>
                <w:szCs w:val="21"/>
              </w:rPr>
              <w:t>劳动定员</w:t>
            </w:r>
            <w:r>
              <w:rPr>
                <w:rFonts w:hint="eastAsia" w:ascii="Times New Roman" w:hAnsi="Times New Roman" w:eastAsia="宋体" w:cs="Times New Roman"/>
                <w:color w:val="auto"/>
                <w:sz w:val="21"/>
                <w:szCs w:val="21"/>
                <w:lang w:val="en-US" w:eastAsia="zh-CN"/>
              </w:rPr>
              <w:t>6人</w:t>
            </w:r>
            <w:r>
              <w:rPr>
                <w:rFonts w:hint="default" w:ascii="Times New Roman" w:hAnsi="Times New Roman" w:eastAsia="宋体" w:cs="Times New Roman"/>
                <w:color w:val="auto"/>
                <w:szCs w:val="21"/>
                <w:highlight w:val="none"/>
              </w:rPr>
              <w:t>；</w:t>
            </w:r>
          </w:p>
          <w:p w14:paraId="07EC959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生产制度：本项目年工作300天，</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班制，</w:t>
            </w:r>
            <w:r>
              <w:rPr>
                <w:rFonts w:hint="eastAsia"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rPr>
              <w:t>小时/班，本项目不设食堂、不设浴室、宿舍。</w:t>
            </w:r>
          </w:p>
          <w:p w14:paraId="26784C4B">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3、项目主要建设内容</w:t>
            </w:r>
          </w:p>
          <w:p w14:paraId="6CF18A1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本项目主要工程内容详见下表。</w:t>
            </w:r>
          </w:p>
          <w:p w14:paraId="06995C49">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表2-2 项目主要工程建设内容</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964"/>
              <w:gridCol w:w="1264"/>
              <w:gridCol w:w="753"/>
              <w:gridCol w:w="3518"/>
              <w:gridCol w:w="1329"/>
            </w:tblGrid>
            <w:tr w14:paraId="4E5A1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noWrap w:val="0"/>
                  <w:tcMar>
                    <w:top w:w="0" w:type="dxa"/>
                    <w:left w:w="0" w:type="dxa"/>
                    <w:bottom w:w="0" w:type="dxa"/>
                    <w:right w:w="0" w:type="dxa"/>
                  </w:tcMar>
                  <w:vAlign w:val="center"/>
                </w:tcPr>
                <w:p w14:paraId="443CF639">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581" w:type="pct"/>
                  <w:noWrap w:val="0"/>
                  <w:tcMar>
                    <w:top w:w="0" w:type="dxa"/>
                    <w:left w:w="0" w:type="dxa"/>
                    <w:bottom w:w="0" w:type="dxa"/>
                    <w:right w:w="0" w:type="dxa"/>
                  </w:tcMar>
                  <w:vAlign w:val="center"/>
                </w:tcPr>
                <w:p w14:paraId="16734E92">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tc>
              <w:tc>
                <w:tcPr>
                  <w:tcW w:w="3337" w:type="pct"/>
                  <w:gridSpan w:val="3"/>
                  <w:noWrap w:val="0"/>
                  <w:tcMar>
                    <w:top w:w="0" w:type="dxa"/>
                    <w:left w:w="0" w:type="dxa"/>
                    <w:bottom w:w="0" w:type="dxa"/>
                    <w:right w:w="0" w:type="dxa"/>
                  </w:tcMar>
                  <w:vAlign w:val="center"/>
                </w:tcPr>
                <w:p w14:paraId="40DEB2EE">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建设规模</w:t>
                  </w:r>
                </w:p>
              </w:tc>
              <w:tc>
                <w:tcPr>
                  <w:tcW w:w="800" w:type="pct"/>
                  <w:noWrap w:val="0"/>
                  <w:tcMar>
                    <w:top w:w="0" w:type="dxa"/>
                    <w:left w:w="0" w:type="dxa"/>
                    <w:bottom w:w="0" w:type="dxa"/>
                    <w:right w:w="0" w:type="dxa"/>
                  </w:tcMar>
                  <w:vAlign w:val="center"/>
                </w:tcPr>
                <w:p w14:paraId="5076388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19028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noWrap w:val="0"/>
                  <w:tcMar>
                    <w:top w:w="0" w:type="dxa"/>
                    <w:left w:w="0" w:type="dxa"/>
                    <w:bottom w:w="0" w:type="dxa"/>
                    <w:right w:w="0" w:type="dxa"/>
                  </w:tcMar>
                  <w:vAlign w:val="center"/>
                </w:tcPr>
                <w:p w14:paraId="3FD58FFE">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581" w:type="pct"/>
                  <w:noWrap w:val="0"/>
                  <w:tcMar>
                    <w:top w:w="0" w:type="dxa"/>
                    <w:left w:w="0" w:type="dxa"/>
                    <w:bottom w:w="0" w:type="dxa"/>
                    <w:right w:w="0" w:type="dxa"/>
                  </w:tcMar>
                  <w:vAlign w:val="center"/>
                </w:tcPr>
                <w:p w14:paraId="760041E2">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eastAsia="zh-CN"/>
                    </w:rPr>
                    <w:t>热塑性弹性体颗、汽车密封件</w:t>
                  </w:r>
                  <w:r>
                    <w:rPr>
                      <w:rFonts w:hint="default" w:ascii="Times New Roman" w:hAnsi="Times New Roman" w:eastAsia="宋体" w:cs="Times New Roman"/>
                      <w:bCs/>
                      <w:color w:val="auto"/>
                      <w:sz w:val="21"/>
                      <w:szCs w:val="21"/>
                    </w:rPr>
                    <w:t>生产线</w:t>
                  </w:r>
                </w:p>
              </w:tc>
              <w:tc>
                <w:tcPr>
                  <w:tcW w:w="3337" w:type="pct"/>
                  <w:gridSpan w:val="3"/>
                  <w:noWrap w:val="0"/>
                  <w:tcMar>
                    <w:top w:w="0" w:type="dxa"/>
                    <w:left w:w="0" w:type="dxa"/>
                    <w:bottom w:w="0" w:type="dxa"/>
                    <w:right w:w="0" w:type="dxa"/>
                  </w:tcMar>
                  <w:vAlign w:val="center"/>
                </w:tcPr>
                <w:p w14:paraId="502902D8">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pacing w:val="-2"/>
                      <w:kern w:val="28"/>
                      <w:sz w:val="21"/>
                      <w:szCs w:val="21"/>
                      <w:lang w:val="en-US" w:eastAsia="zh-CN"/>
                    </w:rPr>
                  </w:pPr>
                  <w:r>
                    <w:rPr>
                      <w:rFonts w:hint="default" w:ascii="Times New Roman" w:hAnsi="Times New Roman" w:eastAsia="宋体" w:cs="Times New Roman"/>
                      <w:color w:val="auto"/>
                      <w:sz w:val="21"/>
                      <w:szCs w:val="21"/>
                      <w:lang w:val="en-US" w:eastAsia="zh-CN"/>
                    </w:rPr>
                    <w:t>用于</w:t>
                  </w:r>
                  <w:r>
                    <w:rPr>
                      <w:rFonts w:hint="eastAsia" w:ascii="Times New Roman" w:hAnsi="Times New Roman" w:eastAsia="宋体" w:cs="Times New Roman"/>
                      <w:color w:val="auto"/>
                      <w:sz w:val="21"/>
                      <w:szCs w:val="21"/>
                      <w:lang w:val="en-US" w:eastAsia="zh-CN"/>
                    </w:rPr>
                    <w:t>热塑性弹性体颗</w:t>
                  </w:r>
                  <w:r>
                    <w:rPr>
                      <w:rFonts w:hint="eastAsia" w:ascii="Times New Roman" w:hAnsi="Times New Roman" w:eastAsia="宋体" w:cs="Times New Roman"/>
                      <w:color w:val="auto"/>
                      <w:lang w:eastAsia="zh-CN"/>
                    </w:rPr>
                    <w:t>粒</w:t>
                  </w:r>
                  <w:r>
                    <w:rPr>
                      <w:rFonts w:hint="eastAsia" w:ascii="Times New Roman" w:hAnsi="Times New Roman" w:eastAsia="宋体" w:cs="Times New Roman"/>
                      <w:color w:val="auto"/>
                      <w:sz w:val="21"/>
                      <w:szCs w:val="21"/>
                      <w:lang w:val="en-US" w:eastAsia="zh-CN"/>
                    </w:rPr>
                    <w:t>、汽车密封件</w:t>
                  </w:r>
                  <w:r>
                    <w:rPr>
                      <w:rFonts w:hint="default" w:ascii="Times New Roman" w:hAnsi="Times New Roman" w:eastAsia="宋体" w:cs="Times New Roman"/>
                      <w:color w:val="auto"/>
                      <w:sz w:val="21"/>
                      <w:szCs w:val="21"/>
                      <w:lang w:val="en-US" w:eastAsia="zh-CN"/>
                    </w:rPr>
                    <w:t>的生产，</w:t>
                  </w:r>
                  <w:r>
                    <w:rPr>
                      <w:rFonts w:hint="eastAsia" w:cs="Times New Roman"/>
                      <w:color w:val="auto"/>
                      <w:sz w:val="21"/>
                      <w:szCs w:val="21"/>
                      <w:lang w:val="en-US" w:eastAsia="zh-CN"/>
                    </w:rPr>
                    <w:t>生产车间1楼</w:t>
                  </w:r>
                  <w:r>
                    <w:rPr>
                      <w:rFonts w:hint="default" w:ascii="Times New Roman" w:hAnsi="Times New Roman" w:eastAsia="宋体" w:cs="Times New Roman"/>
                      <w:color w:val="auto"/>
                      <w:sz w:val="21"/>
                      <w:szCs w:val="21"/>
                    </w:rPr>
                    <w:t>，建筑面积为</w:t>
                  </w:r>
                  <w:r>
                    <w:rPr>
                      <w:rFonts w:hint="eastAsia" w:cs="Times New Roman"/>
                      <w:color w:val="auto"/>
                      <w:sz w:val="21"/>
                      <w:szCs w:val="21"/>
                      <w:lang w:val="en-US" w:eastAsia="zh-CN"/>
                    </w:rPr>
                    <w:t>1660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主要设置</w:t>
                  </w:r>
                  <w:r>
                    <w:rPr>
                      <w:rFonts w:hint="eastAsia" w:cs="Times New Roman"/>
                      <w:color w:val="auto"/>
                      <w:sz w:val="21"/>
                      <w:szCs w:val="21"/>
                      <w:lang w:val="en-US" w:eastAsia="zh-CN"/>
                    </w:rPr>
                    <w:t>检测室、挤出线、破碎区、烘干区、成品暂存区、原料暂存区</w:t>
                  </w:r>
                  <w:r>
                    <w:rPr>
                      <w:rFonts w:hint="default"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rPr>
                    <w:t>。</w:t>
                  </w:r>
                </w:p>
              </w:tc>
              <w:tc>
                <w:tcPr>
                  <w:tcW w:w="800" w:type="pct"/>
                  <w:noWrap w:val="0"/>
                  <w:tcMar>
                    <w:top w:w="0" w:type="dxa"/>
                    <w:left w:w="0" w:type="dxa"/>
                    <w:bottom w:w="0" w:type="dxa"/>
                    <w:right w:w="0" w:type="dxa"/>
                  </w:tcMar>
                  <w:vAlign w:val="center"/>
                </w:tcPr>
                <w:p w14:paraId="4535050E">
                  <w:pPr>
                    <w:keepNext w:val="0"/>
                    <w:keepLines w:val="0"/>
                    <w:pageBreakBefore w:val="0"/>
                    <w:widowControl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pacing w:val="-2"/>
                      <w:kern w:val="28"/>
                      <w:sz w:val="21"/>
                      <w:szCs w:val="21"/>
                      <w:lang w:val="en-US" w:eastAsia="zh-CN"/>
                    </w:rPr>
                  </w:pPr>
                  <w:r>
                    <w:rPr>
                      <w:rFonts w:hint="eastAsia"/>
                      <w:color w:val="auto"/>
                      <w:lang w:val="en-US" w:eastAsia="zh-CN"/>
                    </w:rPr>
                    <w:t>依托现有厂房，搬迁原有生产设备建设</w:t>
                  </w:r>
                </w:p>
              </w:tc>
            </w:tr>
            <w:tr w14:paraId="4379E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80" w:type="pct"/>
                  <w:noWrap w:val="0"/>
                  <w:tcMar>
                    <w:top w:w="0" w:type="dxa"/>
                    <w:left w:w="0" w:type="dxa"/>
                    <w:bottom w:w="0" w:type="dxa"/>
                    <w:right w:w="0" w:type="dxa"/>
                  </w:tcMar>
                  <w:vAlign w:val="center"/>
                </w:tcPr>
                <w:p w14:paraId="75FF45AD">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581" w:type="pct"/>
                  <w:noWrap w:val="0"/>
                  <w:tcMar>
                    <w:top w:w="0" w:type="dxa"/>
                    <w:left w:w="0" w:type="dxa"/>
                    <w:bottom w:w="0" w:type="dxa"/>
                    <w:right w:w="0" w:type="dxa"/>
                  </w:tcMar>
                  <w:vAlign w:val="center"/>
                </w:tcPr>
                <w:p w14:paraId="20556D3B">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3337" w:type="pct"/>
                  <w:gridSpan w:val="3"/>
                  <w:noWrap w:val="0"/>
                  <w:tcMar>
                    <w:top w:w="0" w:type="dxa"/>
                    <w:left w:w="0" w:type="dxa"/>
                    <w:bottom w:w="0" w:type="dxa"/>
                    <w:right w:w="0" w:type="dxa"/>
                  </w:tcMar>
                  <w:vAlign w:val="center"/>
                </w:tcPr>
                <w:p w14:paraId="3B83C5BD">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用于办公、行政，位于</w:t>
                  </w:r>
                  <w:r>
                    <w:rPr>
                      <w:rFonts w:hint="eastAsia" w:cs="Times New Roman"/>
                      <w:color w:val="auto"/>
                      <w:sz w:val="21"/>
                      <w:szCs w:val="21"/>
                      <w:lang w:val="en-US" w:eastAsia="zh-CN"/>
                    </w:rPr>
                    <w:t>生产车间1楼北侧</w:t>
                  </w:r>
                  <w:r>
                    <w:rPr>
                      <w:rFonts w:hint="default" w:ascii="Times New Roman" w:hAnsi="Times New Roman" w:eastAsia="宋体" w:cs="Times New Roman"/>
                      <w:color w:val="auto"/>
                      <w:sz w:val="21"/>
                      <w:szCs w:val="21"/>
                    </w:rPr>
                    <w:t>，建筑面积为</w:t>
                  </w:r>
                  <w:r>
                    <w:rPr>
                      <w:rFonts w:hint="eastAsia" w:cs="Times New Roman"/>
                      <w:color w:val="auto"/>
                      <w:sz w:val="21"/>
                      <w:szCs w:val="21"/>
                      <w:lang w:val="en-US" w:eastAsia="zh-CN"/>
                    </w:rPr>
                    <w:t>50</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800" w:type="pct"/>
                  <w:noWrap w:val="0"/>
                  <w:tcMar>
                    <w:top w:w="0" w:type="dxa"/>
                    <w:left w:w="0" w:type="dxa"/>
                    <w:bottom w:w="0" w:type="dxa"/>
                    <w:right w:w="0" w:type="dxa"/>
                  </w:tcMar>
                  <w:vAlign w:val="center"/>
                </w:tcPr>
                <w:p w14:paraId="1D62D37E">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依托现有厂房</w:t>
                  </w:r>
                </w:p>
              </w:tc>
            </w:tr>
            <w:tr w14:paraId="02273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restart"/>
                  <w:noWrap w:val="0"/>
                  <w:tcMar>
                    <w:top w:w="0" w:type="dxa"/>
                    <w:left w:w="0" w:type="dxa"/>
                    <w:bottom w:w="0" w:type="dxa"/>
                    <w:right w:w="0" w:type="dxa"/>
                  </w:tcMar>
                  <w:vAlign w:val="center"/>
                </w:tcPr>
                <w:p w14:paraId="4873891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贮运工程</w:t>
                  </w:r>
                </w:p>
              </w:tc>
              <w:tc>
                <w:tcPr>
                  <w:tcW w:w="581" w:type="pct"/>
                  <w:noWrap w:val="0"/>
                  <w:tcMar>
                    <w:top w:w="0" w:type="dxa"/>
                    <w:left w:w="0" w:type="dxa"/>
                    <w:bottom w:w="0" w:type="dxa"/>
                    <w:right w:w="0" w:type="dxa"/>
                  </w:tcMar>
                  <w:vAlign w:val="center"/>
                </w:tcPr>
                <w:p w14:paraId="0F98592B">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原料仓库</w:t>
                  </w:r>
                </w:p>
              </w:tc>
              <w:tc>
                <w:tcPr>
                  <w:tcW w:w="3337" w:type="pct"/>
                  <w:gridSpan w:val="3"/>
                  <w:noWrap w:val="0"/>
                  <w:tcMar>
                    <w:top w:w="0" w:type="dxa"/>
                    <w:left w:w="0" w:type="dxa"/>
                    <w:bottom w:w="0" w:type="dxa"/>
                    <w:right w:w="0" w:type="dxa"/>
                  </w:tcMar>
                  <w:vAlign w:val="center"/>
                </w:tcPr>
                <w:p w14:paraId="14536B19">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pacing w:val="-2"/>
                      <w:kern w:val="28"/>
                      <w:sz w:val="21"/>
                      <w:szCs w:val="21"/>
                      <w:lang w:val="en-US" w:eastAsia="zh-CN"/>
                    </w:rPr>
                  </w:pPr>
                  <w:r>
                    <w:rPr>
                      <w:rFonts w:hint="default" w:ascii="Times New Roman" w:hAnsi="Times New Roman" w:eastAsia="宋体" w:cs="Times New Roman"/>
                      <w:color w:val="auto"/>
                      <w:sz w:val="21"/>
                      <w:szCs w:val="21"/>
                    </w:rPr>
                    <w:t>建筑面积为</w:t>
                  </w:r>
                  <w:r>
                    <w:rPr>
                      <w:rFonts w:hint="eastAsia" w:cs="Times New Roman"/>
                      <w:color w:val="auto"/>
                      <w:sz w:val="21"/>
                      <w:szCs w:val="21"/>
                      <w:lang w:val="en-US" w:eastAsia="zh-CN"/>
                    </w:rPr>
                    <w:t>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，用于原料仓库。</w:t>
                  </w:r>
                </w:p>
              </w:tc>
              <w:tc>
                <w:tcPr>
                  <w:tcW w:w="800" w:type="pct"/>
                  <w:vMerge w:val="restart"/>
                  <w:noWrap w:val="0"/>
                  <w:tcMar>
                    <w:top w:w="0" w:type="dxa"/>
                    <w:left w:w="0" w:type="dxa"/>
                    <w:bottom w:w="0" w:type="dxa"/>
                    <w:right w:w="0" w:type="dxa"/>
                  </w:tcMar>
                  <w:vAlign w:val="center"/>
                </w:tcPr>
                <w:p w14:paraId="1E309F60">
                  <w:pPr>
                    <w:keepNext w:val="0"/>
                    <w:keepLines w:val="0"/>
                    <w:pageBreakBefore w:val="0"/>
                    <w:widowControl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pacing w:val="-2"/>
                      <w:kern w:val="28"/>
                      <w:sz w:val="21"/>
                      <w:szCs w:val="21"/>
                      <w:lang w:val="en-US" w:eastAsia="zh-CN" w:bidi="ar-SA"/>
                    </w:rPr>
                  </w:pPr>
                  <w:r>
                    <w:rPr>
                      <w:rFonts w:hint="eastAsia"/>
                      <w:color w:val="auto"/>
                      <w:lang w:val="en-US" w:eastAsia="zh-CN"/>
                    </w:rPr>
                    <w:t>依托现有厂房</w:t>
                  </w:r>
                </w:p>
              </w:tc>
            </w:tr>
            <w:tr w14:paraId="2C6BE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05C425AA">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81" w:type="pct"/>
                  <w:noWrap w:val="0"/>
                  <w:tcMar>
                    <w:top w:w="0" w:type="dxa"/>
                    <w:left w:w="0" w:type="dxa"/>
                    <w:bottom w:w="0" w:type="dxa"/>
                    <w:right w:w="0" w:type="dxa"/>
                  </w:tcMar>
                  <w:vAlign w:val="center"/>
                </w:tcPr>
                <w:p w14:paraId="6293317B">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成品仓库</w:t>
                  </w:r>
                </w:p>
              </w:tc>
              <w:tc>
                <w:tcPr>
                  <w:tcW w:w="3337" w:type="pct"/>
                  <w:gridSpan w:val="3"/>
                  <w:noWrap w:val="0"/>
                  <w:tcMar>
                    <w:top w:w="0" w:type="dxa"/>
                    <w:left w:w="0" w:type="dxa"/>
                    <w:bottom w:w="0" w:type="dxa"/>
                    <w:right w:w="0" w:type="dxa"/>
                  </w:tcMar>
                  <w:vAlign w:val="center"/>
                </w:tcPr>
                <w:p w14:paraId="61FF4CED">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2"/>
                      <w:kern w:val="28"/>
                      <w:sz w:val="21"/>
                      <w:szCs w:val="21"/>
                      <w:lang w:val="en-US" w:eastAsia="zh-CN" w:bidi="ar-SA"/>
                    </w:rPr>
                  </w:pPr>
                  <w:r>
                    <w:rPr>
                      <w:rFonts w:hint="default" w:ascii="Times New Roman" w:hAnsi="Times New Roman" w:eastAsia="宋体" w:cs="Times New Roman"/>
                      <w:color w:val="auto"/>
                      <w:sz w:val="21"/>
                      <w:szCs w:val="21"/>
                    </w:rPr>
                    <w:t>建筑面积为</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，用于</w:t>
                  </w:r>
                  <w:r>
                    <w:rPr>
                      <w:rFonts w:hint="default" w:ascii="Times New Roman" w:hAnsi="Times New Roman" w:eastAsia="宋体" w:cs="Times New Roman"/>
                      <w:color w:val="auto"/>
                      <w:sz w:val="21"/>
                      <w:szCs w:val="21"/>
                      <w:lang w:val="en-US" w:eastAsia="zh-CN"/>
                    </w:rPr>
                    <w:t>成品仓库</w:t>
                  </w:r>
                  <w:r>
                    <w:rPr>
                      <w:rFonts w:hint="default" w:ascii="Times New Roman" w:hAnsi="Times New Roman" w:eastAsia="宋体" w:cs="Times New Roman"/>
                      <w:color w:val="auto"/>
                      <w:sz w:val="21"/>
                      <w:szCs w:val="21"/>
                    </w:rPr>
                    <w:t>。</w:t>
                  </w:r>
                </w:p>
              </w:tc>
              <w:tc>
                <w:tcPr>
                  <w:tcW w:w="800" w:type="pct"/>
                  <w:vMerge w:val="continue"/>
                  <w:noWrap w:val="0"/>
                  <w:tcMar>
                    <w:top w:w="0" w:type="dxa"/>
                    <w:left w:w="0" w:type="dxa"/>
                    <w:bottom w:w="0" w:type="dxa"/>
                    <w:right w:w="0" w:type="dxa"/>
                  </w:tcMar>
                  <w:vAlign w:val="center"/>
                </w:tcPr>
                <w:p w14:paraId="1ACC5D99">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r>
            <w:tr w14:paraId="2B894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restart"/>
                  <w:noWrap w:val="0"/>
                  <w:tcMar>
                    <w:top w:w="0" w:type="dxa"/>
                    <w:left w:w="0" w:type="dxa"/>
                    <w:bottom w:w="0" w:type="dxa"/>
                    <w:right w:w="0" w:type="dxa"/>
                  </w:tcMar>
                  <w:vAlign w:val="center"/>
                </w:tcPr>
                <w:p w14:paraId="242F5F80">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581" w:type="pct"/>
                  <w:noWrap w:val="0"/>
                  <w:tcMar>
                    <w:top w:w="0" w:type="dxa"/>
                    <w:left w:w="0" w:type="dxa"/>
                    <w:bottom w:w="0" w:type="dxa"/>
                    <w:right w:w="0" w:type="dxa"/>
                  </w:tcMar>
                  <w:vAlign w:val="center"/>
                </w:tcPr>
                <w:p w14:paraId="05A37067">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w:t>
                  </w:r>
                </w:p>
              </w:tc>
              <w:tc>
                <w:tcPr>
                  <w:tcW w:w="3337" w:type="pct"/>
                  <w:gridSpan w:val="3"/>
                  <w:noWrap w:val="0"/>
                  <w:tcMar>
                    <w:top w:w="0" w:type="dxa"/>
                    <w:left w:w="0" w:type="dxa"/>
                    <w:bottom w:w="0" w:type="dxa"/>
                    <w:right w:w="0" w:type="dxa"/>
                  </w:tcMar>
                  <w:vAlign w:val="center"/>
                </w:tcPr>
                <w:p w14:paraId="7A71122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自来水供水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bCs/>
                      <w:color w:val="auto"/>
                      <w:kern w:val="0"/>
                      <w:sz w:val="21"/>
                      <w:szCs w:val="21"/>
                    </w:rPr>
                    <w:t>生活用水</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切粒冷却用水480t</w:t>
                  </w: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lang w:val="en-US" w:eastAsia="zh-CN"/>
                    </w:rPr>
                    <w:t>、设备冷却用水480t</w:t>
                  </w: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lang w:val="en-US" w:eastAsia="zh-CN"/>
                    </w:rPr>
                    <w:t>、喷淋塔用水240t</w:t>
                  </w: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lang w:val="en-US" w:eastAsia="zh-CN"/>
                    </w:rPr>
                    <w:t>。</w:t>
                  </w:r>
                </w:p>
              </w:tc>
              <w:tc>
                <w:tcPr>
                  <w:tcW w:w="800" w:type="pct"/>
                  <w:noWrap w:val="0"/>
                  <w:tcMar>
                    <w:top w:w="0" w:type="dxa"/>
                    <w:left w:w="0" w:type="dxa"/>
                    <w:bottom w:w="0" w:type="dxa"/>
                    <w:right w:w="0" w:type="dxa"/>
                  </w:tcMar>
                  <w:vAlign w:val="center"/>
                </w:tcPr>
                <w:p w14:paraId="7A49E1BD">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zh-CN"/>
                    </w:rPr>
                    <w:t>依托现有厂区内供水系统</w:t>
                  </w:r>
                </w:p>
              </w:tc>
            </w:tr>
            <w:tr w14:paraId="6F5C6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45A2E3D6">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vMerge w:val="restart"/>
                  <w:noWrap w:val="0"/>
                  <w:tcMar>
                    <w:top w:w="0" w:type="dxa"/>
                    <w:left w:w="0" w:type="dxa"/>
                    <w:bottom w:w="0" w:type="dxa"/>
                    <w:right w:w="0" w:type="dxa"/>
                  </w:tcMar>
                  <w:vAlign w:val="center"/>
                </w:tcPr>
                <w:p w14:paraId="5C25EB7B">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排水</w:t>
                  </w:r>
                </w:p>
              </w:tc>
              <w:tc>
                <w:tcPr>
                  <w:tcW w:w="3337" w:type="pct"/>
                  <w:gridSpan w:val="3"/>
                  <w:noWrap w:val="0"/>
                  <w:tcMar>
                    <w:top w:w="0" w:type="dxa"/>
                    <w:left w:w="0" w:type="dxa"/>
                    <w:bottom w:w="0" w:type="dxa"/>
                    <w:right w:w="0" w:type="dxa"/>
                  </w:tcMar>
                  <w:vAlign w:val="center"/>
                </w:tcPr>
                <w:p w14:paraId="15F131F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经市政污水管网接管至常州金坛区第二污水处理有限公司集中处理，生活污水</w:t>
                  </w:r>
                  <w:r>
                    <w:rPr>
                      <w:rFonts w:hint="eastAsia" w:ascii="Times New Roman" w:hAnsi="Times New Roman" w:eastAsia="宋体" w:cs="Times New Roman"/>
                      <w:color w:val="auto"/>
                      <w:sz w:val="21"/>
                      <w:szCs w:val="21"/>
                      <w:lang w:val="en-US" w:eastAsia="zh-CN"/>
                    </w:rPr>
                    <w:t>144</w:t>
                  </w:r>
                  <w:r>
                    <w:rPr>
                      <w:rFonts w:hint="default" w:ascii="Times New Roman" w:hAnsi="Times New Roman" w:eastAsia="宋体" w:cs="Times New Roman"/>
                      <w:color w:val="auto"/>
                      <w:sz w:val="21"/>
                      <w:szCs w:val="21"/>
                    </w:rPr>
                    <w:t>t/a</w:t>
                  </w:r>
                </w:p>
              </w:tc>
              <w:tc>
                <w:tcPr>
                  <w:tcW w:w="800" w:type="pct"/>
                  <w:vMerge w:val="restart"/>
                  <w:noWrap w:val="0"/>
                  <w:tcMar>
                    <w:top w:w="0" w:type="dxa"/>
                    <w:left w:w="0" w:type="dxa"/>
                    <w:bottom w:w="0" w:type="dxa"/>
                    <w:right w:w="0" w:type="dxa"/>
                  </w:tcMar>
                  <w:vAlign w:val="center"/>
                </w:tcPr>
                <w:p w14:paraId="6D06CFF2">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lang w:val="zh-CN"/>
                    </w:rPr>
                    <w:t>依托现有厂区内排水系统</w:t>
                  </w:r>
                </w:p>
              </w:tc>
            </w:tr>
            <w:tr w14:paraId="5072F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66E7B25E">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vMerge w:val="continue"/>
                  <w:noWrap w:val="0"/>
                  <w:tcMar>
                    <w:top w:w="0" w:type="dxa"/>
                    <w:left w:w="0" w:type="dxa"/>
                    <w:bottom w:w="0" w:type="dxa"/>
                    <w:right w:w="0" w:type="dxa"/>
                  </w:tcMar>
                  <w:vAlign w:val="center"/>
                </w:tcPr>
                <w:p w14:paraId="3BAD3A15">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p>
              </w:tc>
              <w:tc>
                <w:tcPr>
                  <w:tcW w:w="3337" w:type="pct"/>
                  <w:gridSpan w:val="3"/>
                  <w:noWrap w:val="0"/>
                  <w:tcMar>
                    <w:top w:w="0" w:type="dxa"/>
                    <w:left w:w="0" w:type="dxa"/>
                    <w:bottom w:w="0" w:type="dxa"/>
                    <w:right w:w="0" w:type="dxa"/>
                  </w:tcMar>
                  <w:vAlign w:val="center"/>
                </w:tcPr>
                <w:p w14:paraId="45325833">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雨水经厂区雨水管网接入市政管网后排入附近河道</w:t>
                  </w:r>
                </w:p>
              </w:tc>
              <w:tc>
                <w:tcPr>
                  <w:tcW w:w="800" w:type="pct"/>
                  <w:vMerge w:val="continue"/>
                  <w:noWrap w:val="0"/>
                  <w:tcMar>
                    <w:top w:w="0" w:type="dxa"/>
                    <w:left w:w="0" w:type="dxa"/>
                    <w:bottom w:w="0" w:type="dxa"/>
                    <w:right w:w="0" w:type="dxa"/>
                  </w:tcMar>
                  <w:vAlign w:val="center"/>
                </w:tcPr>
                <w:p w14:paraId="0144F6BB">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lang w:val="zh-CN"/>
                    </w:rPr>
                  </w:pPr>
                </w:p>
              </w:tc>
            </w:tr>
            <w:tr w14:paraId="5B268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46BA721E">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noWrap w:val="0"/>
                  <w:tcMar>
                    <w:top w:w="0" w:type="dxa"/>
                    <w:left w:w="0" w:type="dxa"/>
                    <w:bottom w:w="0" w:type="dxa"/>
                    <w:right w:w="0" w:type="dxa"/>
                  </w:tcMar>
                  <w:vAlign w:val="center"/>
                </w:tcPr>
                <w:p w14:paraId="7BC76855">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3337" w:type="pct"/>
                  <w:gridSpan w:val="3"/>
                  <w:noWrap w:val="0"/>
                  <w:tcMar>
                    <w:top w:w="0" w:type="dxa"/>
                    <w:left w:w="0" w:type="dxa"/>
                    <w:bottom w:w="0" w:type="dxa"/>
                    <w:right w:w="0" w:type="dxa"/>
                  </w:tcMar>
                  <w:vAlign w:val="center"/>
                </w:tcPr>
                <w:p w14:paraId="0F2E0400">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万kWh/a</w:t>
                  </w:r>
                </w:p>
              </w:tc>
              <w:tc>
                <w:tcPr>
                  <w:tcW w:w="800" w:type="pct"/>
                  <w:noWrap w:val="0"/>
                  <w:tcMar>
                    <w:top w:w="0" w:type="dxa"/>
                    <w:left w:w="0" w:type="dxa"/>
                    <w:bottom w:w="0" w:type="dxa"/>
                    <w:right w:w="0" w:type="dxa"/>
                  </w:tcMar>
                  <w:vAlign w:val="center"/>
                </w:tcPr>
                <w:p w14:paraId="2A5DBDE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依托现有厂区内供电系统</w:t>
                  </w:r>
                </w:p>
              </w:tc>
            </w:tr>
            <w:tr w14:paraId="39A75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restart"/>
                  <w:noWrap w:val="0"/>
                  <w:tcMar>
                    <w:top w:w="0" w:type="dxa"/>
                    <w:left w:w="0" w:type="dxa"/>
                    <w:bottom w:w="0" w:type="dxa"/>
                    <w:right w:w="0" w:type="dxa"/>
                  </w:tcMar>
                  <w:vAlign w:val="center"/>
                </w:tcPr>
                <w:p w14:paraId="68C9CC65">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581" w:type="pct"/>
                  <w:noWrap w:val="0"/>
                  <w:tcMar>
                    <w:top w:w="0" w:type="dxa"/>
                    <w:left w:w="0" w:type="dxa"/>
                    <w:bottom w:w="0" w:type="dxa"/>
                    <w:right w:w="0" w:type="dxa"/>
                  </w:tcMar>
                  <w:vAlign w:val="center"/>
                </w:tcPr>
                <w:p w14:paraId="7908D388">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337" w:type="pct"/>
                  <w:gridSpan w:val="3"/>
                  <w:noWrap w:val="0"/>
                  <w:tcMar>
                    <w:top w:w="0" w:type="dxa"/>
                    <w:left w:w="0" w:type="dxa"/>
                    <w:bottom w:w="0" w:type="dxa"/>
                    <w:right w:w="0" w:type="dxa"/>
                  </w:tcMar>
                  <w:vAlign w:val="center"/>
                </w:tcPr>
                <w:p w14:paraId="6D0E54B5">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本项目仅生活污水排放，生活污水</w:t>
                  </w:r>
                  <w:r>
                    <w:rPr>
                      <w:rFonts w:hint="eastAsia" w:ascii="Times New Roman" w:hAnsi="Times New Roman" w:eastAsia="宋体" w:cs="Times New Roman"/>
                      <w:color w:val="auto"/>
                      <w:sz w:val="21"/>
                      <w:szCs w:val="21"/>
                      <w:lang w:val="en-US" w:eastAsia="zh-CN"/>
                    </w:rPr>
                    <w:t>144</w:t>
                  </w:r>
                  <w:r>
                    <w:rPr>
                      <w:rFonts w:hint="default" w:ascii="Times New Roman" w:hAnsi="Times New Roman" w:eastAsia="宋体" w:cs="Times New Roman"/>
                      <w:color w:val="auto"/>
                      <w:sz w:val="21"/>
                      <w:szCs w:val="21"/>
                    </w:rPr>
                    <w:t>t/a接管至常州金坛区第二污水处理有限公司处理</w:t>
                  </w:r>
                </w:p>
              </w:tc>
              <w:tc>
                <w:tcPr>
                  <w:tcW w:w="800" w:type="pct"/>
                  <w:noWrap w:val="0"/>
                  <w:tcMar>
                    <w:top w:w="0" w:type="dxa"/>
                    <w:left w:w="0" w:type="dxa"/>
                    <w:bottom w:w="0" w:type="dxa"/>
                    <w:right w:w="0" w:type="dxa"/>
                  </w:tcMar>
                  <w:vAlign w:val="center"/>
                </w:tcPr>
                <w:p w14:paraId="24BA3612">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依托现有污水管网</w:t>
                  </w:r>
                </w:p>
              </w:tc>
            </w:tr>
            <w:tr w14:paraId="6EE5B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7ED1EB94">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vMerge w:val="restart"/>
                  <w:noWrap w:val="0"/>
                  <w:tcMar>
                    <w:top w:w="0" w:type="dxa"/>
                    <w:left w:w="0" w:type="dxa"/>
                    <w:bottom w:w="0" w:type="dxa"/>
                    <w:right w:w="0" w:type="dxa"/>
                  </w:tcMar>
                  <w:vAlign w:val="center"/>
                </w:tcPr>
                <w:p w14:paraId="1822C380">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16" w:type="pct"/>
                  <w:gridSpan w:val="2"/>
                  <w:noWrap w:val="0"/>
                  <w:tcMar>
                    <w:top w:w="0" w:type="dxa"/>
                    <w:left w:w="0" w:type="dxa"/>
                    <w:bottom w:w="0" w:type="dxa"/>
                    <w:right w:w="0" w:type="dxa"/>
                  </w:tcMar>
                  <w:vAlign w:val="center"/>
                </w:tcPr>
                <w:p w14:paraId="26F085B9">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lang w:val="en-US" w:eastAsia="zh-CN"/>
                    </w:rPr>
                    <w:t>配料、投料粉尘（颗粒物）</w:t>
                  </w:r>
                </w:p>
              </w:tc>
              <w:tc>
                <w:tcPr>
                  <w:tcW w:w="2121" w:type="pct"/>
                  <w:noWrap w:val="0"/>
                  <w:tcMar>
                    <w:top w:w="0" w:type="dxa"/>
                    <w:left w:w="0" w:type="dxa"/>
                    <w:bottom w:w="0" w:type="dxa"/>
                    <w:right w:w="0" w:type="dxa"/>
                  </w:tcMar>
                  <w:vAlign w:val="center"/>
                </w:tcPr>
                <w:p w14:paraId="59F1645E">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lang w:val="en-US" w:eastAsia="zh-CN"/>
                    </w:rPr>
                    <w:t>集气罩收集</w:t>
                  </w:r>
                  <w:r>
                    <w:rPr>
                      <w:rFonts w:hint="eastAsia"/>
                      <w:color w:val="auto"/>
                      <w:szCs w:val="21"/>
                      <w:lang w:val="en-US" w:eastAsia="zh-CN"/>
                    </w:rPr>
                    <w:t>至</w:t>
                  </w:r>
                  <w:r>
                    <w:rPr>
                      <w:rFonts w:hint="eastAsia"/>
                      <w:color w:val="auto"/>
                      <w:kern w:val="2"/>
                      <w:sz w:val="21"/>
                      <w:szCs w:val="21"/>
                      <w:lang w:val="en-US" w:eastAsia="zh-CN"/>
                    </w:rPr>
                    <w:t>布袋除尘器处理后通过1根15米高排气筒DA001排放</w:t>
                  </w:r>
                </w:p>
              </w:tc>
              <w:tc>
                <w:tcPr>
                  <w:tcW w:w="800" w:type="pct"/>
                  <w:noWrap w:val="0"/>
                  <w:tcMar>
                    <w:top w:w="0" w:type="dxa"/>
                    <w:left w:w="0" w:type="dxa"/>
                    <w:bottom w:w="0" w:type="dxa"/>
                    <w:right w:w="0" w:type="dxa"/>
                  </w:tcMar>
                  <w:vAlign w:val="center"/>
                </w:tcPr>
                <w:p w14:paraId="75D55918">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新建</w:t>
                  </w:r>
                </w:p>
              </w:tc>
            </w:tr>
            <w:tr w14:paraId="4CF8D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4AF34203">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vMerge w:val="continue"/>
                  <w:noWrap w:val="0"/>
                  <w:tcMar>
                    <w:top w:w="0" w:type="dxa"/>
                    <w:left w:w="0" w:type="dxa"/>
                    <w:bottom w:w="0" w:type="dxa"/>
                    <w:right w:w="0" w:type="dxa"/>
                  </w:tcMar>
                  <w:vAlign w:val="center"/>
                </w:tcPr>
                <w:p w14:paraId="447CD4D1">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p>
              </w:tc>
              <w:tc>
                <w:tcPr>
                  <w:tcW w:w="1216" w:type="pct"/>
                  <w:gridSpan w:val="2"/>
                  <w:noWrap w:val="0"/>
                  <w:tcMar>
                    <w:top w:w="0" w:type="dxa"/>
                    <w:left w:w="0" w:type="dxa"/>
                    <w:bottom w:w="0" w:type="dxa"/>
                    <w:right w:w="0" w:type="dxa"/>
                  </w:tcMar>
                  <w:vAlign w:val="center"/>
                </w:tcPr>
                <w:p w14:paraId="315A8883">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rPr>
                    <w:t>挤出、烘干、</w:t>
                  </w:r>
                  <w:r>
                    <w:rPr>
                      <w:rFonts w:hint="eastAsia" w:ascii="Times New Roman" w:hAnsi="Times New Roman" w:eastAsia="宋体" w:cs="Times New Roman"/>
                      <w:bCs/>
                      <w:color w:val="auto"/>
                      <w:kern w:val="2"/>
                      <w:sz w:val="21"/>
                      <w:szCs w:val="21"/>
                      <w:lang w:val="en-US" w:eastAsia="zh-CN" w:bidi="ar-SA"/>
                    </w:rPr>
                    <w:t>测试</w:t>
                  </w:r>
                  <w:r>
                    <w:rPr>
                      <w:rFonts w:hint="eastAsia"/>
                      <w:color w:val="auto"/>
                      <w:kern w:val="2"/>
                      <w:sz w:val="21"/>
                      <w:szCs w:val="21"/>
                      <w:lang w:val="en-US" w:eastAsia="zh-CN"/>
                    </w:rPr>
                    <w:t>废气（非甲烷总烃、油雾（以非甲烷总烃计））</w:t>
                  </w:r>
                </w:p>
              </w:tc>
              <w:tc>
                <w:tcPr>
                  <w:tcW w:w="2121" w:type="pct"/>
                  <w:noWrap w:val="0"/>
                  <w:tcMar>
                    <w:top w:w="0" w:type="dxa"/>
                    <w:left w:w="0" w:type="dxa"/>
                    <w:bottom w:w="0" w:type="dxa"/>
                    <w:right w:w="0" w:type="dxa"/>
                  </w:tcMar>
                  <w:vAlign w:val="center"/>
                </w:tcPr>
                <w:p w14:paraId="40C728B5">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半密闭收集至1套“水喷淋塔+除湿器+二级活性炭吸附装置”处理后通过1根15米高排气筒DA002排放</w:t>
                  </w:r>
                </w:p>
              </w:tc>
              <w:tc>
                <w:tcPr>
                  <w:tcW w:w="800" w:type="pct"/>
                  <w:noWrap w:val="0"/>
                  <w:tcMar>
                    <w:top w:w="0" w:type="dxa"/>
                    <w:left w:w="0" w:type="dxa"/>
                    <w:bottom w:w="0" w:type="dxa"/>
                    <w:right w:w="0" w:type="dxa"/>
                  </w:tcMar>
                  <w:vAlign w:val="center"/>
                </w:tcPr>
                <w:p w14:paraId="0C967156">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w:t>
                  </w:r>
                </w:p>
              </w:tc>
            </w:tr>
            <w:tr w14:paraId="49ADA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0CFA6772">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vMerge w:val="continue"/>
                  <w:noWrap w:val="0"/>
                  <w:tcMar>
                    <w:top w:w="0" w:type="dxa"/>
                    <w:left w:w="0" w:type="dxa"/>
                    <w:bottom w:w="0" w:type="dxa"/>
                    <w:right w:w="0" w:type="dxa"/>
                  </w:tcMar>
                  <w:vAlign w:val="center"/>
                </w:tcPr>
                <w:p w14:paraId="19D196DA">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p>
              </w:tc>
              <w:tc>
                <w:tcPr>
                  <w:tcW w:w="1216" w:type="pct"/>
                  <w:gridSpan w:val="2"/>
                  <w:noWrap w:val="0"/>
                  <w:tcMar>
                    <w:top w:w="0" w:type="dxa"/>
                    <w:left w:w="0" w:type="dxa"/>
                    <w:bottom w:w="0" w:type="dxa"/>
                    <w:right w:w="0" w:type="dxa"/>
                  </w:tcMar>
                  <w:vAlign w:val="center"/>
                </w:tcPr>
                <w:p w14:paraId="648C046D">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破碎粉尘（颗粒物）</w:t>
                  </w:r>
                </w:p>
              </w:tc>
              <w:tc>
                <w:tcPr>
                  <w:tcW w:w="2121" w:type="pct"/>
                  <w:noWrap w:val="0"/>
                  <w:tcMar>
                    <w:top w:w="0" w:type="dxa"/>
                    <w:left w:w="0" w:type="dxa"/>
                    <w:bottom w:w="0" w:type="dxa"/>
                    <w:right w:w="0" w:type="dxa"/>
                  </w:tcMar>
                  <w:vAlign w:val="center"/>
                </w:tcPr>
                <w:p w14:paraId="089B3A4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破碎</w:t>
                  </w:r>
                  <w:r>
                    <w:rPr>
                      <w:rFonts w:hint="default" w:ascii="Times New Roman" w:hAnsi="Times New Roman" w:eastAsia="宋体" w:cs="Times New Roman"/>
                      <w:color w:val="auto"/>
                      <w:sz w:val="21"/>
                      <w:szCs w:val="21"/>
                      <w:lang w:val="en-US" w:eastAsia="zh-CN"/>
                    </w:rPr>
                    <w:t>过程密闭操作，产生的微量粉尘无组织排放</w:t>
                  </w:r>
                </w:p>
              </w:tc>
              <w:tc>
                <w:tcPr>
                  <w:tcW w:w="800" w:type="pct"/>
                  <w:noWrap w:val="0"/>
                  <w:tcMar>
                    <w:top w:w="0" w:type="dxa"/>
                    <w:left w:w="0" w:type="dxa"/>
                    <w:bottom w:w="0" w:type="dxa"/>
                    <w:right w:w="0" w:type="dxa"/>
                  </w:tcMar>
                  <w:vAlign w:val="center"/>
                </w:tcPr>
                <w:p w14:paraId="1F34BA98">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w:t>
                  </w:r>
                </w:p>
              </w:tc>
            </w:tr>
            <w:tr w14:paraId="0217D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67AEE218">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noWrap w:val="0"/>
                  <w:tcMar>
                    <w:top w:w="0" w:type="dxa"/>
                    <w:left w:w="0" w:type="dxa"/>
                    <w:bottom w:w="0" w:type="dxa"/>
                    <w:right w:w="0" w:type="dxa"/>
                  </w:tcMar>
                  <w:vAlign w:val="center"/>
                </w:tcPr>
                <w:p w14:paraId="330FD390">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337" w:type="pct"/>
                  <w:gridSpan w:val="3"/>
                  <w:noWrap w:val="0"/>
                  <w:tcMar>
                    <w:top w:w="0" w:type="dxa"/>
                    <w:left w:w="0" w:type="dxa"/>
                    <w:bottom w:w="0" w:type="dxa"/>
                    <w:right w:w="0" w:type="dxa"/>
                  </w:tcMar>
                  <w:vAlign w:val="center"/>
                </w:tcPr>
                <w:p w14:paraId="0C30A48A">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隔声、消声、减振</w:t>
                  </w:r>
                </w:p>
              </w:tc>
              <w:tc>
                <w:tcPr>
                  <w:tcW w:w="800" w:type="pct"/>
                  <w:noWrap w:val="0"/>
                  <w:tcMar>
                    <w:top w:w="0" w:type="dxa"/>
                    <w:left w:w="0" w:type="dxa"/>
                    <w:bottom w:w="0" w:type="dxa"/>
                    <w:right w:w="0" w:type="dxa"/>
                  </w:tcMar>
                  <w:vAlign w:val="center"/>
                </w:tcPr>
                <w:p w14:paraId="35EE9EBA">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依托厂区现有</w:t>
                  </w:r>
                  <w:r>
                    <w:rPr>
                      <w:rFonts w:hint="eastAsia" w:ascii="Times New Roman" w:hAnsi="Times New Roman" w:eastAsia="宋体" w:cs="Times New Roman"/>
                      <w:color w:val="auto"/>
                      <w:sz w:val="21"/>
                      <w:szCs w:val="21"/>
                      <w:lang w:val="en-US" w:eastAsia="zh-CN"/>
                    </w:rPr>
                    <w:t>隔声</w:t>
                  </w:r>
                </w:p>
              </w:tc>
            </w:tr>
            <w:tr w14:paraId="0B261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27BE675F">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vMerge w:val="restart"/>
                  <w:noWrap w:val="0"/>
                  <w:tcMar>
                    <w:top w:w="0" w:type="dxa"/>
                    <w:left w:w="0" w:type="dxa"/>
                    <w:bottom w:w="0" w:type="dxa"/>
                    <w:right w:w="0" w:type="dxa"/>
                  </w:tcMar>
                  <w:vAlign w:val="center"/>
                </w:tcPr>
                <w:p w14:paraId="15D9BBF4">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762" w:type="pct"/>
                  <w:noWrap w:val="0"/>
                  <w:tcMar>
                    <w:top w:w="0" w:type="dxa"/>
                    <w:left w:w="0" w:type="dxa"/>
                    <w:bottom w:w="0" w:type="dxa"/>
                    <w:right w:w="0" w:type="dxa"/>
                  </w:tcMar>
                  <w:vAlign w:val="center"/>
                </w:tcPr>
                <w:p w14:paraId="6D1248D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一般固废</w:t>
                  </w:r>
                </w:p>
              </w:tc>
              <w:tc>
                <w:tcPr>
                  <w:tcW w:w="2575" w:type="pct"/>
                  <w:gridSpan w:val="2"/>
                  <w:shd w:val="clear" w:color="auto" w:fill="auto"/>
                  <w:noWrap w:val="0"/>
                  <w:tcMar>
                    <w:top w:w="0" w:type="dxa"/>
                    <w:left w:w="0" w:type="dxa"/>
                    <w:bottom w:w="0" w:type="dxa"/>
                    <w:right w:w="0" w:type="dxa"/>
                  </w:tcMar>
                  <w:vAlign w:val="center"/>
                </w:tcPr>
                <w:p w14:paraId="0268CADA">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集中收集后外售综合利用，</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一般固废仓库</w:t>
                  </w:r>
                </w:p>
              </w:tc>
              <w:tc>
                <w:tcPr>
                  <w:tcW w:w="800" w:type="pct"/>
                  <w:noWrap w:val="0"/>
                  <w:tcMar>
                    <w:top w:w="0" w:type="dxa"/>
                    <w:left w:w="0" w:type="dxa"/>
                    <w:bottom w:w="0" w:type="dxa"/>
                    <w:right w:w="0" w:type="dxa"/>
                  </w:tcMar>
                  <w:vAlign w:val="center"/>
                </w:tcPr>
                <w:p w14:paraId="408E062A">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2"/>
                      <w:kern w:val="28"/>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14:paraId="60406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0" w:type="pct"/>
                  <w:vMerge w:val="continue"/>
                  <w:noWrap w:val="0"/>
                  <w:tcMar>
                    <w:top w:w="0" w:type="dxa"/>
                    <w:left w:w="0" w:type="dxa"/>
                    <w:bottom w:w="0" w:type="dxa"/>
                    <w:right w:w="0" w:type="dxa"/>
                  </w:tcMar>
                  <w:vAlign w:val="center"/>
                </w:tcPr>
                <w:p w14:paraId="648C6380">
                  <w:pPr>
                    <w:keepNext w:val="0"/>
                    <w:keepLines w:val="0"/>
                    <w:pageBreakBefore w:val="0"/>
                    <w:widowControl w:val="0"/>
                    <w:kinsoku/>
                    <w:wordWrap/>
                    <w:overflowPunct/>
                    <w:topLinePunct w:val="0"/>
                    <w:bidi w:val="0"/>
                    <w:adjustRightInd w:val="0"/>
                    <w:snapToGrid w:val="0"/>
                    <w:spacing w:line="240" w:lineRule="auto"/>
                    <w:ind w:firstLine="420"/>
                    <w:jc w:val="center"/>
                    <w:rPr>
                      <w:rFonts w:hint="default" w:ascii="Times New Roman" w:hAnsi="Times New Roman" w:eastAsia="宋体" w:cs="Times New Roman"/>
                      <w:color w:val="auto"/>
                      <w:sz w:val="21"/>
                      <w:szCs w:val="21"/>
                    </w:rPr>
                  </w:pPr>
                </w:p>
              </w:tc>
              <w:tc>
                <w:tcPr>
                  <w:tcW w:w="581" w:type="pct"/>
                  <w:vMerge w:val="continue"/>
                  <w:noWrap w:val="0"/>
                  <w:tcMar>
                    <w:top w:w="0" w:type="dxa"/>
                    <w:left w:w="0" w:type="dxa"/>
                    <w:bottom w:w="0" w:type="dxa"/>
                    <w:right w:w="0" w:type="dxa"/>
                  </w:tcMar>
                  <w:vAlign w:val="center"/>
                </w:tcPr>
                <w:p w14:paraId="4C228353">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p>
              </w:tc>
              <w:tc>
                <w:tcPr>
                  <w:tcW w:w="762" w:type="pct"/>
                  <w:noWrap w:val="0"/>
                  <w:tcMar>
                    <w:top w:w="0" w:type="dxa"/>
                    <w:left w:w="0" w:type="dxa"/>
                    <w:bottom w:w="0" w:type="dxa"/>
                    <w:right w:w="0" w:type="dxa"/>
                  </w:tcMar>
                  <w:vAlign w:val="center"/>
                </w:tcPr>
                <w:p w14:paraId="3C22F293">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危废</w:t>
                  </w:r>
                </w:p>
              </w:tc>
              <w:tc>
                <w:tcPr>
                  <w:tcW w:w="2575" w:type="pct"/>
                  <w:gridSpan w:val="2"/>
                  <w:shd w:val="clear" w:color="auto" w:fill="auto"/>
                  <w:noWrap w:val="0"/>
                  <w:tcMar>
                    <w:top w:w="0" w:type="dxa"/>
                    <w:left w:w="0" w:type="dxa"/>
                    <w:bottom w:w="0" w:type="dxa"/>
                    <w:right w:w="0" w:type="dxa"/>
                  </w:tcMar>
                  <w:vAlign w:val="center"/>
                </w:tcPr>
                <w:p w14:paraId="429B3561">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委托有资质单位收集处理，</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危废仓库</w:t>
                  </w:r>
                </w:p>
              </w:tc>
              <w:tc>
                <w:tcPr>
                  <w:tcW w:w="800" w:type="pct"/>
                  <w:noWrap w:val="0"/>
                  <w:tcMar>
                    <w:top w:w="0" w:type="dxa"/>
                    <w:left w:w="0" w:type="dxa"/>
                    <w:bottom w:w="0" w:type="dxa"/>
                    <w:right w:w="0" w:type="dxa"/>
                  </w:tcMar>
                  <w:vAlign w:val="center"/>
                </w:tcPr>
                <w:p w14:paraId="26EE826E">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14:paraId="147D1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1" w:type="pct"/>
                  <w:gridSpan w:val="2"/>
                  <w:noWrap w:val="0"/>
                  <w:tcMar>
                    <w:top w:w="0" w:type="dxa"/>
                    <w:left w:w="0" w:type="dxa"/>
                    <w:bottom w:w="0" w:type="dxa"/>
                    <w:right w:w="0" w:type="dxa"/>
                  </w:tcMar>
                  <w:vAlign w:val="center"/>
                </w:tcPr>
                <w:p w14:paraId="71FC42E9">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依托工程</w:t>
                  </w:r>
                </w:p>
              </w:tc>
              <w:tc>
                <w:tcPr>
                  <w:tcW w:w="4138" w:type="pct"/>
                  <w:gridSpan w:val="4"/>
                  <w:noWrap w:val="0"/>
                  <w:tcMar>
                    <w:top w:w="0" w:type="dxa"/>
                    <w:left w:w="0" w:type="dxa"/>
                    <w:bottom w:w="0" w:type="dxa"/>
                    <w:right w:w="0" w:type="dxa"/>
                  </w:tcMar>
                  <w:vAlign w:val="center"/>
                </w:tcPr>
                <w:p w14:paraId="0509AF40">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本项目依托</w:t>
                  </w:r>
                  <w:r>
                    <w:rPr>
                      <w:rFonts w:hint="eastAsia" w:ascii="Times New Roman" w:hAnsi="Times New Roman" w:eastAsia="宋体" w:cs="Times New Roman"/>
                      <w:color w:val="auto"/>
                      <w:sz w:val="21"/>
                      <w:szCs w:val="21"/>
                      <w:lang w:val="en-US" w:eastAsia="zh-CN"/>
                    </w:rPr>
                    <w:t>租赁厂房</w:t>
                  </w:r>
                  <w:r>
                    <w:rPr>
                      <w:rFonts w:hint="default" w:ascii="Times New Roman" w:hAnsi="Times New Roman" w:eastAsia="宋体" w:cs="Times New Roman"/>
                      <w:color w:val="auto"/>
                      <w:sz w:val="21"/>
                      <w:szCs w:val="21"/>
                    </w:rPr>
                    <w:t>空置部分；厂区内已实施雨污分流，依托现有雨污管网、雨水排放口、污水排放口</w:t>
                  </w:r>
                </w:p>
              </w:tc>
            </w:tr>
          </w:tbl>
          <w:p w14:paraId="4F7176AB">
            <w:pPr>
              <w:pStyle w:val="6"/>
              <w:spacing w:before="120" w:beforeLines="50" w:line="360" w:lineRule="auto"/>
              <w:ind w:firstLine="422"/>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依托可行性分析：</w:t>
            </w:r>
          </w:p>
          <w:p w14:paraId="7E60BA45">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经与建设单位核实，</w:t>
            </w:r>
            <w:r>
              <w:rPr>
                <w:rFonts w:hint="default" w:ascii="Times New Roman" w:hAnsi="Times New Roman" w:eastAsia="宋体" w:cs="Times New Roman"/>
                <w:color w:val="auto"/>
                <w:sz w:val="21"/>
                <w:szCs w:val="21"/>
                <w:lang w:val="en-US" w:eastAsia="zh-CN"/>
              </w:rPr>
              <w:t>厂区内已实施雨污分流，依托现有雨污管网、雨水排放口、污水排放口，不新设排污口。</w:t>
            </w:r>
          </w:p>
          <w:p w14:paraId="5214ECDF">
            <w:pPr>
              <w:pStyle w:val="6"/>
              <w:spacing w:line="360" w:lineRule="auto"/>
              <w:ind w:firstLine="422"/>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4、生产设备</w:t>
            </w:r>
          </w:p>
          <w:p w14:paraId="3A5C828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本项目主要设备见下表。</w:t>
            </w:r>
            <w:bookmarkStart w:id="4" w:name="_Ref435019854"/>
          </w:p>
          <w:p w14:paraId="3A9FAA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bookmarkEnd w:id="4"/>
            <w:r>
              <w:rPr>
                <w:rFonts w:hint="default" w:ascii="Times New Roman" w:hAnsi="Times New Roman" w:eastAsia="宋体" w:cs="Times New Roman"/>
                <w:b/>
                <w:color w:val="auto"/>
                <w:szCs w:val="21"/>
              </w:rPr>
              <w:t>2-3 项目主要生产设备表</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573"/>
              <w:gridCol w:w="1114"/>
              <w:gridCol w:w="2020"/>
              <w:gridCol w:w="1500"/>
              <w:gridCol w:w="943"/>
              <w:gridCol w:w="820"/>
              <w:gridCol w:w="836"/>
            </w:tblGrid>
            <w:tr w14:paraId="72E80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vMerge w:val="restart"/>
                  <w:noWrap w:val="0"/>
                  <w:tcMar>
                    <w:top w:w="0" w:type="dxa"/>
                    <w:left w:w="0" w:type="dxa"/>
                    <w:bottom w:w="0" w:type="dxa"/>
                    <w:right w:w="0" w:type="dxa"/>
                  </w:tcMar>
                  <w:vAlign w:val="center"/>
                </w:tcPr>
                <w:p w14:paraId="1ABA4403">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46" w:type="pct"/>
                  <w:vMerge w:val="restart"/>
                  <w:noWrap w:val="0"/>
                  <w:tcMar>
                    <w:top w:w="0" w:type="dxa"/>
                    <w:left w:w="0" w:type="dxa"/>
                    <w:bottom w:w="0" w:type="dxa"/>
                    <w:right w:w="0" w:type="dxa"/>
                  </w:tcMar>
                  <w:vAlign w:val="center"/>
                </w:tcPr>
                <w:p w14:paraId="00E4F875">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主要生产单元</w:t>
                  </w:r>
                </w:p>
              </w:tc>
              <w:tc>
                <w:tcPr>
                  <w:tcW w:w="672" w:type="pct"/>
                  <w:vMerge w:val="restart"/>
                  <w:noWrap w:val="0"/>
                  <w:tcMar>
                    <w:top w:w="0" w:type="dxa"/>
                    <w:left w:w="0" w:type="dxa"/>
                    <w:bottom w:w="0" w:type="dxa"/>
                    <w:right w:w="0" w:type="dxa"/>
                  </w:tcMar>
                  <w:vAlign w:val="center"/>
                </w:tcPr>
                <w:p w14:paraId="20C5E047">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主要生产工艺/工序</w:t>
                  </w:r>
                </w:p>
              </w:tc>
              <w:tc>
                <w:tcPr>
                  <w:tcW w:w="1219" w:type="pct"/>
                  <w:vMerge w:val="restart"/>
                  <w:noWrap w:val="0"/>
                  <w:tcMar>
                    <w:top w:w="0" w:type="dxa"/>
                    <w:left w:w="0" w:type="dxa"/>
                    <w:bottom w:w="0" w:type="dxa"/>
                    <w:right w:w="0" w:type="dxa"/>
                  </w:tcMar>
                  <w:vAlign w:val="center"/>
                </w:tcPr>
                <w:p w14:paraId="7C5621CE">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905" w:type="pct"/>
                  <w:vMerge w:val="restart"/>
                  <w:noWrap w:val="0"/>
                  <w:tcMar>
                    <w:top w:w="0" w:type="dxa"/>
                    <w:left w:w="0" w:type="dxa"/>
                    <w:bottom w:w="0" w:type="dxa"/>
                    <w:right w:w="0" w:type="dxa"/>
                  </w:tcMar>
                  <w:vAlign w:val="center"/>
                </w:tcPr>
                <w:p w14:paraId="46050AED">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型号规格</w:t>
                  </w:r>
                </w:p>
              </w:tc>
              <w:tc>
                <w:tcPr>
                  <w:tcW w:w="1565" w:type="pct"/>
                  <w:gridSpan w:val="3"/>
                  <w:noWrap w:val="0"/>
                  <w:tcMar>
                    <w:top w:w="0" w:type="dxa"/>
                    <w:left w:w="0" w:type="dxa"/>
                    <w:bottom w:w="0" w:type="dxa"/>
                    <w:right w:w="0" w:type="dxa"/>
                  </w:tcMar>
                  <w:vAlign w:val="center"/>
                </w:tcPr>
                <w:p w14:paraId="348F651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数量（台/a）</w:t>
                  </w:r>
                </w:p>
              </w:tc>
            </w:tr>
            <w:tr w14:paraId="6FC2D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vMerge w:val="continue"/>
                  <w:noWrap w:val="0"/>
                  <w:tcMar>
                    <w:top w:w="0" w:type="dxa"/>
                    <w:left w:w="0" w:type="dxa"/>
                    <w:bottom w:w="0" w:type="dxa"/>
                    <w:right w:w="0" w:type="dxa"/>
                  </w:tcMar>
                  <w:vAlign w:val="center"/>
                </w:tcPr>
                <w:p w14:paraId="5DDC0EE0">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p>
              </w:tc>
              <w:tc>
                <w:tcPr>
                  <w:tcW w:w="346" w:type="pct"/>
                  <w:vMerge w:val="continue"/>
                  <w:noWrap w:val="0"/>
                  <w:tcMar>
                    <w:top w:w="0" w:type="dxa"/>
                    <w:left w:w="0" w:type="dxa"/>
                    <w:bottom w:w="0" w:type="dxa"/>
                    <w:right w:w="0" w:type="dxa"/>
                  </w:tcMar>
                  <w:vAlign w:val="center"/>
                </w:tcPr>
                <w:p w14:paraId="578D1762">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p>
              </w:tc>
              <w:tc>
                <w:tcPr>
                  <w:tcW w:w="672" w:type="pct"/>
                  <w:vMerge w:val="continue"/>
                  <w:noWrap w:val="0"/>
                  <w:tcMar>
                    <w:top w:w="0" w:type="dxa"/>
                    <w:left w:w="0" w:type="dxa"/>
                    <w:bottom w:w="0" w:type="dxa"/>
                    <w:right w:w="0" w:type="dxa"/>
                  </w:tcMar>
                  <w:vAlign w:val="center"/>
                </w:tcPr>
                <w:p w14:paraId="279A90A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p>
              </w:tc>
              <w:tc>
                <w:tcPr>
                  <w:tcW w:w="1219" w:type="pct"/>
                  <w:vMerge w:val="continue"/>
                  <w:noWrap w:val="0"/>
                  <w:tcMar>
                    <w:top w:w="0" w:type="dxa"/>
                    <w:left w:w="0" w:type="dxa"/>
                    <w:bottom w:w="0" w:type="dxa"/>
                    <w:right w:w="0" w:type="dxa"/>
                  </w:tcMar>
                  <w:vAlign w:val="center"/>
                </w:tcPr>
                <w:p w14:paraId="7CF4878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p>
              </w:tc>
              <w:tc>
                <w:tcPr>
                  <w:tcW w:w="905" w:type="pct"/>
                  <w:vMerge w:val="continue"/>
                  <w:noWrap w:val="0"/>
                  <w:tcMar>
                    <w:top w:w="0" w:type="dxa"/>
                    <w:left w:w="0" w:type="dxa"/>
                    <w:bottom w:w="0" w:type="dxa"/>
                    <w:right w:w="0" w:type="dxa"/>
                  </w:tcMar>
                  <w:vAlign w:val="center"/>
                </w:tcPr>
                <w:p w14:paraId="04BFB914">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p>
              </w:tc>
              <w:tc>
                <w:tcPr>
                  <w:tcW w:w="569" w:type="pct"/>
                  <w:noWrap w:val="0"/>
                  <w:tcMar>
                    <w:top w:w="0" w:type="dxa"/>
                    <w:left w:w="0" w:type="dxa"/>
                    <w:bottom w:w="0" w:type="dxa"/>
                    <w:right w:w="0" w:type="dxa"/>
                  </w:tcMar>
                  <w:vAlign w:val="center"/>
                </w:tcPr>
                <w:p w14:paraId="49E1F626">
                  <w:pPr>
                    <w:pStyle w:val="76"/>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color w:val="auto"/>
                      <w:sz w:val="21"/>
                      <w:szCs w:val="21"/>
                      <w:lang w:val="en-US" w:eastAsia="zh-CN"/>
                    </w:rPr>
                    <w:t>搬迁前</w:t>
                  </w:r>
                </w:p>
              </w:tc>
              <w:tc>
                <w:tcPr>
                  <w:tcW w:w="495" w:type="pct"/>
                  <w:noWrap w:val="0"/>
                  <w:tcMar>
                    <w:top w:w="0" w:type="dxa"/>
                    <w:left w:w="0" w:type="dxa"/>
                    <w:bottom w:w="0" w:type="dxa"/>
                    <w:right w:w="0" w:type="dxa"/>
                  </w:tcMar>
                  <w:vAlign w:val="center"/>
                </w:tcPr>
                <w:p w14:paraId="7D153504">
                  <w:pPr>
                    <w:pStyle w:val="76"/>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color w:val="auto"/>
                      <w:sz w:val="21"/>
                      <w:szCs w:val="21"/>
                      <w:lang w:val="en-US" w:eastAsia="zh-CN"/>
                    </w:rPr>
                    <w:t>搬迁</w:t>
                  </w:r>
                  <w:r>
                    <w:rPr>
                      <w:rFonts w:hint="default" w:ascii="Times New Roman" w:hAnsi="Times New Roman" w:eastAsia="宋体" w:cs="Times New Roman"/>
                      <w:b/>
                      <w:color w:val="auto"/>
                      <w:sz w:val="21"/>
                      <w:szCs w:val="21"/>
                    </w:rPr>
                    <w:t>后</w:t>
                  </w:r>
                </w:p>
              </w:tc>
              <w:tc>
                <w:tcPr>
                  <w:tcW w:w="501" w:type="pct"/>
                  <w:noWrap w:val="0"/>
                  <w:tcMar>
                    <w:top w:w="0" w:type="dxa"/>
                    <w:left w:w="0" w:type="dxa"/>
                    <w:bottom w:w="0" w:type="dxa"/>
                    <w:right w:w="0" w:type="dxa"/>
                  </w:tcMar>
                  <w:vAlign w:val="center"/>
                </w:tcPr>
                <w:p w14:paraId="6420EF81">
                  <w:pPr>
                    <w:pStyle w:val="76"/>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增量</w:t>
                  </w:r>
                </w:p>
              </w:tc>
            </w:tr>
            <w:tr w14:paraId="1C251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19AD9924">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p>
              </w:tc>
              <w:tc>
                <w:tcPr>
                  <w:tcW w:w="346" w:type="pct"/>
                  <w:vMerge w:val="restart"/>
                  <w:noWrap w:val="0"/>
                  <w:tcMar>
                    <w:top w:w="0" w:type="dxa"/>
                    <w:left w:w="0" w:type="dxa"/>
                    <w:bottom w:w="0" w:type="dxa"/>
                    <w:right w:w="0" w:type="dxa"/>
                  </w:tcMar>
                  <w:vAlign w:val="center"/>
                </w:tcPr>
                <w:p w14:paraId="1352A321">
                  <w:pPr>
                    <w:pStyle w:val="66"/>
                    <w:keepNext w:val="0"/>
                    <w:keepLines w:val="0"/>
                    <w:pageBreakBefore w:val="0"/>
                    <w:kinsoku/>
                    <w:wordWrap/>
                    <w:overflowPunct/>
                    <w:topLinePunct w:val="0"/>
                    <w:bidi w:val="0"/>
                    <w:adjustRightInd w:val="0"/>
                    <w:snapToGrid w:val="0"/>
                    <w:spacing w:beforeLines="0" w:afterLines="0"/>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b w:val="0"/>
                      <w:bCs/>
                      <w:color w:val="auto"/>
                      <w:sz w:val="21"/>
                      <w:szCs w:val="21"/>
                    </w:rPr>
                    <w:t>热塑性弹性体颗粒生产线</w:t>
                  </w:r>
                </w:p>
              </w:tc>
              <w:tc>
                <w:tcPr>
                  <w:tcW w:w="672" w:type="pct"/>
                  <w:vMerge w:val="restart"/>
                  <w:noWrap w:val="0"/>
                  <w:tcMar>
                    <w:top w:w="0" w:type="dxa"/>
                    <w:left w:w="0" w:type="dxa"/>
                    <w:bottom w:w="0" w:type="dxa"/>
                    <w:right w:w="0" w:type="dxa"/>
                  </w:tcMar>
                  <w:vAlign w:val="center"/>
                </w:tcPr>
                <w:p w14:paraId="7C6B7411">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混料</w:t>
                  </w:r>
                </w:p>
              </w:tc>
              <w:tc>
                <w:tcPr>
                  <w:tcW w:w="1219" w:type="pct"/>
                  <w:noWrap w:val="0"/>
                  <w:tcMar>
                    <w:top w:w="0" w:type="dxa"/>
                    <w:left w:w="0" w:type="dxa"/>
                    <w:bottom w:w="0" w:type="dxa"/>
                    <w:right w:w="0" w:type="dxa"/>
                  </w:tcMar>
                  <w:vAlign w:val="center"/>
                </w:tcPr>
                <w:p w14:paraId="32498B4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高速搅拌机</w:t>
                  </w:r>
                </w:p>
              </w:tc>
              <w:tc>
                <w:tcPr>
                  <w:tcW w:w="905" w:type="pct"/>
                  <w:noWrap w:val="0"/>
                  <w:tcMar>
                    <w:top w:w="0" w:type="dxa"/>
                    <w:left w:w="0" w:type="dxa"/>
                    <w:bottom w:w="0" w:type="dxa"/>
                    <w:right w:w="0" w:type="dxa"/>
                  </w:tcMar>
                  <w:vAlign w:val="center"/>
                </w:tcPr>
                <w:p w14:paraId="47CEF72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JB-100</w:t>
                  </w:r>
                </w:p>
              </w:tc>
              <w:tc>
                <w:tcPr>
                  <w:tcW w:w="569" w:type="pct"/>
                  <w:noWrap w:val="0"/>
                  <w:tcMar>
                    <w:top w:w="0" w:type="dxa"/>
                    <w:left w:w="0" w:type="dxa"/>
                    <w:bottom w:w="0" w:type="dxa"/>
                    <w:right w:w="0" w:type="dxa"/>
                  </w:tcMar>
                  <w:vAlign w:val="center"/>
                </w:tcPr>
                <w:p w14:paraId="3D76518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495" w:type="pct"/>
                  <w:noWrap w:val="0"/>
                  <w:tcMar>
                    <w:top w:w="0" w:type="dxa"/>
                    <w:left w:w="0" w:type="dxa"/>
                    <w:bottom w:w="0" w:type="dxa"/>
                    <w:right w:w="0" w:type="dxa"/>
                  </w:tcMar>
                  <w:vAlign w:val="center"/>
                </w:tcPr>
                <w:p w14:paraId="05B8AEB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501" w:type="pct"/>
                  <w:noWrap w:val="0"/>
                  <w:tcMar>
                    <w:top w:w="0" w:type="dxa"/>
                    <w:left w:w="0" w:type="dxa"/>
                    <w:bottom w:w="0" w:type="dxa"/>
                    <w:right w:w="0" w:type="dxa"/>
                  </w:tcMar>
                  <w:vAlign w:val="center"/>
                </w:tcPr>
                <w:p w14:paraId="78394610">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639AC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3A81392B">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346" w:type="pct"/>
                  <w:vMerge w:val="continue"/>
                  <w:noWrap w:val="0"/>
                  <w:tcMar>
                    <w:top w:w="0" w:type="dxa"/>
                    <w:left w:w="0" w:type="dxa"/>
                    <w:bottom w:w="0" w:type="dxa"/>
                    <w:right w:w="0" w:type="dxa"/>
                  </w:tcMar>
                  <w:vAlign w:val="center"/>
                </w:tcPr>
                <w:p w14:paraId="70DB3D09">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2A2F0C6F">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219" w:type="pct"/>
                  <w:vMerge w:val="restart"/>
                  <w:noWrap w:val="0"/>
                  <w:tcMar>
                    <w:top w:w="0" w:type="dxa"/>
                    <w:left w:w="0" w:type="dxa"/>
                    <w:bottom w:w="0" w:type="dxa"/>
                    <w:right w:w="0" w:type="dxa"/>
                  </w:tcMar>
                  <w:vAlign w:val="center"/>
                </w:tcPr>
                <w:p w14:paraId="5F97DA42">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混料机</w:t>
                  </w:r>
                </w:p>
              </w:tc>
              <w:tc>
                <w:tcPr>
                  <w:tcW w:w="905" w:type="pct"/>
                  <w:noWrap w:val="0"/>
                  <w:tcMar>
                    <w:top w:w="0" w:type="dxa"/>
                    <w:left w:w="0" w:type="dxa"/>
                    <w:bottom w:w="0" w:type="dxa"/>
                    <w:right w:w="0" w:type="dxa"/>
                  </w:tcMar>
                  <w:vAlign w:val="center"/>
                </w:tcPr>
                <w:p w14:paraId="0E2BD91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75L</w:t>
                  </w:r>
                </w:p>
              </w:tc>
              <w:tc>
                <w:tcPr>
                  <w:tcW w:w="569" w:type="pct"/>
                  <w:noWrap w:val="0"/>
                  <w:tcMar>
                    <w:top w:w="0" w:type="dxa"/>
                    <w:left w:w="0" w:type="dxa"/>
                    <w:bottom w:w="0" w:type="dxa"/>
                    <w:right w:w="0" w:type="dxa"/>
                  </w:tcMar>
                  <w:vAlign w:val="center"/>
                </w:tcPr>
                <w:p w14:paraId="2620145C">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95" w:type="pct"/>
                  <w:noWrap w:val="0"/>
                  <w:tcMar>
                    <w:top w:w="0" w:type="dxa"/>
                    <w:left w:w="0" w:type="dxa"/>
                    <w:bottom w:w="0" w:type="dxa"/>
                    <w:right w:w="0" w:type="dxa"/>
                  </w:tcMar>
                  <w:vAlign w:val="center"/>
                </w:tcPr>
                <w:p w14:paraId="327B87B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4C05E564">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r>
            <w:tr w14:paraId="4D334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79CEA09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p>
              </w:tc>
              <w:tc>
                <w:tcPr>
                  <w:tcW w:w="346" w:type="pct"/>
                  <w:vMerge w:val="continue"/>
                  <w:noWrap w:val="0"/>
                  <w:tcMar>
                    <w:top w:w="0" w:type="dxa"/>
                    <w:left w:w="0" w:type="dxa"/>
                    <w:bottom w:w="0" w:type="dxa"/>
                    <w:right w:w="0" w:type="dxa"/>
                  </w:tcMar>
                  <w:vAlign w:val="center"/>
                </w:tcPr>
                <w:p w14:paraId="29D97536">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6BE07E11">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219" w:type="pct"/>
                  <w:vMerge w:val="continue"/>
                  <w:noWrap w:val="0"/>
                  <w:tcMar>
                    <w:top w:w="0" w:type="dxa"/>
                    <w:left w:w="0" w:type="dxa"/>
                    <w:bottom w:w="0" w:type="dxa"/>
                    <w:right w:w="0" w:type="dxa"/>
                  </w:tcMar>
                  <w:vAlign w:val="center"/>
                </w:tcPr>
                <w:p w14:paraId="38279D9E">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5" w:type="pct"/>
                  <w:noWrap w:val="0"/>
                  <w:tcMar>
                    <w:top w:w="0" w:type="dxa"/>
                    <w:left w:w="0" w:type="dxa"/>
                    <w:bottom w:w="0" w:type="dxa"/>
                    <w:right w:w="0" w:type="dxa"/>
                  </w:tcMar>
                  <w:vAlign w:val="center"/>
                </w:tcPr>
                <w:p w14:paraId="6C94C6B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35L</w:t>
                  </w:r>
                </w:p>
              </w:tc>
              <w:tc>
                <w:tcPr>
                  <w:tcW w:w="569" w:type="pct"/>
                  <w:noWrap w:val="0"/>
                  <w:tcMar>
                    <w:top w:w="0" w:type="dxa"/>
                    <w:left w:w="0" w:type="dxa"/>
                    <w:bottom w:w="0" w:type="dxa"/>
                    <w:right w:w="0" w:type="dxa"/>
                  </w:tcMar>
                  <w:vAlign w:val="center"/>
                </w:tcPr>
                <w:p w14:paraId="62F8E55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95" w:type="pct"/>
                  <w:noWrap w:val="0"/>
                  <w:tcMar>
                    <w:top w:w="0" w:type="dxa"/>
                    <w:left w:w="0" w:type="dxa"/>
                    <w:bottom w:w="0" w:type="dxa"/>
                    <w:right w:w="0" w:type="dxa"/>
                  </w:tcMar>
                  <w:vAlign w:val="center"/>
                </w:tcPr>
                <w:p w14:paraId="31EA4CE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2EBA532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r>
            <w:tr w14:paraId="04E82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615A741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346" w:type="pct"/>
                  <w:vMerge w:val="continue"/>
                  <w:noWrap w:val="0"/>
                  <w:tcMar>
                    <w:top w:w="0" w:type="dxa"/>
                    <w:left w:w="0" w:type="dxa"/>
                    <w:bottom w:w="0" w:type="dxa"/>
                    <w:right w:w="0" w:type="dxa"/>
                  </w:tcMar>
                  <w:vAlign w:val="center"/>
                </w:tcPr>
                <w:p w14:paraId="2197DE6A">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23EEDFF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219" w:type="pct"/>
                  <w:vMerge w:val="continue"/>
                  <w:noWrap w:val="0"/>
                  <w:tcMar>
                    <w:top w:w="0" w:type="dxa"/>
                    <w:left w:w="0" w:type="dxa"/>
                    <w:bottom w:w="0" w:type="dxa"/>
                    <w:right w:w="0" w:type="dxa"/>
                  </w:tcMar>
                  <w:vAlign w:val="center"/>
                </w:tcPr>
                <w:p w14:paraId="1CCB6DD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5" w:type="pct"/>
                  <w:noWrap w:val="0"/>
                  <w:tcMar>
                    <w:top w:w="0" w:type="dxa"/>
                    <w:left w:w="0" w:type="dxa"/>
                    <w:bottom w:w="0" w:type="dxa"/>
                    <w:right w:w="0" w:type="dxa"/>
                  </w:tcMar>
                  <w:vAlign w:val="center"/>
                </w:tcPr>
                <w:p w14:paraId="130EBAB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65L</w:t>
                  </w:r>
                </w:p>
              </w:tc>
              <w:tc>
                <w:tcPr>
                  <w:tcW w:w="569" w:type="pct"/>
                  <w:noWrap w:val="0"/>
                  <w:tcMar>
                    <w:top w:w="0" w:type="dxa"/>
                    <w:left w:w="0" w:type="dxa"/>
                    <w:bottom w:w="0" w:type="dxa"/>
                    <w:right w:w="0" w:type="dxa"/>
                  </w:tcMar>
                  <w:vAlign w:val="center"/>
                </w:tcPr>
                <w:p w14:paraId="18A09DB3">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495" w:type="pct"/>
                  <w:noWrap w:val="0"/>
                  <w:tcMar>
                    <w:top w:w="0" w:type="dxa"/>
                    <w:left w:w="0" w:type="dxa"/>
                    <w:bottom w:w="0" w:type="dxa"/>
                    <w:right w:w="0" w:type="dxa"/>
                  </w:tcMar>
                  <w:vAlign w:val="center"/>
                </w:tcPr>
                <w:p w14:paraId="18FEED7C">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1A2B92A4">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55AE0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2CB2E7CE">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w:t>
                  </w:r>
                </w:p>
              </w:tc>
              <w:tc>
                <w:tcPr>
                  <w:tcW w:w="346" w:type="pct"/>
                  <w:vMerge w:val="continue"/>
                  <w:noWrap w:val="0"/>
                  <w:tcMar>
                    <w:top w:w="0" w:type="dxa"/>
                    <w:left w:w="0" w:type="dxa"/>
                    <w:bottom w:w="0" w:type="dxa"/>
                    <w:right w:w="0" w:type="dxa"/>
                  </w:tcMar>
                  <w:vAlign w:val="center"/>
                </w:tcPr>
                <w:p w14:paraId="632356F3">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restart"/>
                  <w:noWrap w:val="0"/>
                  <w:tcMar>
                    <w:top w:w="0" w:type="dxa"/>
                    <w:left w:w="0" w:type="dxa"/>
                    <w:bottom w:w="0" w:type="dxa"/>
                    <w:right w:w="0" w:type="dxa"/>
                  </w:tcMar>
                  <w:vAlign w:val="center"/>
                </w:tcPr>
                <w:p w14:paraId="4A9172C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挤出</w:t>
                  </w:r>
                </w:p>
              </w:tc>
              <w:tc>
                <w:tcPr>
                  <w:tcW w:w="1219" w:type="pct"/>
                  <w:vMerge w:val="restart"/>
                  <w:noWrap w:val="0"/>
                  <w:tcMar>
                    <w:top w:w="0" w:type="dxa"/>
                    <w:left w:w="0" w:type="dxa"/>
                    <w:bottom w:w="0" w:type="dxa"/>
                    <w:right w:w="0" w:type="dxa"/>
                  </w:tcMar>
                  <w:vAlign w:val="center"/>
                </w:tcPr>
                <w:p w14:paraId="036C0DCF">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双螺杆挤出机</w:t>
                  </w:r>
                </w:p>
              </w:tc>
              <w:tc>
                <w:tcPr>
                  <w:tcW w:w="905" w:type="pct"/>
                  <w:noWrap w:val="0"/>
                  <w:tcMar>
                    <w:top w:w="0" w:type="dxa"/>
                    <w:left w:w="0" w:type="dxa"/>
                    <w:bottom w:w="0" w:type="dxa"/>
                    <w:right w:w="0" w:type="dxa"/>
                  </w:tcMar>
                  <w:vAlign w:val="center"/>
                </w:tcPr>
                <w:p w14:paraId="45472FB5">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CTES75</w:t>
                  </w:r>
                </w:p>
              </w:tc>
              <w:tc>
                <w:tcPr>
                  <w:tcW w:w="569" w:type="pct"/>
                  <w:noWrap w:val="0"/>
                  <w:tcMar>
                    <w:top w:w="0" w:type="dxa"/>
                    <w:left w:w="0" w:type="dxa"/>
                    <w:bottom w:w="0" w:type="dxa"/>
                    <w:right w:w="0" w:type="dxa"/>
                  </w:tcMar>
                  <w:vAlign w:val="center"/>
                </w:tcPr>
                <w:p w14:paraId="6F2F4C0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95" w:type="pct"/>
                  <w:noWrap w:val="0"/>
                  <w:tcMar>
                    <w:top w:w="0" w:type="dxa"/>
                    <w:left w:w="0" w:type="dxa"/>
                    <w:bottom w:w="0" w:type="dxa"/>
                    <w:right w:w="0" w:type="dxa"/>
                  </w:tcMar>
                  <w:vAlign w:val="center"/>
                </w:tcPr>
                <w:p w14:paraId="20084E8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11F9F732">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r>
            <w:tr w14:paraId="4B7A1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7DD22B8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c>
                <w:tcPr>
                  <w:tcW w:w="346" w:type="pct"/>
                  <w:vMerge w:val="continue"/>
                  <w:noWrap w:val="0"/>
                  <w:tcMar>
                    <w:top w:w="0" w:type="dxa"/>
                    <w:left w:w="0" w:type="dxa"/>
                    <w:bottom w:w="0" w:type="dxa"/>
                    <w:right w:w="0" w:type="dxa"/>
                  </w:tcMar>
                  <w:vAlign w:val="center"/>
                </w:tcPr>
                <w:p w14:paraId="7E66514E">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52F60E8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1219" w:type="pct"/>
                  <w:vMerge w:val="continue"/>
                  <w:noWrap w:val="0"/>
                  <w:tcMar>
                    <w:top w:w="0" w:type="dxa"/>
                    <w:left w:w="0" w:type="dxa"/>
                    <w:bottom w:w="0" w:type="dxa"/>
                    <w:right w:w="0" w:type="dxa"/>
                  </w:tcMar>
                  <w:vAlign w:val="center"/>
                </w:tcPr>
                <w:p w14:paraId="1AEF42F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5" w:type="pct"/>
                  <w:noWrap w:val="0"/>
                  <w:tcMar>
                    <w:top w:w="0" w:type="dxa"/>
                    <w:left w:w="0" w:type="dxa"/>
                    <w:bottom w:w="0" w:type="dxa"/>
                    <w:right w:w="0" w:type="dxa"/>
                  </w:tcMar>
                  <w:vAlign w:val="center"/>
                </w:tcPr>
                <w:p w14:paraId="6245DB42">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CTES50</w:t>
                  </w:r>
                </w:p>
              </w:tc>
              <w:tc>
                <w:tcPr>
                  <w:tcW w:w="569" w:type="pct"/>
                  <w:noWrap w:val="0"/>
                  <w:tcMar>
                    <w:top w:w="0" w:type="dxa"/>
                    <w:left w:w="0" w:type="dxa"/>
                    <w:bottom w:w="0" w:type="dxa"/>
                    <w:right w:w="0" w:type="dxa"/>
                  </w:tcMar>
                  <w:vAlign w:val="center"/>
                </w:tcPr>
                <w:p w14:paraId="40119DF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95" w:type="pct"/>
                  <w:noWrap w:val="0"/>
                  <w:tcMar>
                    <w:top w:w="0" w:type="dxa"/>
                    <w:left w:w="0" w:type="dxa"/>
                    <w:bottom w:w="0" w:type="dxa"/>
                    <w:right w:w="0" w:type="dxa"/>
                  </w:tcMar>
                  <w:vAlign w:val="center"/>
                </w:tcPr>
                <w:p w14:paraId="1174A4F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01" w:type="pct"/>
                  <w:noWrap w:val="0"/>
                  <w:tcMar>
                    <w:top w:w="0" w:type="dxa"/>
                    <w:left w:w="0" w:type="dxa"/>
                    <w:bottom w:w="0" w:type="dxa"/>
                    <w:right w:w="0" w:type="dxa"/>
                  </w:tcMar>
                  <w:vAlign w:val="center"/>
                </w:tcPr>
                <w:p w14:paraId="6F5A1AC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66193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0DD472B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346" w:type="pct"/>
                  <w:vMerge w:val="continue"/>
                  <w:noWrap w:val="0"/>
                  <w:tcMar>
                    <w:top w:w="0" w:type="dxa"/>
                    <w:left w:w="0" w:type="dxa"/>
                    <w:bottom w:w="0" w:type="dxa"/>
                    <w:right w:w="0" w:type="dxa"/>
                  </w:tcMar>
                  <w:vAlign w:val="center"/>
                </w:tcPr>
                <w:p w14:paraId="03DBA9F8">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5087F8D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1219" w:type="pct"/>
                  <w:vMerge w:val="continue"/>
                  <w:noWrap w:val="0"/>
                  <w:tcMar>
                    <w:top w:w="0" w:type="dxa"/>
                    <w:left w:w="0" w:type="dxa"/>
                    <w:bottom w:w="0" w:type="dxa"/>
                    <w:right w:w="0" w:type="dxa"/>
                  </w:tcMar>
                  <w:vAlign w:val="center"/>
                </w:tcPr>
                <w:p w14:paraId="6DFCCAB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5" w:type="pct"/>
                  <w:noWrap w:val="0"/>
                  <w:tcMar>
                    <w:top w:w="0" w:type="dxa"/>
                    <w:left w:w="0" w:type="dxa"/>
                    <w:bottom w:w="0" w:type="dxa"/>
                    <w:right w:w="0" w:type="dxa"/>
                  </w:tcMar>
                  <w:vAlign w:val="center"/>
                </w:tcPr>
                <w:p w14:paraId="2182B51F">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CTES35</w:t>
                  </w:r>
                </w:p>
              </w:tc>
              <w:tc>
                <w:tcPr>
                  <w:tcW w:w="569" w:type="pct"/>
                  <w:noWrap w:val="0"/>
                  <w:tcMar>
                    <w:top w:w="0" w:type="dxa"/>
                    <w:left w:w="0" w:type="dxa"/>
                    <w:bottom w:w="0" w:type="dxa"/>
                    <w:right w:w="0" w:type="dxa"/>
                  </w:tcMar>
                  <w:vAlign w:val="center"/>
                </w:tcPr>
                <w:p w14:paraId="79C7604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95" w:type="pct"/>
                  <w:noWrap w:val="0"/>
                  <w:tcMar>
                    <w:top w:w="0" w:type="dxa"/>
                    <w:left w:w="0" w:type="dxa"/>
                    <w:bottom w:w="0" w:type="dxa"/>
                    <w:right w:w="0" w:type="dxa"/>
                  </w:tcMar>
                  <w:vAlign w:val="center"/>
                </w:tcPr>
                <w:p w14:paraId="2042E11E">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01" w:type="pct"/>
                  <w:noWrap w:val="0"/>
                  <w:tcMar>
                    <w:top w:w="0" w:type="dxa"/>
                    <w:left w:w="0" w:type="dxa"/>
                    <w:bottom w:w="0" w:type="dxa"/>
                    <w:right w:w="0" w:type="dxa"/>
                  </w:tcMar>
                  <w:vAlign w:val="center"/>
                </w:tcPr>
                <w:p w14:paraId="1445CDE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69EE3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4C8D53B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346" w:type="pct"/>
                  <w:vMerge w:val="continue"/>
                  <w:noWrap w:val="0"/>
                  <w:tcMar>
                    <w:top w:w="0" w:type="dxa"/>
                    <w:left w:w="0" w:type="dxa"/>
                    <w:bottom w:w="0" w:type="dxa"/>
                    <w:right w:w="0" w:type="dxa"/>
                  </w:tcMar>
                  <w:vAlign w:val="center"/>
                </w:tcPr>
                <w:p w14:paraId="6EBDF5E7">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111217F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1219" w:type="pct"/>
                  <w:vMerge w:val="restart"/>
                  <w:noWrap w:val="0"/>
                  <w:tcMar>
                    <w:top w:w="0" w:type="dxa"/>
                    <w:left w:w="0" w:type="dxa"/>
                    <w:bottom w:w="0" w:type="dxa"/>
                    <w:right w:w="0" w:type="dxa"/>
                  </w:tcMar>
                  <w:vAlign w:val="center"/>
                </w:tcPr>
                <w:p w14:paraId="5492221B">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单螺杆挤出机</w:t>
                  </w:r>
                </w:p>
              </w:tc>
              <w:tc>
                <w:tcPr>
                  <w:tcW w:w="905" w:type="pct"/>
                  <w:noWrap w:val="0"/>
                  <w:tcMar>
                    <w:top w:w="0" w:type="dxa"/>
                    <w:left w:w="0" w:type="dxa"/>
                    <w:bottom w:w="0" w:type="dxa"/>
                    <w:right w:w="0" w:type="dxa"/>
                  </w:tcMar>
                  <w:vAlign w:val="center"/>
                </w:tcPr>
                <w:p w14:paraId="7822F248">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SJ-65</w:t>
                  </w:r>
                </w:p>
              </w:tc>
              <w:tc>
                <w:tcPr>
                  <w:tcW w:w="569" w:type="pct"/>
                  <w:noWrap w:val="0"/>
                  <w:tcMar>
                    <w:top w:w="0" w:type="dxa"/>
                    <w:left w:w="0" w:type="dxa"/>
                    <w:bottom w:w="0" w:type="dxa"/>
                    <w:right w:w="0" w:type="dxa"/>
                  </w:tcMar>
                  <w:vAlign w:val="center"/>
                </w:tcPr>
                <w:p w14:paraId="02C6616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95" w:type="pct"/>
                  <w:noWrap w:val="0"/>
                  <w:tcMar>
                    <w:top w:w="0" w:type="dxa"/>
                    <w:left w:w="0" w:type="dxa"/>
                    <w:bottom w:w="0" w:type="dxa"/>
                    <w:right w:w="0" w:type="dxa"/>
                  </w:tcMar>
                  <w:vAlign w:val="center"/>
                </w:tcPr>
                <w:p w14:paraId="43697CE1">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17EC020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20FBB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3F2F4372">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w:t>
                  </w:r>
                </w:p>
              </w:tc>
              <w:tc>
                <w:tcPr>
                  <w:tcW w:w="346" w:type="pct"/>
                  <w:vMerge w:val="continue"/>
                  <w:noWrap w:val="0"/>
                  <w:tcMar>
                    <w:top w:w="0" w:type="dxa"/>
                    <w:left w:w="0" w:type="dxa"/>
                    <w:bottom w:w="0" w:type="dxa"/>
                    <w:right w:w="0" w:type="dxa"/>
                  </w:tcMar>
                  <w:vAlign w:val="center"/>
                </w:tcPr>
                <w:p w14:paraId="5CF7DE93">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672" w:type="pct"/>
                  <w:vMerge w:val="continue"/>
                  <w:noWrap w:val="0"/>
                  <w:tcMar>
                    <w:top w:w="0" w:type="dxa"/>
                    <w:left w:w="0" w:type="dxa"/>
                    <w:bottom w:w="0" w:type="dxa"/>
                    <w:right w:w="0" w:type="dxa"/>
                  </w:tcMar>
                  <w:vAlign w:val="center"/>
                </w:tcPr>
                <w:p w14:paraId="7B802C10">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1219" w:type="pct"/>
                  <w:vMerge w:val="continue"/>
                  <w:noWrap w:val="0"/>
                  <w:tcMar>
                    <w:top w:w="0" w:type="dxa"/>
                    <w:left w:w="0" w:type="dxa"/>
                    <w:bottom w:w="0" w:type="dxa"/>
                    <w:right w:w="0" w:type="dxa"/>
                  </w:tcMar>
                  <w:vAlign w:val="center"/>
                </w:tcPr>
                <w:p w14:paraId="065B137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5" w:type="pct"/>
                  <w:noWrap w:val="0"/>
                  <w:tcMar>
                    <w:top w:w="0" w:type="dxa"/>
                    <w:left w:w="0" w:type="dxa"/>
                    <w:bottom w:w="0" w:type="dxa"/>
                    <w:right w:w="0" w:type="dxa"/>
                  </w:tcMar>
                  <w:vAlign w:val="center"/>
                </w:tcPr>
                <w:p w14:paraId="69048ADB">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SJ-30</w:t>
                  </w:r>
                </w:p>
              </w:tc>
              <w:tc>
                <w:tcPr>
                  <w:tcW w:w="569" w:type="pct"/>
                  <w:noWrap w:val="0"/>
                  <w:tcMar>
                    <w:top w:w="0" w:type="dxa"/>
                    <w:left w:w="0" w:type="dxa"/>
                    <w:bottom w:w="0" w:type="dxa"/>
                    <w:right w:w="0" w:type="dxa"/>
                  </w:tcMar>
                  <w:vAlign w:val="center"/>
                </w:tcPr>
                <w:p w14:paraId="5E7FF68F">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95" w:type="pct"/>
                  <w:noWrap w:val="0"/>
                  <w:tcMar>
                    <w:top w:w="0" w:type="dxa"/>
                    <w:left w:w="0" w:type="dxa"/>
                    <w:bottom w:w="0" w:type="dxa"/>
                    <w:right w:w="0" w:type="dxa"/>
                  </w:tcMar>
                  <w:vAlign w:val="center"/>
                </w:tcPr>
                <w:p w14:paraId="11DC6EDB">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535255D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2468C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407DB12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346" w:type="pct"/>
                  <w:vMerge w:val="continue"/>
                  <w:noWrap w:val="0"/>
                  <w:tcMar>
                    <w:top w:w="0" w:type="dxa"/>
                    <w:left w:w="0" w:type="dxa"/>
                    <w:bottom w:w="0" w:type="dxa"/>
                    <w:right w:w="0" w:type="dxa"/>
                  </w:tcMar>
                  <w:vAlign w:val="center"/>
                </w:tcPr>
                <w:p w14:paraId="55224CC0">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4CCF858F">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切粒</w:t>
                  </w:r>
                </w:p>
              </w:tc>
              <w:tc>
                <w:tcPr>
                  <w:tcW w:w="1219" w:type="pct"/>
                  <w:noWrap w:val="0"/>
                  <w:tcMar>
                    <w:top w:w="0" w:type="dxa"/>
                    <w:left w:w="0" w:type="dxa"/>
                    <w:bottom w:w="0" w:type="dxa"/>
                    <w:right w:w="0" w:type="dxa"/>
                  </w:tcMar>
                  <w:vAlign w:val="center"/>
                </w:tcPr>
                <w:p w14:paraId="3E8DA00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水下切粒机</w:t>
                  </w:r>
                </w:p>
              </w:tc>
              <w:tc>
                <w:tcPr>
                  <w:tcW w:w="905" w:type="pct"/>
                  <w:noWrap w:val="0"/>
                  <w:tcMar>
                    <w:top w:w="0" w:type="dxa"/>
                    <w:left w:w="0" w:type="dxa"/>
                    <w:bottom w:w="0" w:type="dxa"/>
                    <w:right w:w="0" w:type="dxa"/>
                  </w:tcMar>
                  <w:vAlign w:val="center"/>
                </w:tcPr>
                <w:p w14:paraId="16DDC8D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TM800</w:t>
                  </w:r>
                </w:p>
              </w:tc>
              <w:tc>
                <w:tcPr>
                  <w:tcW w:w="569" w:type="pct"/>
                  <w:noWrap w:val="0"/>
                  <w:tcMar>
                    <w:top w:w="0" w:type="dxa"/>
                    <w:left w:w="0" w:type="dxa"/>
                    <w:bottom w:w="0" w:type="dxa"/>
                    <w:right w:w="0" w:type="dxa"/>
                  </w:tcMar>
                  <w:vAlign w:val="center"/>
                </w:tcPr>
                <w:p w14:paraId="48186B9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495" w:type="pct"/>
                  <w:noWrap w:val="0"/>
                  <w:tcMar>
                    <w:top w:w="0" w:type="dxa"/>
                    <w:left w:w="0" w:type="dxa"/>
                    <w:bottom w:w="0" w:type="dxa"/>
                    <w:right w:w="0" w:type="dxa"/>
                  </w:tcMar>
                  <w:vAlign w:val="center"/>
                </w:tcPr>
                <w:p w14:paraId="6254A21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501" w:type="pct"/>
                  <w:noWrap w:val="0"/>
                  <w:tcMar>
                    <w:top w:w="0" w:type="dxa"/>
                    <w:left w:w="0" w:type="dxa"/>
                    <w:bottom w:w="0" w:type="dxa"/>
                    <w:right w:w="0" w:type="dxa"/>
                  </w:tcMar>
                  <w:vAlign w:val="center"/>
                </w:tcPr>
                <w:p w14:paraId="30FF13F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00334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0573199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w:t>
                  </w:r>
                </w:p>
              </w:tc>
              <w:tc>
                <w:tcPr>
                  <w:tcW w:w="346" w:type="pct"/>
                  <w:vMerge w:val="continue"/>
                  <w:noWrap w:val="0"/>
                  <w:tcMar>
                    <w:top w:w="0" w:type="dxa"/>
                    <w:left w:w="0" w:type="dxa"/>
                    <w:bottom w:w="0" w:type="dxa"/>
                    <w:right w:w="0" w:type="dxa"/>
                  </w:tcMar>
                  <w:vAlign w:val="center"/>
                </w:tcPr>
                <w:p w14:paraId="60B2D260">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69D6DB4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筛分</w:t>
                  </w:r>
                </w:p>
              </w:tc>
              <w:tc>
                <w:tcPr>
                  <w:tcW w:w="1219" w:type="pct"/>
                  <w:noWrap w:val="0"/>
                  <w:tcMar>
                    <w:top w:w="0" w:type="dxa"/>
                    <w:left w:w="0" w:type="dxa"/>
                    <w:bottom w:w="0" w:type="dxa"/>
                    <w:right w:w="0" w:type="dxa"/>
                  </w:tcMar>
                  <w:vAlign w:val="center"/>
                </w:tcPr>
                <w:p w14:paraId="5E305F40">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振动筛</w:t>
                  </w:r>
                </w:p>
              </w:tc>
              <w:tc>
                <w:tcPr>
                  <w:tcW w:w="905" w:type="pct"/>
                  <w:noWrap w:val="0"/>
                  <w:tcMar>
                    <w:top w:w="0" w:type="dxa"/>
                    <w:left w:w="0" w:type="dxa"/>
                    <w:bottom w:w="0" w:type="dxa"/>
                    <w:right w:w="0" w:type="dxa"/>
                  </w:tcMar>
                  <w:vAlign w:val="center"/>
                </w:tcPr>
                <w:p w14:paraId="3EF37B2D">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352B063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bCs/>
                      <w:color w:val="auto"/>
                      <w:kern w:val="2"/>
                      <w:sz w:val="21"/>
                      <w:szCs w:val="21"/>
                      <w:lang w:val="en-US" w:eastAsia="zh-CN" w:bidi="ar-SA"/>
                    </w:rPr>
                  </w:pPr>
                  <w:r>
                    <w:rPr>
                      <w:rFonts w:ascii="Times New Roman" w:hAnsi="Times New Roman"/>
                      <w:bCs/>
                      <w:color w:val="auto"/>
                      <w:sz w:val="21"/>
                      <w:szCs w:val="21"/>
                    </w:rPr>
                    <w:t>1</w:t>
                  </w:r>
                </w:p>
              </w:tc>
              <w:tc>
                <w:tcPr>
                  <w:tcW w:w="495" w:type="pct"/>
                  <w:noWrap w:val="0"/>
                  <w:tcMar>
                    <w:top w:w="0" w:type="dxa"/>
                    <w:left w:w="0" w:type="dxa"/>
                    <w:bottom w:w="0" w:type="dxa"/>
                    <w:right w:w="0" w:type="dxa"/>
                  </w:tcMar>
                  <w:vAlign w:val="center"/>
                </w:tcPr>
                <w:p w14:paraId="1FE82FC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01" w:type="pct"/>
                  <w:noWrap w:val="0"/>
                  <w:tcMar>
                    <w:top w:w="0" w:type="dxa"/>
                    <w:left w:w="0" w:type="dxa"/>
                    <w:bottom w:w="0" w:type="dxa"/>
                    <w:right w:w="0" w:type="dxa"/>
                  </w:tcMar>
                  <w:vAlign w:val="center"/>
                </w:tcPr>
                <w:p w14:paraId="3D3C8774">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r>
            <w:tr w14:paraId="71D2D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5CFE2A5C">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346" w:type="pct"/>
                  <w:vMerge w:val="continue"/>
                  <w:noWrap w:val="0"/>
                  <w:tcMar>
                    <w:top w:w="0" w:type="dxa"/>
                    <w:left w:w="0" w:type="dxa"/>
                    <w:bottom w:w="0" w:type="dxa"/>
                    <w:right w:w="0" w:type="dxa"/>
                  </w:tcMar>
                  <w:vAlign w:val="center"/>
                </w:tcPr>
                <w:p w14:paraId="259E1095">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0DB606F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脱水</w:t>
                  </w:r>
                </w:p>
              </w:tc>
              <w:tc>
                <w:tcPr>
                  <w:tcW w:w="1219" w:type="pct"/>
                  <w:noWrap w:val="0"/>
                  <w:tcMar>
                    <w:top w:w="0" w:type="dxa"/>
                    <w:left w:w="0" w:type="dxa"/>
                    <w:bottom w:w="0" w:type="dxa"/>
                    <w:right w:w="0" w:type="dxa"/>
                  </w:tcMar>
                  <w:vAlign w:val="center"/>
                </w:tcPr>
                <w:p w14:paraId="337D3E6B">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脱水机</w:t>
                  </w:r>
                </w:p>
              </w:tc>
              <w:tc>
                <w:tcPr>
                  <w:tcW w:w="905" w:type="pct"/>
                  <w:noWrap w:val="0"/>
                  <w:tcMar>
                    <w:top w:w="0" w:type="dxa"/>
                    <w:left w:w="0" w:type="dxa"/>
                    <w:bottom w:w="0" w:type="dxa"/>
                    <w:right w:w="0" w:type="dxa"/>
                  </w:tcMar>
                  <w:vAlign w:val="center"/>
                </w:tcPr>
                <w:p w14:paraId="0D5DC459">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59D5A6F0">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2</w:t>
                  </w:r>
                </w:p>
              </w:tc>
              <w:tc>
                <w:tcPr>
                  <w:tcW w:w="495" w:type="pct"/>
                  <w:noWrap w:val="0"/>
                  <w:tcMar>
                    <w:top w:w="0" w:type="dxa"/>
                    <w:left w:w="0" w:type="dxa"/>
                    <w:bottom w:w="0" w:type="dxa"/>
                    <w:right w:w="0" w:type="dxa"/>
                  </w:tcMar>
                  <w:vAlign w:val="center"/>
                </w:tcPr>
                <w:p w14:paraId="7AA7569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01" w:type="pct"/>
                  <w:noWrap w:val="0"/>
                  <w:tcMar>
                    <w:top w:w="0" w:type="dxa"/>
                    <w:left w:w="0" w:type="dxa"/>
                    <w:bottom w:w="0" w:type="dxa"/>
                    <w:right w:w="0" w:type="dxa"/>
                  </w:tcMar>
                  <w:vAlign w:val="center"/>
                </w:tcPr>
                <w:p w14:paraId="1A920FF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4FEAA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0E363F6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w:t>
                  </w:r>
                </w:p>
              </w:tc>
              <w:tc>
                <w:tcPr>
                  <w:tcW w:w="346" w:type="pct"/>
                  <w:vMerge w:val="continue"/>
                  <w:noWrap w:val="0"/>
                  <w:tcMar>
                    <w:top w:w="0" w:type="dxa"/>
                    <w:left w:w="0" w:type="dxa"/>
                    <w:bottom w:w="0" w:type="dxa"/>
                    <w:right w:w="0" w:type="dxa"/>
                  </w:tcMar>
                  <w:vAlign w:val="center"/>
                </w:tcPr>
                <w:p w14:paraId="6A82AAFD">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3FCF815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破碎</w:t>
                  </w:r>
                </w:p>
              </w:tc>
              <w:tc>
                <w:tcPr>
                  <w:tcW w:w="1219" w:type="pct"/>
                  <w:noWrap w:val="0"/>
                  <w:tcMar>
                    <w:top w:w="0" w:type="dxa"/>
                    <w:left w:w="0" w:type="dxa"/>
                    <w:bottom w:w="0" w:type="dxa"/>
                    <w:right w:w="0" w:type="dxa"/>
                  </w:tcMar>
                  <w:vAlign w:val="center"/>
                </w:tcPr>
                <w:p w14:paraId="2B6E6CB5">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破碎机</w:t>
                  </w:r>
                </w:p>
              </w:tc>
              <w:tc>
                <w:tcPr>
                  <w:tcW w:w="905" w:type="pct"/>
                  <w:noWrap w:val="0"/>
                  <w:tcMar>
                    <w:top w:w="0" w:type="dxa"/>
                    <w:left w:w="0" w:type="dxa"/>
                    <w:bottom w:w="0" w:type="dxa"/>
                    <w:right w:w="0" w:type="dxa"/>
                  </w:tcMar>
                  <w:vAlign w:val="center"/>
                </w:tcPr>
                <w:p w14:paraId="3E359DC7">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70B6013B">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1894479B">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01" w:type="pct"/>
                  <w:noWrap w:val="0"/>
                  <w:tcMar>
                    <w:top w:w="0" w:type="dxa"/>
                    <w:left w:w="0" w:type="dxa"/>
                    <w:bottom w:w="0" w:type="dxa"/>
                    <w:right w:w="0" w:type="dxa"/>
                  </w:tcMar>
                  <w:vAlign w:val="center"/>
                </w:tcPr>
                <w:p w14:paraId="7585174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r>
            <w:tr w14:paraId="301E8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0DD23C7F">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p>
              </w:tc>
              <w:tc>
                <w:tcPr>
                  <w:tcW w:w="346" w:type="pct"/>
                  <w:vMerge w:val="continue"/>
                  <w:noWrap w:val="0"/>
                  <w:tcMar>
                    <w:top w:w="0" w:type="dxa"/>
                    <w:left w:w="0" w:type="dxa"/>
                    <w:bottom w:w="0" w:type="dxa"/>
                    <w:right w:w="0" w:type="dxa"/>
                  </w:tcMar>
                  <w:vAlign w:val="center"/>
                </w:tcPr>
                <w:p w14:paraId="3ED9600F">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630CCA9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称量</w:t>
                  </w:r>
                </w:p>
              </w:tc>
              <w:tc>
                <w:tcPr>
                  <w:tcW w:w="1219" w:type="pct"/>
                  <w:noWrap w:val="0"/>
                  <w:tcMar>
                    <w:top w:w="0" w:type="dxa"/>
                    <w:left w:w="0" w:type="dxa"/>
                    <w:bottom w:w="0" w:type="dxa"/>
                    <w:right w:w="0" w:type="dxa"/>
                  </w:tcMar>
                  <w:vAlign w:val="center"/>
                </w:tcPr>
                <w:p w14:paraId="6325DFA1">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失重称</w:t>
                  </w:r>
                </w:p>
              </w:tc>
              <w:tc>
                <w:tcPr>
                  <w:tcW w:w="905" w:type="pct"/>
                  <w:noWrap w:val="0"/>
                  <w:tcMar>
                    <w:top w:w="0" w:type="dxa"/>
                    <w:left w:w="0" w:type="dxa"/>
                    <w:bottom w:w="0" w:type="dxa"/>
                    <w:right w:w="0" w:type="dxa"/>
                  </w:tcMar>
                  <w:vAlign w:val="center"/>
                </w:tcPr>
                <w:p w14:paraId="28643850">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538F6349">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4</w:t>
                  </w:r>
                </w:p>
              </w:tc>
              <w:tc>
                <w:tcPr>
                  <w:tcW w:w="495" w:type="pct"/>
                  <w:noWrap w:val="0"/>
                  <w:tcMar>
                    <w:top w:w="0" w:type="dxa"/>
                    <w:left w:w="0" w:type="dxa"/>
                    <w:bottom w:w="0" w:type="dxa"/>
                    <w:right w:w="0" w:type="dxa"/>
                  </w:tcMar>
                  <w:vAlign w:val="center"/>
                </w:tcPr>
                <w:p w14:paraId="460658F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501" w:type="pct"/>
                  <w:noWrap w:val="0"/>
                  <w:tcMar>
                    <w:top w:w="0" w:type="dxa"/>
                    <w:left w:w="0" w:type="dxa"/>
                    <w:bottom w:w="0" w:type="dxa"/>
                    <w:right w:w="0" w:type="dxa"/>
                  </w:tcMar>
                  <w:vAlign w:val="center"/>
                </w:tcPr>
                <w:p w14:paraId="19F0F51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253DD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4E2F6E3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15</w:t>
                  </w:r>
                </w:p>
              </w:tc>
              <w:tc>
                <w:tcPr>
                  <w:tcW w:w="346" w:type="pct"/>
                  <w:vMerge w:val="continue"/>
                  <w:noWrap w:val="0"/>
                  <w:tcMar>
                    <w:top w:w="0" w:type="dxa"/>
                    <w:left w:w="0" w:type="dxa"/>
                    <w:bottom w:w="0" w:type="dxa"/>
                    <w:right w:w="0" w:type="dxa"/>
                  </w:tcMar>
                  <w:vAlign w:val="center"/>
                </w:tcPr>
                <w:p w14:paraId="63F376D2">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61ED5E4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烘干</w:t>
                  </w:r>
                </w:p>
              </w:tc>
              <w:tc>
                <w:tcPr>
                  <w:tcW w:w="1219" w:type="pct"/>
                  <w:noWrap w:val="0"/>
                  <w:tcMar>
                    <w:top w:w="0" w:type="dxa"/>
                    <w:left w:w="0" w:type="dxa"/>
                    <w:bottom w:w="0" w:type="dxa"/>
                    <w:right w:w="0" w:type="dxa"/>
                  </w:tcMar>
                  <w:vAlign w:val="center"/>
                </w:tcPr>
                <w:p w14:paraId="03EFB261">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烘干机</w:t>
                  </w:r>
                </w:p>
              </w:tc>
              <w:tc>
                <w:tcPr>
                  <w:tcW w:w="905" w:type="pct"/>
                  <w:noWrap w:val="0"/>
                  <w:tcMar>
                    <w:top w:w="0" w:type="dxa"/>
                    <w:left w:w="0" w:type="dxa"/>
                    <w:bottom w:w="0" w:type="dxa"/>
                    <w:right w:w="0" w:type="dxa"/>
                  </w:tcMar>
                  <w:vAlign w:val="center"/>
                </w:tcPr>
                <w:p w14:paraId="1622DB34">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JB3000</w:t>
                  </w:r>
                </w:p>
              </w:tc>
              <w:tc>
                <w:tcPr>
                  <w:tcW w:w="569" w:type="pct"/>
                  <w:noWrap w:val="0"/>
                  <w:tcMar>
                    <w:top w:w="0" w:type="dxa"/>
                    <w:left w:w="0" w:type="dxa"/>
                    <w:bottom w:w="0" w:type="dxa"/>
                    <w:right w:w="0" w:type="dxa"/>
                  </w:tcMar>
                  <w:vAlign w:val="center"/>
                </w:tcPr>
                <w:p w14:paraId="7970798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7E775489">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501" w:type="pct"/>
                  <w:noWrap w:val="0"/>
                  <w:tcMar>
                    <w:top w:w="0" w:type="dxa"/>
                    <w:left w:w="0" w:type="dxa"/>
                    <w:bottom w:w="0" w:type="dxa"/>
                    <w:right w:w="0" w:type="dxa"/>
                  </w:tcMar>
                  <w:vAlign w:val="center"/>
                </w:tcPr>
                <w:p w14:paraId="1A593A3E">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+2</w:t>
                  </w:r>
                </w:p>
              </w:tc>
            </w:tr>
            <w:tr w14:paraId="70176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352919C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p>
              </w:tc>
              <w:tc>
                <w:tcPr>
                  <w:tcW w:w="346" w:type="pct"/>
                  <w:vMerge w:val="continue"/>
                  <w:noWrap w:val="0"/>
                  <w:tcMar>
                    <w:top w:w="0" w:type="dxa"/>
                    <w:left w:w="0" w:type="dxa"/>
                    <w:bottom w:w="0" w:type="dxa"/>
                    <w:right w:w="0" w:type="dxa"/>
                  </w:tcMar>
                  <w:vAlign w:val="center"/>
                </w:tcPr>
                <w:p w14:paraId="66C24887">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5208D94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包装</w:t>
                  </w:r>
                </w:p>
              </w:tc>
              <w:tc>
                <w:tcPr>
                  <w:tcW w:w="1219" w:type="pct"/>
                  <w:noWrap w:val="0"/>
                  <w:tcMar>
                    <w:top w:w="0" w:type="dxa"/>
                    <w:left w:w="0" w:type="dxa"/>
                    <w:bottom w:w="0" w:type="dxa"/>
                    <w:right w:w="0" w:type="dxa"/>
                  </w:tcMar>
                  <w:vAlign w:val="center"/>
                </w:tcPr>
                <w:p w14:paraId="3B174887">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定量包装机</w:t>
                  </w:r>
                </w:p>
              </w:tc>
              <w:tc>
                <w:tcPr>
                  <w:tcW w:w="905" w:type="pct"/>
                  <w:noWrap w:val="0"/>
                  <w:tcMar>
                    <w:top w:w="0" w:type="dxa"/>
                    <w:left w:w="0" w:type="dxa"/>
                    <w:bottom w:w="0" w:type="dxa"/>
                    <w:right w:w="0" w:type="dxa"/>
                  </w:tcMar>
                  <w:vAlign w:val="center"/>
                </w:tcPr>
                <w:p w14:paraId="6623995E">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color w:val="auto"/>
                      <w:sz w:val="21"/>
                      <w:szCs w:val="21"/>
                    </w:rPr>
                    <w:t>/</w:t>
                  </w:r>
                </w:p>
              </w:tc>
              <w:tc>
                <w:tcPr>
                  <w:tcW w:w="569" w:type="pct"/>
                  <w:noWrap w:val="0"/>
                  <w:tcMar>
                    <w:top w:w="0" w:type="dxa"/>
                    <w:left w:w="0" w:type="dxa"/>
                    <w:bottom w:w="0" w:type="dxa"/>
                    <w:right w:w="0" w:type="dxa"/>
                  </w:tcMar>
                  <w:vAlign w:val="center"/>
                </w:tcPr>
                <w:p w14:paraId="0B23F2A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6714C65F">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39BF475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446D7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52554ED1">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17</w:t>
                  </w:r>
                </w:p>
              </w:tc>
              <w:tc>
                <w:tcPr>
                  <w:tcW w:w="346" w:type="pct"/>
                  <w:vMerge w:val="continue"/>
                  <w:noWrap w:val="0"/>
                  <w:tcMar>
                    <w:top w:w="0" w:type="dxa"/>
                    <w:left w:w="0" w:type="dxa"/>
                    <w:bottom w:w="0" w:type="dxa"/>
                    <w:right w:w="0" w:type="dxa"/>
                  </w:tcMar>
                  <w:vAlign w:val="center"/>
                </w:tcPr>
                <w:p w14:paraId="76196EBB">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restart"/>
                  <w:noWrap w:val="0"/>
                  <w:tcMar>
                    <w:top w:w="0" w:type="dxa"/>
                    <w:left w:w="0" w:type="dxa"/>
                    <w:bottom w:w="0" w:type="dxa"/>
                    <w:right w:w="0" w:type="dxa"/>
                  </w:tcMar>
                  <w:vAlign w:val="center"/>
                </w:tcPr>
                <w:p w14:paraId="65EE2C0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冷却</w:t>
                  </w:r>
                </w:p>
              </w:tc>
              <w:tc>
                <w:tcPr>
                  <w:tcW w:w="1219" w:type="pct"/>
                  <w:noWrap w:val="0"/>
                  <w:tcMar>
                    <w:top w:w="0" w:type="dxa"/>
                    <w:left w:w="0" w:type="dxa"/>
                    <w:bottom w:w="0" w:type="dxa"/>
                    <w:right w:w="0" w:type="dxa"/>
                  </w:tcMar>
                  <w:vAlign w:val="center"/>
                </w:tcPr>
                <w:p w14:paraId="519232B9">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储水箱</w:t>
                  </w:r>
                </w:p>
              </w:tc>
              <w:tc>
                <w:tcPr>
                  <w:tcW w:w="905" w:type="pct"/>
                  <w:noWrap w:val="0"/>
                  <w:tcMar>
                    <w:top w:w="0" w:type="dxa"/>
                    <w:left w:w="0" w:type="dxa"/>
                    <w:bottom w:w="0" w:type="dxa"/>
                    <w:right w:w="0" w:type="dxa"/>
                  </w:tcMar>
                  <w:vAlign w:val="center"/>
                </w:tcPr>
                <w:p w14:paraId="4BDEAB69">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10T</w:t>
                  </w:r>
                </w:p>
              </w:tc>
              <w:tc>
                <w:tcPr>
                  <w:tcW w:w="569" w:type="pct"/>
                  <w:noWrap w:val="0"/>
                  <w:tcMar>
                    <w:top w:w="0" w:type="dxa"/>
                    <w:left w:w="0" w:type="dxa"/>
                    <w:bottom w:w="0" w:type="dxa"/>
                    <w:right w:w="0" w:type="dxa"/>
                  </w:tcMar>
                  <w:vAlign w:val="center"/>
                </w:tcPr>
                <w:p w14:paraId="7617620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1F12FB9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689B2E6C">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00440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5DE5DEE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18</w:t>
                  </w:r>
                </w:p>
              </w:tc>
              <w:tc>
                <w:tcPr>
                  <w:tcW w:w="346" w:type="pct"/>
                  <w:vMerge w:val="continue"/>
                  <w:noWrap w:val="0"/>
                  <w:tcMar>
                    <w:top w:w="0" w:type="dxa"/>
                    <w:left w:w="0" w:type="dxa"/>
                    <w:bottom w:w="0" w:type="dxa"/>
                    <w:right w:w="0" w:type="dxa"/>
                  </w:tcMar>
                  <w:vAlign w:val="center"/>
                </w:tcPr>
                <w:p w14:paraId="41BA6404">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1AAA1DB4">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color w:val="auto"/>
                      <w:kern w:val="2"/>
                      <w:sz w:val="21"/>
                      <w:szCs w:val="21"/>
                      <w:lang w:val="en-US" w:eastAsia="zh-CN" w:bidi="ar-SA"/>
                    </w:rPr>
                  </w:pPr>
                </w:p>
              </w:tc>
              <w:tc>
                <w:tcPr>
                  <w:tcW w:w="1219" w:type="pct"/>
                  <w:noWrap w:val="0"/>
                  <w:tcMar>
                    <w:top w:w="0" w:type="dxa"/>
                    <w:left w:w="0" w:type="dxa"/>
                    <w:bottom w:w="0" w:type="dxa"/>
                    <w:right w:w="0" w:type="dxa"/>
                  </w:tcMar>
                  <w:vAlign w:val="center"/>
                </w:tcPr>
                <w:p w14:paraId="771BFD32">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冷却塔</w:t>
                  </w:r>
                </w:p>
              </w:tc>
              <w:tc>
                <w:tcPr>
                  <w:tcW w:w="905" w:type="pct"/>
                  <w:noWrap w:val="0"/>
                  <w:tcMar>
                    <w:top w:w="0" w:type="dxa"/>
                    <w:left w:w="0" w:type="dxa"/>
                    <w:bottom w:w="0" w:type="dxa"/>
                    <w:right w:w="0" w:type="dxa"/>
                  </w:tcMar>
                  <w:vAlign w:val="center"/>
                </w:tcPr>
                <w:p w14:paraId="160873FD">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w:t>
                  </w:r>
                </w:p>
              </w:tc>
              <w:tc>
                <w:tcPr>
                  <w:tcW w:w="569" w:type="pct"/>
                  <w:noWrap w:val="0"/>
                  <w:tcMar>
                    <w:top w:w="0" w:type="dxa"/>
                    <w:left w:w="0" w:type="dxa"/>
                    <w:bottom w:w="0" w:type="dxa"/>
                    <w:right w:w="0" w:type="dxa"/>
                  </w:tcMar>
                  <w:vAlign w:val="center"/>
                </w:tcPr>
                <w:p w14:paraId="6C18C6FB">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23A4C201">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1" w:type="pct"/>
                  <w:noWrap w:val="0"/>
                  <w:tcMar>
                    <w:top w:w="0" w:type="dxa"/>
                    <w:left w:w="0" w:type="dxa"/>
                    <w:bottom w:w="0" w:type="dxa"/>
                    <w:right w:w="0" w:type="dxa"/>
                  </w:tcMar>
                  <w:vAlign w:val="center"/>
                </w:tcPr>
                <w:p w14:paraId="21EB7382">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23AD4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noWrap w:val="0"/>
                  <w:tcMar>
                    <w:top w:w="0" w:type="dxa"/>
                    <w:left w:w="0" w:type="dxa"/>
                    <w:bottom w:w="0" w:type="dxa"/>
                    <w:right w:w="0" w:type="dxa"/>
                  </w:tcMar>
                  <w:vAlign w:val="center"/>
                </w:tcPr>
                <w:p w14:paraId="2D754793">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19</w:t>
                  </w:r>
                </w:p>
              </w:tc>
              <w:tc>
                <w:tcPr>
                  <w:tcW w:w="346" w:type="pct"/>
                  <w:vMerge w:val="restart"/>
                  <w:noWrap w:val="0"/>
                  <w:tcMar>
                    <w:top w:w="0" w:type="dxa"/>
                    <w:left w:w="0" w:type="dxa"/>
                    <w:bottom w:w="0" w:type="dxa"/>
                    <w:right w:w="0" w:type="dxa"/>
                  </w:tcMar>
                  <w:vAlign w:val="center"/>
                </w:tcPr>
                <w:p w14:paraId="6CF8A41C">
                  <w:pPr>
                    <w:pStyle w:val="66"/>
                    <w:keepNext w:val="0"/>
                    <w:keepLines w:val="0"/>
                    <w:pageBreakBefore w:val="0"/>
                    <w:kinsoku/>
                    <w:wordWrap/>
                    <w:overflowPunct/>
                    <w:topLinePunct w:val="0"/>
                    <w:bidi w:val="0"/>
                    <w:adjustRightInd w:val="0"/>
                    <w:snapToGrid w:val="0"/>
                    <w:spacing w:beforeLines="0" w:afterLines="0"/>
                    <w:rPr>
                      <w:rFonts w:hint="default" w:ascii="Times New Roman" w:hAnsi="Times New Roman" w:eastAsia="宋体" w:cs="Times New Roman"/>
                      <w:color w:val="auto"/>
                      <w:sz w:val="21"/>
                      <w:szCs w:val="21"/>
                    </w:rPr>
                  </w:pPr>
                  <w:r>
                    <w:rPr>
                      <w:rFonts w:ascii="Times New Roman" w:hAnsi="Times New Roman" w:eastAsia="宋体"/>
                      <w:b w:val="0"/>
                      <w:bCs/>
                      <w:color w:val="auto"/>
                      <w:sz w:val="21"/>
                      <w:szCs w:val="21"/>
                    </w:rPr>
                    <w:t>汽车密封件生产线</w:t>
                  </w:r>
                </w:p>
              </w:tc>
              <w:tc>
                <w:tcPr>
                  <w:tcW w:w="672" w:type="pct"/>
                  <w:noWrap w:val="0"/>
                  <w:tcMar>
                    <w:top w:w="0" w:type="dxa"/>
                    <w:left w:w="0" w:type="dxa"/>
                    <w:bottom w:w="0" w:type="dxa"/>
                    <w:right w:w="0" w:type="dxa"/>
                  </w:tcMar>
                  <w:vAlign w:val="center"/>
                </w:tcPr>
                <w:p w14:paraId="16A90035">
                  <w:pPr>
                    <w:pStyle w:val="91"/>
                    <w:keepNext w:val="0"/>
                    <w:keepLines w:val="0"/>
                    <w:pageBreakBefore w:val="0"/>
                    <w:kinsoku/>
                    <w:wordWrap/>
                    <w:overflowPunct/>
                    <w:topLinePunct w:val="0"/>
                    <w:bidi w:val="0"/>
                    <w:adjustRightInd w:val="0"/>
                    <w:snapToGrid w:val="0"/>
                    <w:rPr>
                      <w:rFonts w:hint="eastAsia"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挤出</w:t>
                  </w:r>
                </w:p>
              </w:tc>
              <w:tc>
                <w:tcPr>
                  <w:tcW w:w="1219" w:type="pct"/>
                  <w:noWrap w:val="0"/>
                  <w:tcMar>
                    <w:top w:w="0" w:type="dxa"/>
                    <w:left w:w="0" w:type="dxa"/>
                    <w:bottom w:w="0" w:type="dxa"/>
                    <w:right w:w="0" w:type="dxa"/>
                  </w:tcMar>
                  <w:vAlign w:val="center"/>
                </w:tcPr>
                <w:p w14:paraId="04EE6517">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挤出机</w:t>
                  </w:r>
                </w:p>
              </w:tc>
              <w:tc>
                <w:tcPr>
                  <w:tcW w:w="905" w:type="pct"/>
                  <w:noWrap w:val="0"/>
                  <w:tcMar>
                    <w:top w:w="0" w:type="dxa"/>
                    <w:left w:w="0" w:type="dxa"/>
                    <w:bottom w:w="0" w:type="dxa"/>
                    <w:right w:w="0" w:type="dxa"/>
                  </w:tcMar>
                  <w:vAlign w:val="center"/>
                </w:tcPr>
                <w:p w14:paraId="2D523640">
                  <w:pPr>
                    <w:keepNext w:val="0"/>
                    <w:keepLines w:val="0"/>
                    <w:pageBreakBefore w:val="0"/>
                    <w:kinsoku/>
                    <w:wordWrap/>
                    <w:overflowPunct/>
                    <w:topLinePunct w:val="0"/>
                    <w:bidi w:val="0"/>
                    <w:adjustRightInd w:val="0"/>
                    <w:snapToGrid w:val="0"/>
                    <w:jc w:val="center"/>
                    <w:rPr>
                      <w:rFonts w:hint="default" w:ascii="Times New Roman" w:hAnsi="Times New Roman"/>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3E59CBBE">
                  <w:pPr>
                    <w:keepNext w:val="0"/>
                    <w:keepLines w:val="0"/>
                    <w:pageBreakBefore w:val="0"/>
                    <w:widowControl/>
                    <w:kinsoku/>
                    <w:wordWrap/>
                    <w:overflowPunct/>
                    <w:topLinePunct w:val="0"/>
                    <w:bidi w:val="0"/>
                    <w:adjustRightInd w:val="0"/>
                    <w:snapToGrid w:val="0"/>
                    <w:jc w:val="center"/>
                    <w:textAlignment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lang w:val="en-US" w:eastAsia="zh-CN"/>
                    </w:rPr>
                    <w:t>2</w:t>
                  </w:r>
                </w:p>
              </w:tc>
              <w:tc>
                <w:tcPr>
                  <w:tcW w:w="495" w:type="pct"/>
                  <w:noWrap w:val="0"/>
                  <w:tcMar>
                    <w:top w:w="0" w:type="dxa"/>
                    <w:left w:w="0" w:type="dxa"/>
                    <w:bottom w:w="0" w:type="dxa"/>
                    <w:right w:w="0" w:type="dxa"/>
                  </w:tcMar>
                  <w:vAlign w:val="center"/>
                </w:tcPr>
                <w:p w14:paraId="1239737F">
                  <w:pPr>
                    <w:keepNext w:val="0"/>
                    <w:keepLines w:val="0"/>
                    <w:pageBreakBefore w:val="0"/>
                    <w:widowControl/>
                    <w:kinsoku/>
                    <w:wordWrap/>
                    <w:overflowPunct/>
                    <w:topLinePunct w:val="0"/>
                    <w:bidi w:val="0"/>
                    <w:adjustRightInd w:val="0"/>
                    <w:snapToGrid w:val="0"/>
                    <w:jc w:val="center"/>
                    <w:textAlignment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lang w:val="en-US" w:eastAsia="zh-CN"/>
                    </w:rPr>
                    <w:t>3</w:t>
                  </w:r>
                </w:p>
              </w:tc>
              <w:tc>
                <w:tcPr>
                  <w:tcW w:w="501" w:type="pct"/>
                  <w:noWrap w:val="0"/>
                  <w:tcMar>
                    <w:top w:w="0" w:type="dxa"/>
                    <w:left w:w="0" w:type="dxa"/>
                    <w:bottom w:w="0" w:type="dxa"/>
                    <w:right w:w="0" w:type="dxa"/>
                  </w:tcMar>
                  <w:vAlign w:val="center"/>
                </w:tcPr>
                <w:p w14:paraId="3737B5C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r>
            <w:tr w14:paraId="7BA09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0530E41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20</w:t>
                  </w:r>
                </w:p>
              </w:tc>
              <w:tc>
                <w:tcPr>
                  <w:tcW w:w="346" w:type="pct"/>
                  <w:vMerge w:val="continue"/>
                  <w:noWrap w:val="0"/>
                  <w:tcMar>
                    <w:top w:w="0" w:type="dxa"/>
                    <w:left w:w="0" w:type="dxa"/>
                    <w:bottom w:w="0" w:type="dxa"/>
                    <w:right w:w="0" w:type="dxa"/>
                  </w:tcMar>
                  <w:vAlign w:val="center"/>
                </w:tcPr>
                <w:p w14:paraId="0F3866FE">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5E5A1E17">
                  <w:pPr>
                    <w:pStyle w:val="91"/>
                    <w:keepNext w:val="0"/>
                    <w:keepLines w:val="0"/>
                    <w:pageBreakBefore w:val="0"/>
                    <w:kinsoku/>
                    <w:wordWrap/>
                    <w:overflowPunct/>
                    <w:topLinePunct w:val="0"/>
                    <w:bidi w:val="0"/>
                    <w:adjustRightInd w:val="0"/>
                    <w:snapToGrid w:val="0"/>
                    <w:rPr>
                      <w:rFonts w:hint="eastAsia"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冷却</w:t>
                  </w:r>
                </w:p>
              </w:tc>
              <w:tc>
                <w:tcPr>
                  <w:tcW w:w="1219" w:type="pct"/>
                  <w:noWrap w:val="0"/>
                  <w:tcMar>
                    <w:top w:w="0" w:type="dxa"/>
                    <w:left w:w="0" w:type="dxa"/>
                    <w:bottom w:w="0" w:type="dxa"/>
                    <w:right w:w="0" w:type="dxa"/>
                  </w:tcMar>
                  <w:vAlign w:val="center"/>
                </w:tcPr>
                <w:p w14:paraId="1FB0D419">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水槽</w:t>
                  </w:r>
                </w:p>
              </w:tc>
              <w:tc>
                <w:tcPr>
                  <w:tcW w:w="905" w:type="pct"/>
                  <w:noWrap w:val="0"/>
                  <w:tcMar>
                    <w:top w:w="0" w:type="dxa"/>
                    <w:left w:w="0" w:type="dxa"/>
                    <w:bottom w:w="0" w:type="dxa"/>
                    <w:right w:w="0" w:type="dxa"/>
                  </w:tcMar>
                  <w:vAlign w:val="center"/>
                </w:tcPr>
                <w:p w14:paraId="1E09B2C5">
                  <w:pPr>
                    <w:keepNext w:val="0"/>
                    <w:keepLines w:val="0"/>
                    <w:pageBreakBefore w:val="0"/>
                    <w:kinsoku/>
                    <w:wordWrap/>
                    <w:overflowPunct/>
                    <w:topLinePunct w:val="0"/>
                    <w:bidi w:val="0"/>
                    <w:adjustRightInd w:val="0"/>
                    <w:snapToGrid w:val="0"/>
                    <w:jc w:val="center"/>
                    <w:rPr>
                      <w:rFonts w:hint="default" w:ascii="Times New Roman" w:hAnsi="Times New Roman"/>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0078154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olor w:val="auto"/>
                      <w:kern w:val="0"/>
                      <w:sz w:val="21"/>
                      <w:szCs w:val="21"/>
                      <w:lang w:val="en-US" w:eastAsia="zh-CN" w:bidi="ar-SA"/>
                    </w:rPr>
                  </w:pPr>
                  <w:r>
                    <w:rPr>
                      <w:rFonts w:hint="eastAsia"/>
                      <w:color w:val="auto"/>
                      <w:kern w:val="0"/>
                      <w:sz w:val="21"/>
                      <w:szCs w:val="21"/>
                      <w:lang w:val="en-US" w:eastAsia="zh-CN"/>
                    </w:rPr>
                    <w:t>2</w:t>
                  </w:r>
                </w:p>
              </w:tc>
              <w:tc>
                <w:tcPr>
                  <w:tcW w:w="495" w:type="pct"/>
                  <w:noWrap w:val="0"/>
                  <w:tcMar>
                    <w:top w:w="0" w:type="dxa"/>
                    <w:left w:w="0" w:type="dxa"/>
                    <w:bottom w:w="0" w:type="dxa"/>
                    <w:right w:w="0" w:type="dxa"/>
                  </w:tcMar>
                  <w:vAlign w:val="center"/>
                </w:tcPr>
                <w:p w14:paraId="2CF8EBEE">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olor w:val="auto"/>
                      <w:kern w:val="0"/>
                      <w:sz w:val="21"/>
                      <w:szCs w:val="21"/>
                      <w:lang w:val="en-US" w:eastAsia="zh-CN" w:bidi="ar-SA"/>
                    </w:rPr>
                  </w:pPr>
                  <w:r>
                    <w:rPr>
                      <w:rFonts w:hint="eastAsia"/>
                      <w:color w:val="auto"/>
                      <w:kern w:val="0"/>
                      <w:sz w:val="21"/>
                      <w:szCs w:val="21"/>
                      <w:lang w:val="en-US" w:eastAsia="zh-CN"/>
                    </w:rPr>
                    <w:t>0</w:t>
                  </w:r>
                </w:p>
              </w:tc>
              <w:tc>
                <w:tcPr>
                  <w:tcW w:w="501" w:type="pct"/>
                  <w:noWrap w:val="0"/>
                  <w:tcMar>
                    <w:top w:w="0" w:type="dxa"/>
                    <w:left w:w="0" w:type="dxa"/>
                    <w:bottom w:w="0" w:type="dxa"/>
                    <w:right w:w="0" w:type="dxa"/>
                  </w:tcMar>
                  <w:vAlign w:val="center"/>
                </w:tcPr>
                <w:p w14:paraId="28AD630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-2</w:t>
                  </w:r>
                </w:p>
              </w:tc>
            </w:tr>
            <w:tr w14:paraId="10214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05C290D4">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21</w:t>
                  </w:r>
                </w:p>
              </w:tc>
              <w:tc>
                <w:tcPr>
                  <w:tcW w:w="346" w:type="pct"/>
                  <w:vMerge w:val="continue"/>
                  <w:noWrap w:val="0"/>
                  <w:tcMar>
                    <w:top w:w="0" w:type="dxa"/>
                    <w:left w:w="0" w:type="dxa"/>
                    <w:bottom w:w="0" w:type="dxa"/>
                    <w:right w:w="0" w:type="dxa"/>
                  </w:tcMar>
                  <w:vAlign w:val="center"/>
                </w:tcPr>
                <w:p w14:paraId="10369251">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4B4F643F">
                  <w:pPr>
                    <w:pStyle w:val="91"/>
                    <w:keepNext w:val="0"/>
                    <w:keepLines w:val="0"/>
                    <w:pageBreakBefore w:val="0"/>
                    <w:kinsoku/>
                    <w:wordWrap/>
                    <w:overflowPunct/>
                    <w:topLinePunct w:val="0"/>
                    <w:bidi w:val="0"/>
                    <w:adjustRightInd w:val="0"/>
                    <w:snapToGrid w:val="0"/>
                    <w:rPr>
                      <w:rFonts w:hint="eastAsia"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开炼</w:t>
                  </w:r>
                </w:p>
              </w:tc>
              <w:tc>
                <w:tcPr>
                  <w:tcW w:w="1219" w:type="pct"/>
                  <w:noWrap w:val="0"/>
                  <w:tcMar>
                    <w:top w:w="0" w:type="dxa"/>
                    <w:left w:w="0" w:type="dxa"/>
                    <w:bottom w:w="0" w:type="dxa"/>
                    <w:right w:w="0" w:type="dxa"/>
                  </w:tcMar>
                  <w:vAlign w:val="center"/>
                </w:tcPr>
                <w:p w14:paraId="45C4AC60">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开炼机</w:t>
                  </w:r>
                </w:p>
              </w:tc>
              <w:tc>
                <w:tcPr>
                  <w:tcW w:w="905" w:type="pct"/>
                  <w:noWrap w:val="0"/>
                  <w:tcMar>
                    <w:top w:w="0" w:type="dxa"/>
                    <w:left w:w="0" w:type="dxa"/>
                    <w:bottom w:w="0" w:type="dxa"/>
                    <w:right w:w="0" w:type="dxa"/>
                  </w:tcMar>
                  <w:vAlign w:val="center"/>
                </w:tcPr>
                <w:p w14:paraId="0680ACB9">
                  <w:pPr>
                    <w:keepNext w:val="0"/>
                    <w:keepLines w:val="0"/>
                    <w:pageBreakBefore w:val="0"/>
                    <w:kinsoku/>
                    <w:wordWrap/>
                    <w:overflowPunct/>
                    <w:topLinePunct w:val="0"/>
                    <w:bidi w:val="0"/>
                    <w:adjustRightInd w:val="0"/>
                    <w:snapToGrid w:val="0"/>
                    <w:jc w:val="center"/>
                    <w:rPr>
                      <w:rFonts w:hint="default" w:ascii="Times New Roman" w:hAnsi="Times New Roman"/>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2659DBD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color w:val="auto"/>
                      <w:kern w:val="0"/>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369C052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color w:val="auto"/>
                      <w:kern w:val="0"/>
                      <w:sz w:val="21"/>
                      <w:szCs w:val="21"/>
                      <w:lang w:val="en-US" w:eastAsia="zh-CN" w:bidi="ar-SA"/>
                    </w:rPr>
                  </w:pPr>
                  <w:r>
                    <w:rPr>
                      <w:rFonts w:hint="eastAsia"/>
                      <w:color w:val="auto"/>
                      <w:kern w:val="0"/>
                      <w:sz w:val="21"/>
                      <w:szCs w:val="21"/>
                      <w:lang w:val="en-US" w:eastAsia="zh-CN"/>
                    </w:rPr>
                    <w:t>0</w:t>
                  </w:r>
                </w:p>
              </w:tc>
              <w:tc>
                <w:tcPr>
                  <w:tcW w:w="501" w:type="pct"/>
                  <w:noWrap w:val="0"/>
                  <w:tcMar>
                    <w:top w:w="0" w:type="dxa"/>
                    <w:left w:w="0" w:type="dxa"/>
                    <w:bottom w:w="0" w:type="dxa"/>
                    <w:right w:w="0" w:type="dxa"/>
                  </w:tcMar>
                  <w:vAlign w:val="center"/>
                </w:tcPr>
                <w:p w14:paraId="1F1C381B">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w:t>
                  </w:r>
                </w:p>
              </w:tc>
            </w:tr>
            <w:tr w14:paraId="3006E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1B700D5E">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22</w:t>
                  </w:r>
                </w:p>
              </w:tc>
              <w:tc>
                <w:tcPr>
                  <w:tcW w:w="346" w:type="pct"/>
                  <w:vMerge w:val="continue"/>
                  <w:noWrap w:val="0"/>
                  <w:tcMar>
                    <w:top w:w="0" w:type="dxa"/>
                    <w:left w:w="0" w:type="dxa"/>
                    <w:bottom w:w="0" w:type="dxa"/>
                    <w:right w:w="0" w:type="dxa"/>
                  </w:tcMar>
                  <w:vAlign w:val="center"/>
                </w:tcPr>
                <w:p w14:paraId="0807ACCC">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1EA9C9B3">
                  <w:pPr>
                    <w:pStyle w:val="91"/>
                    <w:keepNext w:val="0"/>
                    <w:keepLines w:val="0"/>
                    <w:pageBreakBefore w:val="0"/>
                    <w:kinsoku/>
                    <w:wordWrap/>
                    <w:overflowPunct/>
                    <w:topLinePunct w:val="0"/>
                    <w:bidi w:val="0"/>
                    <w:adjustRightInd w:val="0"/>
                    <w:snapToGrid w:val="0"/>
                    <w:rPr>
                      <w:rFonts w:hint="eastAsia"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成型</w:t>
                  </w:r>
                </w:p>
              </w:tc>
              <w:tc>
                <w:tcPr>
                  <w:tcW w:w="1219" w:type="pct"/>
                  <w:noWrap w:val="0"/>
                  <w:tcMar>
                    <w:top w:w="0" w:type="dxa"/>
                    <w:left w:w="0" w:type="dxa"/>
                    <w:bottom w:w="0" w:type="dxa"/>
                    <w:right w:w="0" w:type="dxa"/>
                  </w:tcMar>
                  <w:vAlign w:val="center"/>
                </w:tcPr>
                <w:p w14:paraId="09712D8D">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平板模压机</w:t>
                  </w:r>
                </w:p>
              </w:tc>
              <w:tc>
                <w:tcPr>
                  <w:tcW w:w="905" w:type="pct"/>
                  <w:noWrap w:val="0"/>
                  <w:tcMar>
                    <w:top w:w="0" w:type="dxa"/>
                    <w:left w:w="0" w:type="dxa"/>
                    <w:bottom w:w="0" w:type="dxa"/>
                    <w:right w:w="0" w:type="dxa"/>
                  </w:tcMar>
                  <w:vAlign w:val="center"/>
                </w:tcPr>
                <w:p w14:paraId="4CB62EA3">
                  <w:pPr>
                    <w:keepNext w:val="0"/>
                    <w:keepLines w:val="0"/>
                    <w:pageBreakBefore w:val="0"/>
                    <w:kinsoku/>
                    <w:wordWrap/>
                    <w:overflowPunct/>
                    <w:topLinePunct w:val="0"/>
                    <w:bidi w:val="0"/>
                    <w:adjustRightInd w:val="0"/>
                    <w:snapToGrid w:val="0"/>
                    <w:jc w:val="center"/>
                    <w:rPr>
                      <w:rFonts w:hint="default" w:ascii="Times New Roman" w:hAnsi="Times New Roman"/>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7767CB20">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color w:val="auto"/>
                      <w:kern w:val="0"/>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60B0E2EE">
                  <w:pPr>
                    <w:keepNext w:val="0"/>
                    <w:keepLines w:val="0"/>
                    <w:pageBreakBefore w:val="0"/>
                    <w:widowControl/>
                    <w:kinsoku/>
                    <w:wordWrap/>
                    <w:overflowPunct/>
                    <w:topLinePunct w:val="0"/>
                    <w:bidi w:val="0"/>
                    <w:adjustRightInd w:val="0"/>
                    <w:snapToGrid w:val="0"/>
                    <w:jc w:val="center"/>
                    <w:textAlignment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lang w:val="en-US" w:eastAsia="zh-CN"/>
                    </w:rPr>
                    <w:t>0</w:t>
                  </w:r>
                </w:p>
              </w:tc>
              <w:tc>
                <w:tcPr>
                  <w:tcW w:w="501" w:type="pct"/>
                  <w:noWrap w:val="0"/>
                  <w:tcMar>
                    <w:top w:w="0" w:type="dxa"/>
                    <w:left w:w="0" w:type="dxa"/>
                    <w:bottom w:w="0" w:type="dxa"/>
                    <w:right w:w="0" w:type="dxa"/>
                  </w:tcMar>
                  <w:vAlign w:val="center"/>
                </w:tcPr>
                <w:p w14:paraId="1979F28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w:t>
                  </w:r>
                </w:p>
              </w:tc>
            </w:tr>
            <w:tr w14:paraId="67E4B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7E360E9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23</w:t>
                  </w:r>
                </w:p>
              </w:tc>
              <w:tc>
                <w:tcPr>
                  <w:tcW w:w="346" w:type="pct"/>
                  <w:vMerge w:val="continue"/>
                  <w:noWrap w:val="0"/>
                  <w:tcMar>
                    <w:top w:w="0" w:type="dxa"/>
                    <w:left w:w="0" w:type="dxa"/>
                    <w:bottom w:w="0" w:type="dxa"/>
                    <w:right w:w="0" w:type="dxa"/>
                  </w:tcMar>
                  <w:vAlign w:val="center"/>
                </w:tcPr>
                <w:p w14:paraId="72A15A83">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noWrap w:val="0"/>
                  <w:tcMar>
                    <w:top w:w="0" w:type="dxa"/>
                    <w:left w:w="0" w:type="dxa"/>
                    <w:bottom w:w="0" w:type="dxa"/>
                    <w:right w:w="0" w:type="dxa"/>
                  </w:tcMar>
                  <w:vAlign w:val="center"/>
                </w:tcPr>
                <w:p w14:paraId="56E02880">
                  <w:pPr>
                    <w:pStyle w:val="91"/>
                    <w:keepNext w:val="0"/>
                    <w:keepLines w:val="0"/>
                    <w:pageBreakBefore w:val="0"/>
                    <w:kinsoku/>
                    <w:wordWrap/>
                    <w:overflowPunct/>
                    <w:topLinePunct w:val="0"/>
                    <w:bidi w:val="0"/>
                    <w:adjustRightInd w:val="0"/>
                    <w:snapToGrid w:val="0"/>
                    <w:rPr>
                      <w:rFonts w:hint="eastAsia"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w:t>
                  </w:r>
                </w:p>
              </w:tc>
              <w:tc>
                <w:tcPr>
                  <w:tcW w:w="1219" w:type="pct"/>
                  <w:noWrap w:val="0"/>
                  <w:tcMar>
                    <w:top w:w="0" w:type="dxa"/>
                    <w:left w:w="0" w:type="dxa"/>
                    <w:bottom w:w="0" w:type="dxa"/>
                    <w:right w:w="0" w:type="dxa"/>
                  </w:tcMar>
                  <w:vAlign w:val="center"/>
                </w:tcPr>
                <w:p w14:paraId="108EF0FA">
                  <w:pPr>
                    <w:pStyle w:val="91"/>
                    <w:keepNext w:val="0"/>
                    <w:keepLines w:val="0"/>
                    <w:pageBreakBefore w:val="0"/>
                    <w:kinsoku/>
                    <w:wordWrap/>
                    <w:overflowPunct/>
                    <w:topLinePunct w:val="0"/>
                    <w:bidi w:val="0"/>
                    <w:adjustRightInd w:val="0"/>
                    <w:snapToGrid w:val="0"/>
                    <w:rPr>
                      <w:rFonts w:hint="default"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牵引机</w:t>
                  </w:r>
                </w:p>
              </w:tc>
              <w:tc>
                <w:tcPr>
                  <w:tcW w:w="905" w:type="pct"/>
                  <w:noWrap w:val="0"/>
                  <w:tcMar>
                    <w:top w:w="0" w:type="dxa"/>
                    <w:left w:w="0" w:type="dxa"/>
                    <w:bottom w:w="0" w:type="dxa"/>
                    <w:right w:w="0" w:type="dxa"/>
                  </w:tcMar>
                  <w:vAlign w:val="center"/>
                </w:tcPr>
                <w:p w14:paraId="7769C07F">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2350F4B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color w:val="auto"/>
                      <w:kern w:val="0"/>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72DAA982">
                  <w:pPr>
                    <w:keepNext w:val="0"/>
                    <w:keepLines w:val="0"/>
                    <w:pageBreakBefore w:val="0"/>
                    <w:widowControl/>
                    <w:kinsoku/>
                    <w:wordWrap/>
                    <w:overflowPunct/>
                    <w:topLinePunct w:val="0"/>
                    <w:bidi w:val="0"/>
                    <w:adjustRightInd w:val="0"/>
                    <w:snapToGrid w:val="0"/>
                    <w:jc w:val="center"/>
                    <w:textAlignment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lang w:val="en-US" w:eastAsia="zh-CN"/>
                    </w:rPr>
                    <w:t>0</w:t>
                  </w:r>
                </w:p>
              </w:tc>
              <w:tc>
                <w:tcPr>
                  <w:tcW w:w="501" w:type="pct"/>
                  <w:noWrap w:val="0"/>
                  <w:tcMar>
                    <w:top w:w="0" w:type="dxa"/>
                    <w:left w:w="0" w:type="dxa"/>
                    <w:bottom w:w="0" w:type="dxa"/>
                    <w:right w:w="0" w:type="dxa"/>
                  </w:tcMar>
                  <w:vAlign w:val="center"/>
                </w:tcPr>
                <w:p w14:paraId="1FD79DC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w:t>
                  </w:r>
                </w:p>
              </w:tc>
            </w:tr>
            <w:tr w14:paraId="426B6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2AB28694">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24</w:t>
                  </w:r>
                </w:p>
              </w:tc>
              <w:tc>
                <w:tcPr>
                  <w:tcW w:w="346" w:type="pct"/>
                  <w:vMerge w:val="restart"/>
                  <w:noWrap w:val="0"/>
                  <w:tcMar>
                    <w:top w:w="0" w:type="dxa"/>
                    <w:left w:w="0" w:type="dxa"/>
                    <w:bottom w:w="0" w:type="dxa"/>
                    <w:right w:w="0" w:type="dxa"/>
                  </w:tcMar>
                  <w:vAlign w:val="center"/>
                </w:tcPr>
                <w:p w14:paraId="517D6DD6">
                  <w:pPr>
                    <w:keepNext w:val="0"/>
                    <w:keepLines w:val="0"/>
                    <w:pageBreakBefore w:val="0"/>
                    <w:kinsoku/>
                    <w:wordWrap/>
                    <w:overflowPunct/>
                    <w:topLinePunct w:val="0"/>
                    <w:autoSpaceDE w:val="0"/>
                    <w:autoSpaceDN w:val="0"/>
                    <w:bidi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实验室</w:t>
                  </w:r>
                </w:p>
              </w:tc>
              <w:tc>
                <w:tcPr>
                  <w:tcW w:w="672" w:type="pct"/>
                  <w:vMerge w:val="restart"/>
                  <w:noWrap w:val="0"/>
                  <w:tcMar>
                    <w:top w:w="0" w:type="dxa"/>
                    <w:left w:w="0" w:type="dxa"/>
                    <w:bottom w:w="0" w:type="dxa"/>
                    <w:right w:w="0" w:type="dxa"/>
                  </w:tcMar>
                  <w:vAlign w:val="center"/>
                </w:tcPr>
                <w:p w14:paraId="441BF99C">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实验</w:t>
                  </w:r>
                </w:p>
              </w:tc>
              <w:tc>
                <w:tcPr>
                  <w:tcW w:w="1219" w:type="pct"/>
                  <w:noWrap w:val="0"/>
                  <w:tcMar>
                    <w:top w:w="0" w:type="dxa"/>
                    <w:left w:w="0" w:type="dxa"/>
                    <w:bottom w:w="0" w:type="dxa"/>
                    <w:right w:w="0" w:type="dxa"/>
                  </w:tcMar>
                  <w:vAlign w:val="center"/>
                </w:tcPr>
                <w:p w14:paraId="38AB5FC3">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电子万能试验机</w:t>
                  </w:r>
                </w:p>
              </w:tc>
              <w:tc>
                <w:tcPr>
                  <w:tcW w:w="905" w:type="pct"/>
                  <w:noWrap w:val="0"/>
                  <w:tcMar>
                    <w:top w:w="0" w:type="dxa"/>
                    <w:left w:w="0" w:type="dxa"/>
                    <w:bottom w:w="0" w:type="dxa"/>
                    <w:right w:w="0" w:type="dxa"/>
                  </w:tcMar>
                  <w:vAlign w:val="center"/>
                </w:tcPr>
                <w:p w14:paraId="2203D4C4">
                  <w:pPr>
                    <w:keepNext w:val="0"/>
                    <w:keepLines w:val="0"/>
                    <w:pageBreakBefore w:val="0"/>
                    <w:widowControl/>
                    <w:kinsoku/>
                    <w:wordWrap/>
                    <w:overflowPunct/>
                    <w:topLinePunct w:val="0"/>
                    <w:bidi w:val="0"/>
                    <w:adjustRightInd w:val="0"/>
                    <w:snapToGrid w:val="0"/>
                    <w:jc w:val="center"/>
                    <w:textAlignment w:val="center"/>
                    <w:rPr>
                      <w:rFonts w:ascii="Times New Roman" w:hAnsi="Times New Roman"/>
                      <w:color w:val="auto"/>
                      <w:kern w:val="2"/>
                      <w:sz w:val="21"/>
                      <w:szCs w:val="21"/>
                      <w:lang w:val="en-US" w:eastAsia="zh-CN" w:bidi="ar-SA"/>
                    </w:rPr>
                  </w:pPr>
                  <w:r>
                    <w:rPr>
                      <w:rFonts w:ascii="Times New Roman" w:hAnsi="Times New Roman"/>
                      <w:color w:val="auto"/>
                      <w:sz w:val="21"/>
                      <w:szCs w:val="21"/>
                    </w:rPr>
                    <w:t>UTM4204X</w:t>
                  </w:r>
                </w:p>
              </w:tc>
              <w:tc>
                <w:tcPr>
                  <w:tcW w:w="569" w:type="pct"/>
                  <w:noWrap w:val="0"/>
                  <w:tcMar>
                    <w:top w:w="0" w:type="dxa"/>
                    <w:left w:w="0" w:type="dxa"/>
                    <w:bottom w:w="0" w:type="dxa"/>
                    <w:right w:w="0" w:type="dxa"/>
                  </w:tcMar>
                  <w:vAlign w:val="center"/>
                </w:tcPr>
                <w:p w14:paraId="690AAC3C">
                  <w:pPr>
                    <w:keepNext w:val="0"/>
                    <w:keepLines w:val="0"/>
                    <w:pageBreakBefore w:val="0"/>
                    <w:kinsoku/>
                    <w:wordWrap/>
                    <w:overflowPunct/>
                    <w:topLinePunct w:val="0"/>
                    <w:bidi w:val="0"/>
                    <w:adjustRightInd w:val="0"/>
                    <w:snapToGrid w:val="0"/>
                    <w:jc w:val="center"/>
                    <w:rPr>
                      <w:rFonts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58342155">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501" w:type="pct"/>
                  <w:noWrap w:val="0"/>
                  <w:tcMar>
                    <w:top w:w="0" w:type="dxa"/>
                    <w:left w:w="0" w:type="dxa"/>
                    <w:bottom w:w="0" w:type="dxa"/>
                    <w:right w:w="0" w:type="dxa"/>
                  </w:tcMar>
                  <w:vAlign w:val="center"/>
                </w:tcPr>
                <w:p w14:paraId="64BE8332">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0855B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24DE9995">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25</w:t>
                  </w:r>
                </w:p>
              </w:tc>
              <w:tc>
                <w:tcPr>
                  <w:tcW w:w="346" w:type="pct"/>
                  <w:vMerge w:val="continue"/>
                  <w:noWrap w:val="0"/>
                  <w:tcMar>
                    <w:top w:w="0" w:type="dxa"/>
                    <w:left w:w="0" w:type="dxa"/>
                    <w:bottom w:w="0" w:type="dxa"/>
                    <w:right w:w="0" w:type="dxa"/>
                  </w:tcMar>
                  <w:vAlign w:val="center"/>
                </w:tcPr>
                <w:p w14:paraId="1CC8B2AA">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68769A5C">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sz w:val="21"/>
                      <w:szCs w:val="21"/>
                    </w:rPr>
                  </w:pPr>
                </w:p>
              </w:tc>
              <w:tc>
                <w:tcPr>
                  <w:tcW w:w="1219" w:type="pct"/>
                  <w:noWrap w:val="0"/>
                  <w:tcMar>
                    <w:top w:w="0" w:type="dxa"/>
                    <w:left w:w="0" w:type="dxa"/>
                    <w:bottom w:w="0" w:type="dxa"/>
                    <w:right w:w="0" w:type="dxa"/>
                  </w:tcMar>
                  <w:vAlign w:val="center"/>
                </w:tcPr>
                <w:p w14:paraId="1AA8B992">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毛细管流变仪</w:t>
                  </w:r>
                </w:p>
              </w:tc>
              <w:tc>
                <w:tcPr>
                  <w:tcW w:w="905" w:type="pct"/>
                  <w:noWrap w:val="0"/>
                  <w:tcMar>
                    <w:top w:w="0" w:type="dxa"/>
                    <w:left w:w="0" w:type="dxa"/>
                    <w:bottom w:w="0" w:type="dxa"/>
                    <w:right w:w="0" w:type="dxa"/>
                  </w:tcMar>
                  <w:vAlign w:val="center"/>
                </w:tcPr>
                <w:p w14:paraId="2B1B1F61">
                  <w:pPr>
                    <w:keepNext w:val="0"/>
                    <w:keepLines w:val="0"/>
                    <w:pageBreakBefore w:val="0"/>
                    <w:widowControl/>
                    <w:kinsoku/>
                    <w:wordWrap/>
                    <w:overflowPunct/>
                    <w:topLinePunct w:val="0"/>
                    <w:bidi w:val="0"/>
                    <w:adjustRightInd w:val="0"/>
                    <w:snapToGrid w:val="0"/>
                    <w:jc w:val="center"/>
                    <w:textAlignment w:val="center"/>
                    <w:rPr>
                      <w:rFonts w:ascii="Times New Roman" w:hAnsi="Times New Roman"/>
                      <w:color w:val="auto"/>
                      <w:kern w:val="2"/>
                      <w:sz w:val="21"/>
                      <w:szCs w:val="21"/>
                      <w:lang w:val="en-US" w:eastAsia="zh-CN" w:bidi="ar-SA"/>
                    </w:rPr>
                  </w:pPr>
                  <w:r>
                    <w:rPr>
                      <w:rFonts w:ascii="Times New Roman" w:hAnsi="Times New Roman"/>
                      <w:color w:val="auto"/>
                      <w:sz w:val="21"/>
                      <w:szCs w:val="21"/>
                    </w:rPr>
                    <w:t>MLW-400B</w:t>
                  </w:r>
                </w:p>
              </w:tc>
              <w:tc>
                <w:tcPr>
                  <w:tcW w:w="569" w:type="pct"/>
                  <w:noWrap w:val="0"/>
                  <w:tcMar>
                    <w:top w:w="0" w:type="dxa"/>
                    <w:left w:w="0" w:type="dxa"/>
                    <w:bottom w:w="0" w:type="dxa"/>
                    <w:right w:w="0" w:type="dxa"/>
                  </w:tcMar>
                  <w:vAlign w:val="center"/>
                </w:tcPr>
                <w:p w14:paraId="41CA7B64">
                  <w:pPr>
                    <w:keepNext w:val="0"/>
                    <w:keepLines w:val="0"/>
                    <w:pageBreakBefore w:val="0"/>
                    <w:kinsoku/>
                    <w:wordWrap/>
                    <w:overflowPunct/>
                    <w:topLinePunct w:val="0"/>
                    <w:bidi w:val="0"/>
                    <w:adjustRightInd w:val="0"/>
                    <w:snapToGrid w:val="0"/>
                    <w:jc w:val="center"/>
                    <w:rPr>
                      <w:rFonts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62B83E13">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501" w:type="pct"/>
                  <w:noWrap w:val="0"/>
                  <w:tcMar>
                    <w:top w:w="0" w:type="dxa"/>
                    <w:left w:w="0" w:type="dxa"/>
                    <w:bottom w:w="0" w:type="dxa"/>
                    <w:right w:w="0" w:type="dxa"/>
                  </w:tcMar>
                  <w:vAlign w:val="center"/>
                </w:tcPr>
                <w:p w14:paraId="539010B0">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23810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706E5C49">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26</w:t>
                  </w:r>
                </w:p>
              </w:tc>
              <w:tc>
                <w:tcPr>
                  <w:tcW w:w="346" w:type="pct"/>
                  <w:vMerge w:val="continue"/>
                  <w:noWrap w:val="0"/>
                  <w:tcMar>
                    <w:top w:w="0" w:type="dxa"/>
                    <w:left w:w="0" w:type="dxa"/>
                    <w:bottom w:w="0" w:type="dxa"/>
                    <w:right w:w="0" w:type="dxa"/>
                  </w:tcMar>
                  <w:vAlign w:val="center"/>
                </w:tcPr>
                <w:p w14:paraId="7CB85DE5">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003A5640">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sz w:val="21"/>
                      <w:szCs w:val="21"/>
                    </w:rPr>
                  </w:pPr>
                </w:p>
              </w:tc>
              <w:tc>
                <w:tcPr>
                  <w:tcW w:w="1219" w:type="pct"/>
                  <w:noWrap w:val="0"/>
                  <w:tcMar>
                    <w:top w:w="0" w:type="dxa"/>
                    <w:left w:w="0" w:type="dxa"/>
                    <w:bottom w:w="0" w:type="dxa"/>
                    <w:right w:w="0" w:type="dxa"/>
                  </w:tcMar>
                  <w:vAlign w:val="center"/>
                </w:tcPr>
                <w:p w14:paraId="0BBDD507">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门尼</w:t>
                  </w:r>
                  <w:r>
                    <w:rPr>
                      <w:rFonts w:hint="eastAsia" w:ascii="Times New Roman" w:hAnsi="Times New Roman" w:eastAsia="宋体"/>
                      <w:b w:val="0"/>
                      <w:bCs/>
                      <w:color w:val="auto"/>
                      <w:sz w:val="21"/>
                      <w:szCs w:val="21"/>
                    </w:rPr>
                    <w:t>黏度</w:t>
                  </w:r>
                  <w:r>
                    <w:rPr>
                      <w:rFonts w:ascii="Times New Roman" w:hAnsi="Times New Roman" w:eastAsia="宋体"/>
                      <w:b w:val="0"/>
                      <w:bCs/>
                      <w:color w:val="auto"/>
                      <w:sz w:val="21"/>
                      <w:szCs w:val="21"/>
                    </w:rPr>
                    <w:t>仪</w:t>
                  </w:r>
                </w:p>
              </w:tc>
              <w:tc>
                <w:tcPr>
                  <w:tcW w:w="905" w:type="pct"/>
                  <w:noWrap w:val="0"/>
                  <w:tcMar>
                    <w:top w:w="0" w:type="dxa"/>
                    <w:left w:w="0" w:type="dxa"/>
                    <w:bottom w:w="0" w:type="dxa"/>
                    <w:right w:w="0" w:type="dxa"/>
                  </w:tcMar>
                  <w:vAlign w:val="center"/>
                </w:tcPr>
                <w:p w14:paraId="69496B86">
                  <w:pPr>
                    <w:keepNext w:val="0"/>
                    <w:keepLines w:val="0"/>
                    <w:pageBreakBefore w:val="0"/>
                    <w:widowControl/>
                    <w:kinsoku/>
                    <w:wordWrap/>
                    <w:overflowPunct/>
                    <w:topLinePunct w:val="0"/>
                    <w:bidi w:val="0"/>
                    <w:adjustRightInd w:val="0"/>
                    <w:snapToGrid w:val="0"/>
                    <w:jc w:val="center"/>
                    <w:textAlignment w:val="center"/>
                    <w:rPr>
                      <w:rFonts w:ascii="Times New Roman" w:hAnsi="Times New Roman"/>
                      <w:color w:val="auto"/>
                      <w:kern w:val="2"/>
                      <w:sz w:val="21"/>
                      <w:szCs w:val="21"/>
                      <w:lang w:val="en-US" w:eastAsia="zh-CN" w:bidi="ar-SA"/>
                    </w:rPr>
                  </w:pPr>
                  <w:r>
                    <w:rPr>
                      <w:rFonts w:ascii="Times New Roman" w:hAnsi="Times New Roman"/>
                      <w:color w:val="auto"/>
                      <w:sz w:val="21"/>
                      <w:szCs w:val="21"/>
                    </w:rPr>
                    <w:t>MV2-2000</w:t>
                  </w:r>
                </w:p>
              </w:tc>
              <w:tc>
                <w:tcPr>
                  <w:tcW w:w="569" w:type="pct"/>
                  <w:noWrap w:val="0"/>
                  <w:tcMar>
                    <w:top w:w="0" w:type="dxa"/>
                    <w:left w:w="0" w:type="dxa"/>
                    <w:bottom w:w="0" w:type="dxa"/>
                    <w:right w:w="0" w:type="dxa"/>
                  </w:tcMar>
                  <w:vAlign w:val="center"/>
                </w:tcPr>
                <w:p w14:paraId="0A2EA600">
                  <w:pPr>
                    <w:keepNext w:val="0"/>
                    <w:keepLines w:val="0"/>
                    <w:pageBreakBefore w:val="0"/>
                    <w:kinsoku/>
                    <w:wordWrap/>
                    <w:overflowPunct/>
                    <w:topLinePunct w:val="0"/>
                    <w:bidi w:val="0"/>
                    <w:adjustRightInd w:val="0"/>
                    <w:snapToGrid w:val="0"/>
                    <w:jc w:val="center"/>
                    <w:rPr>
                      <w:rFonts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2EA5BFD0">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501" w:type="pct"/>
                  <w:noWrap w:val="0"/>
                  <w:tcMar>
                    <w:top w:w="0" w:type="dxa"/>
                    <w:left w:w="0" w:type="dxa"/>
                    <w:bottom w:w="0" w:type="dxa"/>
                    <w:right w:w="0" w:type="dxa"/>
                  </w:tcMar>
                  <w:vAlign w:val="center"/>
                </w:tcPr>
                <w:p w14:paraId="2DE1A98F">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16CB6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7F90A49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27</w:t>
                  </w:r>
                </w:p>
              </w:tc>
              <w:tc>
                <w:tcPr>
                  <w:tcW w:w="346" w:type="pct"/>
                  <w:vMerge w:val="continue"/>
                  <w:noWrap w:val="0"/>
                  <w:tcMar>
                    <w:top w:w="0" w:type="dxa"/>
                    <w:left w:w="0" w:type="dxa"/>
                    <w:bottom w:w="0" w:type="dxa"/>
                    <w:right w:w="0" w:type="dxa"/>
                  </w:tcMar>
                  <w:vAlign w:val="center"/>
                </w:tcPr>
                <w:p w14:paraId="0A187E22">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05C9211E">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sz w:val="21"/>
                      <w:szCs w:val="21"/>
                    </w:rPr>
                  </w:pPr>
                </w:p>
              </w:tc>
              <w:tc>
                <w:tcPr>
                  <w:tcW w:w="1219" w:type="pct"/>
                  <w:noWrap w:val="0"/>
                  <w:tcMar>
                    <w:top w:w="0" w:type="dxa"/>
                    <w:left w:w="0" w:type="dxa"/>
                    <w:bottom w:w="0" w:type="dxa"/>
                    <w:right w:w="0" w:type="dxa"/>
                  </w:tcMar>
                  <w:vAlign w:val="center"/>
                </w:tcPr>
                <w:p w14:paraId="6BEB66B3">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无转子化仪</w:t>
                  </w:r>
                </w:p>
              </w:tc>
              <w:tc>
                <w:tcPr>
                  <w:tcW w:w="905" w:type="pct"/>
                  <w:noWrap w:val="0"/>
                  <w:tcMar>
                    <w:top w:w="0" w:type="dxa"/>
                    <w:left w:w="0" w:type="dxa"/>
                    <w:bottom w:w="0" w:type="dxa"/>
                    <w:right w:w="0" w:type="dxa"/>
                  </w:tcMar>
                  <w:vAlign w:val="center"/>
                </w:tcPr>
                <w:p w14:paraId="70DB4225">
                  <w:pPr>
                    <w:keepNext w:val="0"/>
                    <w:keepLines w:val="0"/>
                    <w:pageBreakBefore w:val="0"/>
                    <w:widowControl/>
                    <w:kinsoku/>
                    <w:wordWrap/>
                    <w:overflowPunct/>
                    <w:topLinePunct w:val="0"/>
                    <w:bidi w:val="0"/>
                    <w:adjustRightInd w:val="0"/>
                    <w:snapToGrid w:val="0"/>
                    <w:jc w:val="center"/>
                    <w:textAlignment w:val="center"/>
                    <w:rPr>
                      <w:rFonts w:ascii="Times New Roman" w:hAnsi="Times New Roman"/>
                      <w:color w:val="auto"/>
                      <w:kern w:val="2"/>
                      <w:sz w:val="21"/>
                      <w:szCs w:val="21"/>
                      <w:lang w:val="en-US" w:eastAsia="zh-CN" w:bidi="ar-SA"/>
                    </w:rPr>
                  </w:pPr>
                  <w:r>
                    <w:rPr>
                      <w:rFonts w:ascii="Times New Roman" w:hAnsi="Times New Roman"/>
                      <w:color w:val="auto"/>
                      <w:sz w:val="21"/>
                      <w:szCs w:val="21"/>
                    </w:rPr>
                    <w:t>MDR-2000E</w:t>
                  </w:r>
                </w:p>
              </w:tc>
              <w:tc>
                <w:tcPr>
                  <w:tcW w:w="569" w:type="pct"/>
                  <w:noWrap w:val="0"/>
                  <w:tcMar>
                    <w:top w:w="0" w:type="dxa"/>
                    <w:left w:w="0" w:type="dxa"/>
                    <w:bottom w:w="0" w:type="dxa"/>
                    <w:right w:w="0" w:type="dxa"/>
                  </w:tcMar>
                  <w:vAlign w:val="center"/>
                </w:tcPr>
                <w:p w14:paraId="5C83AD43">
                  <w:pPr>
                    <w:keepNext w:val="0"/>
                    <w:keepLines w:val="0"/>
                    <w:pageBreakBefore w:val="0"/>
                    <w:kinsoku/>
                    <w:wordWrap/>
                    <w:overflowPunct/>
                    <w:topLinePunct w:val="0"/>
                    <w:bidi w:val="0"/>
                    <w:adjustRightInd w:val="0"/>
                    <w:snapToGrid w:val="0"/>
                    <w:jc w:val="center"/>
                    <w:rPr>
                      <w:rFonts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6DEA461A">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501" w:type="pct"/>
                  <w:noWrap w:val="0"/>
                  <w:tcMar>
                    <w:top w:w="0" w:type="dxa"/>
                    <w:left w:w="0" w:type="dxa"/>
                    <w:bottom w:w="0" w:type="dxa"/>
                    <w:right w:w="0" w:type="dxa"/>
                  </w:tcMar>
                  <w:vAlign w:val="center"/>
                </w:tcPr>
                <w:p w14:paraId="19A26170">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41A18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6605F6F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28</w:t>
                  </w:r>
                </w:p>
              </w:tc>
              <w:tc>
                <w:tcPr>
                  <w:tcW w:w="346" w:type="pct"/>
                  <w:vMerge w:val="continue"/>
                  <w:noWrap w:val="0"/>
                  <w:tcMar>
                    <w:top w:w="0" w:type="dxa"/>
                    <w:left w:w="0" w:type="dxa"/>
                    <w:bottom w:w="0" w:type="dxa"/>
                    <w:right w:w="0" w:type="dxa"/>
                  </w:tcMar>
                  <w:vAlign w:val="center"/>
                </w:tcPr>
                <w:p w14:paraId="55FA1D79">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569FD281">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sz w:val="21"/>
                      <w:szCs w:val="21"/>
                    </w:rPr>
                  </w:pPr>
                </w:p>
              </w:tc>
              <w:tc>
                <w:tcPr>
                  <w:tcW w:w="1219" w:type="pct"/>
                  <w:noWrap w:val="0"/>
                  <w:tcMar>
                    <w:top w:w="0" w:type="dxa"/>
                    <w:left w:w="0" w:type="dxa"/>
                    <w:bottom w:w="0" w:type="dxa"/>
                    <w:right w:w="0" w:type="dxa"/>
                  </w:tcMar>
                  <w:vAlign w:val="center"/>
                </w:tcPr>
                <w:p w14:paraId="42C764B6">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注塑机</w:t>
                  </w:r>
                </w:p>
              </w:tc>
              <w:tc>
                <w:tcPr>
                  <w:tcW w:w="905" w:type="pct"/>
                  <w:noWrap w:val="0"/>
                  <w:tcMar>
                    <w:top w:w="0" w:type="dxa"/>
                    <w:left w:w="0" w:type="dxa"/>
                    <w:bottom w:w="0" w:type="dxa"/>
                    <w:right w:w="0" w:type="dxa"/>
                  </w:tcMar>
                  <w:vAlign w:val="center"/>
                </w:tcPr>
                <w:p w14:paraId="060D734B">
                  <w:pPr>
                    <w:keepNext w:val="0"/>
                    <w:keepLines w:val="0"/>
                    <w:pageBreakBefore w:val="0"/>
                    <w:widowControl/>
                    <w:kinsoku/>
                    <w:wordWrap/>
                    <w:overflowPunct/>
                    <w:topLinePunct w:val="0"/>
                    <w:bidi w:val="0"/>
                    <w:adjustRightInd w:val="0"/>
                    <w:snapToGrid w:val="0"/>
                    <w:jc w:val="center"/>
                    <w:textAlignment w:val="center"/>
                    <w:rPr>
                      <w:rFonts w:ascii="Times New Roman" w:hAnsi="Times New Roman"/>
                      <w:color w:val="auto"/>
                      <w:kern w:val="2"/>
                      <w:sz w:val="21"/>
                      <w:szCs w:val="21"/>
                      <w:lang w:val="en-US" w:eastAsia="zh-CN" w:bidi="ar-SA"/>
                    </w:rPr>
                  </w:pPr>
                  <w:r>
                    <w:rPr>
                      <w:rFonts w:ascii="Times New Roman" w:hAnsi="Times New Roman"/>
                      <w:color w:val="auto"/>
                      <w:sz w:val="21"/>
                      <w:szCs w:val="21"/>
                    </w:rPr>
                    <w:t>HYD-200g</w:t>
                  </w:r>
                </w:p>
              </w:tc>
              <w:tc>
                <w:tcPr>
                  <w:tcW w:w="569" w:type="pct"/>
                  <w:noWrap w:val="0"/>
                  <w:tcMar>
                    <w:top w:w="0" w:type="dxa"/>
                    <w:left w:w="0" w:type="dxa"/>
                    <w:bottom w:w="0" w:type="dxa"/>
                    <w:right w:w="0" w:type="dxa"/>
                  </w:tcMar>
                  <w:vAlign w:val="center"/>
                </w:tcPr>
                <w:p w14:paraId="1A4D3D8B">
                  <w:pPr>
                    <w:keepNext w:val="0"/>
                    <w:keepLines w:val="0"/>
                    <w:pageBreakBefore w:val="0"/>
                    <w:kinsoku/>
                    <w:wordWrap/>
                    <w:overflowPunct/>
                    <w:topLinePunct w:val="0"/>
                    <w:bidi w:val="0"/>
                    <w:adjustRightInd w:val="0"/>
                    <w:snapToGrid w:val="0"/>
                    <w:jc w:val="center"/>
                    <w:rPr>
                      <w:rFonts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6788EAF8">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501" w:type="pct"/>
                  <w:noWrap w:val="0"/>
                  <w:tcMar>
                    <w:top w:w="0" w:type="dxa"/>
                    <w:left w:w="0" w:type="dxa"/>
                    <w:bottom w:w="0" w:type="dxa"/>
                    <w:right w:w="0" w:type="dxa"/>
                  </w:tcMar>
                  <w:vAlign w:val="center"/>
                </w:tcPr>
                <w:p w14:paraId="0E2BD552">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37A28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673E44B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29</w:t>
                  </w:r>
                </w:p>
              </w:tc>
              <w:tc>
                <w:tcPr>
                  <w:tcW w:w="346" w:type="pct"/>
                  <w:vMerge w:val="continue"/>
                  <w:noWrap w:val="0"/>
                  <w:tcMar>
                    <w:top w:w="0" w:type="dxa"/>
                    <w:left w:w="0" w:type="dxa"/>
                    <w:bottom w:w="0" w:type="dxa"/>
                    <w:right w:w="0" w:type="dxa"/>
                  </w:tcMar>
                  <w:vAlign w:val="center"/>
                </w:tcPr>
                <w:p w14:paraId="46EACE58">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p>
              </w:tc>
              <w:tc>
                <w:tcPr>
                  <w:tcW w:w="672" w:type="pct"/>
                  <w:vMerge w:val="continue"/>
                  <w:noWrap w:val="0"/>
                  <w:tcMar>
                    <w:top w:w="0" w:type="dxa"/>
                    <w:left w:w="0" w:type="dxa"/>
                    <w:bottom w:w="0" w:type="dxa"/>
                    <w:right w:w="0" w:type="dxa"/>
                  </w:tcMar>
                  <w:vAlign w:val="center"/>
                </w:tcPr>
                <w:p w14:paraId="36BC7B52">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sz w:val="21"/>
                      <w:szCs w:val="21"/>
                    </w:rPr>
                  </w:pPr>
                </w:p>
              </w:tc>
              <w:tc>
                <w:tcPr>
                  <w:tcW w:w="1219" w:type="pct"/>
                  <w:noWrap w:val="0"/>
                  <w:tcMar>
                    <w:top w:w="0" w:type="dxa"/>
                    <w:left w:w="0" w:type="dxa"/>
                    <w:bottom w:w="0" w:type="dxa"/>
                    <w:right w:w="0" w:type="dxa"/>
                  </w:tcMar>
                  <w:vAlign w:val="center"/>
                </w:tcPr>
                <w:p w14:paraId="18E4373A">
                  <w:pPr>
                    <w:pStyle w:val="91"/>
                    <w:keepNext w:val="0"/>
                    <w:keepLines w:val="0"/>
                    <w:pageBreakBefore w:val="0"/>
                    <w:kinsoku/>
                    <w:wordWrap/>
                    <w:overflowPunct/>
                    <w:topLinePunct w:val="0"/>
                    <w:bidi w:val="0"/>
                    <w:adjustRightInd w:val="0"/>
                    <w:snapToGrid w:val="0"/>
                    <w:rPr>
                      <w:rFonts w:ascii="Times New Roman" w:hAnsi="Times New Roman" w:eastAsia="宋体"/>
                      <w:b w:val="0"/>
                      <w:bCs/>
                      <w:color w:val="auto"/>
                      <w:kern w:val="2"/>
                      <w:sz w:val="21"/>
                      <w:szCs w:val="21"/>
                      <w:lang w:val="en-US" w:eastAsia="zh-CN" w:bidi="ar-SA"/>
                    </w:rPr>
                  </w:pPr>
                  <w:r>
                    <w:rPr>
                      <w:rFonts w:ascii="Times New Roman" w:hAnsi="Times New Roman" w:eastAsia="宋体"/>
                      <w:b w:val="0"/>
                      <w:bCs/>
                      <w:color w:val="auto"/>
                      <w:sz w:val="21"/>
                      <w:szCs w:val="21"/>
                    </w:rPr>
                    <w:t>烘箱</w:t>
                  </w:r>
                </w:p>
              </w:tc>
              <w:tc>
                <w:tcPr>
                  <w:tcW w:w="905" w:type="pct"/>
                  <w:noWrap w:val="0"/>
                  <w:tcMar>
                    <w:top w:w="0" w:type="dxa"/>
                    <w:left w:w="0" w:type="dxa"/>
                    <w:bottom w:w="0" w:type="dxa"/>
                    <w:right w:w="0" w:type="dxa"/>
                  </w:tcMar>
                  <w:vAlign w:val="center"/>
                </w:tcPr>
                <w:p w14:paraId="7AA5056F">
                  <w:pPr>
                    <w:keepNext w:val="0"/>
                    <w:keepLines w:val="0"/>
                    <w:pageBreakBefore w:val="0"/>
                    <w:widowControl/>
                    <w:kinsoku/>
                    <w:wordWrap/>
                    <w:overflowPunct/>
                    <w:topLinePunct w:val="0"/>
                    <w:bidi w:val="0"/>
                    <w:adjustRightInd w:val="0"/>
                    <w:snapToGrid w:val="0"/>
                    <w:jc w:val="center"/>
                    <w:textAlignment w:val="center"/>
                    <w:rPr>
                      <w:rFonts w:ascii="Times New Roman" w:hAnsi="Times New Roman"/>
                      <w:color w:val="auto"/>
                      <w:kern w:val="2"/>
                      <w:sz w:val="21"/>
                      <w:szCs w:val="21"/>
                      <w:lang w:val="en-US" w:eastAsia="zh-CN" w:bidi="ar-SA"/>
                    </w:rPr>
                  </w:pPr>
                  <w:r>
                    <w:rPr>
                      <w:rFonts w:ascii="Times New Roman" w:hAnsi="Times New Roman"/>
                      <w:color w:val="auto"/>
                      <w:sz w:val="21"/>
                      <w:szCs w:val="21"/>
                    </w:rPr>
                    <w:t>/</w:t>
                  </w:r>
                </w:p>
              </w:tc>
              <w:tc>
                <w:tcPr>
                  <w:tcW w:w="569" w:type="pct"/>
                  <w:noWrap w:val="0"/>
                  <w:tcMar>
                    <w:top w:w="0" w:type="dxa"/>
                    <w:left w:w="0" w:type="dxa"/>
                    <w:bottom w:w="0" w:type="dxa"/>
                    <w:right w:w="0" w:type="dxa"/>
                  </w:tcMar>
                  <w:vAlign w:val="center"/>
                </w:tcPr>
                <w:p w14:paraId="6DFB9A0B">
                  <w:pPr>
                    <w:keepNext w:val="0"/>
                    <w:keepLines w:val="0"/>
                    <w:pageBreakBefore w:val="0"/>
                    <w:kinsoku/>
                    <w:wordWrap/>
                    <w:overflowPunct/>
                    <w:topLinePunct w:val="0"/>
                    <w:bidi w:val="0"/>
                    <w:adjustRightInd w:val="0"/>
                    <w:snapToGrid w:val="0"/>
                    <w:jc w:val="center"/>
                    <w:rPr>
                      <w:rFonts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495" w:type="pct"/>
                  <w:noWrap w:val="0"/>
                  <w:tcMar>
                    <w:top w:w="0" w:type="dxa"/>
                    <w:left w:w="0" w:type="dxa"/>
                    <w:bottom w:w="0" w:type="dxa"/>
                    <w:right w:w="0" w:type="dxa"/>
                  </w:tcMar>
                  <w:vAlign w:val="center"/>
                </w:tcPr>
                <w:p w14:paraId="55307344">
                  <w:pPr>
                    <w:keepNext w:val="0"/>
                    <w:keepLines w:val="0"/>
                    <w:pageBreakBefore w:val="0"/>
                    <w:kinsoku/>
                    <w:wordWrap/>
                    <w:overflowPunct/>
                    <w:topLinePunct w:val="0"/>
                    <w:bidi w:val="0"/>
                    <w:adjustRightInd w:val="0"/>
                    <w:snapToGrid w:val="0"/>
                    <w:jc w:val="center"/>
                    <w:rPr>
                      <w:rFonts w:hint="default" w:ascii="Times New Roman" w:hAnsi="Times New Roman"/>
                      <w:bCs/>
                      <w:color w:val="auto"/>
                      <w:kern w:val="2"/>
                      <w:sz w:val="21"/>
                      <w:szCs w:val="21"/>
                      <w:lang w:val="en-US" w:eastAsia="zh-CN" w:bidi="ar-SA"/>
                    </w:rPr>
                  </w:pPr>
                  <w:r>
                    <w:rPr>
                      <w:rFonts w:ascii="Times New Roman" w:hAnsi="Times New Roman"/>
                      <w:color w:val="auto"/>
                      <w:kern w:val="0"/>
                      <w:sz w:val="21"/>
                      <w:szCs w:val="21"/>
                    </w:rPr>
                    <w:t>1</w:t>
                  </w:r>
                </w:p>
              </w:tc>
              <w:tc>
                <w:tcPr>
                  <w:tcW w:w="501" w:type="pct"/>
                  <w:noWrap w:val="0"/>
                  <w:tcMar>
                    <w:top w:w="0" w:type="dxa"/>
                    <w:left w:w="0" w:type="dxa"/>
                    <w:bottom w:w="0" w:type="dxa"/>
                    <w:right w:w="0" w:type="dxa"/>
                  </w:tcMar>
                  <w:vAlign w:val="center"/>
                </w:tcPr>
                <w:p w14:paraId="1325567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r>
            <w:tr w14:paraId="2F3C9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7AB332E2">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30</w:t>
                  </w:r>
                </w:p>
              </w:tc>
              <w:tc>
                <w:tcPr>
                  <w:tcW w:w="346" w:type="pct"/>
                  <w:noWrap w:val="0"/>
                  <w:tcMar>
                    <w:top w:w="0" w:type="dxa"/>
                    <w:left w:w="0" w:type="dxa"/>
                    <w:bottom w:w="0" w:type="dxa"/>
                    <w:right w:w="0" w:type="dxa"/>
                  </w:tcMar>
                  <w:vAlign w:val="center"/>
                </w:tcPr>
                <w:p w14:paraId="468F3813">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辅助设备</w:t>
                  </w:r>
                </w:p>
              </w:tc>
              <w:tc>
                <w:tcPr>
                  <w:tcW w:w="672" w:type="pct"/>
                  <w:noWrap w:val="0"/>
                  <w:tcMar>
                    <w:top w:w="0" w:type="dxa"/>
                    <w:left w:w="0" w:type="dxa"/>
                    <w:bottom w:w="0" w:type="dxa"/>
                    <w:right w:w="0" w:type="dxa"/>
                  </w:tcMar>
                  <w:vAlign w:val="center"/>
                </w:tcPr>
                <w:p w14:paraId="3F98A1CF">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提供动力</w:t>
                  </w:r>
                </w:p>
              </w:tc>
              <w:tc>
                <w:tcPr>
                  <w:tcW w:w="1219" w:type="pct"/>
                  <w:noWrap w:val="0"/>
                  <w:tcMar>
                    <w:top w:w="0" w:type="dxa"/>
                    <w:left w:w="0" w:type="dxa"/>
                    <w:bottom w:w="0" w:type="dxa"/>
                    <w:right w:w="0" w:type="dxa"/>
                  </w:tcMar>
                  <w:vAlign w:val="center"/>
                </w:tcPr>
                <w:p w14:paraId="1BD1BA45">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空压机</w:t>
                  </w:r>
                </w:p>
              </w:tc>
              <w:tc>
                <w:tcPr>
                  <w:tcW w:w="905" w:type="pct"/>
                  <w:noWrap w:val="0"/>
                  <w:tcMar>
                    <w:top w:w="0" w:type="dxa"/>
                    <w:left w:w="0" w:type="dxa"/>
                    <w:bottom w:w="0" w:type="dxa"/>
                    <w:right w:w="0" w:type="dxa"/>
                  </w:tcMar>
                  <w:vAlign w:val="center"/>
                </w:tcPr>
                <w:p w14:paraId="6C88A76A">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w:t>
                  </w:r>
                </w:p>
              </w:tc>
              <w:tc>
                <w:tcPr>
                  <w:tcW w:w="569" w:type="pct"/>
                  <w:noWrap w:val="0"/>
                  <w:tcMar>
                    <w:top w:w="0" w:type="dxa"/>
                    <w:left w:w="0" w:type="dxa"/>
                    <w:bottom w:w="0" w:type="dxa"/>
                    <w:right w:w="0" w:type="dxa"/>
                  </w:tcMar>
                  <w:vAlign w:val="center"/>
                </w:tcPr>
                <w:p w14:paraId="66C851E2">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1</w:t>
                  </w:r>
                </w:p>
              </w:tc>
              <w:tc>
                <w:tcPr>
                  <w:tcW w:w="495" w:type="pct"/>
                  <w:noWrap w:val="0"/>
                  <w:tcMar>
                    <w:top w:w="0" w:type="dxa"/>
                    <w:left w:w="0" w:type="dxa"/>
                    <w:bottom w:w="0" w:type="dxa"/>
                    <w:right w:w="0" w:type="dxa"/>
                  </w:tcMar>
                  <w:vAlign w:val="center"/>
                </w:tcPr>
                <w:p w14:paraId="0BE89CF5">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kern w:val="2"/>
                      <w:sz w:val="21"/>
                      <w:szCs w:val="21"/>
                      <w:lang w:val="en-US" w:eastAsia="zh-CN" w:bidi="ar-SA"/>
                    </w:rPr>
                  </w:pPr>
                  <w:r>
                    <w:rPr>
                      <w:rFonts w:ascii="Times New Roman" w:hAnsi="Times New Roman" w:eastAsia="宋体" w:cs="Times New Roman"/>
                      <w:b w:val="0"/>
                      <w:bCs/>
                      <w:color w:val="auto"/>
                      <w:sz w:val="21"/>
                      <w:szCs w:val="21"/>
                    </w:rPr>
                    <w:t>1</w:t>
                  </w:r>
                </w:p>
              </w:tc>
              <w:tc>
                <w:tcPr>
                  <w:tcW w:w="501" w:type="pct"/>
                  <w:noWrap w:val="0"/>
                  <w:tcMar>
                    <w:top w:w="0" w:type="dxa"/>
                    <w:left w:w="0" w:type="dxa"/>
                    <w:bottom w:w="0" w:type="dxa"/>
                    <w:right w:w="0" w:type="dxa"/>
                  </w:tcMar>
                  <w:vAlign w:val="center"/>
                </w:tcPr>
                <w:p w14:paraId="3BD30DD8">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067AC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noWrap w:val="0"/>
                  <w:tcMar>
                    <w:top w:w="0" w:type="dxa"/>
                    <w:left w:w="0" w:type="dxa"/>
                    <w:bottom w:w="0" w:type="dxa"/>
                    <w:right w:w="0" w:type="dxa"/>
                  </w:tcMar>
                  <w:vAlign w:val="center"/>
                </w:tcPr>
                <w:p w14:paraId="313724F6">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31</w:t>
                  </w:r>
                </w:p>
              </w:tc>
              <w:tc>
                <w:tcPr>
                  <w:tcW w:w="346" w:type="pct"/>
                  <w:vMerge w:val="restart"/>
                  <w:noWrap w:val="0"/>
                  <w:tcMar>
                    <w:top w:w="0" w:type="dxa"/>
                    <w:left w:w="0" w:type="dxa"/>
                    <w:bottom w:w="0" w:type="dxa"/>
                    <w:right w:w="0" w:type="dxa"/>
                  </w:tcMar>
                  <w:vAlign w:val="center"/>
                </w:tcPr>
                <w:p w14:paraId="470D19DB">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环保设备</w:t>
                  </w:r>
                </w:p>
              </w:tc>
              <w:tc>
                <w:tcPr>
                  <w:tcW w:w="672" w:type="pct"/>
                  <w:vMerge w:val="restart"/>
                  <w:noWrap w:val="0"/>
                  <w:tcMar>
                    <w:top w:w="0" w:type="dxa"/>
                    <w:left w:w="0" w:type="dxa"/>
                    <w:bottom w:w="0" w:type="dxa"/>
                    <w:right w:w="0" w:type="dxa"/>
                  </w:tcMar>
                  <w:vAlign w:val="center"/>
                </w:tcPr>
                <w:p w14:paraId="7ED32752">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处理废气</w:t>
                  </w:r>
                </w:p>
              </w:tc>
              <w:tc>
                <w:tcPr>
                  <w:tcW w:w="1219" w:type="pct"/>
                  <w:noWrap w:val="0"/>
                  <w:tcMar>
                    <w:top w:w="0" w:type="dxa"/>
                    <w:left w:w="0" w:type="dxa"/>
                    <w:bottom w:w="0" w:type="dxa"/>
                    <w:right w:w="0" w:type="dxa"/>
                  </w:tcMar>
                  <w:vAlign w:val="center"/>
                </w:tcPr>
                <w:p w14:paraId="70AEBF5A">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布袋除尘器</w:t>
                  </w:r>
                </w:p>
              </w:tc>
              <w:tc>
                <w:tcPr>
                  <w:tcW w:w="905" w:type="pct"/>
                  <w:noWrap w:val="0"/>
                  <w:tcMar>
                    <w:top w:w="0" w:type="dxa"/>
                    <w:left w:w="0" w:type="dxa"/>
                    <w:bottom w:w="0" w:type="dxa"/>
                    <w:right w:w="0" w:type="dxa"/>
                  </w:tcMar>
                  <w:vAlign w:val="center"/>
                </w:tcPr>
                <w:p w14:paraId="39A7F2F9">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w:t>
                  </w:r>
                </w:p>
              </w:tc>
              <w:tc>
                <w:tcPr>
                  <w:tcW w:w="569" w:type="pct"/>
                  <w:noWrap w:val="0"/>
                  <w:tcMar>
                    <w:top w:w="0" w:type="dxa"/>
                    <w:left w:w="0" w:type="dxa"/>
                    <w:bottom w:w="0" w:type="dxa"/>
                    <w:right w:w="0" w:type="dxa"/>
                  </w:tcMar>
                  <w:vAlign w:val="center"/>
                </w:tcPr>
                <w:p w14:paraId="7222F58E">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1</w:t>
                  </w:r>
                </w:p>
              </w:tc>
              <w:tc>
                <w:tcPr>
                  <w:tcW w:w="495" w:type="pct"/>
                  <w:noWrap w:val="0"/>
                  <w:tcMar>
                    <w:top w:w="0" w:type="dxa"/>
                    <w:left w:w="0" w:type="dxa"/>
                    <w:bottom w:w="0" w:type="dxa"/>
                    <w:right w:w="0" w:type="dxa"/>
                  </w:tcMar>
                  <w:vAlign w:val="center"/>
                </w:tcPr>
                <w:p w14:paraId="5184885D">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kern w:val="2"/>
                      <w:sz w:val="21"/>
                      <w:szCs w:val="21"/>
                      <w:lang w:val="en-US" w:eastAsia="zh-CN" w:bidi="ar-SA"/>
                    </w:rPr>
                  </w:pPr>
                  <w:r>
                    <w:rPr>
                      <w:rFonts w:ascii="Times New Roman" w:hAnsi="Times New Roman" w:eastAsia="宋体" w:cs="Times New Roman"/>
                      <w:b w:val="0"/>
                      <w:bCs/>
                      <w:color w:val="auto"/>
                      <w:sz w:val="21"/>
                      <w:szCs w:val="21"/>
                    </w:rPr>
                    <w:t>1</w:t>
                  </w:r>
                </w:p>
              </w:tc>
              <w:tc>
                <w:tcPr>
                  <w:tcW w:w="501" w:type="pct"/>
                  <w:noWrap w:val="0"/>
                  <w:tcMar>
                    <w:top w:w="0" w:type="dxa"/>
                    <w:left w:w="0" w:type="dxa"/>
                    <w:bottom w:w="0" w:type="dxa"/>
                    <w:right w:w="0" w:type="dxa"/>
                  </w:tcMar>
                  <w:vAlign w:val="center"/>
                </w:tcPr>
                <w:p w14:paraId="747E89A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3295C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90" w:type="pct"/>
                  <w:shd w:val="clear" w:color="auto" w:fill="auto"/>
                  <w:noWrap w:val="0"/>
                  <w:tcMar>
                    <w:top w:w="0" w:type="dxa"/>
                    <w:left w:w="0" w:type="dxa"/>
                    <w:bottom w:w="0" w:type="dxa"/>
                    <w:right w:w="0" w:type="dxa"/>
                  </w:tcMar>
                  <w:vAlign w:val="center"/>
                </w:tcPr>
                <w:p w14:paraId="056EE0E7">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32</w:t>
                  </w:r>
                </w:p>
              </w:tc>
              <w:tc>
                <w:tcPr>
                  <w:tcW w:w="346" w:type="pct"/>
                  <w:vMerge w:val="continue"/>
                  <w:noWrap w:val="0"/>
                  <w:tcMar>
                    <w:top w:w="0" w:type="dxa"/>
                    <w:left w:w="0" w:type="dxa"/>
                    <w:bottom w:w="0" w:type="dxa"/>
                    <w:right w:w="0" w:type="dxa"/>
                  </w:tcMar>
                  <w:vAlign w:val="center"/>
                </w:tcPr>
                <w:p w14:paraId="7FCCF0C9">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sz w:val="21"/>
                      <w:szCs w:val="21"/>
                    </w:rPr>
                  </w:pPr>
                </w:p>
              </w:tc>
              <w:tc>
                <w:tcPr>
                  <w:tcW w:w="672" w:type="pct"/>
                  <w:vMerge w:val="continue"/>
                  <w:noWrap w:val="0"/>
                  <w:tcMar>
                    <w:top w:w="0" w:type="dxa"/>
                    <w:left w:w="0" w:type="dxa"/>
                    <w:bottom w:w="0" w:type="dxa"/>
                    <w:right w:w="0" w:type="dxa"/>
                  </w:tcMar>
                  <w:vAlign w:val="center"/>
                </w:tcPr>
                <w:p w14:paraId="2CA3C3A8">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rPr>
                  </w:pPr>
                </w:p>
              </w:tc>
              <w:tc>
                <w:tcPr>
                  <w:tcW w:w="1219" w:type="pct"/>
                  <w:noWrap w:val="0"/>
                  <w:tcMar>
                    <w:top w:w="0" w:type="dxa"/>
                    <w:left w:w="0" w:type="dxa"/>
                    <w:bottom w:w="0" w:type="dxa"/>
                    <w:right w:w="0" w:type="dxa"/>
                  </w:tcMar>
                  <w:vAlign w:val="center"/>
                </w:tcPr>
                <w:p w14:paraId="1CF522D9">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水喷淋塔+除湿器+</w:t>
                  </w:r>
                  <w:r>
                    <w:rPr>
                      <w:rFonts w:ascii="Times New Roman" w:hAnsi="Times New Roman" w:eastAsia="宋体" w:cs="Times New Roman"/>
                      <w:b w:val="0"/>
                      <w:bCs/>
                      <w:color w:val="auto"/>
                      <w:sz w:val="21"/>
                      <w:szCs w:val="21"/>
                    </w:rPr>
                    <w:t>二级活性炭吸附</w:t>
                  </w:r>
                </w:p>
              </w:tc>
              <w:tc>
                <w:tcPr>
                  <w:tcW w:w="905" w:type="pct"/>
                  <w:noWrap w:val="0"/>
                  <w:tcMar>
                    <w:top w:w="0" w:type="dxa"/>
                    <w:left w:w="0" w:type="dxa"/>
                    <w:bottom w:w="0" w:type="dxa"/>
                    <w:right w:w="0" w:type="dxa"/>
                  </w:tcMar>
                  <w:vAlign w:val="center"/>
                </w:tcPr>
                <w:p w14:paraId="169CDD19">
                  <w:pPr>
                    <w:pStyle w:val="91"/>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w:t>
                  </w:r>
                </w:p>
              </w:tc>
              <w:tc>
                <w:tcPr>
                  <w:tcW w:w="569" w:type="pct"/>
                  <w:noWrap w:val="0"/>
                  <w:tcMar>
                    <w:top w:w="0" w:type="dxa"/>
                    <w:left w:w="0" w:type="dxa"/>
                    <w:bottom w:w="0" w:type="dxa"/>
                    <w:right w:w="0" w:type="dxa"/>
                  </w:tcMar>
                  <w:vAlign w:val="center"/>
                </w:tcPr>
                <w:p w14:paraId="085B2A01">
                  <w:pPr>
                    <w:pStyle w:val="9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495" w:type="pct"/>
                  <w:noWrap w:val="0"/>
                  <w:tcMar>
                    <w:top w:w="0" w:type="dxa"/>
                    <w:left w:w="0" w:type="dxa"/>
                    <w:bottom w:w="0" w:type="dxa"/>
                    <w:right w:w="0" w:type="dxa"/>
                  </w:tcMar>
                  <w:vAlign w:val="center"/>
                </w:tcPr>
                <w:p w14:paraId="4B94A279">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501" w:type="pct"/>
                  <w:noWrap w:val="0"/>
                  <w:tcMar>
                    <w:top w:w="0" w:type="dxa"/>
                    <w:left w:w="0" w:type="dxa"/>
                    <w:bottom w:w="0" w:type="dxa"/>
                    <w:right w:w="0" w:type="dxa"/>
                  </w:tcMar>
                  <w:vAlign w:val="center"/>
                </w:tcPr>
                <w:p w14:paraId="461C73FD">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2503E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shd w:val="clear" w:color="auto" w:fill="auto"/>
                  <w:noWrap w:val="0"/>
                  <w:tcMar>
                    <w:top w:w="0" w:type="dxa"/>
                    <w:left w:w="0" w:type="dxa"/>
                    <w:bottom w:w="0" w:type="dxa"/>
                    <w:right w:w="0" w:type="dxa"/>
                  </w:tcMar>
                  <w:vAlign w:val="center"/>
                </w:tcPr>
                <w:p w14:paraId="2FEA2A23">
                  <w:pPr>
                    <w:keepNext w:val="0"/>
                    <w:keepLines w:val="0"/>
                    <w:pageBreakBefore w:val="0"/>
                    <w:widowControl/>
                    <w:kinsoku/>
                    <w:wordWrap/>
                    <w:overflowPunct/>
                    <w:topLinePunct w:val="0"/>
                    <w:bidi w:val="0"/>
                    <w:adjustRightInd w:val="0"/>
                    <w:snapToGrid w:val="0"/>
                    <w:jc w:val="left"/>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注：</w:t>
                  </w:r>
                  <w:r>
                    <w:rPr>
                      <w:rFonts w:hint="eastAsia" w:ascii="Times New Roman" w:hAnsi="Times New Roman" w:eastAsia="宋体" w:cs="Times New Roman"/>
                      <w:color w:val="auto"/>
                      <w:sz w:val="21"/>
                      <w:szCs w:val="21"/>
                      <w:lang w:val="en-US" w:eastAsia="zh-CN"/>
                    </w:rPr>
                    <w:t>本次搬迁仅为生产场地及布局优化调整，产品产能规模均保持不变。为进一步优化生产流程、提升设备稳定性与生产效率，对部分工序进行设备升级与补充，因此新增部分设备，整体</w:t>
                  </w:r>
                  <w:r>
                    <w:rPr>
                      <w:rFonts w:hint="eastAsia" w:cs="Times New Roman"/>
                      <w:color w:val="auto"/>
                      <w:sz w:val="21"/>
                      <w:szCs w:val="21"/>
                      <w:lang w:val="en-US" w:eastAsia="zh-CN"/>
                    </w:rPr>
                    <w:t>产品</w:t>
                  </w:r>
                  <w:r>
                    <w:rPr>
                      <w:rFonts w:hint="eastAsia" w:ascii="Times New Roman" w:hAnsi="Times New Roman" w:eastAsia="宋体" w:cs="Times New Roman"/>
                      <w:color w:val="auto"/>
                      <w:sz w:val="21"/>
                      <w:szCs w:val="21"/>
                      <w:lang w:val="en-US" w:eastAsia="zh-CN"/>
                    </w:rPr>
                    <w:t>产能未发生变化</w:t>
                  </w:r>
                  <w:r>
                    <w:rPr>
                      <w:rFonts w:hint="eastAsia" w:cs="Times New Roman"/>
                      <w:color w:val="auto"/>
                      <w:sz w:val="21"/>
                      <w:szCs w:val="21"/>
                      <w:lang w:val="en-US" w:eastAsia="zh-CN"/>
                    </w:rPr>
                    <w:t>。</w:t>
                  </w:r>
                </w:p>
              </w:tc>
            </w:tr>
          </w:tbl>
          <w:p w14:paraId="26B928CA">
            <w:pPr>
              <w:spacing w:before="120" w:beforeLines="50"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5、原辅材料</w:t>
            </w:r>
          </w:p>
          <w:p w14:paraId="12278943">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建设项目主要原辅材料见表2-4。原辅材料理化性质见表2-5。</w:t>
            </w:r>
          </w:p>
          <w:p w14:paraId="75BA4A71">
            <w:pPr>
              <w:pStyle w:val="7"/>
              <w:keepNext/>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rPr>
            </w:pPr>
            <w:bookmarkStart w:id="5" w:name="_Ref435018892"/>
            <w:r>
              <w:rPr>
                <w:rFonts w:hint="default" w:ascii="Times New Roman" w:hAnsi="Times New Roman" w:eastAsia="宋体" w:cs="Times New Roman"/>
                <w:color w:val="auto"/>
                <w:kern w:val="2"/>
                <w:sz w:val="21"/>
                <w:szCs w:val="21"/>
              </w:rPr>
              <w:t>表</w:t>
            </w:r>
            <w:bookmarkEnd w:id="5"/>
            <w:r>
              <w:rPr>
                <w:rFonts w:hint="default" w:ascii="Times New Roman" w:hAnsi="Times New Roman" w:eastAsia="宋体" w:cs="Times New Roman"/>
                <w:color w:val="auto"/>
                <w:kern w:val="2"/>
                <w:sz w:val="21"/>
                <w:szCs w:val="21"/>
              </w:rPr>
              <w:t>2-4 主要原辅材料表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2297"/>
              <w:gridCol w:w="795"/>
              <w:gridCol w:w="815"/>
              <w:gridCol w:w="653"/>
              <w:gridCol w:w="674"/>
              <w:gridCol w:w="964"/>
              <w:gridCol w:w="486"/>
              <w:gridCol w:w="497"/>
            </w:tblGrid>
            <w:tr w14:paraId="7B911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restart"/>
                  <w:noWrap w:val="0"/>
                  <w:tcMar>
                    <w:top w:w="0" w:type="dxa"/>
                    <w:left w:w="0" w:type="dxa"/>
                    <w:bottom w:w="0" w:type="dxa"/>
                    <w:right w:w="0" w:type="dxa"/>
                  </w:tcMar>
                  <w:vAlign w:val="center"/>
                </w:tcPr>
                <w:p w14:paraId="031C49CE">
                  <w:pPr>
                    <w:pStyle w:val="76"/>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名称</w:t>
                  </w:r>
                </w:p>
              </w:tc>
              <w:tc>
                <w:tcPr>
                  <w:tcW w:w="1386" w:type="pct"/>
                  <w:vMerge w:val="restart"/>
                  <w:noWrap w:val="0"/>
                  <w:tcMar>
                    <w:top w:w="0" w:type="dxa"/>
                    <w:left w:w="0" w:type="dxa"/>
                    <w:bottom w:w="0" w:type="dxa"/>
                    <w:right w:w="0" w:type="dxa"/>
                  </w:tcMar>
                  <w:vAlign w:val="center"/>
                </w:tcPr>
                <w:p w14:paraId="1F3FC633">
                  <w:pPr>
                    <w:pStyle w:val="76"/>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重要组分、规格、指标</w:t>
                  </w:r>
                </w:p>
              </w:tc>
              <w:tc>
                <w:tcPr>
                  <w:tcW w:w="1366" w:type="pct"/>
                  <w:gridSpan w:val="3"/>
                  <w:noWrap w:val="0"/>
                  <w:tcMar>
                    <w:top w:w="0" w:type="dxa"/>
                    <w:left w:w="0" w:type="dxa"/>
                    <w:bottom w:w="0" w:type="dxa"/>
                    <w:right w:w="0" w:type="dxa"/>
                  </w:tcMar>
                  <w:vAlign w:val="center"/>
                </w:tcPr>
                <w:p w14:paraId="203705AA">
                  <w:pPr>
                    <w:pStyle w:val="76"/>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年耗量</w:t>
                  </w:r>
                </w:p>
              </w:tc>
              <w:tc>
                <w:tcPr>
                  <w:tcW w:w="407" w:type="pct"/>
                  <w:vMerge w:val="restart"/>
                  <w:noWrap w:val="0"/>
                  <w:tcMar>
                    <w:top w:w="0" w:type="dxa"/>
                    <w:left w:w="0" w:type="dxa"/>
                    <w:bottom w:w="0" w:type="dxa"/>
                    <w:right w:w="0" w:type="dxa"/>
                  </w:tcMar>
                  <w:vAlign w:val="center"/>
                </w:tcPr>
                <w:p w14:paraId="03A3CCA2">
                  <w:pPr>
                    <w:pStyle w:val="76"/>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最大储存量</w:t>
                  </w:r>
                </w:p>
              </w:tc>
              <w:tc>
                <w:tcPr>
                  <w:tcW w:w="582" w:type="pct"/>
                  <w:vMerge w:val="restart"/>
                  <w:noWrap w:val="0"/>
                  <w:tcMar>
                    <w:top w:w="0" w:type="dxa"/>
                    <w:left w:w="0" w:type="dxa"/>
                    <w:bottom w:w="0" w:type="dxa"/>
                    <w:right w:w="0" w:type="dxa"/>
                  </w:tcMar>
                  <w:vAlign w:val="center"/>
                </w:tcPr>
                <w:p w14:paraId="2991C070">
                  <w:pPr>
                    <w:pStyle w:val="76"/>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包装规格</w:t>
                  </w:r>
                </w:p>
              </w:tc>
              <w:tc>
                <w:tcPr>
                  <w:tcW w:w="293" w:type="pct"/>
                  <w:vMerge w:val="restart"/>
                  <w:noWrap w:val="0"/>
                  <w:tcMar>
                    <w:top w:w="0" w:type="dxa"/>
                    <w:left w:w="0" w:type="dxa"/>
                    <w:bottom w:w="0" w:type="dxa"/>
                    <w:right w:w="0" w:type="dxa"/>
                  </w:tcMar>
                  <w:vAlign w:val="center"/>
                </w:tcPr>
                <w:p w14:paraId="43F8DD8A">
                  <w:pPr>
                    <w:spacing w:line="280" w:lineRule="exac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储存位置</w:t>
                  </w:r>
                </w:p>
              </w:tc>
              <w:tc>
                <w:tcPr>
                  <w:tcW w:w="296" w:type="pct"/>
                  <w:vMerge w:val="restart"/>
                  <w:noWrap w:val="0"/>
                  <w:tcMar>
                    <w:top w:w="0" w:type="dxa"/>
                    <w:left w:w="0" w:type="dxa"/>
                    <w:bottom w:w="0" w:type="dxa"/>
                    <w:right w:w="0" w:type="dxa"/>
                  </w:tcMar>
                  <w:vAlign w:val="center"/>
                </w:tcPr>
                <w:p w14:paraId="1EE405E7">
                  <w:pPr>
                    <w:spacing w:line="280" w:lineRule="exac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运输方式</w:t>
                  </w:r>
                </w:p>
              </w:tc>
            </w:tr>
            <w:tr w14:paraId="7E076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continue"/>
                  <w:noWrap w:val="0"/>
                  <w:tcMar>
                    <w:top w:w="0" w:type="dxa"/>
                    <w:left w:w="0" w:type="dxa"/>
                    <w:bottom w:w="0" w:type="dxa"/>
                    <w:right w:w="0" w:type="dxa"/>
                  </w:tcMar>
                  <w:vAlign w:val="center"/>
                </w:tcPr>
                <w:p w14:paraId="6A96CEEE">
                  <w:pPr>
                    <w:pStyle w:val="76"/>
                    <w:jc w:val="center"/>
                    <w:rPr>
                      <w:rFonts w:hint="default" w:ascii="Times New Roman" w:hAnsi="Times New Roman" w:eastAsia="宋体" w:cs="Times New Roman"/>
                      <w:b/>
                      <w:color w:val="auto"/>
                    </w:rPr>
                  </w:pPr>
                </w:p>
              </w:tc>
              <w:tc>
                <w:tcPr>
                  <w:tcW w:w="1386" w:type="pct"/>
                  <w:vMerge w:val="continue"/>
                  <w:noWrap w:val="0"/>
                  <w:tcMar>
                    <w:top w:w="0" w:type="dxa"/>
                    <w:left w:w="0" w:type="dxa"/>
                    <w:bottom w:w="0" w:type="dxa"/>
                    <w:right w:w="0" w:type="dxa"/>
                  </w:tcMar>
                  <w:vAlign w:val="center"/>
                </w:tcPr>
                <w:p w14:paraId="0B6E797E">
                  <w:pPr>
                    <w:pStyle w:val="76"/>
                    <w:jc w:val="center"/>
                    <w:rPr>
                      <w:rFonts w:hint="default" w:ascii="Times New Roman" w:hAnsi="Times New Roman" w:eastAsia="宋体" w:cs="Times New Roman"/>
                      <w:b/>
                      <w:color w:val="auto"/>
                    </w:rPr>
                  </w:pPr>
                </w:p>
              </w:tc>
              <w:tc>
                <w:tcPr>
                  <w:tcW w:w="480" w:type="pct"/>
                  <w:noWrap w:val="0"/>
                  <w:tcMar>
                    <w:top w:w="0" w:type="dxa"/>
                    <w:left w:w="0" w:type="dxa"/>
                    <w:bottom w:w="0" w:type="dxa"/>
                    <w:right w:w="0" w:type="dxa"/>
                  </w:tcMar>
                  <w:vAlign w:val="center"/>
                </w:tcPr>
                <w:p w14:paraId="7A4F3599">
                  <w:pPr>
                    <w:pStyle w:val="76"/>
                    <w:jc w:val="center"/>
                    <w:rPr>
                      <w:rFonts w:hint="default" w:ascii="Times New Roman" w:hAnsi="Times New Roman" w:eastAsia="宋体" w:cs="Times New Roman"/>
                      <w:b/>
                      <w:color w:val="auto"/>
                    </w:rPr>
                  </w:pPr>
                  <w:r>
                    <w:rPr>
                      <w:rFonts w:hint="eastAsia" w:ascii="Times New Roman" w:hAnsi="Times New Roman" w:cs="Times New Roman"/>
                      <w:b/>
                      <w:color w:val="auto"/>
                      <w:lang w:val="en-US" w:eastAsia="zh-CN"/>
                    </w:rPr>
                    <w:t>搬迁</w:t>
                  </w:r>
                  <w:r>
                    <w:rPr>
                      <w:rFonts w:hint="default" w:ascii="Times New Roman" w:hAnsi="Times New Roman" w:eastAsia="宋体" w:cs="Times New Roman"/>
                      <w:b/>
                      <w:color w:val="auto"/>
                    </w:rPr>
                    <w:t>前</w:t>
                  </w:r>
                </w:p>
              </w:tc>
              <w:tc>
                <w:tcPr>
                  <w:tcW w:w="492" w:type="pct"/>
                  <w:noWrap w:val="0"/>
                  <w:tcMar>
                    <w:top w:w="0" w:type="dxa"/>
                    <w:left w:w="0" w:type="dxa"/>
                    <w:bottom w:w="0" w:type="dxa"/>
                    <w:right w:w="0" w:type="dxa"/>
                  </w:tcMar>
                  <w:vAlign w:val="center"/>
                </w:tcPr>
                <w:p w14:paraId="72F78BFE">
                  <w:pPr>
                    <w:pStyle w:val="76"/>
                    <w:jc w:val="center"/>
                    <w:rPr>
                      <w:rFonts w:hint="default" w:ascii="Times New Roman" w:hAnsi="Times New Roman" w:eastAsia="宋体" w:cs="Times New Roman"/>
                      <w:b/>
                      <w:color w:val="auto"/>
                    </w:rPr>
                  </w:pPr>
                  <w:r>
                    <w:rPr>
                      <w:rFonts w:hint="eastAsia" w:ascii="Times New Roman" w:hAnsi="Times New Roman" w:cs="Times New Roman"/>
                      <w:b/>
                      <w:color w:val="auto"/>
                      <w:lang w:val="en-US" w:eastAsia="zh-CN"/>
                    </w:rPr>
                    <w:t>搬迁</w:t>
                  </w:r>
                  <w:r>
                    <w:rPr>
                      <w:rFonts w:hint="default" w:ascii="Times New Roman" w:hAnsi="Times New Roman" w:eastAsia="宋体" w:cs="Times New Roman"/>
                      <w:b/>
                      <w:color w:val="auto"/>
                    </w:rPr>
                    <w:t>后</w:t>
                  </w:r>
                </w:p>
              </w:tc>
              <w:tc>
                <w:tcPr>
                  <w:tcW w:w="394" w:type="pct"/>
                  <w:noWrap w:val="0"/>
                  <w:tcMar>
                    <w:top w:w="0" w:type="dxa"/>
                    <w:left w:w="0" w:type="dxa"/>
                    <w:bottom w:w="0" w:type="dxa"/>
                    <w:right w:w="0" w:type="dxa"/>
                  </w:tcMar>
                  <w:vAlign w:val="center"/>
                </w:tcPr>
                <w:p w14:paraId="12C2E36D">
                  <w:pPr>
                    <w:pStyle w:val="76"/>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增量</w:t>
                  </w:r>
                </w:p>
              </w:tc>
              <w:tc>
                <w:tcPr>
                  <w:tcW w:w="407" w:type="pct"/>
                  <w:vMerge w:val="continue"/>
                  <w:noWrap w:val="0"/>
                  <w:tcMar>
                    <w:top w:w="0" w:type="dxa"/>
                    <w:left w:w="0" w:type="dxa"/>
                    <w:bottom w:w="0" w:type="dxa"/>
                    <w:right w:w="0" w:type="dxa"/>
                  </w:tcMar>
                  <w:vAlign w:val="center"/>
                </w:tcPr>
                <w:p w14:paraId="751BF6F2">
                  <w:pPr>
                    <w:pStyle w:val="76"/>
                    <w:jc w:val="center"/>
                    <w:rPr>
                      <w:rFonts w:hint="default" w:ascii="Times New Roman" w:hAnsi="Times New Roman" w:eastAsia="宋体" w:cs="Times New Roman"/>
                      <w:b/>
                      <w:color w:val="auto"/>
                    </w:rPr>
                  </w:pPr>
                </w:p>
              </w:tc>
              <w:tc>
                <w:tcPr>
                  <w:tcW w:w="582" w:type="pct"/>
                  <w:vMerge w:val="continue"/>
                  <w:noWrap w:val="0"/>
                  <w:tcMar>
                    <w:top w:w="0" w:type="dxa"/>
                    <w:left w:w="0" w:type="dxa"/>
                    <w:bottom w:w="0" w:type="dxa"/>
                    <w:right w:w="0" w:type="dxa"/>
                  </w:tcMar>
                  <w:vAlign w:val="center"/>
                </w:tcPr>
                <w:p w14:paraId="0F30390A">
                  <w:pPr>
                    <w:pStyle w:val="76"/>
                    <w:jc w:val="center"/>
                    <w:rPr>
                      <w:rFonts w:hint="default" w:ascii="Times New Roman" w:hAnsi="Times New Roman" w:eastAsia="宋体" w:cs="Times New Roman"/>
                      <w:b/>
                      <w:color w:val="auto"/>
                    </w:rPr>
                  </w:pPr>
                </w:p>
              </w:tc>
              <w:tc>
                <w:tcPr>
                  <w:tcW w:w="293" w:type="pct"/>
                  <w:vMerge w:val="continue"/>
                  <w:noWrap w:val="0"/>
                  <w:tcMar>
                    <w:top w:w="0" w:type="dxa"/>
                    <w:left w:w="0" w:type="dxa"/>
                    <w:bottom w:w="0" w:type="dxa"/>
                    <w:right w:w="0" w:type="dxa"/>
                  </w:tcMar>
                  <w:vAlign w:val="center"/>
                </w:tcPr>
                <w:p w14:paraId="3F486FBD">
                  <w:pPr>
                    <w:pStyle w:val="76"/>
                    <w:jc w:val="center"/>
                    <w:rPr>
                      <w:rFonts w:hint="default" w:ascii="Times New Roman" w:hAnsi="Times New Roman" w:eastAsia="宋体" w:cs="Times New Roman"/>
                      <w:b/>
                      <w:color w:val="auto"/>
                    </w:rPr>
                  </w:pPr>
                </w:p>
              </w:tc>
              <w:tc>
                <w:tcPr>
                  <w:tcW w:w="296" w:type="pct"/>
                  <w:vMerge w:val="continue"/>
                  <w:noWrap w:val="0"/>
                  <w:tcMar>
                    <w:top w:w="0" w:type="dxa"/>
                    <w:left w:w="0" w:type="dxa"/>
                    <w:bottom w:w="0" w:type="dxa"/>
                    <w:right w:w="0" w:type="dxa"/>
                  </w:tcMar>
                  <w:vAlign w:val="center"/>
                </w:tcPr>
                <w:p w14:paraId="2588C7C3">
                  <w:pPr>
                    <w:pStyle w:val="76"/>
                    <w:jc w:val="center"/>
                    <w:rPr>
                      <w:rFonts w:hint="default" w:ascii="Times New Roman" w:hAnsi="Times New Roman" w:eastAsia="宋体" w:cs="Times New Roman"/>
                      <w:b/>
                      <w:color w:val="auto"/>
                    </w:rPr>
                  </w:pPr>
                </w:p>
              </w:tc>
            </w:tr>
            <w:tr w14:paraId="7CC1B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67" w:type="pct"/>
                  <w:noWrap w:val="0"/>
                  <w:tcMar>
                    <w:top w:w="0" w:type="dxa"/>
                    <w:left w:w="0" w:type="dxa"/>
                    <w:bottom w:w="0" w:type="dxa"/>
                    <w:right w:w="0" w:type="dxa"/>
                  </w:tcMar>
                  <w:vAlign w:val="center"/>
                </w:tcPr>
                <w:p w14:paraId="0ADD7E2D">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聚丙烯</w:t>
                  </w:r>
                </w:p>
              </w:tc>
              <w:tc>
                <w:tcPr>
                  <w:tcW w:w="1386" w:type="pct"/>
                  <w:noWrap w:val="0"/>
                  <w:tcMar>
                    <w:top w:w="0" w:type="dxa"/>
                    <w:left w:w="0" w:type="dxa"/>
                    <w:bottom w:w="0" w:type="dxa"/>
                    <w:right w:w="0" w:type="dxa"/>
                  </w:tcMar>
                  <w:vAlign w:val="center"/>
                </w:tcPr>
                <w:p w14:paraId="0072410D">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olor w:val="auto"/>
                      <w:szCs w:val="21"/>
                    </w:rPr>
                    <w:t>PP，固态</w:t>
                  </w:r>
                  <w:r>
                    <w:rPr>
                      <w:rFonts w:hint="eastAsia" w:ascii="Times New Roman" w:hAnsi="Times New Roman"/>
                      <w:color w:val="auto"/>
                      <w:szCs w:val="21"/>
                      <w:lang w:val="en-US" w:eastAsia="zh-CN"/>
                    </w:rPr>
                    <w:t>颗粒</w:t>
                  </w:r>
                </w:p>
              </w:tc>
              <w:tc>
                <w:tcPr>
                  <w:tcW w:w="480" w:type="pct"/>
                  <w:noWrap w:val="0"/>
                  <w:tcMar>
                    <w:top w:w="0" w:type="dxa"/>
                    <w:left w:w="0" w:type="dxa"/>
                    <w:bottom w:w="0" w:type="dxa"/>
                    <w:right w:w="0" w:type="dxa"/>
                  </w:tcMar>
                  <w:vAlign w:val="center"/>
                </w:tcPr>
                <w:p w14:paraId="4AA36D07">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830t</w:t>
                  </w:r>
                </w:p>
              </w:tc>
              <w:tc>
                <w:tcPr>
                  <w:tcW w:w="492" w:type="pct"/>
                  <w:noWrap w:val="0"/>
                  <w:tcMar>
                    <w:top w:w="0" w:type="dxa"/>
                    <w:left w:w="0" w:type="dxa"/>
                    <w:bottom w:w="0" w:type="dxa"/>
                    <w:right w:w="0" w:type="dxa"/>
                  </w:tcMar>
                  <w:vAlign w:val="center"/>
                </w:tcPr>
                <w:p w14:paraId="2FF97CF7">
                  <w:pPr>
                    <w:jc w:val="center"/>
                    <w:rPr>
                      <w:rFonts w:hint="default" w:ascii="Times New Roman" w:hAnsi="Times New Roman"/>
                      <w:color w:val="0000FF"/>
                      <w:kern w:val="2"/>
                      <w:sz w:val="21"/>
                      <w:szCs w:val="21"/>
                      <w:lang w:val="en-US" w:eastAsia="zh-CN" w:bidi="ar-SA"/>
                    </w:rPr>
                  </w:pPr>
                  <w:r>
                    <w:rPr>
                      <w:rFonts w:hint="eastAsia"/>
                      <w:color w:val="0000FF"/>
                      <w:kern w:val="2"/>
                      <w:sz w:val="21"/>
                      <w:szCs w:val="21"/>
                      <w:lang w:val="en-US" w:eastAsia="zh-CN" w:bidi="ar-SA"/>
                    </w:rPr>
                    <w:t>820</w:t>
                  </w:r>
                  <w:r>
                    <w:rPr>
                      <w:rFonts w:ascii="Times New Roman" w:hAnsi="Times New Roman"/>
                      <w:color w:val="0000FF"/>
                      <w:szCs w:val="21"/>
                    </w:rPr>
                    <w:t>t</w:t>
                  </w:r>
                </w:p>
              </w:tc>
              <w:tc>
                <w:tcPr>
                  <w:tcW w:w="394" w:type="pct"/>
                  <w:noWrap w:val="0"/>
                  <w:tcMar>
                    <w:top w:w="0" w:type="dxa"/>
                    <w:left w:w="0" w:type="dxa"/>
                    <w:bottom w:w="0" w:type="dxa"/>
                    <w:right w:w="0" w:type="dxa"/>
                  </w:tcMar>
                  <w:vAlign w:val="center"/>
                </w:tcPr>
                <w:p w14:paraId="08832482">
                  <w:pPr>
                    <w:jc w:val="center"/>
                    <w:rPr>
                      <w:rFonts w:hint="default" w:ascii="Times New Roman" w:hAnsi="Times New Roman"/>
                      <w:color w:val="0000FF"/>
                      <w:kern w:val="2"/>
                      <w:sz w:val="21"/>
                      <w:szCs w:val="21"/>
                      <w:lang w:val="en-US" w:eastAsia="zh-CN" w:bidi="ar-SA"/>
                    </w:rPr>
                  </w:pPr>
                  <w:r>
                    <w:rPr>
                      <w:rFonts w:hint="eastAsia"/>
                      <w:color w:val="0000FF"/>
                      <w:kern w:val="2"/>
                      <w:sz w:val="21"/>
                      <w:szCs w:val="21"/>
                      <w:lang w:val="en-US" w:eastAsia="zh-CN" w:bidi="ar-SA"/>
                    </w:rPr>
                    <w:t>-10</w:t>
                  </w:r>
                  <w:r>
                    <w:rPr>
                      <w:rFonts w:hint="eastAsia" w:ascii="Times New Roman" w:hAnsi="Times New Roman"/>
                      <w:color w:val="0000FF"/>
                      <w:kern w:val="2"/>
                      <w:sz w:val="21"/>
                      <w:szCs w:val="21"/>
                      <w:lang w:val="en-US" w:eastAsia="zh-CN" w:bidi="ar-SA"/>
                    </w:rPr>
                    <w:t>t</w:t>
                  </w:r>
                </w:p>
              </w:tc>
              <w:tc>
                <w:tcPr>
                  <w:tcW w:w="407" w:type="pct"/>
                  <w:noWrap w:val="0"/>
                  <w:tcMar>
                    <w:top w:w="0" w:type="dxa"/>
                    <w:left w:w="0" w:type="dxa"/>
                    <w:bottom w:w="0" w:type="dxa"/>
                    <w:right w:w="0" w:type="dxa"/>
                  </w:tcMar>
                  <w:vAlign w:val="center"/>
                </w:tcPr>
                <w:p w14:paraId="6D96E25C">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33t</w:t>
                  </w:r>
                </w:p>
              </w:tc>
              <w:tc>
                <w:tcPr>
                  <w:tcW w:w="582" w:type="pct"/>
                  <w:noWrap w:val="0"/>
                  <w:tcMar>
                    <w:top w:w="0" w:type="dxa"/>
                    <w:left w:w="0" w:type="dxa"/>
                    <w:bottom w:w="0" w:type="dxa"/>
                    <w:right w:w="0" w:type="dxa"/>
                  </w:tcMar>
                  <w:vAlign w:val="center"/>
                </w:tcPr>
                <w:p w14:paraId="050F3C42">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25kg/袋</w:t>
                  </w:r>
                </w:p>
              </w:tc>
              <w:tc>
                <w:tcPr>
                  <w:tcW w:w="293" w:type="pct"/>
                  <w:vMerge w:val="restart"/>
                  <w:noWrap w:val="0"/>
                  <w:tcMar>
                    <w:top w:w="0" w:type="dxa"/>
                    <w:left w:w="0" w:type="dxa"/>
                    <w:bottom w:w="0" w:type="dxa"/>
                    <w:right w:w="0" w:type="dxa"/>
                  </w:tcMar>
                  <w:vAlign w:val="center"/>
                </w:tcPr>
                <w:p w14:paraId="5DB05402">
                  <w:pPr>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原料</w:t>
                  </w:r>
                  <w:r>
                    <w:rPr>
                      <w:rFonts w:hint="default" w:ascii="Times New Roman" w:hAnsi="Times New Roman" w:eastAsia="宋体" w:cs="Times New Roman"/>
                      <w:color w:val="auto"/>
                      <w:sz w:val="21"/>
                      <w:szCs w:val="21"/>
                    </w:rPr>
                    <w:t>仓库</w:t>
                  </w:r>
                </w:p>
              </w:tc>
              <w:tc>
                <w:tcPr>
                  <w:tcW w:w="296" w:type="pct"/>
                  <w:vMerge w:val="restart"/>
                  <w:noWrap w:val="0"/>
                  <w:tcMar>
                    <w:top w:w="0" w:type="dxa"/>
                    <w:left w:w="0" w:type="dxa"/>
                    <w:bottom w:w="0" w:type="dxa"/>
                    <w:right w:w="0" w:type="dxa"/>
                  </w:tcMar>
                  <w:vAlign w:val="center"/>
                </w:tcPr>
                <w:p w14:paraId="5B074A8A">
                  <w:pPr>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汽运</w:t>
                  </w:r>
                </w:p>
              </w:tc>
            </w:tr>
            <w:tr w14:paraId="22E5B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noWrap w:val="0"/>
                  <w:tcMar>
                    <w:top w:w="0" w:type="dxa"/>
                    <w:left w:w="0" w:type="dxa"/>
                    <w:bottom w:w="0" w:type="dxa"/>
                    <w:right w:w="0" w:type="dxa"/>
                  </w:tcMar>
                  <w:vAlign w:val="center"/>
                </w:tcPr>
                <w:p w14:paraId="689D0385">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三元乙丙橡胶</w:t>
                  </w:r>
                </w:p>
              </w:tc>
              <w:tc>
                <w:tcPr>
                  <w:tcW w:w="1386" w:type="pct"/>
                  <w:noWrap w:val="0"/>
                  <w:tcMar>
                    <w:top w:w="0" w:type="dxa"/>
                    <w:left w:w="0" w:type="dxa"/>
                    <w:bottom w:w="0" w:type="dxa"/>
                    <w:right w:w="0" w:type="dxa"/>
                  </w:tcMar>
                  <w:vAlign w:val="center"/>
                </w:tcPr>
                <w:p w14:paraId="16013693">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olor w:val="auto"/>
                      <w:szCs w:val="21"/>
                    </w:rPr>
                    <w:t>三元乙丙橡胶，固态</w:t>
                  </w:r>
                  <w:r>
                    <w:rPr>
                      <w:rFonts w:hint="eastAsia" w:ascii="Times New Roman" w:hAnsi="Times New Roman"/>
                      <w:color w:val="auto"/>
                      <w:szCs w:val="21"/>
                      <w:lang w:val="en-US" w:eastAsia="zh-CN"/>
                    </w:rPr>
                    <w:t>粉末</w:t>
                  </w:r>
                </w:p>
              </w:tc>
              <w:tc>
                <w:tcPr>
                  <w:tcW w:w="480" w:type="pct"/>
                  <w:noWrap w:val="0"/>
                  <w:tcMar>
                    <w:top w:w="0" w:type="dxa"/>
                    <w:left w:w="0" w:type="dxa"/>
                    <w:bottom w:w="0" w:type="dxa"/>
                    <w:right w:w="0" w:type="dxa"/>
                  </w:tcMar>
                  <w:vAlign w:val="center"/>
                </w:tcPr>
                <w:p w14:paraId="0ABA7A35">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780t</w:t>
                  </w:r>
                </w:p>
              </w:tc>
              <w:tc>
                <w:tcPr>
                  <w:tcW w:w="492" w:type="pct"/>
                  <w:noWrap w:val="0"/>
                  <w:tcMar>
                    <w:top w:w="0" w:type="dxa"/>
                    <w:left w:w="0" w:type="dxa"/>
                    <w:bottom w:w="0" w:type="dxa"/>
                    <w:right w:w="0" w:type="dxa"/>
                  </w:tcMar>
                  <w:vAlign w:val="center"/>
                </w:tcPr>
                <w:p w14:paraId="5F2E49FC">
                  <w:pPr>
                    <w:jc w:val="center"/>
                    <w:rPr>
                      <w:rFonts w:hint="default" w:ascii="Times New Roman" w:hAnsi="Times New Roman"/>
                      <w:color w:val="0000FF"/>
                      <w:kern w:val="2"/>
                      <w:sz w:val="21"/>
                      <w:szCs w:val="21"/>
                      <w:lang w:val="en-US" w:eastAsia="zh-CN" w:bidi="ar-SA"/>
                    </w:rPr>
                  </w:pPr>
                  <w:r>
                    <w:rPr>
                      <w:rFonts w:hint="eastAsia"/>
                      <w:color w:val="0000FF"/>
                      <w:kern w:val="2"/>
                      <w:sz w:val="21"/>
                      <w:szCs w:val="21"/>
                      <w:lang w:val="en-US" w:eastAsia="zh-CN" w:bidi="ar-SA"/>
                    </w:rPr>
                    <w:t>773</w:t>
                  </w:r>
                  <w:r>
                    <w:rPr>
                      <w:rFonts w:ascii="Times New Roman" w:hAnsi="Times New Roman"/>
                      <w:color w:val="0000FF"/>
                      <w:szCs w:val="21"/>
                    </w:rPr>
                    <w:t>t</w:t>
                  </w:r>
                </w:p>
              </w:tc>
              <w:tc>
                <w:tcPr>
                  <w:tcW w:w="394" w:type="pct"/>
                  <w:noWrap w:val="0"/>
                  <w:tcMar>
                    <w:top w:w="0" w:type="dxa"/>
                    <w:left w:w="0" w:type="dxa"/>
                    <w:bottom w:w="0" w:type="dxa"/>
                    <w:right w:w="0" w:type="dxa"/>
                  </w:tcMar>
                  <w:vAlign w:val="center"/>
                </w:tcPr>
                <w:p w14:paraId="70E952C2">
                  <w:pPr>
                    <w:jc w:val="center"/>
                    <w:rPr>
                      <w:rFonts w:hint="default" w:ascii="Times New Roman" w:hAnsi="Times New Roman"/>
                      <w:color w:val="0000FF"/>
                      <w:kern w:val="2"/>
                      <w:sz w:val="21"/>
                      <w:szCs w:val="21"/>
                      <w:lang w:val="en-US" w:eastAsia="zh-CN" w:bidi="ar-SA"/>
                    </w:rPr>
                  </w:pPr>
                  <w:r>
                    <w:rPr>
                      <w:rFonts w:hint="eastAsia"/>
                      <w:color w:val="0000FF"/>
                      <w:kern w:val="2"/>
                      <w:sz w:val="21"/>
                      <w:szCs w:val="21"/>
                      <w:lang w:val="en-US" w:eastAsia="zh-CN" w:bidi="ar-SA"/>
                    </w:rPr>
                    <w:t>-7</w:t>
                  </w:r>
                  <w:r>
                    <w:rPr>
                      <w:rFonts w:hint="eastAsia" w:ascii="Times New Roman" w:hAnsi="Times New Roman"/>
                      <w:color w:val="0000FF"/>
                      <w:kern w:val="2"/>
                      <w:sz w:val="21"/>
                      <w:szCs w:val="21"/>
                      <w:lang w:val="en-US" w:eastAsia="zh-CN" w:bidi="ar-SA"/>
                    </w:rPr>
                    <w:t>t</w:t>
                  </w:r>
                </w:p>
              </w:tc>
              <w:tc>
                <w:tcPr>
                  <w:tcW w:w="407" w:type="pct"/>
                  <w:noWrap w:val="0"/>
                  <w:tcMar>
                    <w:top w:w="0" w:type="dxa"/>
                    <w:left w:w="0" w:type="dxa"/>
                    <w:bottom w:w="0" w:type="dxa"/>
                    <w:right w:w="0" w:type="dxa"/>
                  </w:tcMar>
                  <w:vAlign w:val="center"/>
                </w:tcPr>
                <w:p w14:paraId="00B4EEB8">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75t</w:t>
                  </w:r>
                </w:p>
              </w:tc>
              <w:tc>
                <w:tcPr>
                  <w:tcW w:w="582" w:type="pct"/>
                  <w:noWrap w:val="0"/>
                  <w:tcMar>
                    <w:top w:w="0" w:type="dxa"/>
                    <w:left w:w="0" w:type="dxa"/>
                    <w:bottom w:w="0" w:type="dxa"/>
                    <w:right w:w="0" w:type="dxa"/>
                  </w:tcMar>
                  <w:vAlign w:val="center"/>
                </w:tcPr>
                <w:p w14:paraId="147E3603">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25kg/袋</w:t>
                  </w:r>
                </w:p>
              </w:tc>
              <w:tc>
                <w:tcPr>
                  <w:tcW w:w="293" w:type="pct"/>
                  <w:vMerge w:val="continue"/>
                  <w:noWrap w:val="0"/>
                  <w:tcMar>
                    <w:top w:w="0" w:type="dxa"/>
                    <w:left w:w="0" w:type="dxa"/>
                    <w:bottom w:w="0" w:type="dxa"/>
                    <w:right w:w="0" w:type="dxa"/>
                  </w:tcMar>
                  <w:vAlign w:val="center"/>
                </w:tcPr>
                <w:p w14:paraId="2BB7A907">
                  <w:pPr>
                    <w:jc w:val="center"/>
                    <w:rPr>
                      <w:rFonts w:hint="default" w:ascii="Times New Roman" w:hAnsi="Times New Roman" w:eastAsia="宋体" w:cs="Times New Roman"/>
                      <w:color w:val="auto"/>
                      <w:kern w:val="2"/>
                      <w:sz w:val="21"/>
                      <w:szCs w:val="21"/>
                      <w:lang w:val="en-US" w:eastAsia="zh-CN" w:bidi="ar-SA"/>
                    </w:rPr>
                  </w:pPr>
                </w:p>
              </w:tc>
              <w:tc>
                <w:tcPr>
                  <w:tcW w:w="296" w:type="pct"/>
                  <w:vMerge w:val="continue"/>
                  <w:noWrap w:val="0"/>
                  <w:tcMar>
                    <w:top w:w="0" w:type="dxa"/>
                    <w:left w:w="0" w:type="dxa"/>
                    <w:bottom w:w="0" w:type="dxa"/>
                    <w:right w:w="0" w:type="dxa"/>
                  </w:tcMar>
                  <w:vAlign w:val="center"/>
                </w:tcPr>
                <w:p w14:paraId="19EA81E9">
                  <w:pPr>
                    <w:jc w:val="center"/>
                    <w:rPr>
                      <w:rFonts w:hint="default" w:ascii="Times New Roman" w:hAnsi="Times New Roman" w:eastAsia="宋体" w:cs="Times New Roman"/>
                      <w:color w:val="auto"/>
                      <w:kern w:val="2"/>
                      <w:sz w:val="21"/>
                      <w:szCs w:val="21"/>
                      <w:lang w:val="en-US" w:eastAsia="zh-CN" w:bidi="ar-SA"/>
                    </w:rPr>
                  </w:pPr>
                </w:p>
              </w:tc>
            </w:tr>
            <w:tr w14:paraId="76CBE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pct"/>
                  <w:noWrap w:val="0"/>
                  <w:tcMar>
                    <w:top w:w="0" w:type="dxa"/>
                    <w:left w:w="0" w:type="dxa"/>
                    <w:bottom w:w="0" w:type="dxa"/>
                    <w:right w:w="0" w:type="dxa"/>
                  </w:tcMar>
                  <w:vAlign w:val="center"/>
                </w:tcPr>
                <w:p w14:paraId="0C55E6E7">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滑石粉</w:t>
                  </w:r>
                </w:p>
              </w:tc>
              <w:tc>
                <w:tcPr>
                  <w:tcW w:w="1386" w:type="pct"/>
                  <w:noWrap w:val="0"/>
                  <w:tcMar>
                    <w:top w:w="0" w:type="dxa"/>
                    <w:left w:w="0" w:type="dxa"/>
                    <w:bottom w:w="0" w:type="dxa"/>
                    <w:right w:w="0" w:type="dxa"/>
                  </w:tcMar>
                  <w:vAlign w:val="center"/>
                </w:tcPr>
                <w:p w14:paraId="61C3C50F">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硅酸镁盐类矿物滑石族滑石，主要成分为含水硅酸镁，固态粉末</w:t>
                  </w:r>
                </w:p>
              </w:tc>
              <w:tc>
                <w:tcPr>
                  <w:tcW w:w="480" w:type="pct"/>
                  <w:noWrap w:val="0"/>
                  <w:tcMar>
                    <w:top w:w="0" w:type="dxa"/>
                    <w:left w:w="0" w:type="dxa"/>
                    <w:bottom w:w="0" w:type="dxa"/>
                    <w:right w:w="0" w:type="dxa"/>
                  </w:tcMar>
                  <w:vAlign w:val="center"/>
                </w:tcPr>
                <w:p w14:paraId="6A4CDA89">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200t</w:t>
                  </w:r>
                </w:p>
              </w:tc>
              <w:tc>
                <w:tcPr>
                  <w:tcW w:w="492" w:type="pct"/>
                  <w:noWrap w:val="0"/>
                  <w:tcMar>
                    <w:top w:w="0" w:type="dxa"/>
                    <w:left w:w="0" w:type="dxa"/>
                    <w:bottom w:w="0" w:type="dxa"/>
                    <w:right w:w="0" w:type="dxa"/>
                  </w:tcMar>
                  <w:vAlign w:val="center"/>
                </w:tcPr>
                <w:p w14:paraId="7548492A">
                  <w:pPr>
                    <w:jc w:val="center"/>
                    <w:rPr>
                      <w:rFonts w:hint="default" w:ascii="Times New Roman" w:hAnsi="Times New Roman"/>
                      <w:color w:val="0000FF"/>
                      <w:kern w:val="2"/>
                      <w:sz w:val="21"/>
                      <w:szCs w:val="21"/>
                      <w:lang w:val="en-US" w:eastAsia="zh-CN" w:bidi="ar-SA"/>
                    </w:rPr>
                  </w:pPr>
                  <w:r>
                    <w:rPr>
                      <w:rFonts w:hint="eastAsia"/>
                      <w:color w:val="0000FF"/>
                      <w:kern w:val="2"/>
                      <w:sz w:val="21"/>
                      <w:szCs w:val="21"/>
                      <w:lang w:val="en-US" w:eastAsia="zh-CN" w:bidi="ar-SA"/>
                    </w:rPr>
                    <w:t>198</w:t>
                  </w:r>
                  <w:r>
                    <w:rPr>
                      <w:rFonts w:ascii="Times New Roman" w:hAnsi="Times New Roman"/>
                      <w:color w:val="0000FF"/>
                      <w:szCs w:val="21"/>
                    </w:rPr>
                    <w:t>t</w:t>
                  </w:r>
                </w:p>
              </w:tc>
              <w:tc>
                <w:tcPr>
                  <w:tcW w:w="394" w:type="pct"/>
                  <w:noWrap w:val="0"/>
                  <w:tcMar>
                    <w:top w:w="0" w:type="dxa"/>
                    <w:left w:w="0" w:type="dxa"/>
                    <w:bottom w:w="0" w:type="dxa"/>
                    <w:right w:w="0" w:type="dxa"/>
                  </w:tcMar>
                  <w:vAlign w:val="center"/>
                </w:tcPr>
                <w:p w14:paraId="5593ACBF">
                  <w:pPr>
                    <w:jc w:val="center"/>
                    <w:rPr>
                      <w:rFonts w:hint="default" w:ascii="Times New Roman" w:hAnsi="Times New Roman"/>
                      <w:color w:val="0000FF"/>
                      <w:kern w:val="2"/>
                      <w:sz w:val="21"/>
                      <w:szCs w:val="21"/>
                      <w:lang w:val="en-US" w:eastAsia="zh-CN" w:bidi="ar-SA"/>
                    </w:rPr>
                  </w:pPr>
                  <w:r>
                    <w:rPr>
                      <w:rFonts w:hint="eastAsia"/>
                      <w:color w:val="0000FF"/>
                      <w:kern w:val="2"/>
                      <w:sz w:val="21"/>
                      <w:szCs w:val="21"/>
                      <w:lang w:val="en-US" w:eastAsia="zh-CN" w:bidi="ar-SA"/>
                    </w:rPr>
                    <w:t>-2</w:t>
                  </w:r>
                  <w:r>
                    <w:rPr>
                      <w:rFonts w:hint="eastAsia" w:ascii="Times New Roman" w:hAnsi="Times New Roman"/>
                      <w:color w:val="0000FF"/>
                      <w:kern w:val="2"/>
                      <w:sz w:val="21"/>
                      <w:szCs w:val="21"/>
                      <w:lang w:val="en-US" w:eastAsia="zh-CN" w:bidi="ar-SA"/>
                    </w:rPr>
                    <w:t>t</w:t>
                  </w:r>
                </w:p>
              </w:tc>
              <w:tc>
                <w:tcPr>
                  <w:tcW w:w="407" w:type="pct"/>
                  <w:noWrap w:val="0"/>
                  <w:tcMar>
                    <w:top w:w="0" w:type="dxa"/>
                    <w:left w:w="0" w:type="dxa"/>
                    <w:bottom w:w="0" w:type="dxa"/>
                    <w:right w:w="0" w:type="dxa"/>
                  </w:tcMar>
                  <w:vAlign w:val="center"/>
                </w:tcPr>
                <w:p w14:paraId="0535A4D7">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10t</w:t>
                  </w:r>
                </w:p>
              </w:tc>
              <w:tc>
                <w:tcPr>
                  <w:tcW w:w="582" w:type="pct"/>
                  <w:noWrap w:val="0"/>
                  <w:tcMar>
                    <w:top w:w="0" w:type="dxa"/>
                    <w:left w:w="0" w:type="dxa"/>
                    <w:bottom w:w="0" w:type="dxa"/>
                    <w:right w:w="0" w:type="dxa"/>
                  </w:tcMar>
                  <w:vAlign w:val="center"/>
                </w:tcPr>
                <w:p w14:paraId="15B7BB92">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25kg/袋</w:t>
                  </w:r>
                </w:p>
              </w:tc>
              <w:tc>
                <w:tcPr>
                  <w:tcW w:w="293" w:type="pct"/>
                  <w:vMerge w:val="continue"/>
                  <w:noWrap w:val="0"/>
                  <w:tcMar>
                    <w:top w:w="0" w:type="dxa"/>
                    <w:left w:w="0" w:type="dxa"/>
                    <w:bottom w:w="0" w:type="dxa"/>
                    <w:right w:w="0" w:type="dxa"/>
                  </w:tcMar>
                  <w:vAlign w:val="center"/>
                </w:tcPr>
                <w:p w14:paraId="4551E058">
                  <w:pPr>
                    <w:jc w:val="center"/>
                    <w:rPr>
                      <w:rFonts w:hint="default" w:ascii="Times New Roman" w:hAnsi="Times New Roman" w:eastAsia="宋体" w:cs="Times New Roman"/>
                      <w:color w:val="auto"/>
                      <w:kern w:val="2"/>
                      <w:sz w:val="21"/>
                      <w:szCs w:val="21"/>
                      <w:lang w:val="en-US" w:eastAsia="zh-CN" w:bidi="ar-SA"/>
                    </w:rPr>
                  </w:pPr>
                </w:p>
              </w:tc>
              <w:tc>
                <w:tcPr>
                  <w:tcW w:w="296" w:type="pct"/>
                  <w:vMerge w:val="continue"/>
                  <w:noWrap w:val="0"/>
                  <w:tcMar>
                    <w:top w:w="0" w:type="dxa"/>
                    <w:left w:w="0" w:type="dxa"/>
                    <w:bottom w:w="0" w:type="dxa"/>
                    <w:right w:w="0" w:type="dxa"/>
                  </w:tcMar>
                  <w:vAlign w:val="center"/>
                </w:tcPr>
                <w:p w14:paraId="547F46E0">
                  <w:pPr>
                    <w:jc w:val="center"/>
                    <w:rPr>
                      <w:rFonts w:hint="default" w:ascii="Times New Roman" w:hAnsi="Times New Roman" w:eastAsia="宋体" w:cs="Times New Roman"/>
                      <w:color w:val="auto"/>
                      <w:kern w:val="2"/>
                      <w:sz w:val="21"/>
                      <w:szCs w:val="21"/>
                      <w:lang w:val="en-US" w:eastAsia="zh-CN" w:bidi="ar-SA"/>
                    </w:rPr>
                  </w:pPr>
                </w:p>
              </w:tc>
            </w:tr>
            <w:tr w14:paraId="40950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noWrap w:val="0"/>
                  <w:tcMar>
                    <w:top w:w="0" w:type="dxa"/>
                    <w:left w:w="0" w:type="dxa"/>
                    <w:bottom w:w="0" w:type="dxa"/>
                    <w:right w:w="0" w:type="dxa"/>
                  </w:tcMar>
                  <w:vAlign w:val="center"/>
                </w:tcPr>
                <w:p w14:paraId="2D56016C">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环保增塑剂</w:t>
                  </w:r>
                </w:p>
              </w:tc>
              <w:tc>
                <w:tcPr>
                  <w:tcW w:w="1386" w:type="pct"/>
                  <w:noWrap w:val="0"/>
                  <w:tcMar>
                    <w:top w:w="0" w:type="dxa"/>
                    <w:left w:w="0" w:type="dxa"/>
                    <w:bottom w:w="0" w:type="dxa"/>
                    <w:right w:w="0" w:type="dxa"/>
                  </w:tcMar>
                  <w:vAlign w:val="center"/>
                </w:tcPr>
                <w:p w14:paraId="7C1956DA">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石蜡油，液态</w:t>
                  </w:r>
                </w:p>
              </w:tc>
              <w:tc>
                <w:tcPr>
                  <w:tcW w:w="480" w:type="pct"/>
                  <w:noWrap w:val="0"/>
                  <w:tcMar>
                    <w:top w:w="0" w:type="dxa"/>
                    <w:left w:w="0" w:type="dxa"/>
                    <w:bottom w:w="0" w:type="dxa"/>
                    <w:right w:w="0" w:type="dxa"/>
                  </w:tcMar>
                  <w:vAlign w:val="center"/>
                </w:tcPr>
                <w:p w14:paraId="076B3892">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200t</w:t>
                  </w:r>
                </w:p>
              </w:tc>
              <w:tc>
                <w:tcPr>
                  <w:tcW w:w="492" w:type="pct"/>
                  <w:noWrap w:val="0"/>
                  <w:tcMar>
                    <w:top w:w="0" w:type="dxa"/>
                    <w:left w:w="0" w:type="dxa"/>
                    <w:bottom w:w="0" w:type="dxa"/>
                    <w:right w:w="0" w:type="dxa"/>
                  </w:tcMar>
                  <w:vAlign w:val="center"/>
                </w:tcPr>
                <w:p w14:paraId="26A0151D">
                  <w:pPr>
                    <w:jc w:val="center"/>
                    <w:rPr>
                      <w:rFonts w:hint="default" w:ascii="Times New Roman" w:hAnsi="Times New Roman"/>
                      <w:color w:val="0000FF"/>
                      <w:kern w:val="2"/>
                      <w:sz w:val="21"/>
                      <w:szCs w:val="21"/>
                      <w:lang w:val="en-US" w:eastAsia="zh-CN" w:bidi="ar-SA"/>
                    </w:rPr>
                  </w:pPr>
                  <w:r>
                    <w:rPr>
                      <w:rFonts w:hint="eastAsia"/>
                      <w:color w:val="0000FF"/>
                      <w:kern w:val="2"/>
                      <w:sz w:val="21"/>
                      <w:szCs w:val="21"/>
                      <w:lang w:val="en-US" w:eastAsia="zh-CN" w:bidi="ar-SA"/>
                    </w:rPr>
                    <w:t>198</w:t>
                  </w:r>
                  <w:r>
                    <w:rPr>
                      <w:rFonts w:ascii="Times New Roman" w:hAnsi="Times New Roman"/>
                      <w:color w:val="0000FF"/>
                      <w:szCs w:val="21"/>
                    </w:rPr>
                    <w:t>t</w:t>
                  </w:r>
                </w:p>
              </w:tc>
              <w:tc>
                <w:tcPr>
                  <w:tcW w:w="394" w:type="pct"/>
                  <w:noWrap w:val="0"/>
                  <w:tcMar>
                    <w:top w:w="0" w:type="dxa"/>
                    <w:left w:w="0" w:type="dxa"/>
                    <w:bottom w:w="0" w:type="dxa"/>
                    <w:right w:w="0" w:type="dxa"/>
                  </w:tcMar>
                  <w:vAlign w:val="center"/>
                </w:tcPr>
                <w:p w14:paraId="122C6B01">
                  <w:pPr>
                    <w:jc w:val="center"/>
                    <w:rPr>
                      <w:rFonts w:hint="default" w:ascii="Times New Roman" w:hAnsi="Times New Roman"/>
                      <w:color w:val="0000FF"/>
                      <w:kern w:val="2"/>
                      <w:sz w:val="21"/>
                      <w:szCs w:val="21"/>
                      <w:lang w:val="en-US" w:eastAsia="zh-CN" w:bidi="ar-SA"/>
                    </w:rPr>
                  </w:pPr>
                  <w:r>
                    <w:rPr>
                      <w:rFonts w:hint="eastAsia"/>
                      <w:color w:val="0000FF"/>
                      <w:kern w:val="2"/>
                      <w:sz w:val="21"/>
                      <w:szCs w:val="21"/>
                      <w:lang w:val="en-US" w:eastAsia="zh-CN" w:bidi="ar-SA"/>
                    </w:rPr>
                    <w:t>-2</w:t>
                  </w:r>
                  <w:r>
                    <w:rPr>
                      <w:rFonts w:hint="eastAsia" w:ascii="Times New Roman" w:hAnsi="Times New Roman"/>
                      <w:color w:val="0000FF"/>
                      <w:kern w:val="2"/>
                      <w:sz w:val="21"/>
                      <w:szCs w:val="21"/>
                      <w:lang w:val="en-US" w:eastAsia="zh-CN" w:bidi="ar-SA"/>
                    </w:rPr>
                    <w:t>t</w:t>
                  </w:r>
                </w:p>
              </w:tc>
              <w:tc>
                <w:tcPr>
                  <w:tcW w:w="407" w:type="pct"/>
                  <w:noWrap w:val="0"/>
                  <w:tcMar>
                    <w:top w:w="0" w:type="dxa"/>
                    <w:left w:w="0" w:type="dxa"/>
                    <w:bottom w:w="0" w:type="dxa"/>
                    <w:right w:w="0" w:type="dxa"/>
                  </w:tcMar>
                  <w:vAlign w:val="center"/>
                </w:tcPr>
                <w:p w14:paraId="2BE23E18">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10t</w:t>
                  </w:r>
                </w:p>
              </w:tc>
              <w:tc>
                <w:tcPr>
                  <w:tcW w:w="582" w:type="pct"/>
                  <w:noWrap w:val="0"/>
                  <w:tcMar>
                    <w:top w:w="0" w:type="dxa"/>
                    <w:left w:w="0" w:type="dxa"/>
                    <w:bottom w:w="0" w:type="dxa"/>
                    <w:right w:w="0" w:type="dxa"/>
                  </w:tcMar>
                  <w:vAlign w:val="center"/>
                </w:tcPr>
                <w:p w14:paraId="3A15F45F">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175kg/桶</w:t>
                  </w:r>
                </w:p>
              </w:tc>
              <w:tc>
                <w:tcPr>
                  <w:tcW w:w="293" w:type="pct"/>
                  <w:vMerge w:val="continue"/>
                  <w:noWrap w:val="0"/>
                  <w:tcMar>
                    <w:top w:w="0" w:type="dxa"/>
                    <w:left w:w="0" w:type="dxa"/>
                    <w:bottom w:w="0" w:type="dxa"/>
                    <w:right w:w="0" w:type="dxa"/>
                  </w:tcMar>
                  <w:vAlign w:val="center"/>
                </w:tcPr>
                <w:p w14:paraId="3799B5A1">
                  <w:pPr>
                    <w:jc w:val="center"/>
                    <w:rPr>
                      <w:rFonts w:hint="default" w:ascii="Times New Roman" w:hAnsi="Times New Roman" w:eastAsia="宋体" w:cs="Times New Roman"/>
                      <w:color w:val="auto"/>
                      <w:kern w:val="2"/>
                      <w:sz w:val="21"/>
                      <w:szCs w:val="21"/>
                      <w:lang w:val="en-US" w:eastAsia="zh-CN" w:bidi="ar-SA"/>
                    </w:rPr>
                  </w:pPr>
                </w:p>
              </w:tc>
              <w:tc>
                <w:tcPr>
                  <w:tcW w:w="296" w:type="pct"/>
                  <w:vMerge w:val="continue"/>
                  <w:noWrap w:val="0"/>
                  <w:tcMar>
                    <w:top w:w="0" w:type="dxa"/>
                    <w:left w:w="0" w:type="dxa"/>
                    <w:bottom w:w="0" w:type="dxa"/>
                    <w:right w:w="0" w:type="dxa"/>
                  </w:tcMar>
                  <w:vAlign w:val="center"/>
                </w:tcPr>
                <w:p w14:paraId="54E04562">
                  <w:pPr>
                    <w:jc w:val="center"/>
                    <w:rPr>
                      <w:rFonts w:hint="default" w:ascii="Times New Roman" w:hAnsi="Times New Roman" w:eastAsia="宋体" w:cs="Times New Roman"/>
                      <w:color w:val="auto"/>
                      <w:kern w:val="2"/>
                      <w:sz w:val="21"/>
                      <w:szCs w:val="21"/>
                      <w:lang w:val="en-US" w:eastAsia="zh-CN" w:bidi="ar-SA"/>
                    </w:rPr>
                  </w:pPr>
                </w:p>
              </w:tc>
            </w:tr>
            <w:tr w14:paraId="7180A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noWrap w:val="0"/>
                  <w:tcMar>
                    <w:top w:w="0" w:type="dxa"/>
                    <w:left w:w="0" w:type="dxa"/>
                    <w:bottom w:w="0" w:type="dxa"/>
                    <w:right w:w="0" w:type="dxa"/>
                  </w:tcMar>
                  <w:vAlign w:val="center"/>
                </w:tcPr>
                <w:p w14:paraId="14CE3642">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抗氧剂</w:t>
                  </w:r>
                </w:p>
              </w:tc>
              <w:tc>
                <w:tcPr>
                  <w:tcW w:w="1386" w:type="pct"/>
                  <w:noWrap w:val="0"/>
                  <w:tcMar>
                    <w:top w:w="0" w:type="dxa"/>
                    <w:left w:w="0" w:type="dxa"/>
                    <w:bottom w:w="0" w:type="dxa"/>
                    <w:right w:w="0" w:type="dxa"/>
                  </w:tcMar>
                  <w:vAlign w:val="center"/>
                </w:tcPr>
                <w:p w14:paraId="2DDE8DA9">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季戊四醇酯，液态</w:t>
                  </w:r>
                </w:p>
              </w:tc>
              <w:tc>
                <w:tcPr>
                  <w:tcW w:w="480" w:type="pct"/>
                  <w:noWrap w:val="0"/>
                  <w:tcMar>
                    <w:top w:w="0" w:type="dxa"/>
                    <w:left w:w="0" w:type="dxa"/>
                    <w:bottom w:w="0" w:type="dxa"/>
                    <w:right w:w="0" w:type="dxa"/>
                  </w:tcMar>
                  <w:vAlign w:val="center"/>
                </w:tcPr>
                <w:p w14:paraId="3370BE09">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2t</w:t>
                  </w:r>
                </w:p>
              </w:tc>
              <w:tc>
                <w:tcPr>
                  <w:tcW w:w="492" w:type="pct"/>
                  <w:noWrap w:val="0"/>
                  <w:tcMar>
                    <w:top w:w="0" w:type="dxa"/>
                    <w:left w:w="0" w:type="dxa"/>
                    <w:bottom w:w="0" w:type="dxa"/>
                    <w:right w:w="0" w:type="dxa"/>
                  </w:tcMar>
                  <w:vAlign w:val="center"/>
                </w:tcPr>
                <w:p w14:paraId="05A7FCE2">
                  <w:pPr>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2</w:t>
                  </w:r>
                  <w:r>
                    <w:rPr>
                      <w:rFonts w:ascii="Times New Roman" w:hAnsi="Times New Roman"/>
                      <w:color w:val="auto"/>
                      <w:szCs w:val="21"/>
                    </w:rPr>
                    <w:t>t</w:t>
                  </w:r>
                </w:p>
              </w:tc>
              <w:tc>
                <w:tcPr>
                  <w:tcW w:w="394" w:type="pct"/>
                  <w:noWrap w:val="0"/>
                  <w:tcMar>
                    <w:top w:w="0" w:type="dxa"/>
                    <w:left w:w="0" w:type="dxa"/>
                    <w:bottom w:w="0" w:type="dxa"/>
                    <w:right w:w="0" w:type="dxa"/>
                  </w:tcMar>
                  <w:vAlign w:val="center"/>
                </w:tcPr>
                <w:p w14:paraId="3D34B5AF">
                  <w:pPr>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+0t</w:t>
                  </w:r>
                </w:p>
              </w:tc>
              <w:tc>
                <w:tcPr>
                  <w:tcW w:w="407" w:type="pct"/>
                  <w:noWrap w:val="0"/>
                  <w:tcMar>
                    <w:top w:w="0" w:type="dxa"/>
                    <w:left w:w="0" w:type="dxa"/>
                    <w:bottom w:w="0" w:type="dxa"/>
                    <w:right w:w="0" w:type="dxa"/>
                  </w:tcMar>
                  <w:vAlign w:val="center"/>
                </w:tcPr>
                <w:p w14:paraId="483EE9C4">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0.1t</w:t>
                  </w:r>
                </w:p>
              </w:tc>
              <w:tc>
                <w:tcPr>
                  <w:tcW w:w="582" w:type="pct"/>
                  <w:noWrap w:val="0"/>
                  <w:tcMar>
                    <w:top w:w="0" w:type="dxa"/>
                    <w:left w:w="0" w:type="dxa"/>
                    <w:bottom w:w="0" w:type="dxa"/>
                    <w:right w:w="0" w:type="dxa"/>
                  </w:tcMar>
                  <w:vAlign w:val="center"/>
                </w:tcPr>
                <w:p w14:paraId="6708A927">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25kg/袋</w:t>
                  </w:r>
                </w:p>
              </w:tc>
              <w:tc>
                <w:tcPr>
                  <w:tcW w:w="293" w:type="pct"/>
                  <w:vMerge w:val="continue"/>
                  <w:noWrap w:val="0"/>
                  <w:tcMar>
                    <w:top w:w="0" w:type="dxa"/>
                    <w:left w:w="0" w:type="dxa"/>
                    <w:bottom w:w="0" w:type="dxa"/>
                    <w:right w:w="0" w:type="dxa"/>
                  </w:tcMar>
                  <w:vAlign w:val="center"/>
                </w:tcPr>
                <w:p w14:paraId="004D2F38">
                  <w:pPr>
                    <w:jc w:val="center"/>
                    <w:rPr>
                      <w:rFonts w:hint="default" w:ascii="Times New Roman" w:hAnsi="Times New Roman" w:eastAsia="宋体" w:cs="Times New Roman"/>
                      <w:color w:val="auto"/>
                      <w:kern w:val="2"/>
                      <w:sz w:val="21"/>
                      <w:szCs w:val="21"/>
                      <w:lang w:val="en-US" w:eastAsia="zh-CN" w:bidi="ar-SA"/>
                    </w:rPr>
                  </w:pPr>
                </w:p>
              </w:tc>
              <w:tc>
                <w:tcPr>
                  <w:tcW w:w="296" w:type="pct"/>
                  <w:vMerge w:val="continue"/>
                  <w:noWrap w:val="0"/>
                  <w:tcMar>
                    <w:top w:w="0" w:type="dxa"/>
                    <w:left w:w="0" w:type="dxa"/>
                    <w:bottom w:w="0" w:type="dxa"/>
                    <w:right w:w="0" w:type="dxa"/>
                  </w:tcMar>
                  <w:vAlign w:val="center"/>
                </w:tcPr>
                <w:p w14:paraId="03FA027A">
                  <w:pPr>
                    <w:jc w:val="center"/>
                    <w:rPr>
                      <w:rFonts w:hint="default" w:ascii="Times New Roman" w:hAnsi="Times New Roman" w:eastAsia="宋体" w:cs="Times New Roman"/>
                      <w:color w:val="auto"/>
                      <w:kern w:val="2"/>
                      <w:sz w:val="21"/>
                      <w:szCs w:val="21"/>
                      <w:lang w:val="en-US" w:eastAsia="zh-CN" w:bidi="ar-SA"/>
                    </w:rPr>
                  </w:pPr>
                </w:p>
              </w:tc>
            </w:tr>
            <w:tr w14:paraId="0224D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noWrap w:val="0"/>
                  <w:tcMar>
                    <w:top w:w="0" w:type="dxa"/>
                    <w:left w:w="0" w:type="dxa"/>
                    <w:bottom w:w="0" w:type="dxa"/>
                    <w:right w:w="0" w:type="dxa"/>
                  </w:tcMar>
                  <w:vAlign w:val="center"/>
                </w:tcPr>
                <w:p w14:paraId="515E1E3F">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色母粒</w:t>
                  </w:r>
                </w:p>
              </w:tc>
              <w:tc>
                <w:tcPr>
                  <w:tcW w:w="1386" w:type="pct"/>
                  <w:noWrap w:val="0"/>
                  <w:tcMar>
                    <w:top w:w="0" w:type="dxa"/>
                    <w:left w:w="0" w:type="dxa"/>
                    <w:bottom w:w="0" w:type="dxa"/>
                    <w:right w:w="0" w:type="dxa"/>
                  </w:tcMar>
                  <w:vAlign w:val="center"/>
                </w:tcPr>
                <w:p w14:paraId="544C2B89">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PP，固态</w:t>
                  </w:r>
                  <w:r>
                    <w:rPr>
                      <w:rFonts w:hint="eastAsia" w:ascii="Times New Roman" w:hAnsi="Times New Roman"/>
                      <w:color w:val="auto"/>
                      <w:szCs w:val="21"/>
                      <w:lang w:val="en-US" w:eastAsia="zh-CN"/>
                    </w:rPr>
                    <w:t>颗粒</w:t>
                  </w:r>
                </w:p>
              </w:tc>
              <w:tc>
                <w:tcPr>
                  <w:tcW w:w="480" w:type="pct"/>
                  <w:noWrap w:val="0"/>
                  <w:tcMar>
                    <w:top w:w="0" w:type="dxa"/>
                    <w:left w:w="0" w:type="dxa"/>
                    <w:bottom w:w="0" w:type="dxa"/>
                    <w:right w:w="0" w:type="dxa"/>
                  </w:tcMar>
                  <w:vAlign w:val="center"/>
                </w:tcPr>
                <w:p w14:paraId="6214E5C5">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9t</w:t>
                  </w:r>
                </w:p>
              </w:tc>
              <w:tc>
                <w:tcPr>
                  <w:tcW w:w="492" w:type="pct"/>
                  <w:noWrap w:val="0"/>
                  <w:tcMar>
                    <w:top w:w="0" w:type="dxa"/>
                    <w:left w:w="0" w:type="dxa"/>
                    <w:bottom w:w="0" w:type="dxa"/>
                    <w:right w:w="0" w:type="dxa"/>
                  </w:tcMar>
                  <w:vAlign w:val="center"/>
                </w:tcPr>
                <w:p w14:paraId="542CF1D4">
                  <w:pPr>
                    <w:jc w:val="center"/>
                    <w:rPr>
                      <w:rFonts w:hint="default" w:ascii="Times New Roman" w:hAnsi="Times New Roman"/>
                      <w:color w:val="auto"/>
                      <w:kern w:val="2"/>
                      <w:sz w:val="21"/>
                      <w:szCs w:val="21"/>
                      <w:lang w:val="en-US" w:eastAsia="zh-CN" w:bidi="ar-SA"/>
                    </w:rPr>
                  </w:pPr>
                  <w:r>
                    <w:rPr>
                      <w:rFonts w:hint="eastAsia"/>
                      <w:color w:val="auto"/>
                      <w:kern w:val="2"/>
                      <w:sz w:val="21"/>
                      <w:szCs w:val="21"/>
                      <w:lang w:val="en-US" w:eastAsia="zh-CN" w:bidi="ar-SA"/>
                    </w:rPr>
                    <w:t>9</w:t>
                  </w:r>
                  <w:r>
                    <w:rPr>
                      <w:rFonts w:ascii="Times New Roman" w:hAnsi="Times New Roman"/>
                      <w:color w:val="auto"/>
                      <w:szCs w:val="21"/>
                    </w:rPr>
                    <w:t>t</w:t>
                  </w:r>
                </w:p>
              </w:tc>
              <w:tc>
                <w:tcPr>
                  <w:tcW w:w="394" w:type="pct"/>
                  <w:noWrap w:val="0"/>
                  <w:tcMar>
                    <w:top w:w="0" w:type="dxa"/>
                    <w:left w:w="0" w:type="dxa"/>
                    <w:bottom w:w="0" w:type="dxa"/>
                    <w:right w:w="0" w:type="dxa"/>
                  </w:tcMar>
                  <w:vAlign w:val="center"/>
                </w:tcPr>
                <w:p w14:paraId="2083510C">
                  <w:pPr>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w:t>
                  </w:r>
                  <w:r>
                    <w:rPr>
                      <w:rFonts w:hint="eastAsia"/>
                      <w:color w:val="auto"/>
                      <w:kern w:val="2"/>
                      <w:sz w:val="21"/>
                      <w:szCs w:val="21"/>
                      <w:lang w:val="en-US" w:eastAsia="zh-CN" w:bidi="ar-SA"/>
                    </w:rPr>
                    <w:t>0</w:t>
                  </w:r>
                  <w:r>
                    <w:rPr>
                      <w:rFonts w:hint="eastAsia" w:ascii="Times New Roman" w:hAnsi="Times New Roman"/>
                      <w:color w:val="auto"/>
                      <w:kern w:val="2"/>
                      <w:sz w:val="21"/>
                      <w:szCs w:val="21"/>
                      <w:lang w:val="en-US" w:eastAsia="zh-CN" w:bidi="ar-SA"/>
                    </w:rPr>
                    <w:t>t</w:t>
                  </w:r>
                </w:p>
              </w:tc>
              <w:tc>
                <w:tcPr>
                  <w:tcW w:w="407" w:type="pct"/>
                  <w:noWrap w:val="0"/>
                  <w:tcMar>
                    <w:top w:w="0" w:type="dxa"/>
                    <w:left w:w="0" w:type="dxa"/>
                    <w:bottom w:w="0" w:type="dxa"/>
                    <w:right w:w="0" w:type="dxa"/>
                  </w:tcMar>
                  <w:vAlign w:val="center"/>
                </w:tcPr>
                <w:p w14:paraId="623AF106">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1t</w:t>
                  </w:r>
                </w:p>
              </w:tc>
              <w:tc>
                <w:tcPr>
                  <w:tcW w:w="582" w:type="pct"/>
                  <w:noWrap w:val="0"/>
                  <w:tcMar>
                    <w:top w:w="0" w:type="dxa"/>
                    <w:left w:w="0" w:type="dxa"/>
                    <w:bottom w:w="0" w:type="dxa"/>
                    <w:right w:w="0" w:type="dxa"/>
                  </w:tcMar>
                  <w:vAlign w:val="center"/>
                </w:tcPr>
                <w:p w14:paraId="327F6924">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25kg/袋</w:t>
                  </w:r>
                </w:p>
              </w:tc>
              <w:tc>
                <w:tcPr>
                  <w:tcW w:w="293" w:type="pct"/>
                  <w:vMerge w:val="continue"/>
                  <w:noWrap w:val="0"/>
                  <w:tcMar>
                    <w:top w:w="0" w:type="dxa"/>
                    <w:left w:w="0" w:type="dxa"/>
                    <w:bottom w:w="0" w:type="dxa"/>
                    <w:right w:w="0" w:type="dxa"/>
                  </w:tcMar>
                  <w:vAlign w:val="center"/>
                </w:tcPr>
                <w:p w14:paraId="17DA854C">
                  <w:pPr>
                    <w:jc w:val="center"/>
                    <w:rPr>
                      <w:rFonts w:hint="default" w:ascii="Times New Roman" w:hAnsi="Times New Roman" w:eastAsia="宋体" w:cs="Times New Roman"/>
                      <w:color w:val="auto"/>
                      <w:kern w:val="2"/>
                      <w:sz w:val="21"/>
                      <w:szCs w:val="21"/>
                      <w:lang w:val="en-US" w:eastAsia="zh-CN" w:bidi="ar-SA"/>
                    </w:rPr>
                  </w:pPr>
                </w:p>
              </w:tc>
              <w:tc>
                <w:tcPr>
                  <w:tcW w:w="296" w:type="pct"/>
                  <w:vMerge w:val="continue"/>
                  <w:noWrap w:val="0"/>
                  <w:tcMar>
                    <w:top w:w="0" w:type="dxa"/>
                    <w:left w:w="0" w:type="dxa"/>
                    <w:bottom w:w="0" w:type="dxa"/>
                    <w:right w:w="0" w:type="dxa"/>
                  </w:tcMar>
                  <w:vAlign w:val="center"/>
                </w:tcPr>
                <w:p w14:paraId="3422E8AC">
                  <w:pPr>
                    <w:jc w:val="center"/>
                    <w:rPr>
                      <w:rFonts w:hint="default" w:ascii="Times New Roman" w:hAnsi="Times New Roman" w:eastAsia="宋体" w:cs="Times New Roman"/>
                      <w:color w:val="auto"/>
                      <w:kern w:val="2"/>
                      <w:sz w:val="21"/>
                      <w:szCs w:val="21"/>
                      <w:lang w:val="en-US" w:eastAsia="zh-CN" w:bidi="ar-SA"/>
                    </w:rPr>
                  </w:pPr>
                </w:p>
              </w:tc>
            </w:tr>
            <w:tr w14:paraId="4531E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noWrap w:val="0"/>
                  <w:tcMar>
                    <w:top w:w="0" w:type="dxa"/>
                    <w:left w:w="0" w:type="dxa"/>
                    <w:bottom w:w="0" w:type="dxa"/>
                    <w:right w:w="0" w:type="dxa"/>
                  </w:tcMar>
                  <w:vAlign w:val="center"/>
                </w:tcPr>
                <w:p w14:paraId="40028C21">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热塑性弹性体TPE</w:t>
                  </w:r>
                </w:p>
              </w:tc>
              <w:tc>
                <w:tcPr>
                  <w:tcW w:w="1386" w:type="pct"/>
                  <w:noWrap w:val="0"/>
                  <w:tcMar>
                    <w:top w:w="0" w:type="dxa"/>
                    <w:left w:w="0" w:type="dxa"/>
                    <w:bottom w:w="0" w:type="dxa"/>
                    <w:right w:w="0" w:type="dxa"/>
                  </w:tcMar>
                  <w:vAlign w:val="center"/>
                </w:tcPr>
                <w:p w14:paraId="4FDEE5F4">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PP/三元乙丙橡胶共混物</w:t>
                  </w:r>
                </w:p>
              </w:tc>
              <w:tc>
                <w:tcPr>
                  <w:tcW w:w="480" w:type="pct"/>
                  <w:noWrap w:val="0"/>
                  <w:tcMar>
                    <w:top w:w="0" w:type="dxa"/>
                    <w:left w:w="0" w:type="dxa"/>
                    <w:bottom w:w="0" w:type="dxa"/>
                    <w:right w:w="0" w:type="dxa"/>
                  </w:tcMar>
                  <w:vAlign w:val="center"/>
                </w:tcPr>
                <w:p w14:paraId="6517C322">
                  <w:pPr>
                    <w:jc w:val="center"/>
                    <w:rPr>
                      <w:rFonts w:hint="default" w:ascii="Times New Roman" w:hAnsi="Times New Roman"/>
                      <w:color w:val="auto"/>
                      <w:kern w:val="2"/>
                      <w:sz w:val="21"/>
                      <w:szCs w:val="21"/>
                      <w:lang w:val="en-US" w:eastAsia="zh-CN" w:bidi="ar-SA"/>
                    </w:rPr>
                  </w:pPr>
                  <w:r>
                    <w:rPr>
                      <w:rFonts w:ascii="Times New Roman" w:hAnsi="Times New Roman"/>
                      <w:color w:val="auto"/>
                      <w:szCs w:val="21"/>
                    </w:rPr>
                    <w:t>30.3</w:t>
                  </w:r>
                </w:p>
              </w:tc>
              <w:tc>
                <w:tcPr>
                  <w:tcW w:w="492" w:type="pct"/>
                  <w:noWrap w:val="0"/>
                  <w:tcMar>
                    <w:top w:w="0" w:type="dxa"/>
                    <w:left w:w="0" w:type="dxa"/>
                    <w:bottom w:w="0" w:type="dxa"/>
                    <w:right w:w="0" w:type="dxa"/>
                  </w:tcMar>
                  <w:vAlign w:val="center"/>
                </w:tcPr>
                <w:p w14:paraId="1C1608B7">
                  <w:pPr>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0t</w:t>
                  </w:r>
                </w:p>
              </w:tc>
              <w:tc>
                <w:tcPr>
                  <w:tcW w:w="394" w:type="pct"/>
                  <w:noWrap w:val="0"/>
                  <w:tcMar>
                    <w:top w:w="0" w:type="dxa"/>
                    <w:left w:w="0" w:type="dxa"/>
                    <w:bottom w:w="0" w:type="dxa"/>
                    <w:right w:w="0" w:type="dxa"/>
                  </w:tcMar>
                  <w:vAlign w:val="center"/>
                </w:tcPr>
                <w:p w14:paraId="765758E7">
                  <w:pPr>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-30.3t</w:t>
                  </w:r>
                </w:p>
              </w:tc>
              <w:tc>
                <w:tcPr>
                  <w:tcW w:w="407" w:type="pct"/>
                  <w:noWrap w:val="0"/>
                  <w:tcMar>
                    <w:top w:w="0" w:type="dxa"/>
                    <w:left w:w="0" w:type="dxa"/>
                    <w:bottom w:w="0" w:type="dxa"/>
                    <w:right w:w="0" w:type="dxa"/>
                  </w:tcMar>
                  <w:vAlign w:val="center"/>
                </w:tcPr>
                <w:p w14:paraId="4A0F6490">
                  <w:pPr>
                    <w:jc w:val="center"/>
                    <w:rPr>
                      <w:rFonts w:hint="default" w:ascii="Times New Roman" w:hAnsi="Times New Roman"/>
                      <w:color w:val="auto"/>
                      <w:kern w:val="2"/>
                      <w:sz w:val="21"/>
                      <w:szCs w:val="21"/>
                      <w:lang w:val="en-US" w:eastAsia="zh-CN" w:bidi="ar-SA"/>
                    </w:rPr>
                  </w:pPr>
                  <w:r>
                    <w:rPr>
                      <w:rFonts w:hint="eastAsia"/>
                      <w:color w:val="auto"/>
                      <w:kern w:val="2"/>
                      <w:sz w:val="21"/>
                      <w:szCs w:val="21"/>
                      <w:lang w:val="en-US" w:eastAsia="zh-CN" w:bidi="ar-SA"/>
                    </w:rPr>
                    <w:t>/</w:t>
                  </w:r>
                </w:p>
              </w:tc>
              <w:tc>
                <w:tcPr>
                  <w:tcW w:w="582" w:type="pct"/>
                  <w:noWrap w:val="0"/>
                  <w:tcMar>
                    <w:top w:w="0" w:type="dxa"/>
                    <w:left w:w="0" w:type="dxa"/>
                    <w:bottom w:w="0" w:type="dxa"/>
                    <w:right w:w="0" w:type="dxa"/>
                  </w:tcMar>
                  <w:vAlign w:val="center"/>
                </w:tcPr>
                <w:p w14:paraId="4A400CDF">
                  <w:pPr>
                    <w:jc w:val="center"/>
                    <w:rPr>
                      <w:rFonts w:hint="default" w:ascii="Times New Roman" w:hAnsi="Times New Roman"/>
                      <w:color w:val="auto"/>
                      <w:kern w:val="2"/>
                      <w:sz w:val="21"/>
                      <w:szCs w:val="21"/>
                      <w:lang w:val="en-US" w:eastAsia="zh-CN" w:bidi="ar-SA"/>
                    </w:rPr>
                  </w:pPr>
                  <w:r>
                    <w:rPr>
                      <w:rFonts w:hint="eastAsia"/>
                      <w:color w:val="auto"/>
                      <w:kern w:val="2"/>
                      <w:sz w:val="21"/>
                      <w:szCs w:val="21"/>
                      <w:lang w:val="en-US" w:eastAsia="zh-CN" w:bidi="ar-SA"/>
                    </w:rPr>
                    <w:t>/</w:t>
                  </w:r>
                </w:p>
              </w:tc>
              <w:tc>
                <w:tcPr>
                  <w:tcW w:w="293" w:type="pct"/>
                  <w:vMerge w:val="continue"/>
                  <w:noWrap w:val="0"/>
                  <w:tcMar>
                    <w:top w:w="0" w:type="dxa"/>
                    <w:left w:w="0" w:type="dxa"/>
                    <w:bottom w:w="0" w:type="dxa"/>
                    <w:right w:w="0" w:type="dxa"/>
                  </w:tcMar>
                  <w:vAlign w:val="center"/>
                </w:tcPr>
                <w:p w14:paraId="6E0351BB">
                  <w:pPr>
                    <w:jc w:val="center"/>
                    <w:rPr>
                      <w:rFonts w:hint="default" w:ascii="Times New Roman" w:hAnsi="Times New Roman" w:eastAsia="宋体" w:cs="Times New Roman"/>
                      <w:color w:val="auto"/>
                      <w:kern w:val="2"/>
                      <w:sz w:val="21"/>
                      <w:szCs w:val="21"/>
                      <w:lang w:val="en-US" w:eastAsia="zh-CN" w:bidi="ar-SA"/>
                    </w:rPr>
                  </w:pPr>
                </w:p>
              </w:tc>
              <w:tc>
                <w:tcPr>
                  <w:tcW w:w="296" w:type="pct"/>
                  <w:vMerge w:val="continue"/>
                  <w:noWrap w:val="0"/>
                  <w:tcMar>
                    <w:top w:w="0" w:type="dxa"/>
                    <w:left w:w="0" w:type="dxa"/>
                    <w:bottom w:w="0" w:type="dxa"/>
                    <w:right w:w="0" w:type="dxa"/>
                  </w:tcMar>
                  <w:vAlign w:val="center"/>
                </w:tcPr>
                <w:p w14:paraId="2E37FC11">
                  <w:pPr>
                    <w:jc w:val="center"/>
                    <w:rPr>
                      <w:rFonts w:hint="default" w:ascii="Times New Roman" w:hAnsi="Times New Roman" w:eastAsia="宋体" w:cs="Times New Roman"/>
                      <w:color w:val="auto"/>
                      <w:kern w:val="2"/>
                      <w:sz w:val="21"/>
                      <w:szCs w:val="21"/>
                      <w:lang w:val="en-US" w:eastAsia="zh-CN" w:bidi="ar-SA"/>
                    </w:rPr>
                  </w:pPr>
                </w:p>
              </w:tc>
            </w:tr>
            <w:tr w14:paraId="4C3FC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noWrap w:val="0"/>
                  <w:tcMar>
                    <w:top w:w="0" w:type="dxa"/>
                    <w:left w:w="0" w:type="dxa"/>
                    <w:bottom w:w="0" w:type="dxa"/>
                    <w:right w:w="0" w:type="dxa"/>
                  </w:tcMar>
                  <w:vAlign w:val="center"/>
                </w:tcPr>
                <w:p w14:paraId="3EBBA88B">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kern w:val="0"/>
                      <w:szCs w:val="21"/>
                    </w:rPr>
                    <w:t>润滑油</w:t>
                  </w:r>
                </w:p>
              </w:tc>
              <w:tc>
                <w:tcPr>
                  <w:tcW w:w="1386" w:type="pct"/>
                  <w:noWrap w:val="0"/>
                  <w:tcMar>
                    <w:top w:w="0" w:type="dxa"/>
                    <w:left w:w="0" w:type="dxa"/>
                    <w:bottom w:w="0" w:type="dxa"/>
                    <w:right w:w="0" w:type="dxa"/>
                  </w:tcMar>
                  <w:vAlign w:val="center"/>
                </w:tcPr>
                <w:p w14:paraId="2893A827">
                  <w:pPr>
                    <w:pStyle w:val="91"/>
                    <w:rPr>
                      <w:rFonts w:hint="default" w:ascii="Times New Roman" w:hAnsi="Times New Roman" w:eastAsia="宋体" w:cs="Times New Roman"/>
                      <w:b/>
                      <w:color w:val="auto"/>
                      <w:kern w:val="2"/>
                      <w:sz w:val="21"/>
                      <w:szCs w:val="21"/>
                      <w:lang w:val="en-US" w:eastAsia="zh-CN" w:bidi="ar-SA"/>
                    </w:rPr>
                  </w:pPr>
                  <w:r>
                    <w:rPr>
                      <w:rFonts w:ascii="Times New Roman" w:hAnsi="Times New Roman" w:eastAsia="宋体"/>
                      <w:b w:val="0"/>
                      <w:bCs/>
                      <w:color w:val="auto"/>
                    </w:rPr>
                    <w:t>矿物油</w:t>
                  </w:r>
                </w:p>
              </w:tc>
              <w:tc>
                <w:tcPr>
                  <w:tcW w:w="480" w:type="pct"/>
                  <w:noWrap w:val="0"/>
                  <w:tcMar>
                    <w:top w:w="0" w:type="dxa"/>
                    <w:left w:w="0" w:type="dxa"/>
                    <w:bottom w:w="0" w:type="dxa"/>
                    <w:right w:w="0" w:type="dxa"/>
                  </w:tcMar>
                  <w:vAlign w:val="center"/>
                </w:tcPr>
                <w:p w14:paraId="0D10DF6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92" w:type="pct"/>
                  <w:noWrap w:val="0"/>
                  <w:tcMar>
                    <w:top w:w="0" w:type="dxa"/>
                    <w:left w:w="0" w:type="dxa"/>
                    <w:bottom w:w="0" w:type="dxa"/>
                    <w:right w:w="0" w:type="dxa"/>
                  </w:tcMar>
                  <w:vAlign w:val="center"/>
                </w:tcPr>
                <w:p w14:paraId="285FE95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1.25t</w:t>
                  </w:r>
                </w:p>
              </w:tc>
              <w:tc>
                <w:tcPr>
                  <w:tcW w:w="394" w:type="pct"/>
                  <w:noWrap w:val="0"/>
                  <w:tcMar>
                    <w:top w:w="0" w:type="dxa"/>
                    <w:left w:w="0" w:type="dxa"/>
                    <w:bottom w:w="0" w:type="dxa"/>
                    <w:right w:w="0" w:type="dxa"/>
                  </w:tcMar>
                  <w:vAlign w:val="center"/>
                </w:tcPr>
                <w:p w14:paraId="1E26C75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+0.25t</w:t>
                  </w:r>
                </w:p>
              </w:tc>
              <w:tc>
                <w:tcPr>
                  <w:tcW w:w="407" w:type="pct"/>
                  <w:noWrap w:val="0"/>
                  <w:tcMar>
                    <w:top w:w="0" w:type="dxa"/>
                    <w:left w:w="0" w:type="dxa"/>
                    <w:bottom w:w="0" w:type="dxa"/>
                    <w:right w:w="0" w:type="dxa"/>
                  </w:tcMar>
                  <w:vAlign w:val="center"/>
                </w:tcPr>
                <w:p w14:paraId="1AD22DD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0.025t</w:t>
                  </w:r>
                </w:p>
              </w:tc>
              <w:tc>
                <w:tcPr>
                  <w:tcW w:w="582" w:type="pct"/>
                  <w:noWrap w:val="0"/>
                  <w:tcMar>
                    <w:top w:w="0" w:type="dxa"/>
                    <w:left w:w="0" w:type="dxa"/>
                    <w:bottom w:w="0" w:type="dxa"/>
                    <w:right w:w="0" w:type="dxa"/>
                  </w:tcMar>
                  <w:vAlign w:val="center"/>
                </w:tcPr>
                <w:p w14:paraId="6EBFAE9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25kg/桶</w:t>
                  </w:r>
                </w:p>
              </w:tc>
              <w:tc>
                <w:tcPr>
                  <w:tcW w:w="293" w:type="pct"/>
                  <w:vMerge w:val="continue"/>
                  <w:noWrap w:val="0"/>
                  <w:tcMar>
                    <w:top w:w="0" w:type="dxa"/>
                    <w:left w:w="0" w:type="dxa"/>
                    <w:bottom w:w="0" w:type="dxa"/>
                    <w:right w:w="0" w:type="dxa"/>
                  </w:tcMar>
                  <w:vAlign w:val="center"/>
                </w:tcPr>
                <w:p w14:paraId="4543325B">
                  <w:pPr>
                    <w:jc w:val="center"/>
                    <w:rPr>
                      <w:rFonts w:hint="default" w:ascii="Times New Roman" w:hAnsi="Times New Roman" w:eastAsia="宋体" w:cs="Times New Roman"/>
                      <w:color w:val="auto"/>
                      <w:kern w:val="2"/>
                      <w:sz w:val="21"/>
                      <w:szCs w:val="21"/>
                      <w:lang w:val="en-US" w:eastAsia="zh-CN" w:bidi="ar-SA"/>
                    </w:rPr>
                  </w:pPr>
                </w:p>
              </w:tc>
              <w:tc>
                <w:tcPr>
                  <w:tcW w:w="296" w:type="pct"/>
                  <w:vMerge w:val="continue"/>
                  <w:noWrap w:val="0"/>
                  <w:tcMar>
                    <w:top w:w="0" w:type="dxa"/>
                    <w:left w:w="0" w:type="dxa"/>
                    <w:bottom w:w="0" w:type="dxa"/>
                    <w:right w:w="0" w:type="dxa"/>
                  </w:tcMar>
                  <w:vAlign w:val="center"/>
                </w:tcPr>
                <w:p w14:paraId="435503B5">
                  <w:pPr>
                    <w:jc w:val="center"/>
                    <w:rPr>
                      <w:rFonts w:hint="default" w:ascii="Times New Roman" w:hAnsi="Times New Roman" w:eastAsia="宋体" w:cs="Times New Roman"/>
                      <w:color w:val="auto"/>
                      <w:kern w:val="2"/>
                      <w:sz w:val="21"/>
                      <w:szCs w:val="21"/>
                      <w:lang w:val="en-US" w:eastAsia="zh-CN" w:bidi="ar-SA"/>
                    </w:rPr>
                  </w:pPr>
                </w:p>
              </w:tc>
            </w:tr>
            <w:tr w14:paraId="4231B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noWrap w:val="0"/>
                  <w:tcMar>
                    <w:top w:w="0" w:type="dxa"/>
                    <w:left w:w="0" w:type="dxa"/>
                    <w:bottom w:w="0" w:type="dxa"/>
                    <w:right w:w="0" w:type="dxa"/>
                  </w:tcMar>
                  <w:vAlign w:val="center"/>
                </w:tcPr>
                <w:p w14:paraId="0B5C0A16">
                  <w:pPr>
                    <w:jc w:val="left"/>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注：</w:t>
                  </w:r>
                  <w:r>
                    <w:rPr>
                      <w:rFonts w:hint="eastAsia" w:ascii="Times New Roman" w:hAnsi="Times New Roman" w:cs="Times New Roman"/>
                      <w:bCs/>
                      <w:color w:val="0000FF"/>
                      <w:lang w:val="en-US" w:eastAsia="zh-CN"/>
                    </w:rPr>
                    <w:t>本项目</w:t>
                  </w:r>
                  <w:r>
                    <w:rPr>
                      <w:rFonts w:hint="eastAsia" w:ascii="Times New Roman" w:hAnsi="Times New Roman"/>
                      <w:b w:val="0"/>
                      <w:bCs/>
                      <w:color w:val="0000FF"/>
                      <w:sz w:val="21"/>
                      <w:szCs w:val="21"/>
                      <w:lang w:val="en-US" w:eastAsia="zh-CN"/>
                    </w:rPr>
                    <w:t>年生产20</w:t>
                  </w:r>
                  <w:r>
                    <w:rPr>
                      <w:rFonts w:hint="eastAsia"/>
                      <w:b w:val="0"/>
                      <w:bCs/>
                      <w:color w:val="0000FF"/>
                      <w:sz w:val="21"/>
                      <w:szCs w:val="21"/>
                      <w:lang w:val="en-US" w:eastAsia="zh-CN"/>
                    </w:rPr>
                    <w:t>0</w:t>
                  </w:r>
                  <w:r>
                    <w:rPr>
                      <w:rFonts w:hint="eastAsia" w:ascii="Times New Roman" w:hAnsi="Times New Roman"/>
                      <w:b w:val="0"/>
                      <w:bCs/>
                      <w:color w:val="0000FF"/>
                      <w:sz w:val="21"/>
                      <w:szCs w:val="21"/>
                      <w:lang w:val="en-US" w:eastAsia="zh-CN"/>
                    </w:rPr>
                    <w:t>0t</w:t>
                  </w:r>
                  <w:r>
                    <w:rPr>
                      <w:rFonts w:ascii="Times New Roman" w:hAnsi="Times New Roman" w:eastAsia="宋体"/>
                      <w:b w:val="0"/>
                      <w:bCs/>
                      <w:color w:val="0000FF"/>
                      <w:sz w:val="21"/>
                      <w:szCs w:val="21"/>
                    </w:rPr>
                    <w:t>热塑性弹性体颗粒</w:t>
                  </w:r>
                  <w:r>
                    <w:rPr>
                      <w:rFonts w:hint="eastAsia" w:ascii="Times New Roman" w:hAnsi="Times New Roman"/>
                      <w:b w:val="0"/>
                      <w:bCs/>
                      <w:color w:val="0000FF"/>
                      <w:sz w:val="21"/>
                      <w:szCs w:val="21"/>
                      <w:lang w:val="en-US" w:eastAsia="zh-CN"/>
                    </w:rPr>
                    <w:t>，其中</w:t>
                  </w:r>
                  <w:r>
                    <w:rPr>
                      <w:rFonts w:hint="eastAsia"/>
                      <w:b w:val="0"/>
                      <w:bCs/>
                      <w:color w:val="0000FF"/>
                      <w:sz w:val="21"/>
                      <w:szCs w:val="21"/>
                      <w:lang w:val="en-US" w:eastAsia="zh-CN"/>
                    </w:rPr>
                    <w:t>197</w:t>
                  </w:r>
                  <w:r>
                    <w:rPr>
                      <w:rFonts w:hint="eastAsia" w:ascii="Times New Roman" w:hAnsi="Times New Roman"/>
                      <w:b w:val="0"/>
                      <w:bCs/>
                      <w:color w:val="0000FF"/>
                      <w:sz w:val="21"/>
                      <w:szCs w:val="21"/>
                      <w:lang w:val="en-US" w:eastAsia="zh-CN"/>
                    </w:rPr>
                    <w:t>0t作为产品</w:t>
                  </w:r>
                  <w:r>
                    <w:rPr>
                      <w:rFonts w:hint="eastAsia" w:ascii="Times New Roman" w:hAnsi="Times New Roman" w:cs="Times New Roman"/>
                      <w:bCs/>
                      <w:color w:val="0000FF"/>
                      <w:lang w:val="en-US" w:eastAsia="zh-CN"/>
                    </w:rPr>
                    <w:t>出售</w:t>
                  </w:r>
                  <w:r>
                    <w:rPr>
                      <w:rFonts w:hint="eastAsia" w:ascii="Times New Roman" w:hAnsi="Times New Roman"/>
                      <w:b w:val="0"/>
                      <w:bCs/>
                      <w:color w:val="0000FF"/>
                      <w:sz w:val="21"/>
                      <w:szCs w:val="21"/>
                      <w:lang w:val="en-US" w:eastAsia="zh-CN"/>
                    </w:rPr>
                    <w:t>，30t作为汽车密封件原材料</w:t>
                  </w:r>
                  <w:r>
                    <w:rPr>
                      <w:rFonts w:hint="eastAsia"/>
                      <w:b w:val="0"/>
                      <w:bCs/>
                      <w:color w:val="0000FF"/>
                      <w:sz w:val="21"/>
                      <w:szCs w:val="21"/>
                      <w:lang w:val="en-US" w:eastAsia="zh-CN"/>
                    </w:rPr>
                    <w:t>，因此原辅料表中减少</w:t>
                  </w:r>
                  <w:r>
                    <w:rPr>
                      <w:rFonts w:ascii="Times New Roman" w:hAnsi="Times New Roman"/>
                      <w:color w:val="0000FF"/>
                      <w:szCs w:val="21"/>
                    </w:rPr>
                    <w:t>热塑性弹性体</w:t>
                  </w:r>
                  <w:r>
                    <w:rPr>
                      <w:rFonts w:hint="eastAsia"/>
                      <w:color w:val="0000FF"/>
                      <w:szCs w:val="21"/>
                      <w:lang w:val="en-US" w:eastAsia="zh-CN"/>
                    </w:rPr>
                    <w:t>原材料；本项目</w:t>
                  </w:r>
                  <w:r>
                    <w:rPr>
                      <w:rFonts w:hint="eastAsia"/>
                      <w:b w:val="0"/>
                      <w:bCs/>
                      <w:color w:val="0000FF"/>
                      <w:sz w:val="21"/>
                      <w:szCs w:val="21"/>
                      <w:lang w:val="en-US" w:eastAsia="zh-CN"/>
                    </w:rPr>
                    <w:t>废边角料、不合格品粉碎回用，因此原辅料表中减少聚丙烯等原辅料</w:t>
                  </w:r>
                  <w:r>
                    <w:rPr>
                      <w:rFonts w:hint="eastAsia"/>
                      <w:color w:val="0000FF"/>
                      <w:szCs w:val="21"/>
                      <w:lang w:val="en-US" w:eastAsia="zh-CN"/>
                    </w:rPr>
                    <w:t>。</w:t>
                  </w:r>
                </w:p>
              </w:tc>
            </w:tr>
          </w:tbl>
          <w:p w14:paraId="497E0490">
            <w:pPr>
              <w:pStyle w:val="6"/>
              <w:spacing w:before="120" w:beforeLines="50"/>
              <w:ind w:firstLine="0" w:firstLineChars="0"/>
              <w:jc w:val="center"/>
              <w:rPr>
                <w:rFonts w:hint="default" w:ascii="Times New Roman" w:hAnsi="Times New Roman" w:eastAsia="宋体" w:cs="Times New Roman"/>
                <w:b/>
                <w:color w:val="auto"/>
                <w:szCs w:val="21"/>
              </w:rPr>
            </w:pPr>
          </w:p>
          <w:p w14:paraId="2D7BD096">
            <w:pPr>
              <w:pStyle w:val="6"/>
              <w:spacing w:before="120" w:beforeLines="50"/>
              <w:ind w:firstLine="0" w:firstLineChars="0"/>
              <w:jc w:val="center"/>
              <w:rPr>
                <w:rFonts w:hint="default" w:ascii="Times New Roman" w:hAnsi="Times New Roman" w:eastAsia="宋体" w:cs="Times New Roman"/>
                <w:b/>
                <w:color w:val="auto"/>
                <w:szCs w:val="21"/>
              </w:rPr>
            </w:pPr>
          </w:p>
          <w:p w14:paraId="57D55F9F">
            <w:pPr>
              <w:pStyle w:val="6"/>
              <w:spacing w:before="120" w:beforeLines="50"/>
              <w:ind w:firstLine="0" w:firstLineChars="0"/>
              <w:jc w:val="center"/>
              <w:rPr>
                <w:rFonts w:hint="default" w:ascii="Times New Roman" w:hAnsi="Times New Roman" w:eastAsia="宋体" w:cs="Times New Roman"/>
                <w:b/>
                <w:color w:val="auto"/>
                <w:szCs w:val="21"/>
              </w:rPr>
            </w:pPr>
          </w:p>
          <w:p w14:paraId="1496D76C">
            <w:pPr>
              <w:pStyle w:val="6"/>
              <w:spacing w:before="120" w:beforeLines="50"/>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表2-5 主要原辅料理化性质表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4778"/>
              <w:gridCol w:w="647"/>
              <w:gridCol w:w="1146"/>
            </w:tblGrid>
            <w:tr w14:paraId="44436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832" w:type="pct"/>
                  <w:noWrap w:val="0"/>
                  <w:tcMar>
                    <w:top w:w="0" w:type="dxa"/>
                    <w:left w:w="0" w:type="dxa"/>
                    <w:bottom w:w="0" w:type="dxa"/>
                    <w:right w:w="0" w:type="dxa"/>
                  </w:tcMar>
                  <w:vAlign w:val="center"/>
                </w:tcPr>
                <w:p w14:paraId="610AEDBE">
                  <w:pPr>
                    <w:pStyle w:val="91"/>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rPr>
                  </w:pPr>
                  <w:r>
                    <w:rPr>
                      <w:rFonts w:ascii="Times New Roman" w:hAnsi="Times New Roman" w:eastAsia="宋体"/>
                      <w:color w:val="auto"/>
                    </w:rPr>
                    <w:t>原料名称</w:t>
                  </w:r>
                </w:p>
              </w:tc>
              <w:tc>
                <w:tcPr>
                  <w:tcW w:w="2949" w:type="pct"/>
                  <w:noWrap w:val="0"/>
                  <w:tcMar>
                    <w:top w:w="0" w:type="dxa"/>
                    <w:left w:w="0" w:type="dxa"/>
                    <w:bottom w:w="0" w:type="dxa"/>
                    <w:right w:w="0" w:type="dxa"/>
                  </w:tcMar>
                  <w:vAlign w:val="center"/>
                </w:tcPr>
                <w:p w14:paraId="47B1517A">
                  <w:pPr>
                    <w:pStyle w:val="91"/>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rPr>
                  </w:pPr>
                  <w:r>
                    <w:rPr>
                      <w:rFonts w:ascii="Times New Roman" w:hAnsi="Times New Roman" w:eastAsia="宋体"/>
                      <w:color w:val="auto"/>
                    </w:rPr>
                    <w:t>理化特性</w:t>
                  </w:r>
                </w:p>
              </w:tc>
              <w:tc>
                <w:tcPr>
                  <w:tcW w:w="458" w:type="pct"/>
                  <w:noWrap w:val="0"/>
                  <w:tcMar>
                    <w:top w:w="0" w:type="dxa"/>
                    <w:left w:w="0" w:type="dxa"/>
                    <w:bottom w:w="0" w:type="dxa"/>
                    <w:right w:w="0" w:type="dxa"/>
                  </w:tcMar>
                  <w:vAlign w:val="center"/>
                </w:tcPr>
                <w:p w14:paraId="2DAEEBC8">
                  <w:pPr>
                    <w:pStyle w:val="91"/>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rPr>
                  </w:pPr>
                  <w:r>
                    <w:rPr>
                      <w:rFonts w:ascii="Times New Roman" w:hAnsi="Times New Roman" w:eastAsia="宋体"/>
                      <w:color w:val="auto"/>
                    </w:rPr>
                    <w:t>燃烧爆炸性</w:t>
                  </w:r>
                </w:p>
              </w:tc>
              <w:tc>
                <w:tcPr>
                  <w:tcW w:w="759" w:type="pct"/>
                  <w:noWrap w:val="0"/>
                  <w:tcMar>
                    <w:top w:w="0" w:type="dxa"/>
                    <w:left w:w="0" w:type="dxa"/>
                    <w:bottom w:w="0" w:type="dxa"/>
                    <w:right w:w="0" w:type="dxa"/>
                  </w:tcMar>
                  <w:vAlign w:val="center"/>
                </w:tcPr>
                <w:p w14:paraId="661CA565">
                  <w:pPr>
                    <w:pStyle w:val="91"/>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rPr>
                  </w:pPr>
                  <w:r>
                    <w:rPr>
                      <w:rFonts w:ascii="Times New Roman" w:hAnsi="Times New Roman" w:eastAsia="宋体"/>
                      <w:color w:val="auto"/>
                    </w:rPr>
                    <w:t>毒性</w:t>
                  </w:r>
                </w:p>
              </w:tc>
            </w:tr>
            <w:tr w14:paraId="5F1D9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2" w:type="pct"/>
                  <w:noWrap w:val="0"/>
                  <w:tcMar>
                    <w:top w:w="0" w:type="dxa"/>
                    <w:left w:w="0" w:type="dxa"/>
                    <w:bottom w:w="0" w:type="dxa"/>
                    <w:right w:w="0" w:type="dxa"/>
                  </w:tcMar>
                  <w:vAlign w:val="center"/>
                </w:tcPr>
                <w:p w14:paraId="2ADB66BB">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聚丙烯</w:t>
                  </w:r>
                </w:p>
                <w:p w14:paraId="1D938927">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Times New Roman"/>
                      <w:color w:val="auto"/>
                      <w:szCs w:val="21"/>
                      <w:vertAlign w:val="subscript"/>
                    </w:rPr>
                    <w:t>3</w:t>
                  </w:r>
                  <w:r>
                    <w:rPr>
                      <w:rFonts w:ascii="Times New Roman" w:hAnsi="Times New Roman"/>
                      <w:color w:val="auto"/>
                      <w:szCs w:val="21"/>
                    </w:rPr>
                    <w:t>H</w:t>
                  </w:r>
                  <w:r>
                    <w:rPr>
                      <w:rFonts w:ascii="Times New Roman" w:hAnsi="Times New Roman"/>
                      <w:color w:val="auto"/>
                      <w:szCs w:val="21"/>
                      <w:vertAlign w:val="subscript"/>
                    </w:rPr>
                    <w:t>6]</w:t>
                  </w:r>
                  <w:r>
                    <w:rPr>
                      <w:rFonts w:ascii="Times New Roman" w:hAnsi="Times New Roman"/>
                      <w:color w:val="auto"/>
                      <w:szCs w:val="21"/>
                    </w:rPr>
                    <w:t>n</w:t>
                  </w:r>
                </w:p>
              </w:tc>
              <w:tc>
                <w:tcPr>
                  <w:tcW w:w="2949" w:type="pct"/>
                  <w:noWrap w:val="0"/>
                  <w:tcMar>
                    <w:top w:w="0" w:type="dxa"/>
                    <w:left w:w="0" w:type="dxa"/>
                    <w:bottom w:w="0" w:type="dxa"/>
                    <w:right w:w="0" w:type="dxa"/>
                  </w:tcMar>
                  <w:vAlign w:val="center"/>
                </w:tcPr>
                <w:p w14:paraId="1135D815">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szCs w:val="21"/>
                      <w:lang w:eastAsia="zh-CN"/>
                    </w:rPr>
                  </w:pPr>
                  <w:r>
                    <w:rPr>
                      <w:rFonts w:ascii="Times New Roman" w:hAnsi="Times New Roman"/>
                      <w:color w:val="auto"/>
                      <w:szCs w:val="21"/>
                    </w:rPr>
                    <w:t>无色、无臭、无毒、半透明固体颗粒，聚丙烯是丙烯加聚反应而成的聚合物。系白色蜡状材料，外观透明而轻。密度为0.89～0.91g/cm</w:t>
                  </w:r>
                  <w:r>
                    <w:rPr>
                      <w:rFonts w:ascii="Times New Roman" w:hAnsi="Times New Roman"/>
                      <w:color w:val="auto"/>
                      <w:szCs w:val="21"/>
                      <w:vertAlign w:val="superscript"/>
                    </w:rPr>
                    <w:t>3</w:t>
                  </w:r>
                  <w:r>
                    <w:rPr>
                      <w:rFonts w:ascii="Times New Roman" w:hAnsi="Times New Roman"/>
                      <w:color w:val="auto"/>
                      <w:szCs w:val="21"/>
                    </w:rPr>
                    <w:t>，易燃，熔点165℃，在155℃左右软化，使用温度范围为-30～140℃。在80℃以下能耐酸、碱、盐液及多种有机溶剂的腐蚀，能在高温和氧化作用下分解</w:t>
                  </w:r>
                  <w:r>
                    <w:rPr>
                      <w:rFonts w:hint="eastAsia" w:ascii="Times New Roman" w:hAnsi="Times New Roman"/>
                      <w:color w:val="auto"/>
                      <w:szCs w:val="21"/>
                      <w:lang w:eastAsia="zh-CN"/>
                    </w:rPr>
                    <w:t>。</w:t>
                  </w:r>
                </w:p>
              </w:tc>
              <w:tc>
                <w:tcPr>
                  <w:tcW w:w="458" w:type="pct"/>
                  <w:noWrap w:val="0"/>
                  <w:tcMar>
                    <w:top w:w="0" w:type="dxa"/>
                    <w:left w:w="0" w:type="dxa"/>
                    <w:bottom w:w="0" w:type="dxa"/>
                    <w:right w:w="0" w:type="dxa"/>
                  </w:tcMar>
                  <w:vAlign w:val="center"/>
                </w:tcPr>
                <w:p w14:paraId="5D540A11">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易燃</w:t>
                  </w:r>
                </w:p>
              </w:tc>
              <w:tc>
                <w:tcPr>
                  <w:tcW w:w="759" w:type="pct"/>
                  <w:noWrap w:val="0"/>
                  <w:tcMar>
                    <w:top w:w="0" w:type="dxa"/>
                    <w:left w:w="0" w:type="dxa"/>
                    <w:bottom w:w="0" w:type="dxa"/>
                    <w:right w:w="0" w:type="dxa"/>
                  </w:tcMar>
                  <w:vAlign w:val="center"/>
                </w:tcPr>
                <w:p w14:paraId="7FDEFBDD">
                  <w:pPr>
                    <w:pStyle w:val="93"/>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olor w:val="auto"/>
                      <w:szCs w:val="21"/>
                    </w:rPr>
                  </w:pPr>
                  <w:r>
                    <w:rPr>
                      <w:rFonts w:ascii="Times New Roman" w:hAnsi="Times New Roman" w:eastAsia="宋体"/>
                      <w:color w:val="auto"/>
                      <w:szCs w:val="21"/>
                    </w:rPr>
                    <w:t>无毒</w:t>
                  </w:r>
                </w:p>
              </w:tc>
            </w:tr>
            <w:tr w14:paraId="4BD7D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2" w:type="pct"/>
                  <w:noWrap w:val="0"/>
                  <w:tcMar>
                    <w:top w:w="0" w:type="dxa"/>
                    <w:left w:w="0" w:type="dxa"/>
                    <w:bottom w:w="0" w:type="dxa"/>
                    <w:right w:w="0" w:type="dxa"/>
                  </w:tcMar>
                  <w:vAlign w:val="center"/>
                </w:tcPr>
                <w:p w14:paraId="07248049">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三元乙丙橡胶</w:t>
                  </w:r>
                </w:p>
              </w:tc>
              <w:tc>
                <w:tcPr>
                  <w:tcW w:w="2949" w:type="pct"/>
                  <w:noWrap w:val="0"/>
                  <w:tcMar>
                    <w:top w:w="0" w:type="dxa"/>
                    <w:left w:w="0" w:type="dxa"/>
                    <w:bottom w:w="0" w:type="dxa"/>
                    <w:right w:w="0" w:type="dxa"/>
                  </w:tcMar>
                  <w:vAlign w:val="center"/>
                </w:tcPr>
                <w:p w14:paraId="28C7BB15">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hint="eastAsia" w:ascii="Times New Roman" w:hAnsi="Times New Roman"/>
                      <w:color w:val="auto"/>
                      <w:szCs w:val="21"/>
                    </w:rPr>
                    <w:t>乙烯-丙烯-非共轭二烯烃共聚物</w:t>
                  </w:r>
                  <w:r>
                    <w:rPr>
                      <w:rFonts w:ascii="Times New Roman" w:hAnsi="Times New Roman"/>
                      <w:color w:val="auto"/>
                      <w:szCs w:val="21"/>
                    </w:rPr>
                    <w:t>。其具有高度饱和的碳链主体结构，不含极性取代基，分子链极为柔顺，同时具有优异的绝缘、耐腐蚀、耐臭氧、耐老化和耐低温性能。</w:t>
                  </w:r>
                  <w:r>
                    <w:rPr>
                      <w:rFonts w:hint="eastAsia"/>
                      <w:color w:val="auto"/>
                      <w:szCs w:val="21"/>
                      <w:lang w:val="en-US" w:eastAsia="zh-CN"/>
                    </w:rPr>
                    <w:t>闪点</w:t>
                  </w:r>
                  <w:r>
                    <w:rPr>
                      <w:rFonts w:hint="eastAsia" w:ascii="Times New Roman" w:hAnsi="Times New Roman"/>
                      <w:color w:val="auto"/>
                      <w:szCs w:val="21"/>
                    </w:rPr>
                    <w:t>360℃</w:t>
                  </w:r>
                  <w:r>
                    <w:rPr>
                      <w:rFonts w:ascii="Times New Roman" w:hAnsi="Times New Roman"/>
                      <w:color w:val="auto"/>
                      <w:szCs w:val="21"/>
                    </w:rPr>
                    <w:t>，</w:t>
                  </w:r>
                  <w:r>
                    <w:rPr>
                      <w:rFonts w:hint="eastAsia"/>
                      <w:color w:val="auto"/>
                      <w:szCs w:val="21"/>
                      <w:lang w:val="en-US" w:eastAsia="zh-CN"/>
                    </w:rPr>
                    <w:t>自燃温度370℃</w:t>
                  </w:r>
                  <w:r>
                    <w:rPr>
                      <w:rFonts w:ascii="Times New Roman" w:hAnsi="Times New Roman"/>
                      <w:color w:val="auto"/>
                      <w:szCs w:val="21"/>
                    </w:rPr>
                    <w:t>。</w:t>
                  </w:r>
                </w:p>
              </w:tc>
              <w:tc>
                <w:tcPr>
                  <w:tcW w:w="458" w:type="pct"/>
                  <w:shd w:val="clear" w:color="auto" w:fill="auto"/>
                  <w:noWrap w:val="0"/>
                  <w:tcMar>
                    <w:top w:w="0" w:type="dxa"/>
                    <w:left w:w="0" w:type="dxa"/>
                    <w:bottom w:w="0" w:type="dxa"/>
                    <w:right w:w="0" w:type="dxa"/>
                  </w:tcMar>
                  <w:vAlign w:val="center"/>
                </w:tcPr>
                <w:p w14:paraId="2E66EED3">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可燃</w:t>
                  </w:r>
                </w:p>
              </w:tc>
              <w:tc>
                <w:tcPr>
                  <w:tcW w:w="759" w:type="pct"/>
                  <w:shd w:val="clear" w:color="auto" w:fill="auto"/>
                  <w:noWrap w:val="0"/>
                  <w:tcMar>
                    <w:top w:w="0" w:type="dxa"/>
                    <w:left w:w="0" w:type="dxa"/>
                    <w:bottom w:w="0" w:type="dxa"/>
                    <w:right w:w="0" w:type="dxa"/>
                  </w:tcMar>
                  <w:vAlign w:val="center"/>
                </w:tcPr>
                <w:p w14:paraId="1B068B96">
                  <w:pPr>
                    <w:pStyle w:val="93"/>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s="Times New Roman"/>
                      <w:color w:val="auto"/>
                      <w:spacing w:val="-10"/>
                      <w:kern w:val="0"/>
                      <w:sz w:val="21"/>
                      <w:szCs w:val="21"/>
                      <w:lang w:val="en-US" w:eastAsia="zh-CN" w:bidi="ar-SA"/>
                    </w:rPr>
                  </w:pPr>
                  <w:r>
                    <w:rPr>
                      <w:rFonts w:ascii="Times New Roman" w:hAnsi="Times New Roman" w:eastAsia="宋体"/>
                      <w:color w:val="auto"/>
                      <w:szCs w:val="21"/>
                    </w:rPr>
                    <w:t>无毒</w:t>
                  </w:r>
                </w:p>
              </w:tc>
            </w:tr>
            <w:tr w14:paraId="77319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noWrap w:val="0"/>
                  <w:tcMar>
                    <w:top w:w="0" w:type="dxa"/>
                    <w:left w:w="0" w:type="dxa"/>
                    <w:bottom w:w="0" w:type="dxa"/>
                    <w:right w:w="0" w:type="dxa"/>
                  </w:tcMar>
                  <w:vAlign w:val="center"/>
                </w:tcPr>
                <w:p w14:paraId="03C8303C">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滑石粉</w:t>
                  </w:r>
                </w:p>
              </w:tc>
              <w:tc>
                <w:tcPr>
                  <w:tcW w:w="2949" w:type="pct"/>
                  <w:noWrap w:val="0"/>
                  <w:tcMar>
                    <w:top w:w="0" w:type="dxa"/>
                    <w:left w:w="0" w:type="dxa"/>
                    <w:bottom w:w="0" w:type="dxa"/>
                    <w:right w:w="0" w:type="dxa"/>
                  </w:tcMar>
                  <w:vAlign w:val="center"/>
                </w:tcPr>
                <w:p w14:paraId="652CA1F7">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硅酸镁盐类矿物滑石族滑石，主要成分为含水硅酸镁，经粉碎后，用盐酸处理，水洗，干燥而成。</w:t>
                  </w:r>
                </w:p>
              </w:tc>
              <w:tc>
                <w:tcPr>
                  <w:tcW w:w="458" w:type="pct"/>
                  <w:noWrap w:val="0"/>
                  <w:tcMar>
                    <w:top w:w="0" w:type="dxa"/>
                    <w:left w:w="0" w:type="dxa"/>
                    <w:bottom w:w="0" w:type="dxa"/>
                    <w:right w:w="0" w:type="dxa"/>
                  </w:tcMar>
                  <w:vAlign w:val="center"/>
                </w:tcPr>
                <w:p w14:paraId="71EF0E30">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不燃</w:t>
                  </w:r>
                </w:p>
              </w:tc>
              <w:tc>
                <w:tcPr>
                  <w:tcW w:w="759" w:type="pct"/>
                  <w:noWrap w:val="0"/>
                  <w:tcMar>
                    <w:top w:w="0" w:type="dxa"/>
                    <w:left w:w="0" w:type="dxa"/>
                    <w:bottom w:w="0" w:type="dxa"/>
                    <w:right w:w="0" w:type="dxa"/>
                  </w:tcMar>
                  <w:vAlign w:val="center"/>
                </w:tcPr>
                <w:p w14:paraId="3E89541A">
                  <w:pPr>
                    <w:pStyle w:val="93"/>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olor w:val="auto"/>
                      <w:szCs w:val="21"/>
                    </w:rPr>
                  </w:pPr>
                  <w:r>
                    <w:rPr>
                      <w:rFonts w:ascii="Times New Roman" w:hAnsi="Times New Roman" w:eastAsia="宋体"/>
                      <w:color w:val="auto"/>
                      <w:szCs w:val="21"/>
                    </w:rPr>
                    <w:t>无毒</w:t>
                  </w:r>
                </w:p>
              </w:tc>
            </w:tr>
            <w:tr w14:paraId="4C06F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noWrap w:val="0"/>
                  <w:tcMar>
                    <w:top w:w="0" w:type="dxa"/>
                    <w:left w:w="0" w:type="dxa"/>
                    <w:bottom w:w="0" w:type="dxa"/>
                    <w:right w:w="0" w:type="dxa"/>
                  </w:tcMar>
                  <w:vAlign w:val="center"/>
                </w:tcPr>
                <w:p w14:paraId="42EE741E">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硅酸镁MgSiO</w:t>
                  </w:r>
                  <w:r>
                    <w:rPr>
                      <w:rFonts w:ascii="Times New Roman" w:hAnsi="Times New Roman"/>
                      <w:color w:val="auto"/>
                      <w:szCs w:val="21"/>
                      <w:vertAlign w:val="subscript"/>
                    </w:rPr>
                    <w:t>3</w:t>
                  </w:r>
                </w:p>
              </w:tc>
              <w:tc>
                <w:tcPr>
                  <w:tcW w:w="2949" w:type="pct"/>
                  <w:noWrap w:val="0"/>
                  <w:tcMar>
                    <w:top w:w="0" w:type="dxa"/>
                    <w:left w:w="0" w:type="dxa"/>
                    <w:bottom w:w="0" w:type="dxa"/>
                    <w:right w:w="0" w:type="dxa"/>
                  </w:tcMar>
                  <w:vAlign w:val="center"/>
                </w:tcPr>
                <w:p w14:paraId="2ED44654">
                  <w:pPr>
                    <w:keepNext w:val="0"/>
                    <w:keepLines w:val="0"/>
                    <w:pageBreakBefore w:val="0"/>
                    <w:widowControl w:val="0"/>
                    <w:kinsoku/>
                    <w:wordWrap/>
                    <w:overflowPunct/>
                    <w:topLinePunct w:val="0"/>
                    <w:autoSpaceDE/>
                    <w:autoSpaceDN/>
                    <w:bidi w:val="0"/>
                    <w:adjustRightInd w:val="0"/>
                    <w:snapToGrid w:val="0"/>
                    <w:jc w:val="center"/>
                    <w:rPr>
                      <w:rFonts w:hint="eastAsia"/>
                      <w:color w:val="auto"/>
                      <w:lang w:eastAsia="zh-CN"/>
                    </w:rPr>
                  </w:pPr>
                  <w:r>
                    <w:rPr>
                      <w:rFonts w:ascii="Times New Roman" w:hAnsi="Times New Roman"/>
                      <w:color w:val="auto"/>
                      <w:szCs w:val="21"/>
                      <w:shd w:val="clear" w:color="auto" w:fill="FFFFFF"/>
                    </w:rPr>
                    <w:t>白色至灰白色细粉末，分子量：100.3887，密度3.21g/cm</w:t>
                  </w:r>
                  <w:r>
                    <w:rPr>
                      <w:rFonts w:ascii="Times New Roman" w:hAnsi="Times New Roman"/>
                      <w:color w:val="auto"/>
                      <w:szCs w:val="21"/>
                      <w:shd w:val="clear" w:color="auto" w:fill="FFFFFF"/>
                      <w:vertAlign w:val="superscript"/>
                    </w:rPr>
                    <w:t>3</w:t>
                  </w:r>
                  <w:r>
                    <w:rPr>
                      <w:rFonts w:ascii="Times New Roman" w:hAnsi="Times New Roman"/>
                      <w:color w:val="auto"/>
                      <w:szCs w:val="21"/>
                      <w:shd w:val="clear" w:color="auto" w:fill="FFFFFF"/>
                    </w:rPr>
                    <w:t>，熔点1890℃</w:t>
                  </w:r>
                  <w:r>
                    <w:rPr>
                      <w:rFonts w:hint="eastAsia" w:ascii="Times New Roman" w:hAnsi="Times New Roman"/>
                      <w:color w:val="auto"/>
                      <w:szCs w:val="21"/>
                      <w:shd w:val="clear" w:color="auto" w:fill="FFFFFF"/>
                      <w:lang w:eastAsia="zh-CN"/>
                    </w:rPr>
                    <w:t>。</w:t>
                  </w:r>
                </w:p>
              </w:tc>
              <w:tc>
                <w:tcPr>
                  <w:tcW w:w="458" w:type="pct"/>
                  <w:noWrap w:val="0"/>
                  <w:tcMar>
                    <w:top w:w="0" w:type="dxa"/>
                    <w:left w:w="0" w:type="dxa"/>
                    <w:bottom w:w="0" w:type="dxa"/>
                    <w:right w:w="0" w:type="dxa"/>
                  </w:tcMar>
                  <w:vAlign w:val="center"/>
                </w:tcPr>
                <w:p w14:paraId="3F5B1A24">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不燃</w:t>
                  </w:r>
                </w:p>
              </w:tc>
              <w:tc>
                <w:tcPr>
                  <w:tcW w:w="759" w:type="pct"/>
                  <w:noWrap w:val="0"/>
                  <w:tcMar>
                    <w:top w:w="0" w:type="dxa"/>
                    <w:left w:w="0" w:type="dxa"/>
                    <w:bottom w:w="0" w:type="dxa"/>
                    <w:right w:w="0" w:type="dxa"/>
                  </w:tcMar>
                  <w:vAlign w:val="center"/>
                </w:tcPr>
                <w:p w14:paraId="562BFA95">
                  <w:pPr>
                    <w:pStyle w:val="93"/>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olor w:val="auto"/>
                      <w:szCs w:val="21"/>
                    </w:rPr>
                  </w:pPr>
                  <w:r>
                    <w:rPr>
                      <w:rFonts w:ascii="Times New Roman" w:hAnsi="Times New Roman" w:eastAsia="宋体"/>
                      <w:color w:val="auto"/>
                      <w:szCs w:val="21"/>
                    </w:rPr>
                    <w:t>无毒</w:t>
                  </w:r>
                </w:p>
              </w:tc>
            </w:tr>
            <w:tr w14:paraId="39154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noWrap w:val="0"/>
                  <w:tcMar>
                    <w:top w:w="0" w:type="dxa"/>
                    <w:left w:w="0" w:type="dxa"/>
                    <w:bottom w:w="0" w:type="dxa"/>
                    <w:right w:w="0" w:type="dxa"/>
                  </w:tcMar>
                  <w:vAlign w:val="center"/>
                </w:tcPr>
                <w:p w14:paraId="525587D0">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季戊四醇酯C(CH</w:t>
                  </w:r>
                  <w:r>
                    <w:rPr>
                      <w:rFonts w:ascii="Times New Roman" w:hAnsi="Times New Roman"/>
                      <w:color w:val="auto"/>
                      <w:szCs w:val="21"/>
                      <w:vertAlign w:val="subscript"/>
                    </w:rPr>
                    <w:t>2</w:t>
                  </w:r>
                  <w:r>
                    <w:rPr>
                      <w:rFonts w:ascii="Times New Roman" w:hAnsi="Times New Roman"/>
                      <w:color w:val="auto"/>
                      <w:szCs w:val="21"/>
                    </w:rPr>
                    <w:t>OOCC</w:t>
                  </w:r>
                  <w:r>
                    <w:rPr>
                      <w:rFonts w:ascii="Times New Roman" w:hAnsi="Times New Roman"/>
                      <w:color w:val="auto"/>
                      <w:szCs w:val="21"/>
                      <w:vertAlign w:val="subscript"/>
                    </w:rPr>
                    <w:t>17</w:t>
                  </w:r>
                  <w:r>
                    <w:rPr>
                      <w:rFonts w:ascii="Times New Roman" w:hAnsi="Times New Roman"/>
                      <w:color w:val="auto"/>
                      <w:szCs w:val="21"/>
                    </w:rPr>
                    <w:t>H</w:t>
                  </w:r>
                  <w:r>
                    <w:rPr>
                      <w:rFonts w:ascii="Times New Roman" w:hAnsi="Times New Roman"/>
                      <w:color w:val="auto"/>
                      <w:szCs w:val="21"/>
                      <w:vertAlign w:val="subscript"/>
                    </w:rPr>
                    <w:t>33</w:t>
                  </w:r>
                  <w:r>
                    <w:rPr>
                      <w:rFonts w:ascii="Times New Roman" w:hAnsi="Times New Roman"/>
                      <w:color w:val="auto"/>
                      <w:szCs w:val="21"/>
                    </w:rPr>
                    <w:t>)</w:t>
                  </w:r>
                  <w:r>
                    <w:rPr>
                      <w:rFonts w:ascii="Times New Roman" w:hAnsi="Times New Roman"/>
                      <w:color w:val="auto"/>
                      <w:szCs w:val="21"/>
                      <w:vertAlign w:val="subscript"/>
                    </w:rPr>
                    <w:t>4</w:t>
                  </w:r>
                </w:p>
              </w:tc>
              <w:tc>
                <w:tcPr>
                  <w:tcW w:w="2949" w:type="pct"/>
                  <w:noWrap w:val="0"/>
                  <w:tcMar>
                    <w:top w:w="0" w:type="dxa"/>
                    <w:left w:w="0" w:type="dxa"/>
                    <w:bottom w:w="0" w:type="dxa"/>
                    <w:right w:w="0" w:type="dxa"/>
                  </w:tcMar>
                  <w:vAlign w:val="center"/>
                </w:tcPr>
                <w:p w14:paraId="20FF830D">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shd w:val="clear" w:color="auto" w:fill="FFFFFF"/>
                    </w:rPr>
                  </w:pPr>
                  <w:r>
                    <w:rPr>
                      <w:rFonts w:ascii="Times New Roman" w:hAnsi="Times New Roman"/>
                      <w:color w:val="auto"/>
                      <w:szCs w:val="21"/>
                      <w:shd w:val="clear" w:color="auto" w:fill="FFFFFF"/>
                    </w:rPr>
                    <w:t>无色或黄色透明液体，季戊四醇酯具有优异的润滑性能、</w:t>
                  </w:r>
                  <w:r>
                    <w:rPr>
                      <w:rFonts w:hint="eastAsia"/>
                      <w:lang w:val="en-US" w:eastAsia="zh-CN"/>
                    </w:rPr>
                    <w:t>黏度</w:t>
                  </w:r>
                  <w:r>
                    <w:rPr>
                      <w:rFonts w:ascii="Times New Roman" w:hAnsi="Times New Roman"/>
                      <w:color w:val="auto"/>
                      <w:szCs w:val="21"/>
                      <w:shd w:val="clear" w:color="auto" w:fill="FFFFFF"/>
                    </w:rPr>
                    <w:t>指数高、抗燃性好，生物降解率达90％以上，是68号合成酯型抗燃液压油理想的基础油；可用于调配要求环保的液压油、链锯油和水上游艇用发动机油；作为油性剂在钢板冷轧制液、钢管拉拔油及其它金属加工液中广泛使用。</w:t>
                  </w:r>
                </w:p>
              </w:tc>
              <w:tc>
                <w:tcPr>
                  <w:tcW w:w="458" w:type="pct"/>
                  <w:noWrap w:val="0"/>
                  <w:tcMar>
                    <w:top w:w="0" w:type="dxa"/>
                    <w:left w:w="0" w:type="dxa"/>
                    <w:bottom w:w="0" w:type="dxa"/>
                    <w:right w:w="0" w:type="dxa"/>
                  </w:tcMar>
                  <w:vAlign w:val="center"/>
                </w:tcPr>
                <w:p w14:paraId="3110C87A">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可燃</w:t>
                  </w:r>
                </w:p>
              </w:tc>
              <w:tc>
                <w:tcPr>
                  <w:tcW w:w="759" w:type="pct"/>
                  <w:noWrap w:val="0"/>
                  <w:tcMar>
                    <w:top w:w="0" w:type="dxa"/>
                    <w:left w:w="0" w:type="dxa"/>
                    <w:bottom w:w="0" w:type="dxa"/>
                    <w:right w:w="0" w:type="dxa"/>
                  </w:tcMar>
                  <w:vAlign w:val="center"/>
                </w:tcPr>
                <w:p w14:paraId="3A376E1B">
                  <w:pPr>
                    <w:pStyle w:val="93"/>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olor w:val="auto"/>
                      <w:szCs w:val="21"/>
                    </w:rPr>
                  </w:pPr>
                  <w:r>
                    <w:rPr>
                      <w:rFonts w:ascii="Times New Roman" w:hAnsi="Times New Roman" w:eastAsia="宋体"/>
                      <w:color w:val="auto"/>
                      <w:szCs w:val="21"/>
                    </w:rPr>
                    <w:t>无毒</w:t>
                  </w:r>
                </w:p>
              </w:tc>
            </w:tr>
            <w:tr w14:paraId="39E64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noWrap w:val="0"/>
                  <w:tcMar>
                    <w:top w:w="0" w:type="dxa"/>
                    <w:left w:w="0" w:type="dxa"/>
                    <w:bottom w:w="0" w:type="dxa"/>
                    <w:right w:w="0" w:type="dxa"/>
                  </w:tcMar>
                  <w:vAlign w:val="center"/>
                </w:tcPr>
                <w:p w14:paraId="70EA1960">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石蜡油</w:t>
                  </w:r>
                </w:p>
              </w:tc>
              <w:tc>
                <w:tcPr>
                  <w:tcW w:w="2949" w:type="pct"/>
                  <w:noWrap w:val="0"/>
                  <w:tcMar>
                    <w:top w:w="0" w:type="dxa"/>
                    <w:left w:w="0" w:type="dxa"/>
                    <w:bottom w:w="0" w:type="dxa"/>
                    <w:right w:w="0" w:type="dxa"/>
                  </w:tcMar>
                  <w:vAlign w:val="center"/>
                </w:tcPr>
                <w:p w14:paraId="7B725B6D">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color w:val="auto"/>
                      <w:szCs w:val="21"/>
                    </w:rPr>
                  </w:pPr>
                  <w:r>
                    <w:rPr>
                      <w:rFonts w:ascii="Times New Roman" w:hAnsi="Times New Roman"/>
                      <w:color w:val="auto"/>
                      <w:szCs w:val="21"/>
                    </w:rPr>
                    <w:t>石油产品的一种。无色、无臭、无味，并无荧光的油状液体。密度0.87-0.98g/cm</w:t>
                  </w:r>
                  <w:r>
                    <w:rPr>
                      <w:rFonts w:ascii="Times New Roman" w:hAnsi="Times New Roman"/>
                      <w:color w:val="auto"/>
                      <w:szCs w:val="21"/>
                      <w:vertAlign w:val="superscript"/>
                    </w:rPr>
                    <w:t>3</w:t>
                  </w:r>
                  <w:r>
                    <w:rPr>
                      <w:rFonts w:ascii="Times New Roman" w:hAnsi="Times New Roman"/>
                      <w:color w:val="auto"/>
                      <w:szCs w:val="21"/>
                    </w:rPr>
                    <w:t>，闪点：230摄氏度，凝点-20~112℃按用途分为医药用和化妆品用两种。由重油经减压蒸馏所得的中等</w:t>
                  </w:r>
                  <w:r>
                    <w:rPr>
                      <w:rFonts w:hint="eastAsia"/>
                      <w:lang w:val="en-US" w:eastAsia="zh-CN"/>
                    </w:rPr>
                    <w:t>黏度</w:t>
                  </w:r>
                  <w:r>
                    <w:rPr>
                      <w:rFonts w:ascii="Times New Roman" w:hAnsi="Times New Roman"/>
                      <w:color w:val="auto"/>
                      <w:szCs w:val="21"/>
                    </w:rPr>
                    <w:t>润滑油馏分，再经加工精制而成。</w:t>
                  </w:r>
                </w:p>
              </w:tc>
              <w:tc>
                <w:tcPr>
                  <w:tcW w:w="458" w:type="pct"/>
                  <w:noWrap w:val="0"/>
                  <w:tcMar>
                    <w:top w:w="0" w:type="dxa"/>
                    <w:left w:w="0" w:type="dxa"/>
                    <w:bottom w:w="0" w:type="dxa"/>
                    <w:right w:w="0" w:type="dxa"/>
                  </w:tcMar>
                  <w:vAlign w:val="center"/>
                </w:tcPr>
                <w:p w14:paraId="00F07B31">
                  <w:pPr>
                    <w:pStyle w:val="93"/>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olor w:val="auto"/>
                      <w:szCs w:val="21"/>
                    </w:rPr>
                  </w:pPr>
                  <w:r>
                    <w:rPr>
                      <w:rFonts w:ascii="Times New Roman" w:hAnsi="Times New Roman" w:eastAsia="宋体"/>
                      <w:color w:val="auto"/>
                      <w:szCs w:val="21"/>
                    </w:rPr>
                    <w:t>可燃</w:t>
                  </w:r>
                </w:p>
              </w:tc>
              <w:tc>
                <w:tcPr>
                  <w:tcW w:w="759" w:type="pct"/>
                  <w:noWrap w:val="0"/>
                  <w:tcMar>
                    <w:top w:w="0" w:type="dxa"/>
                    <w:left w:w="0" w:type="dxa"/>
                    <w:bottom w:w="0" w:type="dxa"/>
                    <w:right w:w="0" w:type="dxa"/>
                  </w:tcMar>
                  <w:vAlign w:val="center"/>
                </w:tcPr>
                <w:p w14:paraId="583DA579">
                  <w:pPr>
                    <w:pStyle w:val="93"/>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eastAsia="宋体"/>
                      <w:color w:val="auto"/>
                      <w:szCs w:val="21"/>
                    </w:rPr>
                  </w:pPr>
                  <w:r>
                    <w:rPr>
                      <w:rFonts w:ascii="Times New Roman" w:hAnsi="Times New Roman" w:eastAsia="宋体"/>
                      <w:color w:val="auto"/>
                      <w:szCs w:val="21"/>
                    </w:rPr>
                    <w:t>微毒</w:t>
                  </w:r>
                </w:p>
              </w:tc>
            </w:tr>
          </w:tbl>
          <w:p w14:paraId="42CB8304">
            <w:pPr>
              <w:pStyle w:val="6"/>
              <w:spacing w:before="120" w:beforeLines="50" w:line="360" w:lineRule="auto"/>
              <w:ind w:firstLine="422"/>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6、项目水平衡分析</w:t>
            </w:r>
          </w:p>
          <w:p w14:paraId="5CDCE2F8">
            <w:pPr>
              <w:pStyle w:val="10"/>
              <w:spacing w:line="360" w:lineRule="auto"/>
              <w:ind w:left="0" w:leftChars="0" w:right="0" w:rightChars="0" w:firstLine="422"/>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①给水：</w:t>
            </w:r>
            <w:r>
              <w:rPr>
                <w:rFonts w:hint="default" w:ascii="Times New Roman" w:hAnsi="Times New Roman" w:eastAsia="宋体" w:cs="Times New Roman"/>
                <w:color w:val="auto"/>
                <w:sz w:val="21"/>
                <w:szCs w:val="21"/>
              </w:rPr>
              <w:t>本项目用水为员工的生活用水</w:t>
            </w:r>
            <w:r>
              <w:rPr>
                <w:rFonts w:hint="eastAsia" w:ascii="Times New Roman" w:hAnsi="Times New Roman" w:eastAsia="宋体" w:cs="Times New Roman"/>
                <w:color w:val="auto"/>
                <w:sz w:val="21"/>
                <w:szCs w:val="21"/>
                <w:lang w:eastAsia="zh-CN"/>
              </w:rPr>
              <w:t>、冷却用水、</w:t>
            </w:r>
            <w:r>
              <w:rPr>
                <w:rFonts w:hint="eastAsia" w:ascii="Times New Roman" w:hAnsi="Times New Roman" w:eastAsia="宋体" w:cs="Times New Roman"/>
                <w:color w:val="auto"/>
                <w:sz w:val="21"/>
                <w:szCs w:val="21"/>
                <w:lang w:val="en-US" w:eastAsia="zh-CN"/>
              </w:rPr>
              <w:t>喷淋塔用水</w:t>
            </w:r>
            <w:r>
              <w:rPr>
                <w:rFonts w:hint="default" w:ascii="Times New Roman" w:hAnsi="Times New Roman" w:eastAsia="宋体" w:cs="Times New Roman"/>
                <w:color w:val="auto"/>
                <w:sz w:val="21"/>
                <w:szCs w:val="21"/>
              </w:rPr>
              <w:t>。</w:t>
            </w:r>
          </w:p>
          <w:p w14:paraId="34B14F9B">
            <w:pPr>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生活用水</w:t>
            </w: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lang w:val="en-US" w:eastAsia="zh-CN"/>
              </w:rPr>
              <w:t>自来水</w:t>
            </w:r>
            <w:r>
              <w:rPr>
                <w:rFonts w:hint="eastAsia"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w:t>
            </w:r>
            <w:r>
              <w:rPr>
                <w:rFonts w:hint="default" w:ascii="Times New Roman" w:hAnsi="Times New Roman" w:eastAsia="宋体" w:cs="Times New Roman"/>
                <w:color w:val="auto"/>
                <w:szCs w:val="21"/>
              </w:rPr>
              <w:t>本项目新增员工人数</w:t>
            </w:r>
            <w:r>
              <w:rPr>
                <w:rFonts w:hint="eastAsia"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人，年工作300天，员工用水量按</w:t>
            </w:r>
            <w:r>
              <w:rPr>
                <w:rFonts w:hint="eastAsia"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rPr>
              <w:t>0L/人·d计，可知员工年用水量为</w:t>
            </w:r>
            <w:r>
              <w:rPr>
                <w:rFonts w:hint="eastAsia" w:ascii="Times New Roman" w:hAnsi="Times New Roman" w:eastAsia="宋体" w:cs="Times New Roman"/>
                <w:color w:val="auto"/>
                <w:szCs w:val="21"/>
                <w:lang w:val="en-US" w:eastAsia="zh-CN"/>
              </w:rPr>
              <w:t>180</w:t>
            </w:r>
            <w:r>
              <w:rPr>
                <w:rFonts w:hint="default" w:ascii="Times New Roman" w:hAnsi="Times New Roman" w:eastAsia="宋体" w:cs="Times New Roman"/>
                <w:color w:val="auto"/>
                <w:szCs w:val="21"/>
              </w:rPr>
              <w:t>t/a。</w:t>
            </w:r>
          </w:p>
          <w:p w14:paraId="79C17950">
            <w:pPr>
              <w:spacing w:line="360" w:lineRule="auto"/>
              <w:ind w:firstLine="422" w:firstLineChars="200"/>
              <w:rPr>
                <w:rFonts w:hint="default" w:ascii="Times New Roman" w:hAnsi="Times New Roman" w:eastAsia="宋体" w:cs="Times New Roman"/>
                <w:b/>
                <w:color w:val="auto"/>
                <w:szCs w:val="21"/>
                <w:lang w:val="en-US" w:eastAsia="zh-CN"/>
              </w:rPr>
            </w:pPr>
            <w:r>
              <w:rPr>
                <w:rFonts w:ascii="Times New Roman" w:hAnsi="Times New Roman" w:eastAsia="宋体"/>
                <w:b/>
                <w:bCs/>
                <w:color w:val="auto"/>
              </w:rPr>
              <w:t>切粒冷却用水：</w:t>
            </w:r>
            <w:r>
              <w:rPr>
                <w:rFonts w:ascii="Times New Roman" w:hAnsi="Times New Roman" w:eastAsia="宋体"/>
                <w:color w:val="auto"/>
              </w:rPr>
              <w:t>刚从挤出机挤出的热塑性材料为熔融状，在挤出口进行水下切粒，通过网板分离产品和冷却水，切粒过程产生粒径太小的边角料进入冷却水中。</w:t>
            </w:r>
            <w:r>
              <w:rPr>
                <w:rFonts w:hint="eastAsia" w:ascii="Times New Roman" w:hAnsi="Times New Roman" w:eastAsia="宋体"/>
                <w:color w:val="auto"/>
                <w:lang w:val="en-US" w:eastAsia="zh-CN"/>
              </w:rPr>
              <w:t>建设单位提供资料，项目</w:t>
            </w:r>
            <w:r>
              <w:rPr>
                <w:rFonts w:ascii="Times New Roman" w:hAnsi="Times New Roman" w:eastAsia="宋体"/>
                <w:color w:val="auto"/>
              </w:rPr>
              <w:t>设有</w:t>
            </w:r>
            <w:r>
              <w:rPr>
                <w:rFonts w:hint="eastAsia" w:ascii="Times New Roman" w:hAnsi="Times New Roman" w:eastAsia="宋体"/>
                <w:color w:val="auto"/>
                <w:lang w:val="en-US" w:eastAsia="zh-CN"/>
              </w:rPr>
              <w:t>2</w:t>
            </w:r>
            <w:r>
              <w:rPr>
                <w:rFonts w:ascii="Times New Roman" w:hAnsi="Times New Roman" w:eastAsia="宋体"/>
                <w:color w:val="auto"/>
              </w:rPr>
              <w:t>个水</w:t>
            </w:r>
            <w:r>
              <w:rPr>
                <w:rFonts w:hint="eastAsia" w:ascii="Times New Roman" w:hAnsi="Times New Roman" w:eastAsia="宋体"/>
                <w:color w:val="auto"/>
                <w:lang w:val="en-US" w:eastAsia="zh-CN"/>
              </w:rPr>
              <w:t>槽</w:t>
            </w:r>
            <w:r>
              <w:rPr>
                <w:rFonts w:ascii="Times New Roman" w:hAnsi="Times New Roman" w:eastAsia="宋体"/>
                <w:color w:val="auto"/>
              </w:rPr>
              <w:t>（</w:t>
            </w:r>
            <w:r>
              <w:rPr>
                <w:rFonts w:hint="eastAsia" w:ascii="Times New Roman" w:hAnsi="Times New Roman" w:eastAsia="宋体"/>
                <w:color w:val="auto"/>
                <w:lang w:val="en-US" w:eastAsia="zh-CN"/>
              </w:rPr>
              <w:t>1</w:t>
            </w:r>
            <w:r>
              <w:rPr>
                <w:rFonts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vertAlign w:val="baseline"/>
                <w:lang w:val="en-US" w:eastAsia="zh-CN"/>
              </w:rPr>
              <w:t>/个</w:t>
            </w:r>
            <w:r>
              <w:rPr>
                <w:rFonts w:ascii="Times New Roman" w:hAnsi="Times New Roman" w:eastAsia="宋体"/>
                <w:color w:val="auto"/>
              </w:rPr>
              <w:t>），在水箱中边角料经过格栅网隔离，冷却水循环使用</w:t>
            </w:r>
            <w:r>
              <w:rPr>
                <w:rFonts w:hint="eastAsia" w:ascii="Times New Roman" w:hAnsi="Times New Roman" w:eastAsia="宋体"/>
                <w:color w:val="auto"/>
                <w:lang w:val="en-US" w:eastAsia="zh-CN"/>
              </w:rPr>
              <w:t>不排放</w:t>
            </w:r>
            <w:r>
              <w:rPr>
                <w:rFonts w:ascii="Times New Roman" w:hAnsi="Times New Roman" w:eastAsia="宋体"/>
                <w:color w:val="auto"/>
              </w:rPr>
              <w:t>，总循环水量约为</w:t>
            </w:r>
            <w:r>
              <w:rPr>
                <w:rFonts w:hint="eastAsia" w:ascii="Times New Roman" w:hAnsi="Times New Roman" w:eastAsia="宋体"/>
                <w:color w:val="auto"/>
                <w:lang w:val="en-US" w:eastAsia="zh-CN"/>
              </w:rPr>
              <w:t>2</w:t>
            </w:r>
            <w:r>
              <w:rPr>
                <w:rFonts w:ascii="Times New Roman" w:hAnsi="Times New Roman" w:eastAsia="宋体"/>
                <w:color w:val="auto"/>
              </w:rPr>
              <w:t>m</w:t>
            </w:r>
            <w:r>
              <w:rPr>
                <w:rFonts w:ascii="Times New Roman" w:hAnsi="Times New Roman" w:eastAsia="宋体"/>
                <w:color w:val="auto"/>
                <w:vertAlign w:val="superscript"/>
              </w:rPr>
              <w:t>3</w:t>
            </w:r>
            <w:r>
              <w:rPr>
                <w:rFonts w:ascii="Times New Roman" w:hAnsi="Times New Roman" w:eastAsia="宋体"/>
                <w:color w:val="auto"/>
              </w:rPr>
              <w:t>/h</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4800</w:t>
            </w:r>
            <w:r>
              <w:rPr>
                <w:rFonts w:ascii="Times New Roman" w:hAnsi="Times New Roman" w:eastAsia="宋体"/>
                <w:color w:val="auto"/>
              </w:rPr>
              <w:t>m</w:t>
            </w:r>
            <w:r>
              <w:rPr>
                <w:rFonts w:ascii="Times New Roman" w:hAnsi="Times New Roman" w:eastAsia="宋体"/>
                <w:color w:val="auto"/>
                <w:vertAlign w:val="superscript"/>
              </w:rPr>
              <w:t>3</w:t>
            </w:r>
            <w:r>
              <w:rPr>
                <w:rFonts w:ascii="Times New Roman" w:hAnsi="Times New Roman" w:eastAsia="宋体"/>
                <w:color w:val="auto"/>
              </w:rPr>
              <w:t>/</w:t>
            </w:r>
            <w:r>
              <w:rPr>
                <w:rFonts w:hint="eastAsia" w:ascii="Times New Roman" w:hAnsi="Times New Roman" w:eastAsia="宋体"/>
                <w:color w:val="auto"/>
                <w:lang w:val="en-US" w:eastAsia="zh-CN"/>
              </w:rPr>
              <w:t>a</w:t>
            </w:r>
            <w:r>
              <w:rPr>
                <w:rFonts w:hint="eastAsia" w:ascii="Times New Roman" w:hAnsi="Times New Roman" w:eastAsia="宋体"/>
                <w:color w:val="auto"/>
                <w:lang w:eastAsia="zh-CN"/>
              </w:rPr>
              <w:t>）</w:t>
            </w:r>
            <w:r>
              <w:rPr>
                <w:rFonts w:ascii="Times New Roman" w:hAnsi="Times New Roman" w:eastAsia="宋体"/>
                <w:color w:val="auto"/>
              </w:rPr>
              <w:t>，切粒冷却用水损耗率极小，损耗量约</w:t>
            </w:r>
            <w:r>
              <w:rPr>
                <w:rFonts w:hint="eastAsia" w:ascii="Times New Roman" w:hAnsi="Times New Roman" w:eastAsia="宋体"/>
                <w:color w:val="auto"/>
                <w:lang w:val="en-US" w:eastAsia="zh-CN"/>
              </w:rPr>
              <w:t>10</w:t>
            </w:r>
            <w:r>
              <w:rPr>
                <w:rFonts w:ascii="Times New Roman" w:hAnsi="Times New Roman" w:eastAsia="宋体"/>
                <w:color w:val="auto"/>
              </w:rPr>
              <w:t>%，定期增添，年添</w:t>
            </w:r>
            <w:r>
              <w:rPr>
                <w:rFonts w:hint="eastAsia"/>
                <w:color w:val="auto"/>
                <w:lang w:val="en-US" w:eastAsia="zh-CN"/>
              </w:rPr>
              <w:t>加水</w:t>
            </w:r>
            <w:r>
              <w:rPr>
                <w:rFonts w:ascii="Times New Roman" w:hAnsi="Times New Roman" w:eastAsia="宋体"/>
                <w:color w:val="auto"/>
              </w:rPr>
              <w:t>量为</w:t>
            </w:r>
            <w:r>
              <w:rPr>
                <w:rFonts w:hint="eastAsia" w:ascii="Times New Roman" w:hAnsi="Times New Roman" w:eastAsia="宋体"/>
                <w:color w:val="auto"/>
                <w:lang w:val="en-US" w:eastAsia="zh-CN"/>
              </w:rPr>
              <w:t>480</w:t>
            </w:r>
            <w:r>
              <w:rPr>
                <w:rFonts w:ascii="Times New Roman" w:hAnsi="Times New Roman" w:eastAsia="宋体"/>
                <w:color w:val="auto"/>
              </w:rPr>
              <w:t>t/a</w:t>
            </w:r>
            <w:r>
              <w:rPr>
                <w:rFonts w:hint="eastAsia" w:ascii="Times New Roman" w:hAnsi="Times New Roman" w:eastAsia="宋体" w:cs="Times New Roman"/>
                <w:b w:val="0"/>
                <w:bCs/>
                <w:color w:val="auto"/>
                <w:szCs w:val="21"/>
                <w:lang w:val="en-US" w:eastAsia="zh-CN"/>
              </w:rPr>
              <w:t>。</w:t>
            </w:r>
          </w:p>
          <w:p w14:paraId="5264932C">
            <w:pPr>
              <w:spacing w:line="360" w:lineRule="auto"/>
              <w:ind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设备冷却</w:t>
            </w:r>
            <w:r>
              <w:rPr>
                <w:rFonts w:ascii="Times New Roman" w:hAnsi="Times New Roman" w:eastAsia="宋体"/>
                <w:b/>
                <w:bCs/>
                <w:color w:val="auto"/>
              </w:rPr>
              <w:t>用</w:t>
            </w:r>
            <w:r>
              <w:rPr>
                <w:rFonts w:hint="default" w:ascii="Times New Roman" w:hAnsi="Times New Roman" w:eastAsia="宋体" w:cs="Times New Roman"/>
                <w:b/>
                <w:color w:val="auto"/>
                <w:szCs w:val="21"/>
                <w:lang w:val="en-US" w:eastAsia="zh-CN"/>
              </w:rPr>
              <w:t>水</w:t>
            </w:r>
            <w:r>
              <w:rPr>
                <w:rFonts w:hint="default" w:ascii="Times New Roman" w:hAnsi="Times New Roman" w:eastAsia="宋体" w:cs="Times New Roman"/>
                <w:b w:val="0"/>
                <w:bCs/>
                <w:color w:val="auto"/>
                <w:szCs w:val="21"/>
                <w:lang w:val="en-US" w:eastAsia="zh-CN"/>
              </w:rPr>
              <w:t>：这股冷却水主要为挤出机、开炼机、成型机等冷却，以及切粒冷却水热交换，不与产品直接接触。车间内设有一个水箱，屋顶设有一个冷却水塔，设备冷却水经过水箱和冷却水塔冷却后循环使用，循环水量约为10m</w:t>
            </w:r>
            <w:r>
              <w:rPr>
                <w:rFonts w:hint="default" w:ascii="Times New Roman" w:hAnsi="Times New Roman" w:eastAsia="宋体" w:cs="Times New Roman"/>
                <w:b w:val="0"/>
                <w:bCs/>
                <w:color w:val="auto"/>
                <w:szCs w:val="21"/>
                <w:vertAlign w:val="superscript"/>
                <w:lang w:val="en-US" w:eastAsia="zh-CN"/>
              </w:rPr>
              <w:t>3</w:t>
            </w:r>
            <w:r>
              <w:rPr>
                <w:rFonts w:hint="default" w:ascii="Times New Roman" w:hAnsi="Times New Roman" w:eastAsia="宋体" w:cs="Times New Roman"/>
                <w:b w:val="0"/>
                <w:bCs/>
                <w:color w:val="auto"/>
                <w:szCs w:val="21"/>
                <w:lang w:val="en-US" w:eastAsia="zh-CN"/>
              </w:rPr>
              <w:t>/h，由于这股冷却水不与产品直接接触，可一直循环使用不外排，冷却水以蒸汽的形式损耗（损耗量2%），需每天进行补充，补充量约为1.6t/d，则年补充水量约为</w:t>
            </w:r>
            <w:r>
              <w:rPr>
                <w:rFonts w:hint="eastAsia" w:ascii="Times New Roman" w:hAnsi="Times New Roman" w:eastAsia="宋体" w:cs="Times New Roman"/>
                <w:b w:val="0"/>
                <w:bCs/>
                <w:color w:val="auto"/>
                <w:szCs w:val="21"/>
                <w:lang w:val="en-US" w:eastAsia="zh-CN"/>
              </w:rPr>
              <w:t>480</w:t>
            </w:r>
            <w:r>
              <w:rPr>
                <w:rFonts w:hint="default" w:ascii="Times New Roman" w:hAnsi="Times New Roman" w:eastAsia="宋体" w:cs="Times New Roman"/>
                <w:b w:val="0"/>
                <w:bCs/>
                <w:color w:val="auto"/>
                <w:szCs w:val="21"/>
                <w:lang w:val="en-US" w:eastAsia="zh-CN"/>
              </w:rPr>
              <w:t>t/a</w:t>
            </w:r>
            <w:r>
              <w:rPr>
                <w:rFonts w:hint="eastAsia" w:ascii="Times New Roman" w:hAnsi="Times New Roman" w:eastAsia="宋体" w:cs="Times New Roman"/>
                <w:b w:val="0"/>
                <w:bCs/>
                <w:color w:val="auto"/>
                <w:szCs w:val="21"/>
                <w:lang w:val="en-US" w:eastAsia="zh-CN"/>
              </w:rPr>
              <w:t>。</w:t>
            </w:r>
          </w:p>
          <w:p w14:paraId="2071564B">
            <w:pPr>
              <w:spacing w:line="360" w:lineRule="auto"/>
              <w:ind w:firstLine="422" w:firstLineChars="200"/>
              <w:rPr>
                <w:rFonts w:hint="default" w:ascii="Times New Roman" w:hAnsi="Times New Roman" w:eastAsia="宋体" w:cs="Times New Roman"/>
                <w:b/>
                <w:color w:val="auto"/>
                <w:szCs w:val="21"/>
                <w:lang w:val="en-US" w:eastAsia="zh-CN"/>
              </w:rPr>
            </w:pPr>
            <w:r>
              <w:rPr>
                <w:rFonts w:hint="eastAsia"/>
                <w:b/>
                <w:bCs/>
                <w:color w:val="auto"/>
                <w:highlight w:val="none"/>
                <w:lang w:val="en-US" w:eastAsia="zh-CN"/>
              </w:rPr>
              <w:t>喷淋塔用水</w:t>
            </w:r>
            <w:r>
              <w:rPr>
                <w:rFonts w:hint="eastAsia"/>
                <w:color w:val="auto"/>
                <w:highlight w:val="none"/>
                <w:lang w:val="en-US" w:eastAsia="zh-CN"/>
              </w:rPr>
              <w:t>：本项目设置喷淋装置用于除去油雾颗粒物。根据建设单位提供资料，水喷淋用水循环使用，每年更换一次。本项目设置一套水喷淋塔，循环水量为1m</w:t>
            </w:r>
            <w:r>
              <w:rPr>
                <w:rFonts w:hint="eastAsia"/>
                <w:color w:val="auto"/>
                <w:highlight w:val="none"/>
                <w:vertAlign w:val="superscript"/>
                <w:lang w:val="en-US" w:eastAsia="zh-CN"/>
              </w:rPr>
              <w:t>3</w:t>
            </w:r>
            <w:r>
              <w:rPr>
                <w:rFonts w:hint="eastAsia"/>
                <w:color w:val="auto"/>
                <w:highlight w:val="none"/>
                <w:lang w:val="en-US" w:eastAsia="zh-CN"/>
              </w:rPr>
              <w:t>/h（2400m</w:t>
            </w:r>
            <w:r>
              <w:rPr>
                <w:rFonts w:hint="eastAsia"/>
                <w:color w:val="auto"/>
                <w:highlight w:val="none"/>
                <w:vertAlign w:val="superscript"/>
                <w:lang w:val="en-US" w:eastAsia="zh-CN"/>
              </w:rPr>
              <w:t>3</w:t>
            </w:r>
            <w:r>
              <w:rPr>
                <w:rFonts w:hint="eastAsia"/>
                <w:color w:val="auto"/>
                <w:highlight w:val="none"/>
                <w:lang w:val="en-US" w:eastAsia="zh-CN"/>
              </w:rPr>
              <w:t>/a）。水喷淋塔用水损耗量以10%计，定期补充量约240m</w:t>
            </w:r>
            <w:r>
              <w:rPr>
                <w:rFonts w:hint="eastAsia"/>
                <w:color w:val="auto"/>
                <w:highlight w:val="none"/>
                <w:vertAlign w:val="superscript"/>
                <w:lang w:val="en-US" w:eastAsia="zh-CN"/>
              </w:rPr>
              <w:t>3</w:t>
            </w:r>
            <w:r>
              <w:rPr>
                <w:rFonts w:hint="eastAsia"/>
                <w:color w:val="auto"/>
                <w:highlight w:val="none"/>
                <w:lang w:val="en-US" w:eastAsia="zh-CN"/>
              </w:rPr>
              <w:t>/a，更换量为1m</w:t>
            </w:r>
            <w:r>
              <w:rPr>
                <w:rFonts w:hint="eastAsia"/>
                <w:color w:val="auto"/>
                <w:highlight w:val="none"/>
                <w:vertAlign w:val="superscript"/>
                <w:lang w:val="en-US" w:eastAsia="zh-CN"/>
              </w:rPr>
              <w:t>3</w:t>
            </w:r>
            <w:r>
              <w:rPr>
                <w:rFonts w:hint="eastAsia"/>
                <w:color w:val="auto"/>
                <w:highlight w:val="none"/>
                <w:lang w:val="en-US" w:eastAsia="zh-CN"/>
              </w:rPr>
              <w:t>/a。</w:t>
            </w:r>
          </w:p>
          <w:p w14:paraId="08ED14B5">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②排水：</w:t>
            </w:r>
          </w:p>
          <w:p w14:paraId="5CE6B8DD">
            <w:pPr>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生活污水</w:t>
            </w:r>
            <w:r>
              <w:rPr>
                <w:rFonts w:hint="default" w:ascii="Times New Roman" w:hAnsi="Times New Roman" w:eastAsia="宋体" w:cs="Times New Roman"/>
                <w:bCs/>
                <w:color w:val="auto"/>
                <w:szCs w:val="21"/>
              </w:rPr>
              <w:t>：生活用水排放系数以0.8计，则生活污水排放量为</w:t>
            </w:r>
            <w:r>
              <w:rPr>
                <w:rFonts w:hint="eastAsia" w:ascii="Times New Roman" w:hAnsi="Times New Roman" w:eastAsia="宋体" w:cs="Times New Roman"/>
                <w:bCs/>
                <w:color w:val="auto"/>
                <w:szCs w:val="21"/>
                <w:lang w:val="en-US" w:eastAsia="zh-CN"/>
              </w:rPr>
              <w:t>144</w:t>
            </w:r>
            <w:r>
              <w:rPr>
                <w:rFonts w:hint="default" w:ascii="Times New Roman" w:hAnsi="Times New Roman" w:eastAsia="宋体" w:cs="Times New Roman"/>
                <w:bCs/>
                <w:color w:val="auto"/>
                <w:szCs w:val="21"/>
              </w:rPr>
              <w:t>m</w:t>
            </w:r>
            <w:r>
              <w:rPr>
                <w:rFonts w:hint="default" w:ascii="Times New Roman" w:hAnsi="Times New Roman" w:eastAsia="宋体" w:cs="Times New Roman"/>
                <w:bCs/>
                <w:color w:val="auto"/>
                <w:szCs w:val="21"/>
                <w:vertAlign w:val="superscript"/>
              </w:rPr>
              <w:t>3</w:t>
            </w:r>
            <w:r>
              <w:rPr>
                <w:rFonts w:hint="default" w:ascii="Times New Roman" w:hAnsi="Times New Roman" w:eastAsia="宋体" w:cs="Times New Roman"/>
                <w:bCs/>
                <w:color w:val="auto"/>
                <w:szCs w:val="21"/>
              </w:rPr>
              <w:t>/a，生活污水水质较为简单，其中</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400mg/L、SS</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200mg/L、NH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 xml:space="preserve"> 30</w:t>
            </w:r>
            <w:r>
              <w:rPr>
                <w:rFonts w:hint="default" w:ascii="Times New Roman" w:hAnsi="Times New Roman" w:eastAsia="宋体" w:cs="Times New Roman"/>
                <w:color w:val="auto"/>
                <w:sz w:val="21"/>
                <w:szCs w:val="21"/>
              </w:rPr>
              <w:t xml:space="preserve">mg/L、TN </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mg/L、TP 3mg/L</w:t>
            </w:r>
            <w:r>
              <w:rPr>
                <w:rFonts w:hint="default" w:ascii="Times New Roman" w:hAnsi="Times New Roman" w:eastAsia="宋体" w:cs="Times New Roman"/>
                <w:bCs/>
                <w:color w:val="auto"/>
                <w:szCs w:val="21"/>
              </w:rPr>
              <w:t>，排入</w:t>
            </w:r>
            <w:r>
              <w:rPr>
                <w:rFonts w:hint="default" w:ascii="Times New Roman" w:hAnsi="Times New Roman" w:eastAsia="宋体" w:cs="Times New Roman"/>
                <w:color w:val="auto"/>
                <w:szCs w:val="21"/>
              </w:rPr>
              <w:t>常州金坛区第二污水处理有限公司。</w:t>
            </w:r>
          </w:p>
          <w:p w14:paraId="6B4A7F57">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本项目水平衡图如下图所示。</w:t>
            </w:r>
          </w:p>
          <w:p w14:paraId="5F7C2BB7">
            <w:pPr>
              <w:pStyle w:val="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object>
                <v:shape id="_x0000_i1025" o:spt="75" type="#_x0000_t75" style="height:229.85pt;width:301.7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546B52AC">
            <w:pPr>
              <w:pStyle w:val="6"/>
              <w:spacing w:after="120" w:afterLines="50"/>
              <w:ind w:firstLine="0" w:firstLineChars="0"/>
              <w:jc w:val="center"/>
              <w:rPr>
                <w:rFonts w:hint="default" w:ascii="Times New Roman" w:hAnsi="Times New Roman" w:eastAsia="宋体" w:cs="Times New Roman"/>
                <w:b/>
                <w:color w:val="auto"/>
                <w:kern w:val="21"/>
                <w:szCs w:val="21"/>
                <w:lang w:val="zh-CN"/>
              </w:rPr>
            </w:pPr>
            <w:r>
              <w:rPr>
                <w:rFonts w:hint="default" w:ascii="Times New Roman" w:hAnsi="Times New Roman" w:eastAsia="宋体" w:cs="Times New Roman"/>
                <w:b/>
                <w:color w:val="auto"/>
                <w:szCs w:val="21"/>
              </w:rPr>
              <w:t>图2-1 本项目用水平衡图（m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/a）</w:t>
            </w:r>
          </w:p>
          <w:p w14:paraId="482FD4BB">
            <w:pPr>
              <w:pStyle w:val="52"/>
              <w:ind w:firstLine="422"/>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7、项目平面布置概况</w:t>
            </w:r>
          </w:p>
          <w:p w14:paraId="182CD5CB">
            <w:pPr>
              <w:pStyle w:val="52"/>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常州市金坛区经济开发区东湖路28号，租赁常州市金坛区欣阳服饰有限公司现有空置厂房1660m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进行生产</w:t>
            </w:r>
            <w:r>
              <w:rPr>
                <w:rFonts w:hint="default" w:ascii="Times New Roman" w:hAnsi="Times New Roman" w:eastAsia="宋体" w:cs="Times New Roman"/>
                <w:color w:val="auto"/>
                <w:sz w:val="21"/>
                <w:szCs w:val="21"/>
              </w:rPr>
              <w:t>。</w:t>
            </w:r>
          </w:p>
          <w:p w14:paraId="104F70C7">
            <w:pPr>
              <w:pStyle w:val="52"/>
              <w:ind w:firstLine="42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厂区内分为西侧和东侧，东侧为空置场地，西侧建有2栋厂房，北厂房为三层，租赁给港华燃气公司，南厂房为二层，一层西侧为本项目生产车间及办公室，一层东侧为其他租赁企业，二层北侧为租赁企业，中间为空置，南侧为房东。</w:t>
            </w:r>
          </w:p>
          <w:p w14:paraId="54366373">
            <w:pPr>
              <w:pStyle w:val="52"/>
              <w:ind w:firstLine="420"/>
              <w:jc w:val="both"/>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生产车间由北至南为</w:t>
            </w:r>
            <w:r>
              <w:rPr>
                <w:rFonts w:hint="eastAsia" w:cs="Times New Roman"/>
                <w:color w:val="auto"/>
                <w:sz w:val="21"/>
                <w:szCs w:val="21"/>
                <w:lang w:val="en-US" w:eastAsia="zh-CN"/>
              </w:rPr>
              <w:t>检测室、挤出线、破碎区、烘干区、成品暂存区、原料暂存区</w:t>
            </w:r>
            <w:r>
              <w:rPr>
                <w:rFonts w:hint="default" w:ascii="Times New Roman" w:hAnsi="Times New Roman" w:eastAsia="宋体" w:cs="Times New Roman"/>
                <w:color w:val="auto"/>
                <w:sz w:val="21"/>
                <w:szCs w:val="21"/>
              </w:rPr>
              <w:t>。项目平面布置图详见附图</w:t>
            </w:r>
            <w:r>
              <w:rPr>
                <w:rFonts w:hint="eastAsia" w:cs="Times New Roman"/>
                <w:color w:val="auto"/>
                <w:sz w:val="21"/>
                <w:szCs w:val="21"/>
                <w:lang w:val="en-US" w:eastAsia="zh-CN"/>
              </w:rPr>
              <w:t>3~4</w:t>
            </w:r>
            <w:r>
              <w:rPr>
                <w:rFonts w:hint="default" w:ascii="Times New Roman" w:hAnsi="Times New Roman" w:eastAsia="宋体" w:cs="Times New Roman"/>
                <w:color w:val="auto"/>
                <w:sz w:val="21"/>
                <w:szCs w:val="21"/>
              </w:rPr>
              <w:t>。</w:t>
            </w:r>
          </w:p>
          <w:p w14:paraId="41FA9B72">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8、项目周边环境概况：</w:t>
            </w:r>
          </w:p>
          <w:p w14:paraId="04705988">
            <w:pPr>
              <w:spacing w:line="360" w:lineRule="auto"/>
              <w:ind w:firstLine="420" w:firstLineChars="20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常州市金坛区经济开发区东湖路28号</w:t>
            </w:r>
            <w:r>
              <w:rPr>
                <w:rFonts w:hint="eastAsia" w:ascii="Times New Roman" w:hAnsi="Times New Roman" w:eastAsia="宋体" w:cs="Times New Roman"/>
                <w:color w:val="auto"/>
                <w:sz w:val="21"/>
                <w:szCs w:val="21"/>
                <w:lang w:val="en-US" w:eastAsia="zh-CN"/>
              </w:rPr>
              <w:t>。</w:t>
            </w:r>
          </w:p>
          <w:p w14:paraId="06D06FA0">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厂区</w:t>
            </w:r>
            <w:r>
              <w:rPr>
                <w:rFonts w:hint="default" w:ascii="Times New Roman" w:hAnsi="Times New Roman" w:eastAsia="宋体" w:cs="Times New Roman"/>
                <w:color w:val="auto"/>
                <w:sz w:val="21"/>
                <w:szCs w:val="21"/>
              </w:rPr>
              <w:t>东侧为</w:t>
            </w:r>
            <w:r>
              <w:rPr>
                <w:rFonts w:hint="eastAsia" w:ascii="Times New Roman" w:hAnsi="Times New Roman" w:eastAsia="宋体" w:cs="Times New Roman"/>
                <w:color w:val="auto"/>
                <w:sz w:val="21"/>
                <w:szCs w:val="21"/>
                <w:lang w:val="en-US" w:eastAsia="zh-CN"/>
              </w:rPr>
              <w:t>金湖路</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南侧为</w:t>
            </w:r>
            <w:r>
              <w:rPr>
                <w:rFonts w:hint="default" w:ascii="Times New Roman" w:hAnsi="Times New Roman" w:eastAsia="宋体" w:cs="Times New Roman"/>
                <w:color w:val="auto"/>
                <w:sz w:val="21"/>
                <w:szCs w:val="21"/>
                <w:lang w:val="en-US" w:eastAsia="zh-CN"/>
              </w:rPr>
              <w:t>中国石化储气库分公司金坛储气库管理处</w:t>
            </w:r>
            <w:r>
              <w:rPr>
                <w:rFonts w:hint="eastAsia" w:ascii="Times New Roman" w:hAnsi="Times New Roman" w:eastAsia="宋体" w:cs="Times New Roman"/>
                <w:color w:val="auto"/>
                <w:sz w:val="21"/>
                <w:szCs w:val="21"/>
                <w:lang w:val="en-US" w:eastAsia="zh-CN"/>
              </w:rPr>
              <w:t>、常州苏阿帽业有限公司</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西侧为常州市金坛凯迪制衣厂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北侧为翔天国际汽车城</w:t>
            </w:r>
            <w:r>
              <w:rPr>
                <w:rFonts w:hint="default" w:ascii="Times New Roman" w:hAnsi="Times New Roman" w:eastAsia="宋体" w:cs="Times New Roman"/>
                <w:color w:val="auto"/>
                <w:szCs w:val="21"/>
              </w:rPr>
              <w:t>。本项目最近环境敏感点为</w:t>
            </w:r>
            <w:r>
              <w:rPr>
                <w:rFonts w:hint="eastAsia" w:ascii="Times New Roman" w:hAnsi="Times New Roman" w:eastAsia="宋体" w:cs="Times New Roman"/>
                <w:color w:val="auto"/>
                <w:szCs w:val="21"/>
                <w:lang w:val="en-US" w:eastAsia="zh-CN"/>
              </w:rPr>
              <w:t>西南</w:t>
            </w:r>
            <w:r>
              <w:rPr>
                <w:rFonts w:hint="default" w:ascii="Times New Roman" w:hAnsi="Times New Roman" w:eastAsia="宋体" w:cs="Times New Roman"/>
                <w:color w:val="auto"/>
                <w:szCs w:val="21"/>
              </w:rPr>
              <w:t>方向</w:t>
            </w:r>
            <w:r>
              <w:rPr>
                <w:rFonts w:hint="eastAsia" w:ascii="Times New Roman" w:hAnsi="Times New Roman" w:eastAsia="宋体" w:cs="Times New Roman"/>
                <w:color w:val="auto"/>
                <w:szCs w:val="21"/>
                <w:lang w:val="en-US" w:eastAsia="zh-CN"/>
              </w:rPr>
              <w:t>215</w:t>
            </w:r>
            <w:r>
              <w:rPr>
                <w:rFonts w:hint="default" w:ascii="Times New Roman" w:hAnsi="Times New Roman" w:eastAsia="宋体" w:cs="Times New Roman"/>
                <w:color w:val="auto"/>
                <w:szCs w:val="21"/>
              </w:rPr>
              <w:t>米处的</w:t>
            </w:r>
            <w:r>
              <w:rPr>
                <w:rFonts w:hint="eastAsia" w:ascii="Times New Roman" w:hAnsi="Times New Roman" w:eastAsia="宋体" w:cs="Times New Roman"/>
                <w:color w:val="auto"/>
                <w:szCs w:val="21"/>
                <w:lang w:val="en-US" w:eastAsia="zh-CN"/>
              </w:rPr>
              <w:t>双墩村</w:t>
            </w:r>
            <w:r>
              <w:rPr>
                <w:rFonts w:hint="default" w:ascii="Times New Roman" w:hAnsi="Times New Roman" w:eastAsia="宋体" w:cs="Times New Roman"/>
                <w:color w:val="auto"/>
                <w:szCs w:val="21"/>
              </w:rPr>
              <w:t>。周边概况图见附图2。</w:t>
            </w:r>
          </w:p>
        </w:tc>
      </w:tr>
      <w:tr w14:paraId="5FFA1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50" w:type="dxa"/>
            <w:noWrap w:val="0"/>
            <w:tcMar>
              <w:top w:w="0" w:type="dxa"/>
              <w:left w:w="0" w:type="dxa"/>
              <w:bottom w:w="0" w:type="dxa"/>
              <w:right w:w="0" w:type="dxa"/>
            </w:tcMar>
            <w:vAlign w:val="center"/>
          </w:tcPr>
          <w:p w14:paraId="093CA47D">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510" w:type="dxa"/>
            <w:noWrap w:val="0"/>
            <w:vAlign w:val="top"/>
          </w:tcPr>
          <w:p w14:paraId="3C0E8027">
            <w:pPr>
              <w:widowControl/>
              <w:spacing w:before="120" w:beforeLines="50" w:line="360" w:lineRule="auto"/>
              <w:ind w:firstLine="422" w:firstLineChars="200"/>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w:t>
            </w:r>
            <w:r>
              <w:rPr>
                <w:rFonts w:hint="eastAsia" w:ascii="Times New Roman" w:hAnsi="Times New Roman" w:eastAsia="宋体" w:cs="Times New Roman"/>
                <w:b/>
                <w:color w:val="auto"/>
                <w:szCs w:val="21"/>
                <w:lang w:eastAsia="zh-CN"/>
              </w:rPr>
              <w:t>热塑性弹性体</w:t>
            </w:r>
            <w:r>
              <w:rPr>
                <w:rFonts w:hint="eastAsia" w:ascii="Times New Roman" w:hAnsi="Times New Roman" w:eastAsia="宋体" w:cs="Times New Roman"/>
                <w:b/>
                <w:color w:val="auto"/>
                <w:szCs w:val="21"/>
                <w:lang w:val="en-US" w:eastAsia="zh-CN"/>
              </w:rPr>
              <w:t>颗粒</w:t>
            </w:r>
            <w:r>
              <w:rPr>
                <w:rFonts w:hint="default" w:ascii="Times New Roman" w:hAnsi="Times New Roman" w:eastAsia="宋体" w:cs="Times New Roman"/>
                <w:b/>
                <w:color w:val="auto"/>
                <w:szCs w:val="21"/>
              </w:rPr>
              <w:t>工艺流程</w:t>
            </w:r>
          </w:p>
          <w:p w14:paraId="4FECAC8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lang w:val="en-US" w:eastAsia="zh-CN"/>
              </w:rPr>
              <w:t>本项目</w:t>
            </w:r>
            <w:r>
              <w:rPr>
                <w:rFonts w:hint="eastAsia" w:ascii="Times New Roman" w:hAnsi="Times New Roman" w:eastAsia="宋体" w:cs="Times New Roman"/>
                <w:color w:val="auto"/>
                <w:lang w:eastAsia="zh-CN"/>
              </w:rPr>
              <w:t>热塑性弹性体颗粒</w:t>
            </w:r>
            <w:r>
              <w:rPr>
                <w:rFonts w:hint="default" w:ascii="Times New Roman" w:hAnsi="Times New Roman" w:eastAsia="宋体" w:cs="Times New Roman"/>
                <w:color w:val="auto"/>
                <w:szCs w:val="21"/>
              </w:rPr>
              <w:t>生产工艺及产污环节如下图所示：</w:t>
            </w:r>
          </w:p>
          <w:p w14:paraId="392DC996">
            <w:pPr>
              <w:pStyle w:val="7"/>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val="0"/>
                <w:color w:val="auto"/>
                <w:kern w:val="2"/>
                <w:sz w:val="21"/>
                <w:szCs w:val="21"/>
              </w:rPr>
            </w:pPr>
            <w:r>
              <w:rPr>
                <w:rFonts w:hint="default" w:ascii="Times New Roman" w:hAnsi="Times New Roman" w:eastAsia="宋体" w:cs="Times New Roman"/>
                <w:bCs/>
                <w:color w:val="auto"/>
                <w:kern w:val="2"/>
                <w:sz w:val="21"/>
                <w:szCs w:val="21"/>
              </w:rPr>
              <w:object>
                <v:shape id="_x0000_i1026" o:spt="75" type="#_x0000_t75" style="height:273.2pt;width:207.2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43E47DFC">
            <w:pPr>
              <w:pStyle w:val="7"/>
              <w:spacing w:line="360" w:lineRule="auto"/>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Cs w:val="0"/>
                <w:color w:val="auto"/>
                <w:kern w:val="2"/>
                <w:sz w:val="21"/>
                <w:szCs w:val="21"/>
              </w:rPr>
              <w:t>图2-2 热塑性弹性体颗粒生产工艺流程及产污环节图</w:t>
            </w:r>
          </w:p>
          <w:p w14:paraId="77A652D6">
            <w:pPr>
              <w:pStyle w:val="2"/>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rPr>
              <w:t>称量配料：</w:t>
            </w:r>
            <w:r>
              <w:rPr>
                <w:rFonts w:hint="default" w:ascii="Times New Roman" w:hAnsi="Times New Roman" w:eastAsia="宋体" w:cs="Times New Roman"/>
                <w:color w:val="auto"/>
                <w:sz w:val="21"/>
                <w:szCs w:val="21"/>
              </w:rPr>
              <w:t>根据产品配方，</w:t>
            </w:r>
            <w:r>
              <w:rPr>
                <w:rFonts w:hint="eastAsia" w:ascii="Times New Roman" w:hAnsi="Times New Roman" w:eastAsia="宋体" w:cs="Times New Roman"/>
                <w:color w:val="auto"/>
                <w:sz w:val="21"/>
                <w:szCs w:val="21"/>
                <w:lang w:val="en-US" w:eastAsia="zh-CN"/>
              </w:rPr>
              <w:t>人工对三元乙丙橡胶粉末</w:t>
            </w:r>
            <w:r>
              <w:rPr>
                <w:rFonts w:hint="default" w:ascii="Times New Roman" w:hAnsi="Times New Roman" w:eastAsia="宋体" w:cs="Times New Roman"/>
                <w:color w:val="auto"/>
                <w:sz w:val="21"/>
                <w:szCs w:val="21"/>
              </w:rPr>
              <w:t>、滑石粉</w:t>
            </w:r>
            <w:r>
              <w:rPr>
                <w:rFonts w:hint="eastAsia" w:ascii="Times New Roman" w:hAnsi="Times New Roman" w:eastAsia="宋体" w:cs="Times New Roman"/>
                <w:color w:val="auto"/>
                <w:sz w:val="21"/>
                <w:szCs w:val="21"/>
                <w:lang w:val="en-US" w:eastAsia="zh-CN"/>
              </w:rPr>
              <w:t>粉末</w:t>
            </w:r>
            <w:r>
              <w:rPr>
                <w:rFonts w:hint="default" w:ascii="Times New Roman" w:hAnsi="Times New Roman" w:eastAsia="宋体" w:cs="Times New Roman"/>
                <w:color w:val="auto"/>
                <w:sz w:val="21"/>
                <w:szCs w:val="21"/>
              </w:rPr>
              <w:t>、色母粒</w:t>
            </w:r>
            <w:r>
              <w:rPr>
                <w:rFonts w:hint="eastAsia" w:ascii="Times New Roman" w:hAnsi="Times New Roman" w:eastAsia="宋体" w:cs="Times New Roman"/>
                <w:color w:val="auto"/>
                <w:sz w:val="21"/>
                <w:szCs w:val="21"/>
                <w:lang w:val="en-US" w:eastAsia="zh-CN"/>
              </w:rPr>
              <w:t>颗粒</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聚丙烯</w:t>
            </w:r>
            <w:r>
              <w:rPr>
                <w:rFonts w:hint="eastAsia" w:ascii="Times New Roman" w:hAnsi="Times New Roman" w:eastAsia="宋体" w:cs="Times New Roman"/>
                <w:color w:val="auto"/>
                <w:sz w:val="21"/>
                <w:szCs w:val="21"/>
                <w:lang w:val="en-US" w:eastAsia="zh-CN"/>
              </w:rPr>
              <w:t>颗粒</w:t>
            </w:r>
            <w:r>
              <w:rPr>
                <w:rFonts w:hint="default" w:ascii="Times New Roman" w:hAnsi="Times New Roman" w:eastAsia="宋体" w:cs="Times New Roman"/>
                <w:color w:val="auto"/>
                <w:sz w:val="21"/>
                <w:szCs w:val="21"/>
              </w:rPr>
              <w:t>、环保增塑剂、抗氧化剂</w:t>
            </w:r>
            <w:r>
              <w:rPr>
                <w:rFonts w:hint="eastAsia" w:ascii="Times New Roman" w:hAnsi="Times New Roman" w:eastAsia="宋体" w:cs="Times New Roman"/>
                <w:color w:val="auto"/>
                <w:sz w:val="21"/>
                <w:szCs w:val="21"/>
                <w:lang w:val="en-US" w:eastAsia="zh-CN"/>
              </w:rPr>
              <w:t>称量配料，三元乙丙橡胶、滑石粉为粉末固体，称量配料过程会产生少量G1-1配料粉尘、S1-1废包装袋；</w:t>
            </w:r>
          </w:p>
          <w:p w14:paraId="24CA5747">
            <w:pPr>
              <w:pStyle w:val="2"/>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投料混合：</w:t>
            </w:r>
            <w:r>
              <w:rPr>
                <w:rFonts w:hint="eastAsia" w:ascii="Times New Roman" w:hAnsi="Times New Roman" w:eastAsia="宋体" w:cs="Times New Roman"/>
                <w:color w:val="auto"/>
                <w:sz w:val="21"/>
                <w:szCs w:val="21"/>
                <w:lang w:val="en-US" w:eastAsia="zh-CN"/>
              </w:rPr>
              <w:t>将配好的原料人工倒入高速搅拌机中，合上顶盖旋紧后进行搅拌，搅拌3~5min后放入混料机混料（温度50℃、电加热、3-5min），使液态助剂（增塑剂、抗氧剂）在50℃下流动性更好，能更充分地包覆在固态颗粒表面，同时部分助剂会渗透到TPE粉的分子间隙中，搅拌混料过程均在密闭设备中进行。三元乙丙橡胶、滑石粉为粉末固体，投料时会产生粉尘，</w:t>
            </w:r>
            <w:r>
              <w:rPr>
                <w:rFonts w:hint="default" w:ascii="Times New Roman" w:hAnsi="Times New Roman" w:eastAsia="宋体" w:cs="Times New Roman"/>
                <w:color w:val="auto"/>
                <w:sz w:val="21"/>
                <w:szCs w:val="21"/>
              </w:rPr>
              <w:t>该工序产生少量G1-</w:t>
            </w:r>
            <w:r>
              <w:rPr>
                <w:rFonts w:hint="eastAsia" w:ascii="Times New Roman" w:hAnsi="Times New Roman" w:eastAsia="宋体" w:cs="Times New Roman"/>
                <w:color w:val="auto"/>
                <w:sz w:val="21"/>
                <w:szCs w:val="21"/>
                <w:lang w:val="en-US" w:eastAsia="zh-CN"/>
              </w:rPr>
              <w:t>2投料</w:t>
            </w:r>
            <w:r>
              <w:rPr>
                <w:rFonts w:hint="default" w:ascii="Times New Roman" w:hAnsi="Times New Roman" w:eastAsia="宋体" w:cs="Times New Roman"/>
                <w:color w:val="auto"/>
                <w:sz w:val="21"/>
                <w:szCs w:val="21"/>
              </w:rPr>
              <w:t>粉尘和N噪声；</w:t>
            </w:r>
          </w:p>
          <w:p w14:paraId="24179469">
            <w:pPr>
              <w:keepNext w:val="0"/>
              <w:keepLines w:val="0"/>
              <w:pageBreakBefore w:val="0"/>
              <w:kinsoku/>
              <w:wordWrap/>
              <w:overflowPunct/>
              <w:topLinePunct w:val="0"/>
              <w:autoSpaceDE/>
              <w:autoSpaceDN/>
              <w:bidi w:val="0"/>
              <w:adjustRightInd w:val="0"/>
              <w:snapToGrid w:val="0"/>
              <w:spacing w:line="360" w:lineRule="auto"/>
              <w:ind w:firstLine="435"/>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rPr>
              <w:t>挤出</w:t>
            </w:r>
            <w:r>
              <w:rPr>
                <w:rFonts w:hint="eastAsia" w:ascii="Times New Roman" w:hAnsi="Times New Roman" w:eastAsia="宋体" w:cs="Times New Roman"/>
                <w:b/>
                <w:bCs/>
                <w:color w:val="auto"/>
                <w:sz w:val="21"/>
                <w:szCs w:val="21"/>
                <w:lang w:val="en-US" w:eastAsia="zh-CN"/>
              </w:rPr>
              <w:t>造粒</w:t>
            </w:r>
            <w:r>
              <w:rPr>
                <w:rFonts w:hint="default" w:ascii="Times New Roman" w:hAnsi="Times New Roman" w:eastAsia="宋体" w:cs="Times New Roman"/>
                <w:b w:val="0"/>
                <w:bCs w:val="0"/>
                <w:color w:val="auto"/>
                <w:sz w:val="21"/>
                <w:szCs w:val="21"/>
              </w:rPr>
              <w:t>：待各原料混合过后投入挤出机中，采用电加热使原辅料处于熔融状态，熔融温度</w:t>
            </w:r>
            <w:r>
              <w:rPr>
                <w:rFonts w:hint="eastAsia" w:ascii="Times New Roman" w:hAnsi="Times New Roman" w:eastAsia="宋体" w:cs="Times New Roman"/>
                <w:b w:val="0"/>
                <w:bCs w:val="0"/>
                <w:color w:val="auto"/>
                <w:sz w:val="21"/>
                <w:szCs w:val="21"/>
                <w:lang w:val="en-US" w:eastAsia="zh-CN"/>
              </w:rPr>
              <w:t>180~200℃</w:t>
            </w:r>
            <w:r>
              <w:rPr>
                <w:rFonts w:hint="default" w:ascii="Times New Roman" w:hAnsi="Times New Roman" w:eastAsia="宋体" w:cs="Times New Roman"/>
                <w:b w:val="0"/>
                <w:bCs w:val="0"/>
                <w:color w:val="auto"/>
                <w:sz w:val="21"/>
                <w:szCs w:val="21"/>
              </w:rPr>
              <w:t>，同时</w:t>
            </w:r>
            <w:r>
              <w:rPr>
                <w:rFonts w:hint="eastAsia" w:ascii="Times New Roman" w:hAnsi="Times New Roman" w:eastAsia="宋体" w:cs="Times New Roman"/>
                <w:b w:val="0"/>
                <w:bCs w:val="0"/>
                <w:color w:val="auto"/>
                <w:sz w:val="21"/>
                <w:szCs w:val="21"/>
                <w:lang w:val="en-US" w:eastAsia="zh-CN"/>
              </w:rPr>
              <w:t>使原料</w:t>
            </w:r>
            <w:r>
              <w:rPr>
                <w:rFonts w:hint="default" w:ascii="Times New Roman" w:hAnsi="Times New Roman" w:eastAsia="宋体" w:cs="Times New Roman"/>
                <w:b w:val="0"/>
                <w:bCs w:val="0"/>
                <w:color w:val="auto"/>
                <w:sz w:val="21"/>
                <w:szCs w:val="21"/>
              </w:rPr>
              <w:t>充分融合，实现均匀混合，完成熔融过程。计量后的熔融塑料滞留于机筒前端，螺杆不断向前将</w:t>
            </w:r>
            <w:r>
              <w:rPr>
                <w:rFonts w:hint="eastAsia" w:ascii="Times New Roman" w:hAnsi="Times New Roman" w:eastAsia="宋体" w:cs="Times New Roman"/>
                <w:b w:val="0"/>
                <w:bCs w:val="0"/>
                <w:color w:val="auto"/>
                <w:sz w:val="21"/>
                <w:szCs w:val="21"/>
                <w:lang w:val="en-US" w:eastAsia="zh-CN"/>
              </w:rPr>
              <w:t>熔融物料</w:t>
            </w:r>
            <w:r>
              <w:rPr>
                <w:rFonts w:hint="default" w:ascii="Times New Roman" w:hAnsi="Times New Roman" w:eastAsia="宋体" w:cs="Times New Roman"/>
                <w:b w:val="0"/>
                <w:bCs w:val="0"/>
                <w:color w:val="auto"/>
                <w:sz w:val="21"/>
                <w:szCs w:val="21"/>
              </w:rPr>
              <w:t>射入模腔后挤出，</w:t>
            </w:r>
            <w:r>
              <w:rPr>
                <w:rFonts w:hint="default" w:ascii="Times New Roman" w:hAnsi="Times New Roman" w:eastAsia="宋体" w:cs="Times New Roman"/>
                <w:color w:val="auto"/>
                <w:sz w:val="21"/>
                <w:szCs w:val="21"/>
              </w:rPr>
              <w:t>经核实，聚丙烯分解温度为310℃、</w:t>
            </w:r>
            <w:r>
              <w:rPr>
                <w:rFonts w:hint="eastAsia" w:ascii="Times New Roman" w:hAnsi="Times New Roman" w:eastAsia="宋体" w:cs="Times New Roman"/>
                <w:color w:val="auto"/>
                <w:sz w:val="21"/>
                <w:szCs w:val="21"/>
                <w:lang w:val="en-US" w:eastAsia="zh-CN"/>
              </w:rPr>
              <w:t>三元乙丙橡胶</w:t>
            </w:r>
            <w:r>
              <w:rPr>
                <w:rFonts w:hint="eastAsia" w:cs="Times New Roman"/>
                <w:color w:val="auto"/>
                <w:sz w:val="21"/>
                <w:szCs w:val="21"/>
                <w:lang w:val="en-US" w:eastAsia="zh-CN"/>
              </w:rPr>
              <w:t>分解温度为250</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300</w:t>
            </w:r>
            <w:r>
              <w:rPr>
                <w:rFonts w:hint="default" w:ascii="Times New Roman" w:hAnsi="Times New Roman" w:eastAsia="宋体" w:cs="Times New Roman"/>
                <w:color w:val="auto"/>
                <w:sz w:val="21"/>
                <w:szCs w:val="21"/>
              </w:rPr>
              <w:t>℃，在此温度下</w:t>
            </w:r>
            <w:r>
              <w:rPr>
                <w:rFonts w:hint="eastAsia" w:ascii="Times New Roman" w:hAnsi="Times New Roman" w:eastAsia="宋体" w:cs="Times New Roman"/>
                <w:color w:val="auto"/>
                <w:sz w:val="21"/>
                <w:szCs w:val="21"/>
                <w:lang w:val="en-US" w:eastAsia="zh-CN"/>
              </w:rPr>
              <w:t>熔融挤出过程</w:t>
            </w:r>
            <w:r>
              <w:rPr>
                <w:rFonts w:hint="default" w:ascii="Times New Roman" w:hAnsi="Times New Roman" w:eastAsia="宋体" w:cs="Times New Roman"/>
                <w:color w:val="auto"/>
                <w:sz w:val="21"/>
                <w:szCs w:val="21"/>
              </w:rPr>
              <w:t>不会发生高分子断链，不发生化学反应；但在受热情况下，塑料中残存未聚合的反应单体以及从聚合物中分解出来的单体可挥发出来</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color w:val="auto"/>
                <w:sz w:val="21"/>
                <w:szCs w:val="21"/>
              </w:rPr>
              <w:t>该工序产生</w:t>
            </w:r>
            <w:r>
              <w:rPr>
                <w:rFonts w:hint="default" w:ascii="Times New Roman" w:hAnsi="Times New Roman" w:eastAsia="宋体" w:cs="Times New Roman"/>
                <w:b w:val="0"/>
                <w:bCs w:val="0"/>
                <w:color w:val="auto"/>
                <w:sz w:val="21"/>
                <w:szCs w:val="21"/>
              </w:rPr>
              <w:t>G</w:t>
            </w:r>
            <w:r>
              <w:rPr>
                <w:rFonts w:hint="eastAsia" w:ascii="Times New Roman" w:hAnsi="Times New Roman" w:eastAsia="宋体" w:cs="Times New Roman"/>
                <w:b w:val="0"/>
                <w:bCs w:val="0"/>
                <w:color w:val="auto"/>
                <w:sz w:val="21"/>
                <w:szCs w:val="21"/>
                <w:lang w:val="en-US" w:eastAsia="zh-CN"/>
              </w:rPr>
              <w:t>1-3</w:t>
            </w:r>
            <w:r>
              <w:rPr>
                <w:rFonts w:hint="default" w:ascii="Times New Roman" w:hAnsi="Times New Roman" w:eastAsia="宋体" w:cs="Times New Roman"/>
                <w:b w:val="0"/>
                <w:bCs w:val="0"/>
                <w:color w:val="auto"/>
                <w:sz w:val="21"/>
                <w:szCs w:val="21"/>
              </w:rPr>
              <w:t>挤出废气、S1</w:t>
            </w:r>
            <w:r>
              <w:rPr>
                <w:rFonts w:hint="eastAsia" w:ascii="Times New Roman" w:hAnsi="Times New Roman" w:eastAsia="宋体" w:cs="Times New Roman"/>
                <w:b w:val="0"/>
                <w:bCs w:val="0"/>
                <w:color w:val="auto"/>
                <w:sz w:val="21"/>
                <w:szCs w:val="21"/>
                <w:lang w:val="en-US" w:eastAsia="zh-CN"/>
              </w:rPr>
              <w:t>-2废</w:t>
            </w:r>
            <w:r>
              <w:rPr>
                <w:rFonts w:hint="default" w:ascii="Times New Roman" w:hAnsi="Times New Roman" w:eastAsia="宋体" w:cs="Times New Roman"/>
                <w:b w:val="0"/>
                <w:bCs w:val="0"/>
                <w:color w:val="auto"/>
                <w:sz w:val="21"/>
                <w:szCs w:val="21"/>
              </w:rPr>
              <w:t>边角料和N噪声</w:t>
            </w:r>
            <w:r>
              <w:rPr>
                <w:rFonts w:hint="eastAsia" w:ascii="Times New Roman" w:hAnsi="Times New Roman" w:eastAsia="宋体" w:cs="Times New Roman"/>
                <w:b w:val="0"/>
                <w:bCs w:val="0"/>
                <w:color w:val="auto"/>
                <w:sz w:val="21"/>
                <w:szCs w:val="21"/>
                <w:lang w:eastAsia="zh-CN"/>
              </w:rPr>
              <w:t>；</w:t>
            </w:r>
          </w:p>
          <w:p w14:paraId="6E578D46">
            <w:pPr>
              <w:pStyle w:val="2"/>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rPr>
              <w:t>切粒</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筛分</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color w:val="auto"/>
                <w:sz w:val="21"/>
                <w:szCs w:val="21"/>
              </w:rPr>
              <w:t>挤出后的半成品直接进入水下切粒系统进行冷却、降温、成型，同时根据产品需求切割成相应尺寸</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切割过程</w:t>
            </w:r>
            <w:r>
              <w:rPr>
                <w:rFonts w:hint="default" w:ascii="Times New Roman" w:hAnsi="Times New Roman" w:eastAsia="宋体" w:cs="Times New Roman"/>
                <w:color w:val="auto"/>
                <w:sz w:val="21"/>
                <w:szCs w:val="21"/>
              </w:rPr>
              <w:t>冷却水通过生产车间外循环水池循环回用，定期添加，不排放</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冷却后的半成品</w:t>
            </w:r>
            <w:r>
              <w:rPr>
                <w:rFonts w:hint="default" w:ascii="Times New Roman" w:hAnsi="Times New Roman" w:eastAsia="宋体" w:cs="Times New Roman"/>
                <w:color w:val="auto"/>
                <w:sz w:val="21"/>
                <w:szCs w:val="21"/>
              </w:rPr>
              <w:t>经</w:t>
            </w:r>
            <w:r>
              <w:rPr>
                <w:rFonts w:hint="eastAsia" w:ascii="Times New Roman" w:hAnsi="Times New Roman" w:eastAsia="宋体" w:cs="Times New Roman"/>
                <w:color w:val="auto"/>
                <w:sz w:val="21"/>
                <w:szCs w:val="21"/>
                <w:lang w:val="en-US" w:eastAsia="zh-CN"/>
              </w:rPr>
              <w:t>后段</w:t>
            </w:r>
            <w:r>
              <w:rPr>
                <w:rFonts w:hint="default" w:ascii="Times New Roman" w:hAnsi="Times New Roman" w:eastAsia="宋体" w:cs="Times New Roman"/>
                <w:color w:val="auto"/>
                <w:sz w:val="21"/>
                <w:szCs w:val="21"/>
              </w:rPr>
              <w:t>振动筛的往复旋型震动，通过均匀布孔的单层或多层筛面，分成若干不同级别，达到筛分目的。该工序产生S1-</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废边角料和N噪声</w:t>
            </w:r>
            <w:r>
              <w:rPr>
                <w:rFonts w:hint="eastAsia" w:ascii="Times New Roman" w:hAnsi="Times New Roman" w:eastAsia="宋体" w:cs="Times New Roman"/>
                <w:color w:val="auto"/>
                <w:sz w:val="21"/>
                <w:szCs w:val="21"/>
                <w:lang w:eastAsia="zh-CN"/>
              </w:rPr>
              <w:t>；</w:t>
            </w:r>
          </w:p>
          <w:p w14:paraId="1FC1336B">
            <w:pPr>
              <w:pStyle w:val="2"/>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val="en-US" w:eastAsia="zh-CN"/>
              </w:rPr>
              <w:t>烘干</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color w:val="auto"/>
                <w:sz w:val="21"/>
                <w:szCs w:val="21"/>
              </w:rPr>
              <w:t>将</w:t>
            </w:r>
            <w:r>
              <w:rPr>
                <w:rFonts w:hint="eastAsia" w:ascii="Times New Roman" w:hAnsi="Times New Roman" w:eastAsia="宋体" w:cs="Times New Roman"/>
                <w:color w:val="auto"/>
                <w:sz w:val="21"/>
                <w:szCs w:val="21"/>
                <w:lang w:val="en-US" w:eastAsia="zh-CN"/>
              </w:rPr>
              <w:t>产品放至烘干机干燥，电加热，温度100℃左右，该工序产生G1-4烘干废气</w:t>
            </w:r>
            <w:r>
              <w:rPr>
                <w:rFonts w:hint="default" w:ascii="Times New Roman" w:hAnsi="Times New Roman" w:eastAsia="宋体" w:cs="Times New Roman"/>
                <w:color w:val="auto"/>
                <w:sz w:val="21"/>
                <w:szCs w:val="21"/>
              </w:rPr>
              <w:t>；</w:t>
            </w:r>
          </w:p>
          <w:p w14:paraId="5316FFCD">
            <w:pPr>
              <w:pStyle w:val="2"/>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检验</w:t>
            </w:r>
            <w:r>
              <w:rPr>
                <w:rFonts w:hint="eastAsia" w:ascii="Times New Roman" w:hAnsi="Times New Roman" w:eastAsia="宋体" w:cs="Times New Roman"/>
                <w:b w:val="0"/>
                <w:bCs w:val="0"/>
                <w:color w:val="auto"/>
                <w:sz w:val="21"/>
                <w:szCs w:val="21"/>
                <w:lang w:val="en-US" w:eastAsia="zh-CN"/>
              </w:rPr>
              <w:t>：本项目利用电子万能试验机、毛细管流变仪、门尼</w:t>
            </w:r>
            <w:r>
              <w:rPr>
                <w:rFonts w:hint="eastAsia"/>
                <w:lang w:val="en-US" w:eastAsia="zh-CN"/>
              </w:rPr>
              <w:t>黏度</w:t>
            </w:r>
            <w:r>
              <w:rPr>
                <w:rFonts w:hint="eastAsia" w:ascii="Times New Roman" w:hAnsi="Times New Roman" w:eastAsia="宋体" w:cs="Times New Roman"/>
                <w:b w:val="0"/>
                <w:bCs w:val="0"/>
                <w:color w:val="auto"/>
                <w:sz w:val="21"/>
                <w:szCs w:val="21"/>
                <w:lang w:val="en-US" w:eastAsia="zh-CN"/>
              </w:rPr>
              <w:t>仪、无转子化仪、注塑机、烘箱等设备，检测每批次的产品性能。利用注塑机制备实验样件（热塑性弹性体颗粒放入注塑机料斗内，</w:t>
            </w:r>
            <w:r>
              <w:rPr>
                <w:rFonts w:hint="default" w:ascii="Times New Roman" w:hAnsi="Times New Roman" w:eastAsia="宋体" w:cs="Times New Roman"/>
                <w:color w:val="auto"/>
                <w:sz w:val="21"/>
                <w:szCs w:val="21"/>
              </w:rPr>
              <w:t>进入封闭的</w:t>
            </w:r>
            <w:r>
              <w:rPr>
                <w:rFonts w:hint="default" w:ascii="Times New Roman" w:hAnsi="Times New Roman" w:eastAsia="宋体" w:cs="Times New Roman"/>
                <w:color w:val="auto"/>
                <w:sz w:val="21"/>
                <w:szCs w:val="21"/>
                <w:lang w:eastAsia="zh-CN"/>
              </w:rPr>
              <w:t>注射成型机</w:t>
            </w:r>
            <w:r>
              <w:rPr>
                <w:rFonts w:hint="default" w:ascii="Times New Roman" w:hAnsi="Times New Roman" w:eastAsia="宋体" w:cs="Times New Roman"/>
                <w:color w:val="auto"/>
                <w:sz w:val="21"/>
                <w:szCs w:val="21"/>
              </w:rPr>
              <w:t>内，温度控制在2</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左右</w:t>
            </w:r>
            <w:r>
              <w:rPr>
                <w:rFonts w:hint="default" w:ascii="Times New Roman" w:hAnsi="Times New Roman" w:eastAsia="宋体" w:cs="Times New Roman"/>
                <w:color w:val="auto"/>
                <w:sz w:val="21"/>
                <w:szCs w:val="21"/>
              </w:rPr>
              <w:t>，然后在设备内熔融状态的塑料完全进入模具的封闭模腔，充满模腔后暂停工作，塑料定型成某种形状</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color w:val="auto"/>
                <w:sz w:val="21"/>
                <w:szCs w:val="21"/>
                <w:lang w:eastAsia="zh-CN"/>
              </w:rPr>
              <w:t>注射成型机</w:t>
            </w:r>
            <w:r>
              <w:rPr>
                <w:rFonts w:hint="default" w:ascii="Times New Roman" w:hAnsi="Times New Roman" w:eastAsia="宋体" w:cs="Times New Roman"/>
                <w:color w:val="auto"/>
                <w:sz w:val="21"/>
                <w:szCs w:val="21"/>
              </w:rPr>
              <w:t>打开模具</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模具及产品自然冷却后</w:t>
            </w:r>
            <w:r>
              <w:rPr>
                <w:rFonts w:hint="default" w:ascii="Times New Roman" w:hAnsi="Times New Roman" w:eastAsia="宋体" w:cs="Times New Roman"/>
                <w:color w:val="auto"/>
                <w:sz w:val="21"/>
                <w:szCs w:val="21"/>
              </w:rPr>
              <w:t>，取出产品。</w:t>
            </w:r>
            <w:r>
              <w:rPr>
                <w:rFonts w:hint="eastAsia" w:ascii="Times New Roman" w:hAnsi="Times New Roman" w:eastAsia="宋体" w:cs="Times New Roman"/>
                <w:b w:val="0"/>
                <w:bCs w:val="0"/>
                <w:color w:val="auto"/>
                <w:sz w:val="21"/>
                <w:szCs w:val="21"/>
                <w:lang w:val="en-US" w:eastAsia="zh-CN"/>
              </w:rPr>
              <w:t>），利用电子万能试验机测试样件的力学性能（拉伸强度应≥5MPa（普通密封件）/≥8MPa（耐磨密封件）合格）、断裂伸长率应≥300%合格），利用毛细管流变仪测试粒子的流变性能（熔体流动速率应在5-20g/10min左右合格），利用门尼</w:t>
            </w:r>
            <w:r>
              <w:rPr>
                <w:rFonts w:hint="eastAsia"/>
                <w:lang w:val="en-US" w:eastAsia="zh-CN"/>
              </w:rPr>
              <w:t>黏度</w:t>
            </w:r>
            <w:r>
              <w:rPr>
                <w:rFonts w:hint="eastAsia" w:ascii="Times New Roman" w:hAnsi="Times New Roman" w:eastAsia="宋体" w:cs="Times New Roman"/>
                <w:b w:val="0"/>
                <w:bCs w:val="0"/>
                <w:color w:val="auto"/>
                <w:sz w:val="21"/>
                <w:szCs w:val="21"/>
                <w:lang w:val="en-US" w:eastAsia="zh-CN"/>
              </w:rPr>
              <w:t>仪测试粒子的加工</w:t>
            </w:r>
            <w:r>
              <w:rPr>
                <w:rFonts w:hint="eastAsia"/>
                <w:lang w:val="en-US" w:eastAsia="zh-CN"/>
              </w:rPr>
              <w:t>黏度</w:t>
            </w:r>
            <w:r>
              <w:rPr>
                <w:rFonts w:hint="eastAsia" w:ascii="Times New Roman" w:hAnsi="Times New Roman" w:eastAsia="宋体" w:cs="Times New Roman"/>
                <w:b w:val="0"/>
                <w:bCs w:val="0"/>
                <w:color w:val="auto"/>
                <w:sz w:val="21"/>
                <w:szCs w:val="21"/>
                <w:lang w:val="en-US" w:eastAsia="zh-CN"/>
              </w:rPr>
              <w:t>特性（门尼</w:t>
            </w:r>
            <w:r>
              <w:rPr>
                <w:rFonts w:hint="eastAsia"/>
                <w:lang w:val="en-US" w:eastAsia="zh-CN"/>
              </w:rPr>
              <w:t>黏度</w:t>
            </w:r>
            <w:r>
              <w:rPr>
                <w:rFonts w:hint="eastAsia" w:ascii="Times New Roman" w:hAnsi="Times New Roman" w:eastAsia="宋体" w:cs="Times New Roman"/>
                <w:b w:val="0"/>
                <w:bCs w:val="0"/>
                <w:color w:val="auto"/>
                <w:sz w:val="21"/>
                <w:szCs w:val="21"/>
                <w:lang w:val="en-US" w:eastAsia="zh-CN"/>
              </w:rPr>
              <w:t>30-80之间合格），利用无转子硫化仪评估材料的热固性改性效果，利用烘箱测试粒子的耐温、老化性能等（拉伸强度保留率≥80%、断裂伸长率保留率≥70%（70℃×168h老化后）合格），注塑和烘箱测试过程均为产生测试废气，该工序产生G1-5测试废气、S1-4不合格品、N噪声。</w:t>
            </w:r>
          </w:p>
          <w:p w14:paraId="44BDADAC">
            <w:pPr>
              <w:pStyle w:val="2"/>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rPr>
              <w:t>计量包装</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合格的产品</w:t>
            </w:r>
            <w:r>
              <w:rPr>
                <w:rFonts w:hint="default" w:ascii="Times New Roman" w:hAnsi="Times New Roman" w:eastAsia="宋体" w:cs="Times New Roman"/>
                <w:color w:val="auto"/>
                <w:sz w:val="21"/>
                <w:szCs w:val="21"/>
              </w:rPr>
              <w:t>经计量泵计量后包装处理，暂存至成品库待售</w:t>
            </w:r>
            <w:r>
              <w:rPr>
                <w:rFonts w:hint="eastAsia" w:ascii="Times New Roman" w:hAnsi="Times New Roman" w:eastAsia="宋体" w:cs="Times New Roman"/>
                <w:color w:val="auto"/>
                <w:sz w:val="21"/>
                <w:szCs w:val="21"/>
                <w:lang w:eastAsia="zh-CN"/>
              </w:rPr>
              <w:t>；</w:t>
            </w:r>
          </w:p>
          <w:p w14:paraId="7DDBEF46">
            <w:pPr>
              <w:pStyle w:val="2"/>
              <w:keepNext w:val="0"/>
              <w:keepLines w:val="0"/>
              <w:pageBreakBefore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破碎</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废边角料</w:t>
            </w:r>
            <w:r>
              <w:rPr>
                <w:rFonts w:hint="eastAsia" w:ascii="Times New Roman" w:hAnsi="Times New Roman" w:eastAsia="宋体" w:cs="Times New Roman"/>
                <w:color w:val="auto"/>
                <w:sz w:val="21"/>
                <w:szCs w:val="21"/>
                <w:lang w:val="en-US" w:eastAsia="zh-CN"/>
              </w:rPr>
              <w:t>、不合格品</w:t>
            </w:r>
            <w:r>
              <w:rPr>
                <w:rFonts w:hint="default" w:ascii="Times New Roman" w:hAnsi="Times New Roman" w:eastAsia="宋体" w:cs="Times New Roman"/>
                <w:color w:val="auto"/>
                <w:sz w:val="21"/>
                <w:szCs w:val="21"/>
                <w:lang w:val="en-US" w:eastAsia="zh-CN"/>
              </w:rPr>
              <w:t>经破碎机破碎后回到投称量投料工序，破碎时密闭</w:t>
            </w:r>
            <w:r>
              <w:rPr>
                <w:rFonts w:hint="eastAsia" w:ascii="Times New Roman" w:hAnsi="Times New Roman" w:eastAsia="宋体" w:cs="Times New Roman"/>
                <w:color w:val="auto"/>
                <w:sz w:val="21"/>
                <w:szCs w:val="21"/>
                <w:lang w:val="en-US" w:eastAsia="zh-CN"/>
              </w:rPr>
              <w:t>，粉尘量极低，不定量分析</w:t>
            </w:r>
            <w:r>
              <w:rPr>
                <w:rFonts w:hint="default" w:ascii="Times New Roman" w:hAnsi="Times New Roman" w:eastAsia="宋体" w:cs="Times New Roman"/>
                <w:color w:val="auto"/>
                <w:sz w:val="21"/>
                <w:szCs w:val="21"/>
                <w:lang w:val="en-US" w:eastAsia="zh-CN"/>
              </w:rPr>
              <w:t>，此工序会产生</w:t>
            </w:r>
            <w:r>
              <w:rPr>
                <w:rFonts w:hint="eastAsia" w:ascii="Times New Roman" w:hAnsi="Times New Roman" w:eastAsia="宋体" w:cs="Times New Roman"/>
                <w:color w:val="auto"/>
                <w:sz w:val="21"/>
                <w:szCs w:val="21"/>
                <w:lang w:val="en-US" w:eastAsia="zh-CN"/>
              </w:rPr>
              <w:t>微量</w:t>
            </w:r>
            <w:r>
              <w:rPr>
                <w:rFonts w:hint="default" w:ascii="Times New Roman" w:hAnsi="Times New Roman" w:eastAsia="宋体" w:cs="Times New Roman"/>
                <w:color w:val="auto"/>
                <w:sz w:val="21"/>
                <w:szCs w:val="21"/>
                <w:lang w:val="en-US" w:eastAsia="zh-CN"/>
              </w:rPr>
              <w:t>G1-</w:t>
            </w:r>
            <w:r>
              <w:rPr>
                <w:rFonts w:hint="eastAsia" w:ascii="Times New Roman" w:hAnsi="Times New Roman" w:eastAsia="宋体" w:cs="Times New Roman"/>
                <w:color w:val="auto"/>
                <w:sz w:val="21"/>
                <w:szCs w:val="21"/>
                <w:lang w:val="en-US" w:eastAsia="zh-CN"/>
              </w:rPr>
              <w:t>5破碎粉尘</w:t>
            </w:r>
            <w:r>
              <w:rPr>
                <w:rFonts w:hint="default" w:ascii="Times New Roman" w:hAnsi="Times New Roman" w:eastAsia="宋体" w:cs="Times New Roman"/>
                <w:color w:val="auto"/>
                <w:sz w:val="21"/>
                <w:szCs w:val="21"/>
                <w:lang w:val="en-US" w:eastAsia="zh-CN"/>
              </w:rPr>
              <w:t>和N噪声。</w:t>
            </w:r>
          </w:p>
          <w:p w14:paraId="6453A5A1">
            <w:pPr>
              <w:keepNext w:val="0"/>
              <w:keepLines w:val="0"/>
              <w:pageBreakBefore w:val="0"/>
              <w:widowControl w:val="0"/>
              <w:numPr>
                <w:ilvl w:val="0"/>
                <w:numId w:val="0"/>
              </w:numPr>
              <w:kinsoku/>
              <w:wordWrap/>
              <w:overflowPunct/>
              <w:topLinePunct w:val="0"/>
              <w:autoSpaceDE/>
              <w:autoSpaceDN/>
              <w:bidi w:val="0"/>
              <w:adjustRightInd w:val="0"/>
              <w:snapToGrid w:val="0"/>
              <w:ind w:firstLine="422" w:firstLineChars="200"/>
              <w:jc w:val="both"/>
              <w:textAlignment w:val="auto"/>
              <w:rPr>
                <w:rFonts w:hint="default"/>
                <w:color w:val="auto"/>
                <w:lang w:val="en-US" w:eastAsia="zh-CN"/>
              </w:rPr>
            </w:pPr>
            <w:r>
              <w:rPr>
                <w:rFonts w:hint="eastAsia" w:ascii="Times New Roman" w:hAnsi="Times New Roman" w:eastAsia="宋体" w:cs="Times New Roman"/>
                <w:b/>
                <w:bCs/>
                <w:color w:val="auto"/>
                <w:szCs w:val="21"/>
                <w:lang w:val="en-US" w:eastAsia="zh-CN"/>
              </w:rPr>
              <w:t>2、汽车密封件</w:t>
            </w:r>
            <w:r>
              <w:rPr>
                <w:rFonts w:hint="default" w:ascii="Times New Roman" w:hAnsi="Times New Roman" w:eastAsia="宋体" w:cs="Times New Roman"/>
                <w:b/>
                <w:color w:val="auto"/>
                <w:szCs w:val="21"/>
              </w:rPr>
              <w:t>工艺流程</w:t>
            </w:r>
          </w:p>
          <w:p w14:paraId="7AC37C2A">
            <w:pPr>
              <w:pStyle w:val="5"/>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default"/>
                <w:color w:val="auto"/>
                <w:lang w:val="en-US" w:eastAsia="zh-CN"/>
              </w:rPr>
            </w:pPr>
            <w:r>
              <w:rPr>
                <w:rFonts w:hint="default" w:ascii="Times New Roman" w:hAnsi="Times New Roman" w:eastAsia="宋体" w:cs="Times New Roman"/>
                <w:bCs/>
                <w:color w:val="auto"/>
                <w:kern w:val="2"/>
                <w:sz w:val="21"/>
                <w:szCs w:val="21"/>
              </w:rPr>
              <w:object>
                <v:shape id="_x0000_i1027" o:spt="75" type="#_x0000_t75" style="height:201.55pt;width:221.65pt;" o:ole="t" filled="f" o:preferrelative="t" stroked="f" coordsize="21600,21600">
                  <v:path/>
                  <v:fill on="f" focussize="0,0"/>
                  <v:stroke on="f"/>
                  <v:imagedata r:id="rId16" croptop="9425f" cropbottom="9667f" o:title=""/>
                  <o:lock v:ext="edit" aspectratio="f"/>
                  <w10:wrap type="none"/>
                  <w10:anchorlock/>
                </v:shape>
                <o:OLEObject Type="Embed" ProgID="Visio.Drawing.11" ShapeID="_x0000_i1027" DrawAspect="Content" ObjectID="_1468075727" r:id="rId15">
                  <o:LockedField>false</o:LockedField>
                </o:OLEObject>
              </w:object>
            </w:r>
          </w:p>
          <w:p w14:paraId="7523018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图2-3 汽车密封件生产工艺流程及产污环节图</w:t>
            </w:r>
          </w:p>
          <w:p w14:paraId="71C934D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bCs/>
                <w:color w:val="auto"/>
                <w:szCs w:val="21"/>
                <w:lang w:val="en-US" w:eastAsia="zh-CN"/>
              </w:rPr>
              <w:t>投料</w:t>
            </w:r>
            <w:r>
              <w:rPr>
                <w:rFonts w:hint="eastAsia" w:ascii="Times New Roman" w:hAnsi="Times New Roman" w:eastAsia="宋体" w:cs="Times New Roman"/>
                <w:b w:val="0"/>
                <w:bCs w:val="0"/>
                <w:color w:val="auto"/>
                <w:szCs w:val="21"/>
                <w:lang w:val="en-US" w:eastAsia="zh-CN"/>
              </w:rPr>
              <w:t>：人工将热塑性弹性体颗粒放入密闭投料机中（直径约2mm～5mm，基本无投料粉尘产生），投料机与挤出机软管连接，挤出机自动抽取原料，该工艺产生S2-1废包装袋</w:t>
            </w:r>
            <w:r>
              <w:rPr>
                <w:rFonts w:hint="eastAsia" w:ascii="Arial" w:hAnsi="Arial" w:cs="Arial"/>
                <w:color w:val="auto"/>
                <w:szCs w:val="28"/>
                <w:lang w:eastAsia="zh-CN"/>
              </w:rPr>
              <w:t>；</w:t>
            </w:r>
          </w:p>
          <w:p w14:paraId="6AFC81F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color w:val="auto"/>
                <w:lang w:eastAsia="zh-CN"/>
              </w:rPr>
            </w:pPr>
            <w:r>
              <w:rPr>
                <w:rFonts w:hint="eastAsia"/>
                <w:b/>
                <w:bCs/>
                <w:color w:val="auto"/>
                <w:lang w:val="en-US" w:eastAsia="zh-CN"/>
              </w:rPr>
              <w:t>挤出成型</w:t>
            </w:r>
            <w:r>
              <w:rPr>
                <w:rFonts w:hint="eastAsia"/>
                <w:color w:val="auto"/>
                <w:lang w:eastAsia="zh-CN"/>
              </w:rPr>
              <w:t>：将</w:t>
            </w:r>
            <w:r>
              <w:rPr>
                <w:rFonts w:hint="eastAsia" w:ascii="Times New Roman" w:hAnsi="Times New Roman" w:eastAsia="宋体" w:cs="Times New Roman"/>
                <w:b w:val="0"/>
                <w:bCs w:val="0"/>
                <w:color w:val="auto"/>
                <w:szCs w:val="21"/>
                <w:lang w:val="en-US" w:eastAsia="zh-CN"/>
              </w:rPr>
              <w:t>热塑性弹性体颗粒</w:t>
            </w:r>
            <w:r>
              <w:rPr>
                <w:rFonts w:hint="eastAsia"/>
                <w:color w:val="auto"/>
                <w:lang w:eastAsia="zh-CN"/>
              </w:rPr>
              <w:t>直接从</w:t>
            </w:r>
            <w:r>
              <w:rPr>
                <w:rFonts w:hint="eastAsia"/>
                <w:color w:val="auto"/>
                <w:lang w:val="en-US" w:eastAsia="zh-CN"/>
              </w:rPr>
              <w:t>投料机中</w:t>
            </w:r>
            <w:r>
              <w:rPr>
                <w:rFonts w:hint="eastAsia"/>
                <w:color w:val="auto"/>
                <w:lang w:eastAsia="zh-CN"/>
              </w:rPr>
              <w:t>自动抽入</w:t>
            </w:r>
            <w:r>
              <w:rPr>
                <w:rFonts w:hint="eastAsia"/>
                <w:color w:val="auto"/>
                <w:lang w:val="en-US" w:eastAsia="zh-CN"/>
              </w:rPr>
              <w:t>挤出机</w:t>
            </w:r>
            <w:r>
              <w:rPr>
                <w:rFonts w:hint="eastAsia"/>
                <w:color w:val="auto"/>
                <w:lang w:eastAsia="zh-CN"/>
              </w:rPr>
              <w:t>料斗，通过螺杆的转动将原料输送至机筒的前端，之后加热器将对螺杆的原料进行加热，加热采用电加热，温度</w:t>
            </w:r>
            <w:r>
              <w:rPr>
                <w:rFonts w:hint="eastAsia"/>
                <w:color w:val="auto"/>
                <w:lang w:val="en-US" w:eastAsia="zh-CN"/>
              </w:rPr>
              <w:t>180~</w:t>
            </w:r>
            <w:r>
              <w:rPr>
                <w:rFonts w:hint="eastAsia"/>
                <w:color w:val="auto"/>
                <w:lang w:eastAsia="zh-CN"/>
              </w:rPr>
              <w:t>2</w:t>
            </w:r>
            <w:r>
              <w:rPr>
                <w:rFonts w:hint="eastAsia"/>
                <w:color w:val="auto"/>
                <w:lang w:val="en-US" w:eastAsia="zh-CN"/>
              </w:rPr>
              <w:t>0</w:t>
            </w:r>
            <w:r>
              <w:rPr>
                <w:rFonts w:hint="eastAsia"/>
                <w:color w:val="auto"/>
                <w:lang w:eastAsia="zh-CN"/>
              </w:rPr>
              <w:t>0℃左右，使原料成为熔融状态；计量后的熔融塑料滞留于机筒前端，螺杆不断向前将塑料原料射入模腔，模具经冷却塔冷却。该工序会产生G</w:t>
            </w:r>
            <w:r>
              <w:rPr>
                <w:rFonts w:hint="eastAsia"/>
                <w:color w:val="auto"/>
                <w:lang w:val="en-US" w:eastAsia="zh-CN"/>
              </w:rPr>
              <w:t>2</w:t>
            </w:r>
            <w:r>
              <w:rPr>
                <w:rFonts w:hint="eastAsia"/>
                <w:color w:val="auto"/>
                <w:lang w:eastAsia="zh-CN"/>
              </w:rPr>
              <w:t>-1</w:t>
            </w:r>
            <w:r>
              <w:rPr>
                <w:rFonts w:hint="eastAsia"/>
                <w:color w:val="auto"/>
                <w:lang w:val="en-US" w:eastAsia="zh-CN"/>
              </w:rPr>
              <w:t>挤出废气</w:t>
            </w:r>
            <w:r>
              <w:rPr>
                <w:rFonts w:hint="eastAsia"/>
                <w:color w:val="auto"/>
                <w:lang w:eastAsia="zh-CN"/>
              </w:rPr>
              <w:t>、S</w:t>
            </w:r>
            <w:r>
              <w:rPr>
                <w:rFonts w:hint="eastAsia"/>
                <w:color w:val="auto"/>
                <w:lang w:val="en-US" w:eastAsia="zh-CN"/>
              </w:rPr>
              <w:t>2</w:t>
            </w:r>
            <w:r>
              <w:rPr>
                <w:rFonts w:hint="eastAsia"/>
                <w:color w:val="auto"/>
                <w:lang w:eastAsia="zh-CN"/>
              </w:rPr>
              <w:t>-</w:t>
            </w:r>
            <w:r>
              <w:rPr>
                <w:rFonts w:hint="eastAsia"/>
                <w:color w:val="auto"/>
                <w:lang w:val="en-US" w:eastAsia="zh-CN"/>
              </w:rPr>
              <w:t>3</w:t>
            </w:r>
            <w:r>
              <w:rPr>
                <w:rFonts w:hint="eastAsia"/>
                <w:color w:val="auto"/>
                <w:lang w:eastAsia="zh-CN"/>
              </w:rPr>
              <w:t>废边角料、N噪声；</w:t>
            </w:r>
          </w:p>
          <w:p w14:paraId="05EF43E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color w:val="auto"/>
                <w:lang w:eastAsia="zh-CN"/>
              </w:rPr>
            </w:pPr>
            <w:r>
              <w:rPr>
                <w:rFonts w:hint="eastAsia"/>
                <w:b/>
                <w:bCs/>
                <w:color w:val="auto"/>
                <w:szCs w:val="21"/>
                <w:lang w:val="en-US" w:eastAsia="zh-CN"/>
              </w:rPr>
              <w:t>检验</w:t>
            </w:r>
            <w:r>
              <w:rPr>
                <w:rFonts w:hint="eastAsia"/>
                <w:color w:val="auto"/>
                <w:szCs w:val="21"/>
                <w:lang w:val="en-US" w:eastAsia="zh-CN"/>
              </w:rPr>
              <w:t>：</w:t>
            </w:r>
            <w:r>
              <w:rPr>
                <w:rFonts w:hint="eastAsia"/>
                <w:color w:val="auto"/>
                <w:szCs w:val="21"/>
              </w:rPr>
              <w:t>人工对</w:t>
            </w:r>
            <w:r>
              <w:rPr>
                <w:rFonts w:hint="eastAsia"/>
                <w:color w:val="auto"/>
                <w:szCs w:val="21"/>
                <w:lang w:val="en-US" w:eastAsia="zh-CN"/>
              </w:rPr>
              <w:t>挤出</w:t>
            </w:r>
            <w:r>
              <w:rPr>
                <w:rFonts w:hint="eastAsia"/>
                <w:color w:val="auto"/>
                <w:szCs w:val="21"/>
              </w:rPr>
              <w:t>成型后的产品进行检验，人工检测产品形状</w:t>
            </w:r>
            <w:r>
              <w:rPr>
                <w:rFonts w:hint="eastAsia"/>
                <w:color w:val="auto"/>
                <w:szCs w:val="21"/>
                <w:lang w:eastAsia="zh-CN"/>
              </w:rPr>
              <w:t>、</w:t>
            </w:r>
            <w:r>
              <w:rPr>
                <w:rFonts w:hint="eastAsia"/>
                <w:color w:val="auto"/>
                <w:szCs w:val="21"/>
                <w:lang w:val="en-US" w:eastAsia="zh-CN"/>
              </w:rPr>
              <w:t>尺寸大小等</w:t>
            </w:r>
            <w:r>
              <w:rPr>
                <w:rFonts w:hint="eastAsia"/>
                <w:color w:val="auto"/>
                <w:szCs w:val="21"/>
              </w:rPr>
              <w:t>是否符合设计图纸要求，该工序会产生S</w:t>
            </w:r>
            <w:r>
              <w:rPr>
                <w:rFonts w:hint="eastAsia"/>
                <w:color w:val="auto"/>
                <w:szCs w:val="21"/>
                <w:lang w:val="en-US" w:eastAsia="zh-CN"/>
              </w:rPr>
              <w:t>2-3</w:t>
            </w:r>
            <w:r>
              <w:rPr>
                <w:rFonts w:hint="eastAsia"/>
                <w:color w:val="auto"/>
                <w:szCs w:val="21"/>
              </w:rPr>
              <w:t>不合格品</w:t>
            </w:r>
            <w:r>
              <w:rPr>
                <w:rFonts w:hint="eastAsia"/>
                <w:color w:val="auto"/>
                <w:lang w:eastAsia="zh-CN"/>
              </w:rPr>
              <w:t>；</w:t>
            </w:r>
          </w:p>
          <w:p w14:paraId="57D22FA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包装</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产品</w:t>
            </w:r>
            <w:r>
              <w:rPr>
                <w:rFonts w:hint="default" w:ascii="Times New Roman" w:hAnsi="Times New Roman" w:eastAsia="宋体" w:cs="Times New Roman"/>
                <w:color w:val="auto"/>
                <w:sz w:val="21"/>
                <w:szCs w:val="21"/>
              </w:rPr>
              <w:t>包装处理，暂存至成品库待售</w:t>
            </w:r>
            <w:r>
              <w:rPr>
                <w:rFonts w:hint="eastAsia" w:ascii="Times New Roman" w:hAnsi="Times New Roman" w:eastAsia="宋体" w:cs="Times New Roman"/>
                <w:color w:val="auto"/>
                <w:sz w:val="21"/>
                <w:szCs w:val="21"/>
                <w:lang w:eastAsia="zh-CN"/>
              </w:rPr>
              <w:t>；</w:t>
            </w:r>
          </w:p>
          <w:p w14:paraId="79DA373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color w:val="auto"/>
                <w:lang w:val="en-US" w:eastAsia="zh-CN"/>
              </w:rPr>
            </w:pPr>
            <w:r>
              <w:rPr>
                <w:rFonts w:hint="eastAsia" w:ascii="Times New Roman" w:hAnsi="Times New Roman" w:eastAsia="宋体" w:cs="Times New Roman"/>
                <w:b/>
                <w:bCs/>
                <w:color w:val="auto"/>
                <w:sz w:val="21"/>
                <w:szCs w:val="21"/>
                <w:lang w:val="en-US" w:eastAsia="zh-CN"/>
              </w:rPr>
              <w:t>破碎</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废边角料</w:t>
            </w:r>
            <w:r>
              <w:rPr>
                <w:rFonts w:hint="eastAsia" w:ascii="Times New Roman" w:hAnsi="Times New Roman" w:eastAsia="宋体" w:cs="Times New Roman"/>
                <w:color w:val="auto"/>
                <w:sz w:val="21"/>
                <w:szCs w:val="21"/>
                <w:lang w:val="en-US" w:eastAsia="zh-CN"/>
              </w:rPr>
              <w:t>、不合格品</w:t>
            </w:r>
            <w:r>
              <w:rPr>
                <w:rFonts w:hint="default" w:ascii="Times New Roman" w:hAnsi="Times New Roman" w:eastAsia="宋体" w:cs="Times New Roman"/>
                <w:color w:val="auto"/>
                <w:sz w:val="21"/>
                <w:szCs w:val="21"/>
                <w:lang w:val="en-US" w:eastAsia="zh-CN"/>
              </w:rPr>
              <w:t>经破碎机破碎后回到</w:t>
            </w:r>
            <w:r>
              <w:rPr>
                <w:rFonts w:hint="eastAsia" w:ascii="Times New Roman" w:hAnsi="Times New Roman" w:eastAsia="宋体" w:cs="Times New Roman"/>
                <w:color w:val="auto"/>
                <w:sz w:val="21"/>
                <w:szCs w:val="21"/>
                <w:lang w:val="en-US" w:eastAsia="zh-CN"/>
              </w:rPr>
              <w:t>投料</w:t>
            </w:r>
            <w:r>
              <w:rPr>
                <w:rFonts w:hint="default" w:ascii="Times New Roman" w:hAnsi="Times New Roman" w:eastAsia="宋体" w:cs="Times New Roman"/>
                <w:color w:val="auto"/>
                <w:sz w:val="21"/>
                <w:szCs w:val="21"/>
                <w:lang w:val="en-US" w:eastAsia="zh-CN"/>
              </w:rPr>
              <w:t>工序，破碎时密闭</w:t>
            </w:r>
            <w:r>
              <w:rPr>
                <w:rFonts w:hint="eastAsia" w:ascii="Times New Roman" w:hAnsi="Times New Roman" w:eastAsia="宋体" w:cs="Times New Roman"/>
                <w:color w:val="auto"/>
                <w:sz w:val="21"/>
                <w:szCs w:val="21"/>
                <w:lang w:val="en-US" w:eastAsia="zh-CN"/>
              </w:rPr>
              <w:t>，粉尘量极低，不定量分析</w:t>
            </w:r>
            <w:r>
              <w:rPr>
                <w:rFonts w:hint="default" w:ascii="Times New Roman" w:hAnsi="Times New Roman" w:eastAsia="宋体" w:cs="Times New Roman"/>
                <w:color w:val="auto"/>
                <w:sz w:val="21"/>
                <w:szCs w:val="21"/>
                <w:lang w:val="en-US" w:eastAsia="zh-CN"/>
              </w:rPr>
              <w:t>，此工序会产生</w:t>
            </w:r>
            <w:r>
              <w:rPr>
                <w:rFonts w:hint="eastAsia" w:ascii="Times New Roman" w:hAnsi="Times New Roman" w:eastAsia="宋体" w:cs="Times New Roman"/>
                <w:color w:val="auto"/>
                <w:sz w:val="21"/>
                <w:szCs w:val="21"/>
                <w:lang w:val="en-US" w:eastAsia="zh-CN"/>
              </w:rPr>
              <w:t>微量</w:t>
            </w:r>
            <w:r>
              <w:rPr>
                <w:rFonts w:hint="default" w:ascii="Times New Roman" w:hAnsi="Times New Roman" w:eastAsia="宋体" w:cs="Times New Roman"/>
                <w:color w:val="auto"/>
                <w:sz w:val="21"/>
                <w:szCs w:val="21"/>
                <w:lang w:val="en-US" w:eastAsia="zh-CN"/>
              </w:rPr>
              <w:t>G</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2破碎粉尘</w:t>
            </w:r>
            <w:r>
              <w:rPr>
                <w:rFonts w:hint="default" w:ascii="Times New Roman" w:hAnsi="Times New Roman" w:eastAsia="宋体" w:cs="Times New Roman"/>
                <w:color w:val="auto"/>
                <w:sz w:val="21"/>
                <w:szCs w:val="21"/>
                <w:lang w:val="en-US" w:eastAsia="zh-CN"/>
              </w:rPr>
              <w:t>和N噪声</w:t>
            </w:r>
            <w:r>
              <w:rPr>
                <w:rFonts w:hint="eastAsia"/>
                <w:color w:val="auto"/>
                <w:lang w:val="en-US" w:eastAsia="zh-CN"/>
              </w:rPr>
              <w:t>。</w:t>
            </w:r>
          </w:p>
          <w:p w14:paraId="568639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Cs w:val="21"/>
              </w:rPr>
              <w:t>表2-</w:t>
            </w:r>
            <w:r>
              <w:rPr>
                <w:rFonts w:hint="eastAsia" w:ascii="Times New Roman" w:hAnsi="Times New Roman" w:eastAsia="宋体" w:cs="Times New Roman"/>
                <w:b/>
                <w:bCs/>
                <w:color w:val="auto"/>
                <w:szCs w:val="21"/>
                <w:lang w:val="en-US" w:eastAsia="zh-CN"/>
              </w:rPr>
              <w:t>6</w:t>
            </w:r>
            <w:r>
              <w:rPr>
                <w:rFonts w:hint="default" w:ascii="Times New Roman" w:hAnsi="Times New Roman" w:eastAsia="宋体" w:cs="Times New Roman"/>
                <w:b/>
                <w:bCs/>
                <w:color w:val="auto"/>
                <w:szCs w:val="21"/>
              </w:rPr>
              <w:t xml:space="preserve"> 产污环节一览表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30"/>
              <w:gridCol w:w="903"/>
              <w:gridCol w:w="2439"/>
              <w:gridCol w:w="4022"/>
            </w:tblGrid>
            <w:tr w14:paraId="58307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noWrap w:val="0"/>
                  <w:vAlign w:val="center"/>
                </w:tcPr>
                <w:p w14:paraId="6DA1D575">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种类</w:t>
                  </w:r>
                </w:p>
              </w:tc>
              <w:tc>
                <w:tcPr>
                  <w:tcW w:w="544" w:type="pct"/>
                  <w:noWrap w:val="0"/>
                  <w:vAlign w:val="center"/>
                </w:tcPr>
                <w:p w14:paraId="2E14834E">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编号</w:t>
                  </w:r>
                </w:p>
              </w:tc>
              <w:tc>
                <w:tcPr>
                  <w:tcW w:w="1470" w:type="pct"/>
                  <w:noWrap w:val="0"/>
                  <w:vAlign w:val="center"/>
                </w:tcPr>
                <w:p w14:paraId="207C7C23">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污染物名称</w:t>
                  </w:r>
                </w:p>
              </w:tc>
              <w:tc>
                <w:tcPr>
                  <w:tcW w:w="2424" w:type="pct"/>
                  <w:noWrap w:val="0"/>
                  <w:vAlign w:val="center"/>
                </w:tcPr>
                <w:p w14:paraId="0679E921">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产污工段</w:t>
                  </w:r>
                </w:p>
              </w:tc>
            </w:tr>
            <w:tr w14:paraId="5954E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restart"/>
                  <w:noWrap w:val="0"/>
                  <w:vAlign w:val="center"/>
                </w:tcPr>
                <w:p w14:paraId="1D5DFEB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544" w:type="pct"/>
                  <w:noWrap w:val="0"/>
                  <w:vAlign w:val="center"/>
                </w:tcPr>
                <w:p w14:paraId="20BAD8F1">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rPr>
                    <w:t>G1</w:t>
                  </w:r>
                  <w:r>
                    <w:rPr>
                      <w:rFonts w:hint="eastAsia" w:ascii="Times New Roman" w:hAnsi="Times New Roman" w:eastAsia="宋体" w:cs="Times New Roman"/>
                      <w:bCs/>
                      <w:color w:val="auto"/>
                      <w:szCs w:val="21"/>
                      <w:lang w:val="en-US" w:eastAsia="zh-CN"/>
                    </w:rPr>
                    <w:t>-1</w:t>
                  </w:r>
                </w:p>
              </w:tc>
              <w:tc>
                <w:tcPr>
                  <w:tcW w:w="1470" w:type="pct"/>
                  <w:noWrap w:val="0"/>
                  <w:vAlign w:val="center"/>
                </w:tcPr>
                <w:p w14:paraId="2AE2A5A5">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配料粉尘</w:t>
                  </w:r>
                </w:p>
              </w:tc>
              <w:tc>
                <w:tcPr>
                  <w:tcW w:w="2424" w:type="pct"/>
                  <w:noWrap w:val="0"/>
                  <w:vAlign w:val="center"/>
                </w:tcPr>
                <w:p w14:paraId="110BA774">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称量配料</w:t>
                  </w:r>
                </w:p>
              </w:tc>
            </w:tr>
            <w:tr w14:paraId="4E7EE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5986FD1E">
                  <w:pPr>
                    <w:jc w:val="center"/>
                    <w:rPr>
                      <w:rFonts w:hint="default" w:ascii="Times New Roman" w:hAnsi="Times New Roman" w:eastAsia="宋体" w:cs="Times New Roman"/>
                      <w:color w:val="auto"/>
                      <w:szCs w:val="21"/>
                    </w:rPr>
                  </w:pPr>
                </w:p>
              </w:tc>
              <w:tc>
                <w:tcPr>
                  <w:tcW w:w="544" w:type="pct"/>
                  <w:noWrap w:val="0"/>
                  <w:vAlign w:val="center"/>
                </w:tcPr>
                <w:p w14:paraId="5CA11A6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G1</w:t>
                  </w:r>
                  <w:r>
                    <w:rPr>
                      <w:rFonts w:hint="eastAsia" w:ascii="Times New Roman" w:hAnsi="Times New Roman" w:eastAsia="宋体" w:cs="Times New Roman"/>
                      <w:bCs/>
                      <w:color w:val="auto"/>
                      <w:szCs w:val="21"/>
                      <w:lang w:val="en-US" w:eastAsia="zh-CN"/>
                    </w:rPr>
                    <w:t>-</w:t>
                  </w:r>
                  <w:r>
                    <w:rPr>
                      <w:rFonts w:hint="default" w:ascii="Times New Roman" w:hAnsi="Times New Roman" w:eastAsia="宋体" w:cs="Times New Roman"/>
                      <w:bCs/>
                      <w:color w:val="auto"/>
                      <w:szCs w:val="21"/>
                    </w:rPr>
                    <w:t>2</w:t>
                  </w:r>
                </w:p>
              </w:tc>
              <w:tc>
                <w:tcPr>
                  <w:tcW w:w="1470" w:type="pct"/>
                  <w:noWrap w:val="0"/>
                  <w:vAlign w:val="center"/>
                </w:tcPr>
                <w:p w14:paraId="416BDE88">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投料粉尘</w:t>
                  </w:r>
                </w:p>
              </w:tc>
              <w:tc>
                <w:tcPr>
                  <w:tcW w:w="2424" w:type="pct"/>
                  <w:noWrap w:val="0"/>
                  <w:vAlign w:val="center"/>
                </w:tcPr>
                <w:p w14:paraId="7F28739F">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投料混合</w:t>
                  </w:r>
                </w:p>
              </w:tc>
            </w:tr>
            <w:tr w14:paraId="0A92A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210C14FB">
                  <w:pPr>
                    <w:jc w:val="center"/>
                    <w:rPr>
                      <w:rFonts w:hint="default" w:ascii="Times New Roman" w:hAnsi="Times New Roman" w:eastAsia="宋体" w:cs="Times New Roman"/>
                      <w:color w:val="auto"/>
                      <w:szCs w:val="21"/>
                    </w:rPr>
                  </w:pPr>
                </w:p>
              </w:tc>
              <w:tc>
                <w:tcPr>
                  <w:tcW w:w="544" w:type="pct"/>
                  <w:noWrap w:val="0"/>
                  <w:vAlign w:val="center"/>
                </w:tcPr>
                <w:p w14:paraId="5327A50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G1</w:t>
                  </w:r>
                  <w:r>
                    <w:rPr>
                      <w:rFonts w:hint="eastAsia" w:ascii="Times New Roman" w:hAnsi="Times New Roman" w:eastAsia="宋体" w:cs="Times New Roman"/>
                      <w:bCs/>
                      <w:color w:val="auto"/>
                      <w:szCs w:val="21"/>
                      <w:lang w:val="en-US" w:eastAsia="zh-CN"/>
                    </w:rPr>
                    <w:t>-</w:t>
                  </w:r>
                  <w:r>
                    <w:rPr>
                      <w:rFonts w:hint="default" w:ascii="Times New Roman" w:hAnsi="Times New Roman" w:eastAsia="宋体" w:cs="Times New Roman"/>
                      <w:bCs/>
                      <w:color w:val="auto"/>
                      <w:szCs w:val="21"/>
                    </w:rPr>
                    <w:t>3</w:t>
                  </w:r>
                </w:p>
              </w:tc>
              <w:tc>
                <w:tcPr>
                  <w:tcW w:w="1470" w:type="pct"/>
                  <w:noWrap w:val="0"/>
                  <w:vAlign w:val="center"/>
                </w:tcPr>
                <w:p w14:paraId="36A210A7">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挤出废气</w:t>
                  </w:r>
                </w:p>
              </w:tc>
              <w:tc>
                <w:tcPr>
                  <w:tcW w:w="2424" w:type="pct"/>
                  <w:noWrap w:val="0"/>
                  <w:vAlign w:val="center"/>
                </w:tcPr>
                <w:p w14:paraId="65DCC92F">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挤出造粒</w:t>
                  </w:r>
                </w:p>
              </w:tc>
            </w:tr>
            <w:tr w14:paraId="1BA4D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709D1F02">
                  <w:pPr>
                    <w:jc w:val="center"/>
                    <w:rPr>
                      <w:rFonts w:hint="default" w:ascii="Times New Roman" w:hAnsi="Times New Roman" w:eastAsia="宋体" w:cs="Times New Roman"/>
                      <w:color w:val="auto"/>
                      <w:szCs w:val="21"/>
                    </w:rPr>
                  </w:pPr>
                </w:p>
              </w:tc>
              <w:tc>
                <w:tcPr>
                  <w:tcW w:w="544" w:type="pct"/>
                  <w:noWrap w:val="0"/>
                  <w:vAlign w:val="center"/>
                </w:tcPr>
                <w:p w14:paraId="28FAFA93">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rPr>
                    <w:t>G1</w:t>
                  </w:r>
                  <w:r>
                    <w:rPr>
                      <w:rFonts w:hint="eastAsia" w:ascii="Times New Roman" w:hAnsi="Times New Roman" w:eastAsia="宋体" w:cs="Times New Roman"/>
                      <w:bCs/>
                      <w:color w:val="auto"/>
                      <w:szCs w:val="21"/>
                      <w:lang w:val="en-US" w:eastAsia="zh-CN"/>
                    </w:rPr>
                    <w:t>-4</w:t>
                  </w:r>
                </w:p>
              </w:tc>
              <w:tc>
                <w:tcPr>
                  <w:tcW w:w="1470" w:type="pct"/>
                  <w:noWrap w:val="0"/>
                  <w:vAlign w:val="center"/>
                </w:tcPr>
                <w:p w14:paraId="4205F5E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kern w:val="2"/>
                      <w:sz w:val="21"/>
                      <w:szCs w:val="21"/>
                      <w:lang w:val="en-US" w:eastAsia="zh-CN" w:bidi="ar-SA"/>
                    </w:rPr>
                    <w:t>烘干废气</w:t>
                  </w:r>
                </w:p>
              </w:tc>
              <w:tc>
                <w:tcPr>
                  <w:tcW w:w="2424" w:type="pct"/>
                  <w:noWrap w:val="0"/>
                  <w:vAlign w:val="center"/>
                </w:tcPr>
                <w:p w14:paraId="1C38954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烘干</w:t>
                  </w:r>
                </w:p>
              </w:tc>
            </w:tr>
            <w:tr w14:paraId="1954B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78CDBB59">
                  <w:pPr>
                    <w:jc w:val="center"/>
                    <w:rPr>
                      <w:rFonts w:hint="default" w:ascii="Times New Roman" w:hAnsi="Times New Roman" w:eastAsia="宋体" w:cs="Times New Roman"/>
                      <w:color w:val="auto"/>
                      <w:szCs w:val="21"/>
                    </w:rPr>
                  </w:pPr>
                </w:p>
              </w:tc>
              <w:tc>
                <w:tcPr>
                  <w:tcW w:w="544" w:type="pct"/>
                  <w:noWrap w:val="0"/>
                  <w:vAlign w:val="center"/>
                </w:tcPr>
                <w:p w14:paraId="3A237933">
                  <w:pPr>
                    <w:jc w:val="center"/>
                    <w:rPr>
                      <w:rFonts w:hint="default" w:ascii="Times New Roman" w:hAnsi="Times New Roman" w:eastAsia="宋体" w:cs="Times New Roman"/>
                      <w:bCs/>
                      <w:color w:val="auto"/>
                      <w:szCs w:val="21"/>
                      <w:lang w:val="en-US"/>
                    </w:rPr>
                  </w:pPr>
                  <w:r>
                    <w:rPr>
                      <w:rFonts w:hint="default" w:ascii="Times New Roman" w:hAnsi="Times New Roman" w:eastAsia="宋体" w:cs="Times New Roman"/>
                      <w:bCs/>
                      <w:color w:val="auto"/>
                      <w:szCs w:val="21"/>
                    </w:rPr>
                    <w:t>G1</w:t>
                  </w:r>
                  <w:r>
                    <w:rPr>
                      <w:rFonts w:hint="eastAsia" w:ascii="Times New Roman" w:hAnsi="Times New Roman" w:eastAsia="宋体" w:cs="Times New Roman"/>
                      <w:bCs/>
                      <w:color w:val="auto"/>
                      <w:szCs w:val="21"/>
                      <w:lang w:val="en-US" w:eastAsia="zh-CN"/>
                    </w:rPr>
                    <w:t>-5</w:t>
                  </w:r>
                </w:p>
              </w:tc>
              <w:tc>
                <w:tcPr>
                  <w:tcW w:w="1470" w:type="pct"/>
                  <w:noWrap w:val="0"/>
                  <w:vAlign w:val="center"/>
                </w:tcPr>
                <w:p w14:paraId="491D81F7">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测试废气</w:t>
                  </w:r>
                </w:p>
              </w:tc>
              <w:tc>
                <w:tcPr>
                  <w:tcW w:w="2424" w:type="pct"/>
                  <w:noWrap w:val="0"/>
                  <w:vAlign w:val="center"/>
                </w:tcPr>
                <w:p w14:paraId="1AF7DF1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检验</w:t>
                  </w:r>
                </w:p>
              </w:tc>
            </w:tr>
            <w:tr w14:paraId="25BFF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1F1055A6">
                  <w:pPr>
                    <w:jc w:val="center"/>
                    <w:rPr>
                      <w:rFonts w:hint="default" w:ascii="Times New Roman" w:hAnsi="Times New Roman" w:eastAsia="宋体" w:cs="Times New Roman"/>
                      <w:color w:val="auto"/>
                      <w:szCs w:val="21"/>
                    </w:rPr>
                  </w:pPr>
                </w:p>
              </w:tc>
              <w:tc>
                <w:tcPr>
                  <w:tcW w:w="544" w:type="pct"/>
                  <w:noWrap w:val="0"/>
                  <w:vAlign w:val="center"/>
                </w:tcPr>
                <w:p w14:paraId="4EE8F337">
                  <w:pPr>
                    <w:jc w:val="center"/>
                    <w:rPr>
                      <w:rFonts w:hint="default" w:ascii="Times New Roman" w:hAnsi="Times New Roman" w:eastAsia="宋体" w:cs="Times New Roman"/>
                      <w:bCs/>
                      <w:color w:val="auto"/>
                      <w:szCs w:val="21"/>
                      <w:lang w:val="en-US"/>
                    </w:rPr>
                  </w:pPr>
                  <w:r>
                    <w:rPr>
                      <w:rFonts w:hint="default" w:ascii="Times New Roman" w:hAnsi="Times New Roman" w:eastAsia="宋体" w:cs="Times New Roman"/>
                      <w:bCs/>
                      <w:color w:val="auto"/>
                      <w:szCs w:val="21"/>
                    </w:rPr>
                    <w:t>G1</w:t>
                  </w:r>
                  <w:r>
                    <w:rPr>
                      <w:rFonts w:hint="eastAsia" w:ascii="Times New Roman" w:hAnsi="Times New Roman" w:eastAsia="宋体" w:cs="Times New Roman"/>
                      <w:bCs/>
                      <w:color w:val="auto"/>
                      <w:szCs w:val="21"/>
                      <w:lang w:val="en-US" w:eastAsia="zh-CN"/>
                    </w:rPr>
                    <w:t>-6</w:t>
                  </w:r>
                </w:p>
              </w:tc>
              <w:tc>
                <w:tcPr>
                  <w:tcW w:w="1470" w:type="pct"/>
                  <w:noWrap w:val="0"/>
                  <w:vAlign w:val="center"/>
                </w:tcPr>
                <w:p w14:paraId="14B09828">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破碎粉尘</w:t>
                  </w:r>
                </w:p>
              </w:tc>
              <w:tc>
                <w:tcPr>
                  <w:tcW w:w="2424" w:type="pct"/>
                  <w:noWrap w:val="0"/>
                  <w:vAlign w:val="center"/>
                </w:tcPr>
                <w:p w14:paraId="63C8A85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破碎</w:t>
                  </w:r>
                </w:p>
              </w:tc>
            </w:tr>
            <w:tr w14:paraId="545B9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575F7FE9">
                  <w:pPr>
                    <w:jc w:val="center"/>
                    <w:rPr>
                      <w:rFonts w:hint="default" w:ascii="Times New Roman" w:hAnsi="Times New Roman" w:eastAsia="宋体" w:cs="Times New Roman"/>
                      <w:color w:val="auto"/>
                      <w:szCs w:val="21"/>
                    </w:rPr>
                  </w:pPr>
                </w:p>
              </w:tc>
              <w:tc>
                <w:tcPr>
                  <w:tcW w:w="544" w:type="pct"/>
                  <w:noWrap w:val="0"/>
                  <w:vAlign w:val="center"/>
                </w:tcPr>
                <w:p w14:paraId="663F63F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G2-1</w:t>
                  </w:r>
                </w:p>
              </w:tc>
              <w:tc>
                <w:tcPr>
                  <w:tcW w:w="1470" w:type="pct"/>
                  <w:noWrap w:val="0"/>
                  <w:vAlign w:val="center"/>
                </w:tcPr>
                <w:p w14:paraId="0002C1DA">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挤出废气</w:t>
                  </w:r>
                </w:p>
              </w:tc>
              <w:tc>
                <w:tcPr>
                  <w:tcW w:w="2424" w:type="pct"/>
                  <w:noWrap w:val="0"/>
                  <w:vAlign w:val="center"/>
                </w:tcPr>
                <w:p w14:paraId="6FB49F9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挤出成型</w:t>
                  </w:r>
                </w:p>
              </w:tc>
            </w:tr>
            <w:tr w14:paraId="65487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3FB718FA">
                  <w:pPr>
                    <w:jc w:val="center"/>
                    <w:rPr>
                      <w:rFonts w:hint="default" w:ascii="Times New Roman" w:hAnsi="Times New Roman" w:eastAsia="宋体" w:cs="Times New Roman"/>
                      <w:color w:val="auto"/>
                      <w:szCs w:val="21"/>
                    </w:rPr>
                  </w:pPr>
                </w:p>
              </w:tc>
              <w:tc>
                <w:tcPr>
                  <w:tcW w:w="544" w:type="pct"/>
                  <w:noWrap w:val="0"/>
                  <w:vAlign w:val="center"/>
                </w:tcPr>
                <w:p w14:paraId="0BD612B3">
                  <w:pPr>
                    <w:jc w:val="center"/>
                    <w:rPr>
                      <w:rFonts w:hint="default" w:ascii="Times New Roman" w:hAnsi="Times New Roman" w:eastAsia="宋体" w:cs="Times New Roman"/>
                      <w:bCs/>
                      <w:color w:val="auto"/>
                      <w:szCs w:val="21"/>
                      <w:lang w:val="en-US"/>
                    </w:rPr>
                  </w:pPr>
                  <w:r>
                    <w:rPr>
                      <w:rFonts w:hint="eastAsia" w:ascii="Times New Roman" w:hAnsi="Times New Roman" w:eastAsia="宋体" w:cs="Times New Roman"/>
                      <w:bCs/>
                      <w:color w:val="auto"/>
                      <w:szCs w:val="21"/>
                      <w:lang w:val="en-US" w:eastAsia="zh-CN"/>
                    </w:rPr>
                    <w:t>G2-2</w:t>
                  </w:r>
                </w:p>
              </w:tc>
              <w:tc>
                <w:tcPr>
                  <w:tcW w:w="1470" w:type="pct"/>
                  <w:noWrap w:val="0"/>
                  <w:vAlign w:val="center"/>
                </w:tcPr>
                <w:p w14:paraId="7B311652">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破碎粉尘</w:t>
                  </w:r>
                </w:p>
              </w:tc>
              <w:tc>
                <w:tcPr>
                  <w:tcW w:w="2424" w:type="pct"/>
                  <w:noWrap w:val="0"/>
                  <w:vAlign w:val="center"/>
                </w:tcPr>
                <w:p w14:paraId="4BB33EC0">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kern w:val="2"/>
                      <w:sz w:val="21"/>
                      <w:szCs w:val="21"/>
                      <w:lang w:val="en-US" w:eastAsia="zh-CN" w:bidi="ar-SA"/>
                    </w:rPr>
                    <w:t>破碎</w:t>
                  </w:r>
                </w:p>
              </w:tc>
            </w:tr>
            <w:tr w14:paraId="61A71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restart"/>
                  <w:noWrap w:val="0"/>
                  <w:vAlign w:val="center"/>
                </w:tcPr>
                <w:p w14:paraId="24C3DDD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544" w:type="pct"/>
                  <w:noWrap w:val="0"/>
                  <w:vAlign w:val="center"/>
                </w:tcPr>
                <w:p w14:paraId="397D69B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S1</w:t>
                  </w:r>
                  <w:r>
                    <w:rPr>
                      <w:rFonts w:hint="eastAsia" w:ascii="Times New Roman" w:hAnsi="Times New Roman" w:eastAsia="宋体" w:cs="Times New Roman"/>
                      <w:color w:val="auto"/>
                      <w:szCs w:val="21"/>
                      <w:lang w:val="en-US" w:eastAsia="zh-CN"/>
                    </w:rPr>
                    <w:t>-1</w:t>
                  </w:r>
                </w:p>
              </w:tc>
              <w:tc>
                <w:tcPr>
                  <w:tcW w:w="1470" w:type="pct"/>
                  <w:noWrap w:val="0"/>
                  <w:vAlign w:val="center"/>
                </w:tcPr>
                <w:p w14:paraId="49EF8106">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废包装袋</w:t>
                  </w:r>
                </w:p>
              </w:tc>
              <w:tc>
                <w:tcPr>
                  <w:tcW w:w="2424" w:type="pct"/>
                  <w:noWrap w:val="0"/>
                  <w:vAlign w:val="center"/>
                </w:tcPr>
                <w:p w14:paraId="2E48E2B8">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称量配料</w:t>
                  </w:r>
                </w:p>
              </w:tc>
            </w:tr>
            <w:tr w14:paraId="576E4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43430E59">
                  <w:pPr>
                    <w:jc w:val="center"/>
                    <w:rPr>
                      <w:rFonts w:hint="default" w:ascii="Times New Roman" w:hAnsi="Times New Roman" w:eastAsia="宋体" w:cs="Times New Roman"/>
                      <w:color w:val="auto"/>
                      <w:szCs w:val="21"/>
                    </w:rPr>
                  </w:pPr>
                </w:p>
              </w:tc>
              <w:tc>
                <w:tcPr>
                  <w:tcW w:w="544" w:type="pct"/>
                  <w:noWrap w:val="0"/>
                  <w:vAlign w:val="center"/>
                </w:tcPr>
                <w:p w14:paraId="7B01B4D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S1</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2</w:t>
                  </w:r>
                </w:p>
              </w:tc>
              <w:tc>
                <w:tcPr>
                  <w:tcW w:w="1470" w:type="pct"/>
                  <w:noWrap w:val="0"/>
                  <w:vAlign w:val="center"/>
                </w:tcPr>
                <w:p w14:paraId="5D1C7526">
                  <w:pPr>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边角料</w:t>
                  </w:r>
                </w:p>
              </w:tc>
              <w:tc>
                <w:tcPr>
                  <w:tcW w:w="2424" w:type="pct"/>
                  <w:noWrap w:val="0"/>
                  <w:vAlign w:val="center"/>
                </w:tcPr>
                <w:p w14:paraId="797C0F3A">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挤出造粒</w:t>
                  </w:r>
                </w:p>
              </w:tc>
            </w:tr>
            <w:tr w14:paraId="17BB9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22552495">
                  <w:pPr>
                    <w:jc w:val="center"/>
                    <w:rPr>
                      <w:rFonts w:hint="default" w:ascii="Times New Roman" w:hAnsi="Times New Roman" w:eastAsia="宋体" w:cs="Times New Roman"/>
                      <w:color w:val="auto"/>
                      <w:szCs w:val="21"/>
                    </w:rPr>
                  </w:pPr>
                </w:p>
              </w:tc>
              <w:tc>
                <w:tcPr>
                  <w:tcW w:w="544" w:type="pct"/>
                  <w:noWrap w:val="0"/>
                  <w:vAlign w:val="center"/>
                </w:tcPr>
                <w:p w14:paraId="48EF9090">
                  <w:pPr>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S1</w:t>
                  </w:r>
                  <w:r>
                    <w:rPr>
                      <w:rFonts w:hint="eastAsia" w:ascii="Times New Roman" w:hAnsi="Times New Roman" w:eastAsia="宋体" w:cs="Times New Roman"/>
                      <w:color w:val="auto"/>
                      <w:szCs w:val="21"/>
                      <w:lang w:val="en-US" w:eastAsia="zh-CN"/>
                    </w:rPr>
                    <w:t>-3</w:t>
                  </w:r>
                </w:p>
              </w:tc>
              <w:tc>
                <w:tcPr>
                  <w:tcW w:w="1470" w:type="pct"/>
                  <w:noWrap w:val="0"/>
                  <w:vAlign w:val="center"/>
                </w:tcPr>
                <w:p w14:paraId="7AFCCA0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边角料</w:t>
                  </w:r>
                </w:p>
              </w:tc>
              <w:tc>
                <w:tcPr>
                  <w:tcW w:w="2424" w:type="pct"/>
                  <w:noWrap w:val="0"/>
                  <w:vAlign w:val="center"/>
                </w:tcPr>
                <w:p w14:paraId="0671F0A0">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切粒、筛分</w:t>
                  </w:r>
                </w:p>
              </w:tc>
            </w:tr>
            <w:tr w14:paraId="442BC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26F7EF00">
                  <w:pPr>
                    <w:jc w:val="center"/>
                    <w:rPr>
                      <w:rFonts w:hint="default" w:ascii="Times New Roman" w:hAnsi="Times New Roman" w:eastAsia="宋体" w:cs="Times New Roman"/>
                      <w:color w:val="auto"/>
                      <w:szCs w:val="21"/>
                    </w:rPr>
                  </w:pPr>
                </w:p>
              </w:tc>
              <w:tc>
                <w:tcPr>
                  <w:tcW w:w="544" w:type="pct"/>
                  <w:noWrap w:val="0"/>
                  <w:vAlign w:val="center"/>
                </w:tcPr>
                <w:p w14:paraId="111BB99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S1</w:t>
                  </w:r>
                  <w:r>
                    <w:rPr>
                      <w:rFonts w:hint="eastAsia" w:ascii="Times New Roman" w:hAnsi="Times New Roman" w:eastAsia="宋体" w:cs="Times New Roman"/>
                      <w:color w:val="auto"/>
                      <w:szCs w:val="21"/>
                      <w:lang w:val="en-US" w:eastAsia="zh-CN"/>
                    </w:rPr>
                    <w:t>-4</w:t>
                  </w:r>
                </w:p>
              </w:tc>
              <w:tc>
                <w:tcPr>
                  <w:tcW w:w="1470" w:type="pct"/>
                  <w:noWrap w:val="0"/>
                  <w:vAlign w:val="center"/>
                </w:tcPr>
                <w:p w14:paraId="0BCB4899">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不合格品</w:t>
                  </w:r>
                </w:p>
              </w:tc>
              <w:tc>
                <w:tcPr>
                  <w:tcW w:w="2424" w:type="pct"/>
                  <w:noWrap w:val="0"/>
                  <w:vAlign w:val="center"/>
                </w:tcPr>
                <w:p w14:paraId="44F2BE57">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检验</w:t>
                  </w:r>
                </w:p>
              </w:tc>
            </w:tr>
            <w:tr w14:paraId="06422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13583A93">
                  <w:pPr>
                    <w:jc w:val="center"/>
                    <w:rPr>
                      <w:rFonts w:hint="default" w:ascii="Times New Roman" w:hAnsi="Times New Roman" w:eastAsia="宋体" w:cs="Times New Roman"/>
                      <w:color w:val="auto"/>
                      <w:szCs w:val="21"/>
                    </w:rPr>
                  </w:pPr>
                </w:p>
              </w:tc>
              <w:tc>
                <w:tcPr>
                  <w:tcW w:w="544" w:type="pct"/>
                  <w:shd w:val="clear" w:color="auto" w:fill="auto"/>
                  <w:noWrap w:val="0"/>
                  <w:vAlign w:val="center"/>
                </w:tcPr>
                <w:p w14:paraId="363C935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S</w:t>
                  </w:r>
                  <w:r>
                    <w:rPr>
                      <w:rFonts w:hint="eastAsia" w:ascii="Times New Roman" w:hAnsi="Times New Roman" w:eastAsia="宋体" w:cs="Times New Roman"/>
                      <w:color w:val="auto"/>
                      <w:szCs w:val="21"/>
                      <w:lang w:val="en-US" w:eastAsia="zh-CN"/>
                    </w:rPr>
                    <w:t>2-1</w:t>
                  </w:r>
                </w:p>
              </w:tc>
              <w:tc>
                <w:tcPr>
                  <w:tcW w:w="1470" w:type="pct"/>
                  <w:noWrap w:val="0"/>
                  <w:vAlign w:val="center"/>
                </w:tcPr>
                <w:p w14:paraId="5318F823">
                  <w:pPr>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包装袋</w:t>
                  </w:r>
                </w:p>
              </w:tc>
              <w:tc>
                <w:tcPr>
                  <w:tcW w:w="2424" w:type="pct"/>
                  <w:noWrap w:val="0"/>
                  <w:vAlign w:val="center"/>
                </w:tcPr>
                <w:p w14:paraId="09C8D643">
                  <w:pPr>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投料</w:t>
                  </w:r>
                </w:p>
              </w:tc>
            </w:tr>
            <w:tr w14:paraId="7E48D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29A9B3B3">
                  <w:pPr>
                    <w:jc w:val="center"/>
                    <w:rPr>
                      <w:rFonts w:hint="default" w:ascii="Times New Roman" w:hAnsi="Times New Roman" w:eastAsia="宋体" w:cs="Times New Roman"/>
                      <w:color w:val="auto"/>
                      <w:szCs w:val="21"/>
                    </w:rPr>
                  </w:pPr>
                </w:p>
              </w:tc>
              <w:tc>
                <w:tcPr>
                  <w:tcW w:w="544" w:type="pct"/>
                  <w:shd w:val="clear" w:color="auto" w:fill="auto"/>
                  <w:noWrap w:val="0"/>
                  <w:vAlign w:val="center"/>
                </w:tcPr>
                <w:p w14:paraId="70F1F00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S</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2</w:t>
                  </w:r>
                </w:p>
              </w:tc>
              <w:tc>
                <w:tcPr>
                  <w:tcW w:w="1470" w:type="pct"/>
                  <w:noWrap w:val="0"/>
                  <w:vAlign w:val="center"/>
                </w:tcPr>
                <w:p w14:paraId="7B073254">
                  <w:pPr>
                    <w:jc w:val="center"/>
                    <w:rPr>
                      <w:rFonts w:hint="default" w:ascii="Times New Roman" w:hAnsi="Times New Roman" w:eastAsia="宋体" w:cs="Times New Roman"/>
                      <w:color w:val="auto"/>
                      <w:sz w:val="21"/>
                      <w:szCs w:val="21"/>
                    </w:rPr>
                  </w:pPr>
                  <w:r>
                    <w:rPr>
                      <w:rFonts w:hint="eastAsia"/>
                      <w:color w:val="auto"/>
                      <w:lang w:val="en-US" w:eastAsia="zh-CN"/>
                    </w:rPr>
                    <w:t>废边角料</w:t>
                  </w:r>
                </w:p>
              </w:tc>
              <w:tc>
                <w:tcPr>
                  <w:tcW w:w="2424" w:type="pct"/>
                  <w:noWrap w:val="0"/>
                  <w:vAlign w:val="center"/>
                </w:tcPr>
                <w:p w14:paraId="6541A14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挤出成型</w:t>
                  </w:r>
                </w:p>
              </w:tc>
            </w:tr>
            <w:tr w14:paraId="3A01E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vMerge w:val="continue"/>
                  <w:noWrap w:val="0"/>
                  <w:vAlign w:val="center"/>
                </w:tcPr>
                <w:p w14:paraId="30A7CD21">
                  <w:pPr>
                    <w:jc w:val="center"/>
                    <w:rPr>
                      <w:rFonts w:hint="default" w:ascii="Times New Roman" w:hAnsi="Times New Roman" w:eastAsia="宋体" w:cs="Times New Roman"/>
                      <w:color w:val="auto"/>
                      <w:szCs w:val="21"/>
                    </w:rPr>
                  </w:pPr>
                </w:p>
              </w:tc>
              <w:tc>
                <w:tcPr>
                  <w:tcW w:w="544" w:type="pct"/>
                  <w:shd w:val="clear" w:color="auto" w:fill="auto"/>
                  <w:noWrap w:val="0"/>
                  <w:vAlign w:val="center"/>
                </w:tcPr>
                <w:p w14:paraId="243CFB6B">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S</w:t>
                  </w:r>
                  <w:r>
                    <w:rPr>
                      <w:rFonts w:hint="eastAsia" w:ascii="Times New Roman" w:hAnsi="Times New Roman" w:eastAsia="宋体" w:cs="Times New Roman"/>
                      <w:color w:val="auto"/>
                      <w:szCs w:val="21"/>
                      <w:lang w:val="en-US" w:eastAsia="zh-CN"/>
                    </w:rPr>
                    <w:t>2-3</w:t>
                  </w:r>
                </w:p>
              </w:tc>
              <w:tc>
                <w:tcPr>
                  <w:tcW w:w="1470" w:type="pct"/>
                  <w:noWrap w:val="0"/>
                  <w:vAlign w:val="center"/>
                </w:tcPr>
                <w:p w14:paraId="5F270923">
                  <w:pPr>
                    <w:jc w:val="center"/>
                    <w:rPr>
                      <w:rFonts w:hint="default"/>
                      <w:color w:val="auto"/>
                      <w:lang w:val="en-US" w:eastAsia="zh-CN"/>
                    </w:rPr>
                  </w:pPr>
                  <w:r>
                    <w:rPr>
                      <w:rFonts w:hint="eastAsia"/>
                      <w:color w:val="auto"/>
                      <w:lang w:val="en-US" w:eastAsia="zh-CN"/>
                    </w:rPr>
                    <w:t>不合格品</w:t>
                  </w:r>
                </w:p>
              </w:tc>
              <w:tc>
                <w:tcPr>
                  <w:tcW w:w="2424" w:type="pct"/>
                  <w:noWrap w:val="0"/>
                  <w:vAlign w:val="center"/>
                </w:tcPr>
                <w:p w14:paraId="06D76B29">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检验</w:t>
                  </w:r>
                </w:p>
              </w:tc>
            </w:tr>
            <w:tr w14:paraId="436D4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1" w:type="pct"/>
                  <w:noWrap w:val="0"/>
                  <w:vAlign w:val="center"/>
                </w:tcPr>
                <w:p w14:paraId="4F5B46E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544" w:type="pct"/>
                  <w:noWrap w:val="0"/>
                  <w:vAlign w:val="center"/>
                </w:tcPr>
                <w:p w14:paraId="48454EAA">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N</w:t>
                  </w:r>
                </w:p>
              </w:tc>
              <w:tc>
                <w:tcPr>
                  <w:tcW w:w="1470" w:type="pct"/>
                  <w:noWrap w:val="0"/>
                  <w:vAlign w:val="center"/>
                </w:tcPr>
                <w:p w14:paraId="018733B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噪声</w:t>
                  </w:r>
                </w:p>
              </w:tc>
              <w:tc>
                <w:tcPr>
                  <w:tcW w:w="2424" w:type="pct"/>
                  <w:noWrap w:val="0"/>
                  <w:vAlign w:val="center"/>
                </w:tcPr>
                <w:p w14:paraId="4A7DA2B2">
                  <w:pPr>
                    <w:jc w:val="center"/>
                    <w:rPr>
                      <w:rFonts w:hint="default" w:ascii="Times New Roman" w:hAnsi="Times New Roman" w:eastAsia="宋体" w:cs="Times New Roman"/>
                      <w:bCs/>
                      <w:color w:val="auto"/>
                      <w:szCs w:val="21"/>
                      <w:lang w:val="en-US"/>
                    </w:rPr>
                  </w:pPr>
                  <w:r>
                    <w:rPr>
                      <w:rFonts w:hint="eastAsia" w:ascii="Times New Roman" w:hAnsi="Times New Roman" w:eastAsia="宋体" w:cs="Times New Roman"/>
                      <w:bCs/>
                      <w:color w:val="auto"/>
                      <w:szCs w:val="21"/>
                      <w:lang w:val="en-US" w:eastAsia="zh-CN"/>
                    </w:rPr>
                    <w:t>投料混合、挤出造粒、挤出成型等等</w:t>
                  </w:r>
                </w:p>
              </w:tc>
            </w:tr>
          </w:tbl>
          <w:p w14:paraId="4B3C7C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4AA17E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73E3E8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09B6F1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0A2E05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1C3089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4D0354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23E269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66D9C6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p>
          <w:p w14:paraId="7D5F2EE7">
            <w:pPr>
              <w:pStyle w:val="17"/>
              <w:numPr>
                <w:ilvl w:val="0"/>
                <w:numId w:val="0"/>
              </w:numPr>
              <w:spacing w:line="360" w:lineRule="auto"/>
              <w:rPr>
                <w:rFonts w:hint="default" w:ascii="Times New Roman" w:hAnsi="Times New Roman" w:eastAsia="宋体" w:cs="Times New Roman"/>
                <w:b/>
                <w:bCs/>
                <w:color w:val="auto"/>
                <w:kern w:val="0"/>
                <w:szCs w:val="21"/>
              </w:rPr>
            </w:pPr>
          </w:p>
        </w:tc>
      </w:tr>
      <w:tr w14:paraId="149CD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9" w:hRule="atLeast"/>
          <w:jc w:val="center"/>
        </w:trPr>
        <w:tc>
          <w:tcPr>
            <w:tcW w:w="550" w:type="dxa"/>
            <w:noWrap w:val="0"/>
            <w:tcMar>
              <w:top w:w="0" w:type="dxa"/>
              <w:left w:w="0" w:type="dxa"/>
              <w:bottom w:w="0" w:type="dxa"/>
              <w:right w:w="0" w:type="dxa"/>
            </w:tcMar>
            <w:vAlign w:val="center"/>
          </w:tcPr>
          <w:p w14:paraId="58D69587">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与项目有关的原有环境污染问题</w:t>
            </w:r>
          </w:p>
        </w:tc>
        <w:tc>
          <w:tcPr>
            <w:tcW w:w="8510" w:type="dxa"/>
            <w:noWrap w:val="0"/>
            <w:vAlign w:val="top"/>
          </w:tcPr>
          <w:p w14:paraId="1BEC3B14">
            <w:pPr>
              <w:adjustRightInd w:val="0"/>
              <w:snapToGrid w:val="0"/>
              <w:spacing w:before="120" w:beforeLines="50"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lang w:val="en-US" w:eastAsia="zh-CN"/>
              </w:rPr>
              <w:t>一</w:t>
            </w:r>
            <w:r>
              <w:rPr>
                <w:rFonts w:hint="default" w:ascii="Times New Roman" w:hAnsi="Times New Roman" w:eastAsia="宋体" w:cs="Times New Roman"/>
                <w:b/>
                <w:color w:val="auto"/>
                <w:szCs w:val="21"/>
              </w:rPr>
              <w:t>、建设单位原项目简介：</w:t>
            </w:r>
          </w:p>
          <w:p w14:paraId="0883D472">
            <w:pPr>
              <w:spacing w:line="360" w:lineRule="auto"/>
              <w:ind w:firstLine="420" w:firstLineChars="200"/>
              <w:rPr>
                <w:rFonts w:hint="default" w:ascii="Times New Roman" w:hAnsi="Times New Roman" w:eastAsia="宋体" w:cs="Times New Roman"/>
                <w:bCs/>
                <w:color w:val="auto"/>
                <w:szCs w:val="21"/>
              </w:rPr>
            </w:pPr>
            <w:r>
              <w:rPr>
                <w:rFonts w:hint="eastAsia" w:ascii="Times New Roman" w:hAnsi="Times New Roman" w:eastAsia="宋体" w:cs="Times New Roman"/>
                <w:color w:val="auto"/>
                <w:szCs w:val="21"/>
                <w:lang w:eastAsia="zh-CN"/>
              </w:rPr>
              <w:t>常州和瑞新材料科技有限公司</w:t>
            </w:r>
            <w:r>
              <w:rPr>
                <w:rFonts w:hint="default" w:ascii="Times New Roman" w:hAnsi="Times New Roman" w:eastAsia="宋体" w:cs="Times New Roman"/>
                <w:color w:val="auto"/>
                <w:szCs w:val="21"/>
              </w:rPr>
              <w:t>成立于</w:t>
            </w:r>
            <w:r>
              <w:rPr>
                <w:rFonts w:hint="eastAsia" w:ascii="Times New Roman" w:hAnsi="Times New Roman" w:eastAsia="宋体" w:cs="Times New Roman"/>
                <w:color w:val="auto"/>
                <w:szCs w:val="21"/>
                <w:lang w:eastAsia="zh-CN"/>
              </w:rPr>
              <w:t>2021年12月4日</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 w:val="21"/>
                <w:szCs w:val="21"/>
                <w:lang w:val="en-US" w:eastAsia="zh-CN"/>
              </w:rPr>
              <w:t>于2021年投</w:t>
            </w:r>
            <w:r>
              <w:rPr>
                <w:rFonts w:hint="eastAsia"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lang w:val="en-US" w:eastAsia="zh-CN"/>
              </w:rPr>
              <w:t>万元，租赁</w:t>
            </w:r>
            <w:r>
              <w:rPr>
                <w:rFonts w:hint="eastAsia" w:ascii="Times New Roman" w:hAnsi="Times New Roman" w:eastAsia="宋体" w:cs="Times New Roman"/>
                <w:color w:val="auto"/>
                <w:sz w:val="21"/>
                <w:szCs w:val="21"/>
                <w:lang w:val="en-US" w:eastAsia="zh-CN"/>
              </w:rPr>
              <w:t>金博通众创园8幢闲置厂房</w:t>
            </w: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sz w:val="21"/>
                <w:szCs w:val="21"/>
                <w:lang w:eastAsia="zh-CN"/>
              </w:rPr>
              <w:t>“</w:t>
            </w:r>
            <w:r>
              <w:rPr>
                <w:rFonts w:eastAsia="宋体"/>
                <w:b w:val="0"/>
                <w:bCs/>
                <w:color w:val="auto"/>
              </w:rPr>
              <w:t>新建热塑性弹性体及制品项目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年</w:t>
            </w:r>
            <w:r>
              <w:rPr>
                <w:rFonts w:hint="eastAsia"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编制了《</w:t>
            </w:r>
            <w:r>
              <w:rPr>
                <w:rFonts w:hint="eastAsia" w:ascii="Times New Roman" w:hAnsi="Times New Roman" w:eastAsia="宋体" w:cs="Times New Roman"/>
                <w:color w:val="auto"/>
                <w:sz w:val="21"/>
                <w:szCs w:val="21"/>
                <w:lang w:eastAsia="zh-CN"/>
              </w:rPr>
              <w:t>常州和瑞新材料科技有限公司</w:t>
            </w:r>
            <w:r>
              <w:rPr>
                <w:rFonts w:eastAsia="宋体"/>
                <w:b w:val="0"/>
                <w:bCs/>
                <w:color w:val="auto"/>
              </w:rPr>
              <w:t>新建热塑性弹性体及制品项目</w:t>
            </w:r>
            <w:r>
              <w:rPr>
                <w:rFonts w:hint="default" w:ascii="Times New Roman" w:hAnsi="Times New Roman" w:eastAsia="宋体" w:cs="Times New Roman"/>
                <w:color w:val="auto"/>
                <w:szCs w:val="21"/>
                <w:lang w:val="en-US" w:eastAsia="zh-CN"/>
              </w:rPr>
              <w:t>环境影响报告表》</w:t>
            </w:r>
            <w:r>
              <w:rPr>
                <w:rFonts w:hint="default" w:ascii="Times New Roman" w:hAnsi="Times New Roman" w:eastAsia="宋体" w:cs="Times New Roman"/>
                <w:color w:val="auto"/>
                <w:sz w:val="21"/>
                <w:szCs w:val="21"/>
                <w:lang w:val="en-US" w:eastAsia="zh-CN"/>
              </w:rPr>
              <w:t>于202</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lang w:val="en-US" w:eastAsia="zh-CN"/>
              </w:rPr>
              <w:t>日经</w:t>
            </w:r>
            <w:r>
              <w:rPr>
                <w:rFonts w:hint="default" w:ascii="Times New Roman" w:hAnsi="Times New Roman" w:eastAsia="宋体" w:cs="Times New Roman"/>
                <w:color w:val="auto"/>
                <w:sz w:val="21"/>
                <w:szCs w:val="21"/>
              </w:rPr>
              <w:t>常州市生态环境局审批通过（</w:t>
            </w:r>
            <w:r>
              <w:rPr>
                <w:rFonts w:hint="default" w:ascii="Times New Roman" w:hAnsi="Times New Roman" w:eastAsia="宋体" w:cs="Times New Roman"/>
                <w:color w:val="auto"/>
                <w:sz w:val="21"/>
                <w:szCs w:val="21"/>
                <w:lang w:val="en-US" w:eastAsia="zh-CN"/>
              </w:rPr>
              <w:t>批文号：常金环审</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146号</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项目建成后全厂年生产</w:t>
            </w:r>
            <w:r>
              <w:rPr>
                <w:rFonts w:hint="default" w:ascii="Times New Roman" w:hAnsi="Times New Roman" w:eastAsia="宋体" w:cs="Times New Roman"/>
                <w:color w:val="auto"/>
                <w:sz w:val="21"/>
                <w:szCs w:val="21"/>
                <w:lang w:val="en-US" w:eastAsia="zh-CN" w:bidi="ar-SA"/>
              </w:rPr>
              <w:t>热塑性弹性体颗粒</w:t>
            </w:r>
            <w:r>
              <w:rPr>
                <w:rFonts w:hint="eastAsia" w:ascii="Times New Roman" w:hAnsi="Times New Roman" w:eastAsia="宋体" w:cs="Times New Roman"/>
                <w:color w:val="auto"/>
                <w:sz w:val="21"/>
                <w:szCs w:val="21"/>
                <w:lang w:val="en-US" w:eastAsia="zh-CN" w:bidi="ar-SA"/>
              </w:rPr>
              <w:t>2000t、汽车密封件30t</w:t>
            </w:r>
            <w:r>
              <w:rPr>
                <w:rFonts w:hint="default" w:ascii="Times New Roman" w:hAnsi="Times New Roman" w:eastAsia="宋体" w:cs="Times New Roman"/>
                <w:bCs/>
                <w:color w:val="auto"/>
                <w:szCs w:val="21"/>
              </w:rPr>
              <w:t>。</w:t>
            </w:r>
            <w:r>
              <w:rPr>
                <w:rFonts w:hint="default" w:ascii="Times New Roman" w:hAnsi="Times New Roman" w:eastAsia="宋体" w:cs="Times New Roman"/>
                <w:color w:val="auto"/>
                <w:sz w:val="21"/>
                <w:szCs w:val="21"/>
                <w:lang w:val="en-US" w:eastAsia="zh-CN"/>
              </w:rPr>
              <w:t>该项目于202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月</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日完成自主验收，年生产</w:t>
            </w:r>
            <w:r>
              <w:rPr>
                <w:rFonts w:hint="default" w:ascii="Times New Roman" w:hAnsi="Times New Roman" w:eastAsia="宋体" w:cs="Times New Roman"/>
                <w:color w:val="auto"/>
                <w:sz w:val="21"/>
                <w:szCs w:val="21"/>
                <w:lang w:val="en-US" w:eastAsia="zh-CN" w:bidi="ar-SA"/>
              </w:rPr>
              <w:t>热塑性弹性体颗粒</w:t>
            </w:r>
            <w:r>
              <w:rPr>
                <w:rFonts w:hint="eastAsia" w:ascii="Times New Roman" w:hAnsi="Times New Roman" w:eastAsia="宋体" w:cs="Times New Roman"/>
                <w:color w:val="auto"/>
                <w:sz w:val="21"/>
                <w:szCs w:val="21"/>
                <w:lang w:val="en-US" w:eastAsia="zh-CN" w:bidi="ar-SA"/>
              </w:rPr>
              <w:t>2000t、汽车密封件30t</w:t>
            </w:r>
            <w:r>
              <w:rPr>
                <w:rFonts w:hint="default" w:ascii="Times New Roman" w:hAnsi="Times New Roman" w:eastAsia="宋体" w:cs="Times New Roman"/>
                <w:bCs/>
                <w:color w:val="auto"/>
                <w:szCs w:val="21"/>
              </w:rPr>
              <w:t>。</w:t>
            </w:r>
          </w:p>
          <w:p w14:paraId="20C36278">
            <w:pPr>
              <w:spacing w:line="360" w:lineRule="auto"/>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color w:val="auto"/>
                <w:lang w:val="en-US" w:eastAsia="zh-CN"/>
              </w:rPr>
              <w:t>建设单位</w:t>
            </w:r>
            <w:r>
              <w:rPr>
                <w:rFonts w:hint="default" w:ascii="Times New Roman" w:hAnsi="Times New Roman" w:eastAsia="宋体" w:cs="Times New Roman"/>
                <w:color w:val="auto"/>
                <w:sz w:val="21"/>
                <w:szCs w:val="21"/>
              </w:rPr>
              <w:t>历次环保审批情况</w:t>
            </w:r>
            <w:r>
              <w:rPr>
                <w:rFonts w:hint="default" w:ascii="Times New Roman" w:hAnsi="Times New Roman" w:eastAsia="宋体" w:cs="Times New Roman"/>
                <w:color w:val="auto"/>
                <w:sz w:val="21"/>
                <w:szCs w:val="21"/>
                <w:lang w:eastAsia="zh-CN"/>
              </w:rPr>
              <w:t>：</w:t>
            </w:r>
          </w:p>
          <w:p w14:paraId="5F5E3B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表2-</w:t>
            </w:r>
            <w:r>
              <w:rPr>
                <w:rFonts w:hint="eastAsia" w:ascii="Times New Roman" w:hAnsi="Times New Roman" w:eastAsia="宋体" w:cs="Times New Roman"/>
                <w:b/>
                <w:color w:val="auto"/>
                <w:szCs w:val="21"/>
                <w:lang w:val="en-US" w:eastAsia="zh-CN"/>
              </w:rPr>
              <w:t>7</w:t>
            </w:r>
            <w:r>
              <w:rPr>
                <w:rFonts w:hint="default" w:ascii="Times New Roman" w:hAnsi="Times New Roman" w:eastAsia="宋体" w:cs="Times New Roman"/>
                <w:b/>
                <w:color w:val="auto"/>
                <w:szCs w:val="21"/>
              </w:rPr>
              <w:t xml:space="preserve"> 建设单位历次环保审批情况一览表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1101"/>
              <w:gridCol w:w="1511"/>
              <w:gridCol w:w="2020"/>
              <w:gridCol w:w="1524"/>
              <w:gridCol w:w="1687"/>
            </w:tblGrid>
            <w:tr w14:paraId="76623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Merge w:val="restart"/>
                  <w:noWrap w:val="0"/>
                  <w:tcMar>
                    <w:top w:w="0" w:type="dxa"/>
                    <w:left w:w="0" w:type="dxa"/>
                    <w:bottom w:w="0" w:type="dxa"/>
                    <w:right w:w="0" w:type="dxa"/>
                  </w:tcMar>
                  <w:vAlign w:val="center"/>
                </w:tcPr>
                <w:p w14:paraId="28AB9B3A">
                  <w:pPr>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664" w:type="pct"/>
                  <w:vMerge w:val="restart"/>
                  <w:noWrap w:val="0"/>
                  <w:tcMar>
                    <w:top w:w="0" w:type="dxa"/>
                    <w:left w:w="0" w:type="dxa"/>
                    <w:bottom w:w="0" w:type="dxa"/>
                    <w:right w:w="0" w:type="dxa"/>
                  </w:tcMar>
                  <w:vAlign w:val="center"/>
                </w:tcPr>
                <w:p w14:paraId="5337C3F8">
                  <w:pPr>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项目名称</w:t>
                  </w:r>
                </w:p>
              </w:tc>
              <w:tc>
                <w:tcPr>
                  <w:tcW w:w="911" w:type="pct"/>
                  <w:vMerge w:val="restart"/>
                  <w:noWrap w:val="0"/>
                  <w:tcMar>
                    <w:top w:w="0" w:type="dxa"/>
                    <w:left w:w="0" w:type="dxa"/>
                    <w:bottom w:w="0" w:type="dxa"/>
                    <w:right w:w="0" w:type="dxa"/>
                  </w:tcMar>
                  <w:vAlign w:val="center"/>
                </w:tcPr>
                <w:p w14:paraId="64C9D9ED">
                  <w:pPr>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建设内容</w:t>
                  </w:r>
                </w:p>
              </w:tc>
              <w:tc>
                <w:tcPr>
                  <w:tcW w:w="1218" w:type="pct"/>
                  <w:vMerge w:val="restart"/>
                  <w:noWrap w:val="0"/>
                  <w:tcMar>
                    <w:top w:w="0" w:type="dxa"/>
                    <w:left w:w="0" w:type="dxa"/>
                    <w:bottom w:w="0" w:type="dxa"/>
                    <w:right w:w="0" w:type="dxa"/>
                  </w:tcMar>
                  <w:vAlign w:val="center"/>
                </w:tcPr>
                <w:p w14:paraId="3EC81D37">
                  <w:pPr>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环保批复情况</w:t>
                  </w:r>
                </w:p>
              </w:tc>
              <w:tc>
                <w:tcPr>
                  <w:tcW w:w="1934" w:type="pct"/>
                  <w:gridSpan w:val="2"/>
                  <w:noWrap w:val="0"/>
                  <w:tcMar>
                    <w:top w:w="0" w:type="dxa"/>
                    <w:left w:w="0" w:type="dxa"/>
                    <w:bottom w:w="0" w:type="dxa"/>
                    <w:right w:w="0" w:type="dxa"/>
                  </w:tcMar>
                  <w:vAlign w:val="center"/>
                </w:tcPr>
                <w:p w14:paraId="246CA55A">
                  <w:pPr>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“三同时”验收状态</w:t>
                  </w:r>
                </w:p>
              </w:tc>
            </w:tr>
            <w:tr w14:paraId="456C0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vMerge w:val="continue"/>
                  <w:noWrap w:val="0"/>
                  <w:tcMar>
                    <w:top w:w="0" w:type="dxa"/>
                    <w:left w:w="0" w:type="dxa"/>
                    <w:bottom w:w="0" w:type="dxa"/>
                    <w:right w:w="0" w:type="dxa"/>
                  </w:tcMar>
                  <w:vAlign w:val="center"/>
                </w:tcPr>
                <w:p w14:paraId="62194C67">
                  <w:pPr>
                    <w:spacing w:line="240" w:lineRule="auto"/>
                    <w:ind w:left="0" w:leftChars="0" w:firstLine="0" w:firstLineChars="0"/>
                    <w:jc w:val="center"/>
                    <w:rPr>
                      <w:rFonts w:hint="default" w:ascii="Times New Roman" w:hAnsi="Times New Roman" w:eastAsia="宋体" w:cs="Times New Roman"/>
                      <w:b/>
                      <w:bCs w:val="0"/>
                      <w:color w:val="auto"/>
                      <w:sz w:val="21"/>
                      <w:szCs w:val="21"/>
                    </w:rPr>
                  </w:pPr>
                </w:p>
              </w:tc>
              <w:tc>
                <w:tcPr>
                  <w:tcW w:w="664" w:type="pct"/>
                  <w:vMerge w:val="continue"/>
                  <w:noWrap w:val="0"/>
                  <w:tcMar>
                    <w:top w:w="0" w:type="dxa"/>
                    <w:left w:w="0" w:type="dxa"/>
                    <w:bottom w:w="0" w:type="dxa"/>
                    <w:right w:w="0" w:type="dxa"/>
                  </w:tcMar>
                  <w:vAlign w:val="center"/>
                </w:tcPr>
                <w:p w14:paraId="7EADB7E2">
                  <w:pPr>
                    <w:spacing w:line="240" w:lineRule="auto"/>
                    <w:ind w:left="0" w:leftChars="0" w:firstLine="0" w:firstLineChars="0"/>
                    <w:jc w:val="center"/>
                    <w:rPr>
                      <w:rFonts w:hint="default" w:ascii="Times New Roman" w:hAnsi="Times New Roman" w:eastAsia="宋体" w:cs="Times New Roman"/>
                      <w:b/>
                      <w:bCs w:val="0"/>
                      <w:color w:val="auto"/>
                      <w:sz w:val="21"/>
                      <w:szCs w:val="21"/>
                    </w:rPr>
                  </w:pPr>
                </w:p>
              </w:tc>
              <w:tc>
                <w:tcPr>
                  <w:tcW w:w="911" w:type="pct"/>
                  <w:vMerge w:val="continue"/>
                  <w:noWrap w:val="0"/>
                  <w:tcMar>
                    <w:top w:w="0" w:type="dxa"/>
                    <w:left w:w="0" w:type="dxa"/>
                    <w:bottom w:w="0" w:type="dxa"/>
                    <w:right w:w="0" w:type="dxa"/>
                  </w:tcMar>
                  <w:vAlign w:val="center"/>
                </w:tcPr>
                <w:p w14:paraId="2CAB7A2C">
                  <w:pPr>
                    <w:spacing w:line="240" w:lineRule="auto"/>
                    <w:ind w:left="0" w:leftChars="0" w:firstLine="0" w:firstLineChars="0"/>
                    <w:jc w:val="center"/>
                    <w:rPr>
                      <w:rFonts w:hint="default" w:ascii="Times New Roman" w:hAnsi="Times New Roman" w:eastAsia="宋体" w:cs="Times New Roman"/>
                      <w:b/>
                      <w:bCs w:val="0"/>
                      <w:color w:val="auto"/>
                      <w:sz w:val="21"/>
                      <w:szCs w:val="21"/>
                    </w:rPr>
                  </w:pPr>
                </w:p>
              </w:tc>
              <w:tc>
                <w:tcPr>
                  <w:tcW w:w="1218" w:type="pct"/>
                  <w:vMerge w:val="continue"/>
                  <w:noWrap w:val="0"/>
                  <w:tcMar>
                    <w:top w:w="0" w:type="dxa"/>
                    <w:left w:w="0" w:type="dxa"/>
                    <w:bottom w:w="0" w:type="dxa"/>
                    <w:right w:w="0" w:type="dxa"/>
                  </w:tcMar>
                  <w:vAlign w:val="center"/>
                </w:tcPr>
                <w:p w14:paraId="60DDF09A">
                  <w:pPr>
                    <w:spacing w:line="240" w:lineRule="auto"/>
                    <w:ind w:left="0" w:leftChars="0" w:firstLine="0" w:firstLineChars="0"/>
                    <w:jc w:val="center"/>
                    <w:rPr>
                      <w:rFonts w:hint="default" w:ascii="Times New Roman" w:hAnsi="Times New Roman" w:eastAsia="宋体" w:cs="Times New Roman"/>
                      <w:b/>
                      <w:bCs w:val="0"/>
                      <w:color w:val="auto"/>
                      <w:sz w:val="21"/>
                      <w:szCs w:val="21"/>
                    </w:rPr>
                  </w:pPr>
                </w:p>
              </w:tc>
              <w:tc>
                <w:tcPr>
                  <w:tcW w:w="919" w:type="pct"/>
                  <w:noWrap w:val="0"/>
                  <w:tcMar>
                    <w:top w:w="0" w:type="dxa"/>
                    <w:left w:w="0" w:type="dxa"/>
                    <w:bottom w:w="0" w:type="dxa"/>
                    <w:right w:w="0" w:type="dxa"/>
                  </w:tcMar>
                  <w:vAlign w:val="center"/>
                </w:tcPr>
                <w:p w14:paraId="7EB9FE7B">
                  <w:pPr>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建设情况</w:t>
                  </w:r>
                </w:p>
              </w:tc>
              <w:tc>
                <w:tcPr>
                  <w:tcW w:w="1015" w:type="pct"/>
                  <w:noWrap w:val="0"/>
                  <w:tcMar>
                    <w:top w:w="0" w:type="dxa"/>
                    <w:left w:w="0" w:type="dxa"/>
                    <w:bottom w:w="0" w:type="dxa"/>
                    <w:right w:w="0" w:type="dxa"/>
                  </w:tcMar>
                  <w:vAlign w:val="center"/>
                </w:tcPr>
                <w:p w14:paraId="33F07E90">
                  <w:pPr>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验收情况</w:t>
                  </w:r>
                </w:p>
              </w:tc>
            </w:tr>
            <w:tr w14:paraId="62826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70" w:type="pct"/>
                  <w:noWrap w:val="0"/>
                  <w:tcMar>
                    <w:top w:w="0" w:type="dxa"/>
                    <w:left w:w="0" w:type="dxa"/>
                    <w:bottom w:w="0" w:type="dxa"/>
                    <w:right w:w="0" w:type="dxa"/>
                  </w:tcMar>
                  <w:vAlign w:val="center"/>
                </w:tcPr>
                <w:p w14:paraId="1DC4DEEF">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664" w:type="pct"/>
                  <w:noWrap w:val="0"/>
                  <w:tcMar>
                    <w:top w:w="0" w:type="dxa"/>
                    <w:left w:w="0" w:type="dxa"/>
                    <w:bottom w:w="0" w:type="dxa"/>
                    <w:right w:w="0" w:type="dxa"/>
                  </w:tcMar>
                  <w:vAlign w:val="center"/>
                </w:tcPr>
                <w:p w14:paraId="3FEB4398">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eastAsia="宋体"/>
                      <w:b w:val="0"/>
                      <w:bCs/>
                      <w:color w:val="auto"/>
                    </w:rPr>
                    <w:t>新建热塑性弹性体及制品项目</w:t>
                  </w:r>
                </w:p>
              </w:tc>
              <w:tc>
                <w:tcPr>
                  <w:tcW w:w="911" w:type="pct"/>
                  <w:noWrap w:val="0"/>
                  <w:tcMar>
                    <w:top w:w="0" w:type="dxa"/>
                    <w:left w:w="0" w:type="dxa"/>
                    <w:bottom w:w="0" w:type="dxa"/>
                    <w:right w:w="0" w:type="dxa"/>
                  </w:tcMar>
                  <w:vAlign w:val="center"/>
                </w:tcPr>
                <w:p w14:paraId="6A67828D">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年生产</w:t>
                  </w:r>
                  <w:r>
                    <w:rPr>
                      <w:rFonts w:hint="default" w:ascii="Times New Roman" w:hAnsi="Times New Roman" w:eastAsia="宋体" w:cs="Times New Roman"/>
                      <w:color w:val="auto"/>
                      <w:sz w:val="21"/>
                      <w:szCs w:val="21"/>
                      <w:lang w:val="en-US" w:eastAsia="zh-CN" w:bidi="ar-SA"/>
                    </w:rPr>
                    <w:t>热塑性弹性体颗粒</w:t>
                  </w:r>
                  <w:r>
                    <w:rPr>
                      <w:rFonts w:hint="eastAsia" w:ascii="Times New Roman" w:hAnsi="Times New Roman" w:eastAsia="宋体" w:cs="Times New Roman"/>
                      <w:color w:val="auto"/>
                      <w:sz w:val="21"/>
                      <w:szCs w:val="21"/>
                      <w:lang w:val="en-US" w:eastAsia="zh-CN" w:bidi="ar-SA"/>
                    </w:rPr>
                    <w:t>2000t、汽车密封件30t</w:t>
                  </w:r>
                </w:p>
              </w:tc>
              <w:tc>
                <w:tcPr>
                  <w:tcW w:w="1218" w:type="pct"/>
                  <w:noWrap w:val="0"/>
                  <w:tcMar>
                    <w:top w:w="0" w:type="dxa"/>
                    <w:left w:w="0" w:type="dxa"/>
                    <w:bottom w:w="0" w:type="dxa"/>
                    <w:right w:w="0" w:type="dxa"/>
                  </w:tcMar>
                  <w:vAlign w:val="center"/>
                </w:tcPr>
                <w:p w14:paraId="6E355879">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bCs/>
                      <w:color w:val="auto"/>
                      <w:sz w:val="21"/>
                      <w:szCs w:val="21"/>
                      <w:lang w:val="en-US" w:eastAsia="zh-CN"/>
                    </w:rPr>
                    <w:t>通过环保审批，</w:t>
                  </w:r>
                  <w:r>
                    <w:rPr>
                      <w:rFonts w:hint="default" w:ascii="Times New Roman" w:hAnsi="Times New Roman" w:eastAsia="宋体" w:cs="Times New Roman"/>
                      <w:color w:val="auto"/>
                      <w:sz w:val="21"/>
                      <w:szCs w:val="21"/>
                      <w:lang w:val="en-US" w:eastAsia="zh-CN"/>
                    </w:rPr>
                    <w:t>常金环审</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146号</w:t>
                  </w:r>
                </w:p>
              </w:tc>
              <w:tc>
                <w:tcPr>
                  <w:tcW w:w="919" w:type="pct"/>
                  <w:noWrap w:val="0"/>
                  <w:tcMar>
                    <w:top w:w="0" w:type="dxa"/>
                    <w:left w:w="0" w:type="dxa"/>
                    <w:bottom w:w="0" w:type="dxa"/>
                    <w:right w:w="0" w:type="dxa"/>
                  </w:tcMar>
                  <w:vAlign w:val="center"/>
                </w:tcPr>
                <w:p w14:paraId="508EBC00">
                  <w:pPr>
                    <w:spacing w:line="240" w:lineRule="auto"/>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年生产</w:t>
                  </w:r>
                  <w:r>
                    <w:rPr>
                      <w:rFonts w:hint="default" w:ascii="Times New Roman" w:hAnsi="Times New Roman" w:eastAsia="宋体" w:cs="Times New Roman"/>
                      <w:color w:val="auto"/>
                      <w:sz w:val="21"/>
                      <w:szCs w:val="21"/>
                      <w:lang w:val="en-US" w:eastAsia="zh-CN" w:bidi="ar-SA"/>
                    </w:rPr>
                    <w:t>热塑性弹性体颗粒</w:t>
                  </w:r>
                  <w:r>
                    <w:rPr>
                      <w:rFonts w:hint="eastAsia" w:ascii="Times New Roman" w:hAnsi="Times New Roman" w:eastAsia="宋体" w:cs="Times New Roman"/>
                      <w:color w:val="auto"/>
                      <w:sz w:val="21"/>
                      <w:szCs w:val="21"/>
                      <w:lang w:val="en-US" w:eastAsia="zh-CN" w:bidi="ar-SA"/>
                    </w:rPr>
                    <w:t>2000t、汽车密封件30t</w:t>
                  </w:r>
                </w:p>
              </w:tc>
              <w:tc>
                <w:tcPr>
                  <w:tcW w:w="1015" w:type="pct"/>
                  <w:noWrap w:val="0"/>
                  <w:tcMar>
                    <w:top w:w="0" w:type="dxa"/>
                    <w:left w:w="0" w:type="dxa"/>
                    <w:bottom w:w="0" w:type="dxa"/>
                    <w:right w:w="0" w:type="dxa"/>
                  </w:tcMar>
                  <w:vAlign w:val="center"/>
                </w:tcPr>
                <w:p w14:paraId="505D9A30">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月</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日完成</w:t>
                  </w:r>
                  <w:r>
                    <w:rPr>
                      <w:rFonts w:hint="eastAsia" w:ascii="Times New Roman" w:hAnsi="Times New Roman" w:eastAsia="宋体" w:cs="Times New Roman"/>
                      <w:color w:val="auto"/>
                      <w:sz w:val="21"/>
                      <w:szCs w:val="21"/>
                      <w:lang w:val="en-US" w:eastAsia="zh-CN"/>
                    </w:rPr>
                    <w:t>全厂</w:t>
                  </w:r>
                  <w:r>
                    <w:rPr>
                      <w:rFonts w:hint="default" w:ascii="Times New Roman" w:hAnsi="Times New Roman" w:eastAsia="宋体" w:cs="Times New Roman"/>
                      <w:color w:val="auto"/>
                      <w:sz w:val="21"/>
                      <w:szCs w:val="21"/>
                      <w:lang w:val="en-US" w:eastAsia="zh-CN"/>
                    </w:rPr>
                    <w:t>自主验收</w:t>
                  </w:r>
                </w:p>
              </w:tc>
            </w:tr>
            <w:tr w14:paraId="45362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0"/>
                  <w:tcMar>
                    <w:top w:w="0" w:type="dxa"/>
                    <w:left w:w="0" w:type="dxa"/>
                    <w:bottom w:w="0" w:type="dxa"/>
                    <w:right w:w="0" w:type="dxa"/>
                  </w:tcMar>
                  <w:vAlign w:val="center"/>
                </w:tcPr>
                <w:p w14:paraId="4E645107">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4729" w:type="pct"/>
                  <w:gridSpan w:val="5"/>
                  <w:noWrap w:val="0"/>
                  <w:tcMar>
                    <w:top w:w="0" w:type="dxa"/>
                    <w:left w:w="0" w:type="dxa"/>
                    <w:bottom w:w="0" w:type="dxa"/>
                    <w:right w:w="0" w:type="dxa"/>
                  </w:tcMar>
                  <w:vAlign w:val="center"/>
                </w:tcPr>
                <w:p w14:paraId="1E337055">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2021年12月28日</w:t>
                  </w:r>
                  <w:r>
                    <w:rPr>
                      <w:rFonts w:hint="eastAsia" w:ascii="Times New Roman" w:hAnsi="Times New Roman" w:eastAsia="宋体" w:cs="Times New Roman"/>
                      <w:color w:val="auto"/>
                      <w:sz w:val="21"/>
                      <w:szCs w:val="21"/>
                      <w:lang w:val="en-US" w:eastAsia="zh-CN"/>
                    </w:rPr>
                    <w:t>登记</w:t>
                  </w:r>
                  <w:r>
                    <w:rPr>
                      <w:rFonts w:hint="default" w:ascii="Times New Roman" w:hAnsi="Times New Roman" w:eastAsia="宋体" w:cs="Times New Roman"/>
                      <w:color w:val="auto"/>
                      <w:sz w:val="21"/>
                      <w:szCs w:val="21"/>
                    </w:rPr>
                    <w:t>排污许可证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证书编号：91320413MA256BF113001Y，2021年12月28日至2026年12月27日</w:t>
                  </w:r>
                  <w:r>
                    <w:rPr>
                      <w:rFonts w:hint="default" w:ascii="Times New Roman" w:hAnsi="Times New Roman" w:eastAsia="宋体" w:cs="Times New Roman"/>
                      <w:color w:val="auto"/>
                      <w:sz w:val="21"/>
                      <w:szCs w:val="21"/>
                      <w:lang w:eastAsia="zh-CN"/>
                    </w:rPr>
                    <w:t>）</w:t>
                  </w:r>
                </w:p>
              </w:tc>
            </w:tr>
            <w:tr w14:paraId="44348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0"/>
                  <w:tcMar>
                    <w:top w:w="0" w:type="dxa"/>
                    <w:left w:w="0" w:type="dxa"/>
                    <w:bottom w:w="0" w:type="dxa"/>
                    <w:right w:w="0" w:type="dxa"/>
                  </w:tcMar>
                  <w:vAlign w:val="center"/>
                </w:tcPr>
                <w:p w14:paraId="0AB441E5">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4729" w:type="pct"/>
                  <w:gridSpan w:val="5"/>
                  <w:noWrap w:val="0"/>
                  <w:tcMar>
                    <w:top w:w="0" w:type="dxa"/>
                    <w:left w:w="0" w:type="dxa"/>
                    <w:bottom w:w="0" w:type="dxa"/>
                    <w:right w:w="0" w:type="dxa"/>
                  </w:tcMar>
                  <w:vAlign w:val="center"/>
                </w:tcPr>
                <w:p w14:paraId="0721ECF9">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lang w:val="en-US" w:eastAsia="zh-CN"/>
                    </w:rPr>
                    <w:t>日取得环境应急预案备案表，备案号：320413-202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089-</w:t>
                  </w:r>
                  <w:r>
                    <w:rPr>
                      <w:rFonts w:hint="default" w:ascii="Times New Roman" w:hAnsi="Times New Roman" w:eastAsia="宋体" w:cs="Times New Roman"/>
                      <w:color w:val="auto"/>
                      <w:sz w:val="21"/>
                      <w:szCs w:val="21"/>
                      <w:lang w:val="en-US" w:eastAsia="zh-CN"/>
                    </w:rPr>
                    <w:t>L</w:t>
                  </w:r>
                </w:p>
              </w:tc>
            </w:tr>
          </w:tbl>
          <w:p w14:paraId="7C57A25E">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22" w:firstLineChars="200"/>
              <w:jc w:val="both"/>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二</w:t>
            </w:r>
            <w:r>
              <w:rPr>
                <w:rFonts w:hint="default" w:ascii="Times New Roman" w:hAnsi="Times New Roman" w:eastAsia="宋体" w:cs="Times New Roman"/>
                <w:b/>
                <w:color w:val="auto"/>
                <w:sz w:val="21"/>
                <w:szCs w:val="21"/>
                <w:lang w:val="en-US" w:eastAsia="zh-CN"/>
              </w:rPr>
              <w:t>、原项目</w:t>
            </w:r>
            <w:r>
              <w:rPr>
                <w:rFonts w:hint="default" w:ascii="Times New Roman" w:hAnsi="Times New Roman" w:eastAsia="宋体" w:cs="Times New Roman"/>
                <w:b/>
                <w:color w:val="auto"/>
                <w:sz w:val="21"/>
                <w:szCs w:val="21"/>
              </w:rPr>
              <w:t>工程分析</w:t>
            </w:r>
          </w:p>
          <w:p w14:paraId="4EB74ED6">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1、原项目</w:t>
            </w:r>
            <w:r>
              <w:rPr>
                <w:rFonts w:hint="default" w:ascii="Times New Roman" w:hAnsi="Times New Roman" w:eastAsia="宋体" w:cs="Times New Roman"/>
                <w:b/>
                <w:bCs w:val="0"/>
                <w:color w:val="auto"/>
                <w:sz w:val="21"/>
                <w:szCs w:val="21"/>
              </w:rPr>
              <w:t>生产工艺及产污环节如下图所示：</w:t>
            </w:r>
          </w:p>
          <w:p w14:paraId="6FE698CC">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
                <w:color w:val="auto"/>
                <w:sz w:val="21"/>
                <w:szCs w:val="21"/>
                <w:lang w:eastAsia="zh-CN"/>
              </w:rPr>
              <w:t>（</w:t>
            </w:r>
            <w:r>
              <w:rPr>
                <w:rFonts w:hint="eastAsia" w:ascii="Times New Roman" w:hAnsi="Times New Roman" w:eastAsia="宋体" w:cs="Times New Roman"/>
                <w:b/>
                <w:color w:val="auto"/>
                <w:sz w:val="21"/>
                <w:szCs w:val="21"/>
                <w:lang w:val="en-US" w:eastAsia="zh-CN"/>
              </w:rPr>
              <w:t>1</w:t>
            </w:r>
            <w:r>
              <w:rPr>
                <w:rFonts w:hint="eastAsia"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热塑性弹性体颗粒生产工艺流程</w:t>
            </w:r>
            <w:r>
              <w:rPr>
                <w:rFonts w:hint="default" w:ascii="Times New Roman" w:hAnsi="Times New Roman" w:eastAsia="宋体" w:cs="Times New Roman"/>
                <w:bCs/>
                <w:color w:val="auto"/>
                <w:sz w:val="21"/>
                <w:szCs w:val="21"/>
              </w:rPr>
              <w:t>：</w:t>
            </w:r>
          </w:p>
          <w:p w14:paraId="0032C71B">
            <w:pPr>
              <w:pStyle w:val="2"/>
              <w:keepNext w:val="0"/>
              <w:keepLines w:val="0"/>
              <w:pageBreakBefore w:val="0"/>
              <w:kinsoku/>
              <w:wordWrap/>
              <w:overflowPunct/>
              <w:topLinePunct w:val="0"/>
              <w:autoSpaceDE/>
              <w:autoSpaceDN/>
              <w:bidi w:val="0"/>
              <w:adjustRightInd w:val="0"/>
              <w:snapToGrid w:val="0"/>
              <w:spacing w:after="0" w:line="360" w:lineRule="auto"/>
              <w:ind w:firstLine="420" w:firstLineChars="200"/>
              <w:jc w:val="both"/>
              <w:textAlignment w:val="auto"/>
              <w:rPr>
                <w:rFonts w:ascii="Times New Roman" w:hAnsi="Times New Roman" w:eastAsia="宋体"/>
                <w:color w:val="auto"/>
              </w:rPr>
            </w:pPr>
            <w:r>
              <w:rPr>
                <w:rFonts w:hint="default" w:ascii="Times New Roman" w:hAnsi="Times New Roman" w:eastAsia="宋体" w:cs="Times New Roman"/>
                <w:color w:val="auto"/>
                <w:sz w:val="21"/>
                <w:szCs w:val="21"/>
              </w:rPr>
              <w:t>公司采用的生产设备较先进，生产过程中原材料进入螺杆挤出机后，其充分混合、塑化熔融均在密闭的空间进行，经单螺杆挤出的物料经密闭管道通过双腕喂料机输送至双螺杆动态硫化系统，双螺杆动态硫化系统出料、切粒工序均在水下进行，起到了冷却成型及防止粉尘产生的作用。</w:t>
            </w:r>
          </w:p>
          <w:p w14:paraId="7C4AE3BC">
            <w:pPr>
              <w:widowControl/>
              <w:spacing w:line="360" w:lineRule="auto"/>
              <w:rPr>
                <w:rFonts w:ascii="Times New Roman" w:hAnsi="Times New Roman"/>
                <w:bCs/>
                <w:color w:val="auto"/>
                <w:sz w:val="24"/>
                <w:szCs w:val="22"/>
              </w:rPr>
            </w:pPr>
          </w:p>
          <w:p w14:paraId="6C54131E">
            <w:pPr>
              <w:pStyle w:val="2"/>
              <w:rPr>
                <w:rFonts w:ascii="Times New Roman" w:hAnsi="Times New Roman"/>
                <w:bCs/>
                <w:color w:val="auto"/>
                <w:sz w:val="24"/>
                <w:szCs w:val="22"/>
              </w:rPr>
            </w:pPr>
          </w:p>
          <w:p w14:paraId="265FE5EB">
            <w:pPr>
              <w:pStyle w:val="17"/>
              <w:widowControl w:val="0"/>
              <w:numPr>
                <w:ilvl w:val="0"/>
                <w:numId w:val="0"/>
              </w:numPr>
              <w:jc w:val="both"/>
              <w:rPr>
                <w:rFonts w:ascii="Times New Roman" w:hAnsi="Times New Roman"/>
                <w:bCs/>
                <w:color w:val="auto"/>
                <w:sz w:val="24"/>
                <w:szCs w:val="22"/>
              </w:rPr>
            </w:pPr>
          </w:p>
          <w:p w14:paraId="2809666E">
            <w:pPr>
              <w:pStyle w:val="17"/>
              <w:widowControl w:val="0"/>
              <w:numPr>
                <w:ilvl w:val="0"/>
                <w:numId w:val="0"/>
              </w:numPr>
              <w:jc w:val="both"/>
              <w:rPr>
                <w:rFonts w:ascii="Times New Roman" w:hAnsi="Times New Roman"/>
                <w:bCs/>
                <w:color w:val="auto"/>
                <w:sz w:val="24"/>
                <w:szCs w:val="22"/>
              </w:rPr>
            </w:pPr>
          </w:p>
          <w:p w14:paraId="74C91522">
            <w:pPr>
              <w:pStyle w:val="17"/>
              <w:widowControl w:val="0"/>
              <w:numPr>
                <w:ilvl w:val="0"/>
                <w:numId w:val="0"/>
              </w:numPr>
              <w:jc w:val="both"/>
              <w:rPr>
                <w:rFonts w:ascii="Times New Roman" w:hAnsi="Times New Roman"/>
                <w:bCs/>
                <w:color w:val="auto"/>
                <w:sz w:val="24"/>
                <w:szCs w:val="22"/>
              </w:rPr>
            </w:pPr>
          </w:p>
          <w:p w14:paraId="1952929C">
            <w:pPr>
              <w:pStyle w:val="17"/>
              <w:widowControl w:val="0"/>
              <w:numPr>
                <w:ilvl w:val="0"/>
                <w:numId w:val="0"/>
              </w:numPr>
              <w:jc w:val="both"/>
              <w:rPr>
                <w:rFonts w:ascii="Times New Roman" w:hAnsi="Times New Roman"/>
                <w:bCs/>
                <w:color w:val="auto"/>
                <w:sz w:val="24"/>
                <w:szCs w:val="22"/>
              </w:rPr>
            </w:pPr>
          </w:p>
          <w:p w14:paraId="44E354D5">
            <w:pPr>
              <w:pStyle w:val="17"/>
              <w:widowControl w:val="0"/>
              <w:numPr>
                <w:ilvl w:val="0"/>
                <w:numId w:val="0"/>
              </w:numPr>
              <w:jc w:val="both"/>
              <w:rPr>
                <w:rFonts w:ascii="Times New Roman" w:hAnsi="Times New Roman"/>
                <w:bCs/>
                <w:color w:val="auto"/>
                <w:sz w:val="24"/>
                <w:szCs w:val="22"/>
              </w:rPr>
            </w:pPr>
          </w:p>
          <w:p w14:paraId="3E175686">
            <w:pPr>
              <w:pStyle w:val="17"/>
              <w:widowControl w:val="0"/>
              <w:numPr>
                <w:ilvl w:val="0"/>
                <w:numId w:val="0"/>
              </w:numPr>
              <w:jc w:val="both"/>
              <w:rPr>
                <w:rFonts w:ascii="Times New Roman" w:hAnsi="Times New Roman"/>
                <w:bCs/>
                <w:color w:val="auto"/>
                <w:sz w:val="24"/>
                <w:szCs w:val="22"/>
              </w:rPr>
            </w:pPr>
          </w:p>
          <w:p w14:paraId="17DC46DD">
            <w:pPr>
              <w:pStyle w:val="17"/>
              <w:widowControl w:val="0"/>
              <w:numPr>
                <w:ilvl w:val="0"/>
                <w:numId w:val="0"/>
              </w:numPr>
              <w:jc w:val="both"/>
              <w:rPr>
                <w:rFonts w:ascii="Times New Roman" w:hAnsi="Times New Roman"/>
                <w:bCs/>
                <w:color w:val="auto"/>
                <w:sz w:val="24"/>
                <w:szCs w:val="22"/>
              </w:rPr>
            </w:pPr>
          </w:p>
          <w:p w14:paraId="54CAB910">
            <w:pPr>
              <w:pStyle w:val="17"/>
              <w:widowControl w:val="0"/>
              <w:numPr>
                <w:ilvl w:val="0"/>
                <w:numId w:val="0"/>
              </w:numPr>
              <w:jc w:val="both"/>
              <w:rPr>
                <w:rFonts w:ascii="Times New Roman" w:hAnsi="Times New Roman"/>
                <w:bCs/>
                <w:color w:val="auto"/>
                <w:sz w:val="24"/>
                <w:szCs w:val="22"/>
              </w:rPr>
            </w:pPr>
          </w:p>
          <w:p w14:paraId="6014398D">
            <w:pPr>
              <w:pStyle w:val="17"/>
              <w:widowControl w:val="0"/>
              <w:numPr>
                <w:ilvl w:val="0"/>
                <w:numId w:val="0"/>
              </w:numPr>
              <w:jc w:val="both"/>
              <w:rPr>
                <w:rFonts w:ascii="Times New Roman" w:hAnsi="Times New Roman"/>
                <w:bCs/>
                <w:color w:val="auto"/>
                <w:sz w:val="24"/>
                <w:szCs w:val="22"/>
              </w:rPr>
            </w:pPr>
          </w:p>
          <w:p w14:paraId="21EF40E8">
            <w:pPr>
              <w:pStyle w:val="17"/>
              <w:widowControl w:val="0"/>
              <w:numPr>
                <w:ilvl w:val="0"/>
                <w:numId w:val="0"/>
              </w:numPr>
              <w:jc w:val="both"/>
              <w:rPr>
                <w:rFonts w:ascii="Times New Roman" w:hAnsi="Times New Roman"/>
                <w:bCs/>
                <w:color w:val="auto"/>
                <w:sz w:val="24"/>
                <w:szCs w:val="22"/>
              </w:rPr>
            </w:pPr>
          </w:p>
          <w:p w14:paraId="23F8D79D">
            <w:pPr>
              <w:pStyle w:val="17"/>
              <w:widowControl w:val="0"/>
              <w:numPr>
                <w:ilvl w:val="0"/>
                <w:numId w:val="0"/>
              </w:numPr>
              <w:jc w:val="both"/>
              <w:rPr>
                <w:rFonts w:ascii="Times New Roman" w:hAnsi="Times New Roman"/>
                <w:bCs/>
                <w:color w:val="auto"/>
                <w:sz w:val="24"/>
                <w:szCs w:val="22"/>
              </w:rPr>
            </w:pPr>
          </w:p>
          <w:p w14:paraId="336C9F72">
            <w:pPr>
              <w:pStyle w:val="17"/>
              <w:widowControl w:val="0"/>
              <w:numPr>
                <w:ilvl w:val="0"/>
                <w:numId w:val="0"/>
              </w:numPr>
              <w:jc w:val="both"/>
              <w:rPr>
                <w:rFonts w:ascii="Times New Roman" w:hAnsi="Times New Roman"/>
                <w:bCs/>
                <w:color w:val="auto"/>
                <w:sz w:val="24"/>
                <w:szCs w:val="22"/>
              </w:rPr>
            </w:pPr>
          </w:p>
          <w:p w14:paraId="15C1493E">
            <w:pPr>
              <w:widowControl/>
              <w:spacing w:line="360" w:lineRule="auto"/>
              <w:jc w:val="center"/>
              <w:rPr>
                <w:rFonts w:hint="eastAsia" w:ascii="Times New Roman" w:hAnsi="Times New Roman" w:eastAsia="宋体"/>
                <w:bCs/>
                <w:color w:val="auto"/>
                <w:sz w:val="24"/>
                <w:szCs w:val="22"/>
                <w:lang w:eastAsia="zh-CN"/>
              </w:rPr>
            </w:pPr>
            <w:r>
              <w:rPr>
                <w:rFonts w:hint="eastAsia" w:ascii="Times New Roman" w:hAnsi="Times New Roman" w:eastAsia="宋体"/>
                <w:bCs/>
                <w:color w:val="auto"/>
                <w:sz w:val="24"/>
                <w:szCs w:val="22"/>
                <w:lang w:eastAsia="zh-CN"/>
              </w:rPr>
              <w:drawing>
                <wp:inline distT="0" distB="0" distL="114300" distR="114300">
                  <wp:extent cx="4350385" cy="5400675"/>
                  <wp:effectExtent l="0" t="0" r="12065" b="9525"/>
                  <wp:docPr id="9"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qt_temp"/>
                          <pic:cNvPicPr>
                            <a:picLocks noChangeAspect="1"/>
                          </pic:cNvPicPr>
                        </pic:nvPicPr>
                        <pic:blipFill>
                          <a:blip r:embed="rId17"/>
                          <a:srcRect l="7056" t="6944" r="5846" b="5692"/>
                          <a:stretch>
                            <a:fillRect/>
                          </a:stretch>
                        </pic:blipFill>
                        <pic:spPr>
                          <a:xfrm>
                            <a:off x="0" y="0"/>
                            <a:ext cx="4350385" cy="5400675"/>
                          </a:xfrm>
                          <a:prstGeom prst="rect">
                            <a:avLst/>
                          </a:prstGeom>
                          <a:noFill/>
                          <a:ln>
                            <a:noFill/>
                          </a:ln>
                        </pic:spPr>
                      </pic:pic>
                    </a:graphicData>
                  </a:graphic>
                </wp:inline>
              </w:drawing>
            </w:r>
          </w:p>
          <w:p w14:paraId="7DAF701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图2-</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热塑性弹性体工艺流程及产污节点图</w:t>
            </w:r>
          </w:p>
          <w:p w14:paraId="060159AC">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工艺流程简述：</w:t>
            </w:r>
          </w:p>
          <w:p w14:paraId="47E40A2B">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称量配料：</w:t>
            </w:r>
            <w:r>
              <w:rPr>
                <w:rFonts w:hint="default" w:ascii="Times New Roman" w:hAnsi="Times New Roman" w:eastAsia="宋体" w:cs="Times New Roman"/>
                <w:color w:val="auto"/>
                <w:sz w:val="21"/>
                <w:szCs w:val="21"/>
              </w:rPr>
              <w:t>根据产品配方，将弹性体颗粒、滑石粉、色母粒按照比例混合，将聚丙烯、环保增塑剂、抗氧化剂比例混合；该工序产生少量粉尘G1-1、废包装材料S1-1和噪声N；</w:t>
            </w:r>
          </w:p>
          <w:p w14:paraId="466DC60E">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投料混合：</w:t>
            </w:r>
            <w:r>
              <w:rPr>
                <w:rFonts w:hint="default" w:ascii="Times New Roman" w:hAnsi="Times New Roman" w:eastAsia="宋体" w:cs="Times New Roman"/>
                <w:color w:val="auto"/>
                <w:sz w:val="21"/>
                <w:szCs w:val="21"/>
              </w:rPr>
              <w:t>将配比好的原料经转运至生产车间，由人工投入高速混合机的料斗内，物料在高速混合机内的密闭料缸中充分搅拌与混合，起到物料均质的作用，该工序产生少量粉尘G1-2和噪声N；</w:t>
            </w:r>
          </w:p>
          <w:p w14:paraId="24A212A3">
            <w:pPr>
              <w:keepNext w:val="0"/>
              <w:keepLines w:val="0"/>
              <w:pageBreakBefore w:val="0"/>
              <w:widowControl w:val="0"/>
              <w:kinsoku/>
              <w:wordWrap/>
              <w:overflowPunct/>
              <w:topLinePunct w:val="0"/>
              <w:autoSpaceDE/>
              <w:autoSpaceDN/>
              <w:bidi w:val="0"/>
              <w:adjustRightInd w:val="0"/>
              <w:snapToGrid w:val="0"/>
              <w:spacing w:line="360" w:lineRule="auto"/>
              <w:ind w:firstLine="435"/>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单螺杆挤出：</w:t>
            </w:r>
            <w:r>
              <w:rPr>
                <w:rFonts w:hint="default" w:ascii="Times New Roman" w:hAnsi="Times New Roman" w:eastAsia="宋体" w:cs="Times New Roman"/>
                <w:color w:val="auto"/>
                <w:sz w:val="21"/>
                <w:szCs w:val="21"/>
              </w:rPr>
              <w:t>混合均匀的物料经重力流入单螺杆挤出机，全程保持密闭状态，再采用电加热的方式加温至合适温度（180℃），经压缩、熔融、均化作用，混合物料固体物料逐步变为高弹态，再由高弹态逐步变为粘性流体（粘流态），在此温度下不会发生高分子断链。该工序</w:t>
            </w:r>
            <w:r>
              <w:rPr>
                <w:rFonts w:hint="default" w:ascii="Times New Roman" w:hAnsi="Times New Roman" w:eastAsia="宋体" w:cs="Times New Roman"/>
                <w:color w:val="auto"/>
                <w:sz w:val="21"/>
                <w:szCs w:val="21"/>
                <w:lang w:val="en-US" w:eastAsia="zh-CN"/>
              </w:rPr>
              <w:t>会</w:t>
            </w:r>
            <w:r>
              <w:rPr>
                <w:rFonts w:hint="default" w:ascii="Times New Roman" w:hAnsi="Times New Roman" w:eastAsia="宋体" w:cs="Times New Roman"/>
                <w:color w:val="auto"/>
                <w:sz w:val="21"/>
                <w:szCs w:val="21"/>
              </w:rPr>
              <w:t>产生噪声N。</w:t>
            </w:r>
          </w:p>
          <w:p w14:paraId="6C5D5BF5">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双螺杆挤出:</w:t>
            </w:r>
            <w:r>
              <w:rPr>
                <w:rFonts w:hint="default" w:ascii="Times New Roman" w:hAnsi="Times New Roman" w:eastAsia="宋体" w:cs="Times New Roman"/>
                <w:color w:val="auto"/>
                <w:sz w:val="21"/>
                <w:szCs w:val="21"/>
              </w:rPr>
              <w:t>经单螺杆挤出的物料通过喂料机输送至双螺杆挤出机硫化系统，外购的聚丙烯粒料、环保增塑剂、抗氧化剂经失重称计量后喂料至密闭的双螺杆动态硫化系统，采用电加热的方式加温至合适温度(200℃左右)，在适宜的温度作用下物料熔融共混，熔融共混温度高于热塑性塑料熔融温度(聚丙烯的熔融温度约为164-170℃，100%等规度聚丙烯熔点为176℃) ,低于高分子材料热降解湿度，而又能使其发生交联反应。</w:t>
            </w:r>
          </w:p>
          <w:p w14:paraId="465416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充分熔融共混的物料经挤出、冷却成型。经核实，聚丙烯分解温度为310℃、弹性体颗粒料熔点约22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-226℃，在此温度下(200℃左右)不会发生高分子断链，不发生化学反应；但在受热情况下，塑料中残存未聚合的反应单体以及从聚合物中分解出来的单体可挥发出来;出料口位于水下，起到冷却降温的作用，冷却水循环使用，定期添加，不外排。该工序产生G1-3挤出废气(油雾、非甲烷总烃)、废边角料S1-3和噪声N。</w:t>
            </w:r>
          </w:p>
          <w:p w14:paraId="4D55E4DA">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水下切粒：</w:t>
            </w:r>
            <w:r>
              <w:rPr>
                <w:rFonts w:hint="default" w:ascii="Times New Roman" w:hAnsi="Times New Roman" w:eastAsia="宋体" w:cs="Times New Roman"/>
                <w:color w:val="auto"/>
                <w:sz w:val="21"/>
                <w:szCs w:val="21"/>
              </w:rPr>
              <w:t>挤出后的半成品直接进入水下切粒系统进行冷却、降温、成型，同时根据产品需求切割成相应尺寸。冷却水通过生产车间外循环水池循环回用，定期添加，不排放。该工序产生废边角料S1-4和噪声N。</w:t>
            </w:r>
          </w:p>
          <w:p w14:paraId="37489286">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筛分</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color w:val="auto"/>
                <w:sz w:val="21"/>
                <w:szCs w:val="21"/>
              </w:rPr>
              <w:t>将半成品输送至脱水机干燥处理；根据产品需求，处理后的材料经振动筛的往复旋型震动，多次通过均匀布孔的单层或多层筛面，分成若干不同级别，达到筛分目的。此工序会产生不合格品S1-5和噪声N；</w:t>
            </w:r>
          </w:p>
          <w:p w14:paraId="70B637C7">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计量包装：</w:t>
            </w:r>
            <w:r>
              <w:rPr>
                <w:rFonts w:hint="default" w:ascii="Times New Roman" w:hAnsi="Times New Roman" w:eastAsia="宋体" w:cs="Times New Roman"/>
                <w:color w:val="auto"/>
                <w:sz w:val="21"/>
                <w:szCs w:val="21"/>
              </w:rPr>
              <w:t>检验合格的材料经计量泵计量后包装处理，暂存至成品库待售此工序会产生废包装材料S1-6；</w:t>
            </w:r>
          </w:p>
          <w:p w14:paraId="1A1D5F1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废边角料经破碎机破碎后回到投称量投料工序，破碎时密闭，此工序会产生G1-4破碎粉尘和噪声N。</w:t>
            </w:r>
          </w:p>
          <w:p w14:paraId="39FC0327">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517FA648">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579EE9BD">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2F114ED6">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1CC1C0C7">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691DEA9C">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2B13B4ED">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2DE3A2D9">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49A04711">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5F5BB5D1">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253C822C">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0AC81989">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6B5E95A4">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2694584A">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p>
          <w:p w14:paraId="3350DC33">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汽车密封件生产工艺流程：</w:t>
            </w:r>
          </w:p>
          <w:p w14:paraId="0002C698">
            <w:pPr>
              <w:pStyle w:val="2"/>
              <w:spacing w:line="360" w:lineRule="auto"/>
              <w:jc w:val="center"/>
              <w:rPr>
                <w:rFonts w:ascii="Times New Roman" w:hAnsi="Times New Roman" w:eastAsia="宋体"/>
                <w:b/>
                <w:bCs/>
                <w:color w:val="auto"/>
              </w:rPr>
            </w:pPr>
            <w:r>
              <w:rPr>
                <w:rFonts w:ascii="Times New Roman" w:hAnsi="Times New Roman" w:eastAsia="宋体"/>
                <w:color w:val="auto"/>
              </w:rPr>
              <w:drawing>
                <wp:inline distT="0" distB="0" distL="114300" distR="114300">
                  <wp:extent cx="4555490" cy="3945255"/>
                  <wp:effectExtent l="0" t="0" r="0" b="0"/>
                  <wp:docPr id="10"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qt_temp"/>
                          <pic:cNvPicPr>
                            <a:picLocks noChangeAspect="1"/>
                          </pic:cNvPicPr>
                        </pic:nvPicPr>
                        <pic:blipFill>
                          <a:blip r:embed="rId18"/>
                          <a:srcRect t="7310" r="5154" b="4440"/>
                          <a:stretch>
                            <a:fillRect/>
                          </a:stretch>
                        </pic:blipFill>
                        <pic:spPr>
                          <a:xfrm>
                            <a:off x="0" y="0"/>
                            <a:ext cx="4555490" cy="3945255"/>
                          </a:xfrm>
                          <a:prstGeom prst="rect">
                            <a:avLst/>
                          </a:prstGeom>
                          <a:noFill/>
                          <a:ln>
                            <a:noFill/>
                          </a:ln>
                        </pic:spPr>
                      </pic:pic>
                    </a:graphicData>
                  </a:graphic>
                </wp:inline>
              </w:drawing>
            </w:r>
          </w:p>
          <w:p w14:paraId="0BFA1B3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图2-</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汽车密封件工艺流程及产污节点图</w:t>
            </w:r>
          </w:p>
          <w:p w14:paraId="2CC4A31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工艺流程简述：</w:t>
            </w:r>
          </w:p>
          <w:p w14:paraId="407462B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投料：</w:t>
            </w:r>
            <w:r>
              <w:rPr>
                <w:rFonts w:hint="default" w:ascii="Times New Roman" w:hAnsi="Times New Roman" w:eastAsia="宋体" w:cs="Times New Roman"/>
                <w:color w:val="auto"/>
                <w:sz w:val="21"/>
                <w:szCs w:val="21"/>
              </w:rPr>
              <w:t>将弹性体颗粒料由人工投入单螺杆挤出机的料斗中，原材料为颗粒状，破碎后的原料为颗粒状，因此该工序无粉尘产生；此工序会产生废包装材料S2-1；</w:t>
            </w:r>
          </w:p>
          <w:p w14:paraId="003A1A1A">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挤出：</w:t>
            </w:r>
            <w:r>
              <w:rPr>
                <w:rFonts w:hint="default" w:ascii="Times New Roman" w:hAnsi="Times New Roman" w:eastAsia="宋体" w:cs="Times New Roman"/>
                <w:color w:val="auto"/>
                <w:sz w:val="21"/>
                <w:szCs w:val="21"/>
              </w:rPr>
              <w:t>物料经重力流入单螺杆挤出机，全程保持密闭状态，再采用电加热的方式加温至合适温度（180℃），经熔融作用，弹性体颗粒固体物料逐步变为高弹态，再由高弹态逐步变为粘性流体（粘流态），在此温度下不会发生高分子断链。该工序产生废边角料S2-2、挤出废气G2-1和噪声N；</w:t>
            </w:r>
          </w:p>
          <w:p w14:paraId="3F3B120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开炼：</w:t>
            </w:r>
            <w:r>
              <w:rPr>
                <w:rFonts w:hint="default" w:ascii="Times New Roman" w:hAnsi="Times New Roman" w:eastAsia="宋体" w:cs="Times New Roman"/>
                <w:color w:val="auto"/>
                <w:sz w:val="21"/>
                <w:szCs w:val="21"/>
              </w:rPr>
              <w:t>将冷却停放的物料在开炼机上再次进行充分地热炼，其目的是进一步提高胶料的均匀性和可塑性，热炼温度约为80°C左右，热炼过程不需要加热，产品在开炼机中热炼时，由于产品摩擦、挤压等生热。此工序会废边角料S2-3、挤出废气G2-2和噪声N；</w:t>
            </w:r>
          </w:p>
          <w:p w14:paraId="67CC977F">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成型：</w:t>
            </w:r>
            <w:r>
              <w:rPr>
                <w:rFonts w:hint="default" w:ascii="Times New Roman" w:hAnsi="Times New Roman" w:eastAsia="宋体" w:cs="Times New Roman"/>
                <w:color w:val="auto"/>
                <w:sz w:val="21"/>
                <w:szCs w:val="21"/>
              </w:rPr>
              <w:t>将开炼机热炼后的物料经裁切后放入平板成型机中压制成型，然后进行人工去毛边。成型采用电加热，成型温度约200</w:t>
            </w:r>
            <w:r>
              <w:rPr>
                <w:rStyle w:val="34"/>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。在电加热条件下(约200</w:t>
            </w:r>
            <w:r>
              <w:rPr>
                <w:rStyle w:val="34"/>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)，使其成为立体网状结构的大分子，并使物料的物理机械性能及其它性能随之发生根本变化。此工序会废边角料S2-3、挤出废气G2-2和噪声N；</w:t>
            </w:r>
          </w:p>
          <w:p w14:paraId="110101C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废边角料经破碎机破碎后回到投称量投料工序，破碎时密闭，此工序会产生G2-4破碎粉尘和噪声N。</w:t>
            </w:r>
          </w:p>
          <w:p w14:paraId="1DCB58C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三</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原</w:t>
            </w:r>
            <w:r>
              <w:rPr>
                <w:rFonts w:hint="default" w:ascii="Times New Roman" w:hAnsi="Times New Roman" w:eastAsia="宋体" w:cs="Times New Roman"/>
                <w:b/>
                <w:bCs/>
                <w:color w:val="auto"/>
                <w:sz w:val="21"/>
                <w:szCs w:val="21"/>
                <w:lang w:val="en-US" w:eastAsia="zh-CN"/>
              </w:rPr>
              <w:t>项目污染物实际排放总量及达标排放情况</w:t>
            </w:r>
          </w:p>
          <w:p w14:paraId="416196BC">
            <w:pPr>
              <w:pStyle w:val="6"/>
              <w:adjustRightInd w:val="0"/>
              <w:snapToGrid w:val="0"/>
              <w:spacing w:line="360" w:lineRule="auto"/>
              <w:ind w:firstLine="482"/>
              <w:rPr>
                <w:rFonts w:hint="eastAsia" w:eastAsia="宋体"/>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rPr>
              <w:t>污</w:t>
            </w:r>
            <w:r>
              <w:rPr>
                <w:rFonts w:hint="eastAsia"/>
                <w:b/>
                <w:bCs/>
                <w:color w:val="auto"/>
                <w:sz w:val="21"/>
                <w:szCs w:val="21"/>
                <w:highlight w:val="none"/>
              </w:rPr>
              <w:t>染物产生情况及防治措施</w:t>
            </w:r>
          </w:p>
          <w:p w14:paraId="1A08A621">
            <w:pPr>
              <w:pStyle w:val="67"/>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b/>
                <w:bCs/>
                <w:color w:val="auto"/>
                <w:sz w:val="21"/>
                <w:szCs w:val="21"/>
                <w:highlight w:val="none"/>
              </w:rPr>
            </w:pPr>
            <w:r>
              <w:rPr>
                <w:rFonts w:hint="eastAsia" w:eastAsia="宋体"/>
                <w:color w:val="auto"/>
                <w:sz w:val="21"/>
                <w:szCs w:val="21"/>
                <w:highlight w:val="none"/>
              </w:rPr>
              <w:t>根据《常州和瑞新材料科技有限公司新建热塑性弹性体及制品项目竣工环境保护验收</w:t>
            </w:r>
            <w:r>
              <w:rPr>
                <w:rFonts w:hint="eastAsia" w:eastAsia="宋体"/>
                <w:color w:val="auto"/>
                <w:sz w:val="21"/>
                <w:szCs w:val="21"/>
                <w:highlight w:val="none"/>
                <w:lang w:val="en-US" w:eastAsia="zh-CN"/>
              </w:rPr>
              <w:t>监测报告表</w:t>
            </w:r>
            <w:r>
              <w:rPr>
                <w:rFonts w:hint="eastAsia" w:eastAsia="宋体"/>
                <w:color w:val="auto"/>
                <w:sz w:val="21"/>
                <w:szCs w:val="21"/>
                <w:highlight w:val="none"/>
              </w:rPr>
              <w:t>》</w:t>
            </w:r>
            <w:r>
              <w:rPr>
                <w:rFonts w:hint="eastAsia" w:eastAsia="宋体"/>
                <w:color w:val="auto"/>
                <w:sz w:val="21"/>
                <w:szCs w:val="21"/>
                <w:highlight w:val="none"/>
                <w:lang w:val="en-US" w:eastAsia="zh-CN"/>
              </w:rPr>
              <w:t>内容以及验后实际生产情况，现有</w:t>
            </w:r>
            <w:r>
              <w:rPr>
                <w:rFonts w:hint="eastAsia" w:eastAsia="宋体"/>
                <w:color w:val="auto"/>
                <w:sz w:val="21"/>
                <w:szCs w:val="21"/>
                <w:highlight w:val="none"/>
              </w:rPr>
              <w:t>项目污染物</w:t>
            </w:r>
            <w:r>
              <w:rPr>
                <w:rFonts w:hint="eastAsia" w:eastAsia="宋体"/>
                <w:color w:val="auto"/>
                <w:sz w:val="21"/>
                <w:szCs w:val="21"/>
                <w:highlight w:val="none"/>
                <w:lang w:val="en-US" w:eastAsia="zh-CN"/>
              </w:rPr>
              <w:t>产生情况及防治措施</w:t>
            </w:r>
            <w:r>
              <w:rPr>
                <w:rFonts w:hint="eastAsia" w:eastAsia="宋体"/>
                <w:color w:val="auto"/>
                <w:sz w:val="21"/>
                <w:szCs w:val="21"/>
                <w:highlight w:val="none"/>
              </w:rPr>
              <w:t>详见下表：</w:t>
            </w:r>
          </w:p>
          <w:p w14:paraId="0ABBB7C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lang w:val="en-US" w:eastAsia="zh-CN"/>
              </w:rPr>
            </w:pPr>
            <w:r>
              <w:rPr>
                <w:rFonts w:hint="eastAsia"/>
                <w:b/>
                <w:bCs/>
                <w:color w:val="auto"/>
                <w:sz w:val="21"/>
                <w:szCs w:val="21"/>
                <w:highlight w:val="none"/>
              </w:rPr>
              <w:t>表2-</w:t>
            </w:r>
            <w:r>
              <w:rPr>
                <w:rFonts w:hint="eastAsia"/>
                <w:b/>
                <w:bCs/>
                <w:color w:val="auto"/>
                <w:sz w:val="21"/>
                <w:szCs w:val="21"/>
                <w:highlight w:val="none"/>
                <w:lang w:val="en-US" w:eastAsia="zh-CN"/>
              </w:rPr>
              <w:t>8</w:t>
            </w:r>
            <w:r>
              <w:rPr>
                <w:rFonts w:hint="eastAsia"/>
                <w:b/>
                <w:bCs/>
                <w:color w:val="auto"/>
                <w:sz w:val="21"/>
                <w:szCs w:val="21"/>
                <w:highlight w:val="none"/>
              </w:rPr>
              <w:t xml:space="preserve"> </w:t>
            </w:r>
            <w:r>
              <w:rPr>
                <w:rFonts w:hint="eastAsia"/>
                <w:b/>
                <w:bCs/>
                <w:color w:val="auto"/>
                <w:sz w:val="21"/>
                <w:szCs w:val="21"/>
                <w:highlight w:val="none"/>
                <w:lang w:val="en-US" w:eastAsia="zh-CN"/>
              </w:rPr>
              <w:t>原</w:t>
            </w:r>
            <w:r>
              <w:rPr>
                <w:rFonts w:hint="eastAsia"/>
                <w:b/>
                <w:bCs/>
                <w:color w:val="auto"/>
                <w:sz w:val="21"/>
                <w:szCs w:val="21"/>
                <w:highlight w:val="none"/>
              </w:rPr>
              <w:t>项目污染物</w:t>
            </w:r>
            <w:r>
              <w:rPr>
                <w:rFonts w:hint="eastAsia"/>
                <w:b/>
                <w:bCs/>
                <w:color w:val="auto"/>
                <w:sz w:val="21"/>
                <w:szCs w:val="21"/>
                <w:highlight w:val="none"/>
                <w:lang w:val="en-US" w:eastAsia="zh-CN"/>
              </w:rPr>
              <w:t>产生情况及防治措施一览表</w:t>
            </w:r>
          </w:p>
          <w:tbl>
            <w:tblPr>
              <w:tblStyle w:val="28"/>
              <w:tblW w:w="49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38"/>
              <w:gridCol w:w="641"/>
              <w:gridCol w:w="1080"/>
              <w:gridCol w:w="1701"/>
              <w:gridCol w:w="2250"/>
              <w:gridCol w:w="1979"/>
            </w:tblGrid>
            <w:tr w14:paraId="72919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noWrap w:val="0"/>
                  <w:vAlign w:val="center"/>
                </w:tcPr>
                <w:p w14:paraId="19CA15E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050" w:type="pct"/>
                  <w:gridSpan w:val="2"/>
                  <w:noWrap w:val="0"/>
                  <w:vAlign w:val="center"/>
                </w:tcPr>
                <w:p w14:paraId="6289DA2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1038" w:type="pct"/>
                  <w:noWrap w:val="0"/>
                  <w:vAlign w:val="center"/>
                </w:tcPr>
                <w:p w14:paraId="6F23DD88">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1373" w:type="pct"/>
                  <w:noWrap w:val="0"/>
                  <w:vAlign w:val="center"/>
                </w:tcPr>
                <w:p w14:paraId="4000B084">
                  <w:pPr>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环评设计治理措施</w:t>
                  </w:r>
                </w:p>
              </w:tc>
              <w:tc>
                <w:tcPr>
                  <w:tcW w:w="1208" w:type="pct"/>
                  <w:noWrap w:val="0"/>
                  <w:vAlign w:val="center"/>
                </w:tcPr>
                <w:p w14:paraId="1E904059">
                  <w:pPr>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验后实际情况</w:t>
                  </w:r>
                </w:p>
              </w:tc>
            </w:tr>
            <w:tr w14:paraId="4C129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restart"/>
                  <w:noWrap w:val="0"/>
                  <w:vAlign w:val="center"/>
                </w:tcPr>
                <w:p w14:paraId="7A627DB7">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391" w:type="pct"/>
                  <w:vMerge w:val="restart"/>
                  <w:noWrap w:val="0"/>
                  <w:vAlign w:val="center"/>
                </w:tcPr>
                <w:p w14:paraId="06D7D1C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废气</w:t>
                  </w:r>
                </w:p>
              </w:tc>
              <w:tc>
                <w:tcPr>
                  <w:tcW w:w="659" w:type="pct"/>
                  <w:shd w:val="clear" w:color="auto" w:fill="auto"/>
                  <w:noWrap w:val="0"/>
                  <w:vAlign w:val="center"/>
                </w:tcPr>
                <w:p w14:paraId="3B9C621D">
                  <w:pPr>
                    <w:jc w:val="center"/>
                    <w:rPr>
                      <w:rFonts w:hint="eastAsia" w:ascii="Times New Roman" w:hAnsi="Times New Roman" w:eastAsia="宋体" w:cs="Times New Roman"/>
                      <w:color w:val="auto"/>
                      <w:kern w:val="2"/>
                      <w:sz w:val="21"/>
                      <w:szCs w:val="24"/>
                      <w:lang w:val="en-US" w:eastAsia="zh-CN" w:bidi="ar-SA"/>
                    </w:rPr>
                  </w:pPr>
                  <w:r>
                    <w:rPr>
                      <w:rFonts w:ascii="Times New Roman" w:hAnsi="Times New Roman"/>
                      <w:color w:val="auto"/>
                    </w:rPr>
                    <w:t>配料、投料、破碎</w:t>
                  </w:r>
                </w:p>
              </w:tc>
              <w:tc>
                <w:tcPr>
                  <w:tcW w:w="1038" w:type="pct"/>
                  <w:noWrap w:val="0"/>
                  <w:vAlign w:val="center"/>
                </w:tcPr>
                <w:p w14:paraId="0E02DC5A">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color w:val="auto"/>
                    </w:rPr>
                    <w:t>颗粒物</w:t>
                  </w:r>
                </w:p>
              </w:tc>
              <w:tc>
                <w:tcPr>
                  <w:tcW w:w="1373" w:type="pct"/>
                  <w:shd w:val="clear" w:color="auto" w:fill="auto"/>
                  <w:noWrap w:val="0"/>
                  <w:vAlign w:val="center"/>
                </w:tcPr>
                <w:p w14:paraId="37686453">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pacing w:val="-2"/>
                      <w:kern w:val="28"/>
                      <w:sz w:val="21"/>
                      <w:szCs w:val="21"/>
                      <w:lang w:val="en-US" w:eastAsia="zh-CN" w:bidi="ar-SA"/>
                    </w:rPr>
                  </w:pPr>
                  <w:r>
                    <w:rPr>
                      <w:rFonts w:hint="eastAsia" w:ascii="Times New Roman" w:hAnsi="Times New Roman" w:eastAsia="宋体" w:cs="Times New Roman"/>
                      <w:color w:val="auto"/>
                      <w:spacing w:val="-2"/>
                      <w:kern w:val="28"/>
                      <w:sz w:val="21"/>
                      <w:szCs w:val="21"/>
                      <w:lang w:val="en-US" w:eastAsia="zh-CN"/>
                    </w:rPr>
                    <w:t>经1套布袋除尘器处理后通过1根15米高排气筒DA001排放</w:t>
                  </w:r>
                </w:p>
              </w:tc>
              <w:tc>
                <w:tcPr>
                  <w:tcW w:w="1208" w:type="pct"/>
                  <w:shd w:val="clear" w:color="auto" w:fill="auto"/>
                  <w:noWrap w:val="0"/>
                  <w:vAlign w:val="center"/>
                </w:tcPr>
                <w:p w14:paraId="0267F063">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auto"/>
                      <w:spacing w:val="-2"/>
                      <w:kern w:val="28"/>
                      <w:sz w:val="21"/>
                      <w:szCs w:val="21"/>
                      <w:lang w:val="en-US" w:eastAsia="zh-CN" w:bidi="ar-SA"/>
                    </w:rPr>
                  </w:pPr>
                  <w:r>
                    <w:rPr>
                      <w:rFonts w:hint="eastAsia" w:ascii="Times New Roman" w:hAnsi="Times New Roman" w:eastAsia="宋体" w:cs="Times New Roman"/>
                      <w:color w:val="auto"/>
                      <w:spacing w:val="-2"/>
                      <w:kern w:val="28"/>
                      <w:sz w:val="21"/>
                      <w:szCs w:val="21"/>
                      <w:lang w:val="en-US" w:eastAsia="zh-CN"/>
                    </w:rPr>
                    <w:t>经1套布袋除尘器处理后通过1根15米高排气筒DA001排放</w:t>
                  </w:r>
                </w:p>
              </w:tc>
            </w:tr>
            <w:tr w14:paraId="31096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68EAE42E">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391" w:type="pct"/>
                  <w:vMerge w:val="continue"/>
                  <w:noWrap w:val="0"/>
                  <w:vAlign w:val="center"/>
                </w:tcPr>
                <w:p w14:paraId="5328752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659" w:type="pct"/>
                  <w:shd w:val="clear" w:color="auto" w:fill="auto"/>
                  <w:noWrap w:val="0"/>
                  <w:vAlign w:val="center"/>
                </w:tcPr>
                <w:p w14:paraId="1CE52F40">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挤出、开炼废气</w:t>
                  </w:r>
                </w:p>
              </w:tc>
              <w:tc>
                <w:tcPr>
                  <w:tcW w:w="1038" w:type="pct"/>
                  <w:noWrap w:val="0"/>
                  <w:vAlign w:val="center"/>
                </w:tcPr>
                <w:p w14:paraId="2E03FC74">
                  <w:pPr>
                    <w:keepNext w:val="0"/>
                    <w:keepLines w:val="0"/>
                    <w:pageBreakBefore w:val="0"/>
                    <w:kinsoku/>
                    <w:wordWrap/>
                    <w:overflowPunct/>
                    <w:topLinePunct w:val="0"/>
                    <w:bidi w:val="0"/>
                    <w:spacing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ascii="Times New Roman" w:hAnsi="Times New Roman"/>
                      <w:color w:val="auto"/>
                    </w:rPr>
                    <w:t>非甲烷总烃</w:t>
                  </w:r>
                  <w:r>
                    <w:rPr>
                      <w:rFonts w:hint="eastAsia" w:ascii="Times New Roman" w:hAnsi="Times New Roman"/>
                      <w:color w:val="auto"/>
                      <w:lang w:eastAsia="zh-CN"/>
                    </w:rPr>
                    <w:t>、</w:t>
                  </w:r>
                  <w:r>
                    <w:rPr>
                      <w:rFonts w:hint="eastAsia" w:ascii="Times New Roman" w:hAnsi="Times New Roman"/>
                      <w:color w:val="auto"/>
                    </w:rPr>
                    <w:t>颗粒物</w:t>
                  </w:r>
                </w:p>
              </w:tc>
              <w:tc>
                <w:tcPr>
                  <w:tcW w:w="1373" w:type="pct"/>
                  <w:shd w:val="clear" w:color="auto" w:fill="auto"/>
                  <w:noWrap w:val="0"/>
                  <w:vAlign w:val="center"/>
                </w:tcPr>
                <w:p w14:paraId="6839D248">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auto"/>
                      <w:spacing w:val="-2"/>
                      <w:kern w:val="28"/>
                      <w:sz w:val="21"/>
                      <w:szCs w:val="21"/>
                      <w:lang w:val="en-US" w:eastAsia="zh-CN" w:bidi="ar-SA"/>
                    </w:rPr>
                  </w:pPr>
                  <w:r>
                    <w:rPr>
                      <w:rFonts w:hint="eastAsia" w:ascii="Times New Roman" w:hAnsi="Times New Roman" w:eastAsia="宋体" w:cs="Times New Roman"/>
                      <w:color w:val="auto"/>
                      <w:spacing w:val="-2"/>
                      <w:kern w:val="28"/>
                      <w:sz w:val="21"/>
                      <w:szCs w:val="21"/>
                      <w:lang w:val="en-US" w:eastAsia="zh-CN"/>
                    </w:rPr>
                    <w:t>经1套水喷淋塔+除湿器+二级活性炭吸附装置处理后通过1根15米高排气筒DA002排放</w:t>
                  </w:r>
                </w:p>
              </w:tc>
              <w:tc>
                <w:tcPr>
                  <w:tcW w:w="1208" w:type="pct"/>
                  <w:shd w:val="clear" w:color="auto" w:fill="auto"/>
                  <w:noWrap w:val="0"/>
                  <w:vAlign w:val="center"/>
                </w:tcPr>
                <w:p w14:paraId="007ED6DB">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auto"/>
                      <w:spacing w:val="-2"/>
                      <w:kern w:val="28"/>
                      <w:sz w:val="21"/>
                      <w:szCs w:val="21"/>
                      <w:lang w:val="en-US" w:eastAsia="zh-CN" w:bidi="ar-SA"/>
                    </w:rPr>
                  </w:pPr>
                  <w:r>
                    <w:rPr>
                      <w:rFonts w:hint="eastAsia" w:ascii="Times New Roman" w:hAnsi="Times New Roman" w:eastAsia="宋体" w:cs="Times New Roman"/>
                      <w:color w:val="auto"/>
                      <w:spacing w:val="-2"/>
                      <w:kern w:val="28"/>
                      <w:sz w:val="21"/>
                      <w:szCs w:val="21"/>
                      <w:lang w:val="en-US" w:eastAsia="zh-CN"/>
                    </w:rPr>
                    <w:t>经1套水喷淋塔+除湿器+二级活性炭吸附装置处理后通过1根15米高排气筒DA002排放</w:t>
                  </w:r>
                </w:p>
              </w:tc>
            </w:tr>
            <w:tr w14:paraId="17A56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restart"/>
                  <w:noWrap w:val="0"/>
                  <w:vAlign w:val="center"/>
                </w:tcPr>
                <w:p w14:paraId="3C512FAA">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2</w:t>
                  </w:r>
                </w:p>
              </w:tc>
              <w:tc>
                <w:tcPr>
                  <w:tcW w:w="391" w:type="pct"/>
                  <w:vMerge w:val="restart"/>
                  <w:noWrap w:val="0"/>
                  <w:vAlign w:val="center"/>
                </w:tcPr>
                <w:p w14:paraId="6ADAB4E4">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废水</w:t>
                  </w:r>
                </w:p>
              </w:tc>
              <w:tc>
                <w:tcPr>
                  <w:tcW w:w="659" w:type="pct"/>
                  <w:vMerge w:val="restart"/>
                  <w:noWrap w:val="0"/>
                  <w:vAlign w:val="center"/>
                </w:tcPr>
                <w:p w14:paraId="2AD44CEA">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生活污水</w:t>
                  </w:r>
                </w:p>
              </w:tc>
              <w:tc>
                <w:tcPr>
                  <w:tcW w:w="1038" w:type="pct"/>
                  <w:noWrap w:val="0"/>
                  <w:vAlign w:val="center"/>
                </w:tcPr>
                <w:p w14:paraId="70646CFE">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w:t>
                  </w:r>
                </w:p>
              </w:tc>
              <w:tc>
                <w:tcPr>
                  <w:tcW w:w="1373" w:type="pct"/>
                  <w:vMerge w:val="restart"/>
                  <w:shd w:val="clear" w:color="auto" w:fill="auto"/>
                  <w:noWrap w:val="0"/>
                  <w:vAlign w:val="center"/>
                </w:tcPr>
                <w:p w14:paraId="1086C67B">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pacing w:val="-2"/>
                      <w:kern w:val="28"/>
                      <w:sz w:val="21"/>
                      <w:szCs w:val="21"/>
                      <w:lang w:val="en-US" w:eastAsia="zh-CN" w:bidi="ar-SA"/>
                    </w:rPr>
                  </w:pPr>
                  <w:r>
                    <w:rPr>
                      <w:rFonts w:hint="eastAsia" w:ascii="Times New Roman" w:hAnsi="Times New Roman" w:eastAsia="宋体" w:cs="Times New Roman"/>
                      <w:color w:val="auto"/>
                      <w:spacing w:val="-2"/>
                      <w:kern w:val="28"/>
                      <w:sz w:val="21"/>
                      <w:szCs w:val="21"/>
                      <w:lang w:val="en-US" w:eastAsia="zh-CN"/>
                    </w:rPr>
                    <w:t>生活</w:t>
                  </w:r>
                  <w:r>
                    <w:rPr>
                      <w:rFonts w:hint="default" w:ascii="Times New Roman" w:hAnsi="Times New Roman" w:eastAsia="宋体" w:cs="Times New Roman"/>
                      <w:color w:val="auto"/>
                      <w:spacing w:val="-2"/>
                      <w:kern w:val="28"/>
                      <w:sz w:val="21"/>
                      <w:szCs w:val="21"/>
                    </w:rPr>
                    <w:t>污水经收集后接管至市政污水管网，再排入常州市金坛第二污水处理厂集中处理，尾水排入尧唐河</w:t>
                  </w:r>
                  <w:r>
                    <w:rPr>
                      <w:rFonts w:hint="eastAsia" w:ascii="Times New Roman" w:hAnsi="Times New Roman" w:eastAsia="宋体" w:cs="Times New Roman"/>
                      <w:color w:val="auto"/>
                      <w:spacing w:val="-2"/>
                      <w:kern w:val="28"/>
                      <w:sz w:val="21"/>
                      <w:szCs w:val="21"/>
                      <w:lang w:eastAsia="zh-CN"/>
                    </w:rPr>
                    <w:t>，</w:t>
                  </w:r>
                </w:p>
              </w:tc>
              <w:tc>
                <w:tcPr>
                  <w:tcW w:w="1208" w:type="pct"/>
                  <w:vMerge w:val="restart"/>
                  <w:shd w:val="clear" w:color="auto" w:fill="auto"/>
                  <w:noWrap w:val="0"/>
                  <w:vAlign w:val="center"/>
                </w:tcPr>
                <w:p w14:paraId="48A19EFE">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pacing w:val="-2"/>
                      <w:kern w:val="28"/>
                      <w:sz w:val="21"/>
                      <w:szCs w:val="21"/>
                      <w:lang w:val="en-US" w:eastAsia="zh-CN" w:bidi="ar-SA"/>
                    </w:rPr>
                  </w:pPr>
                  <w:r>
                    <w:rPr>
                      <w:rFonts w:hint="eastAsia" w:ascii="Times New Roman" w:hAnsi="Times New Roman" w:eastAsia="宋体" w:cs="Times New Roman"/>
                      <w:color w:val="auto"/>
                      <w:spacing w:val="-2"/>
                      <w:kern w:val="28"/>
                      <w:sz w:val="21"/>
                      <w:szCs w:val="21"/>
                      <w:lang w:val="en-US" w:eastAsia="zh-CN"/>
                    </w:rPr>
                    <w:t>生活</w:t>
                  </w:r>
                  <w:r>
                    <w:rPr>
                      <w:rFonts w:hint="default" w:ascii="Times New Roman" w:hAnsi="Times New Roman" w:eastAsia="宋体" w:cs="Times New Roman"/>
                      <w:color w:val="auto"/>
                      <w:spacing w:val="-2"/>
                      <w:kern w:val="28"/>
                      <w:sz w:val="21"/>
                      <w:szCs w:val="21"/>
                    </w:rPr>
                    <w:t>污水经收集后接管至市政污水管网，再排入常州市金坛第二污水处理厂集中处理，尾水排入尧唐河</w:t>
                  </w:r>
                </w:p>
              </w:tc>
            </w:tr>
            <w:tr w14:paraId="20768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2EABD6AC">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7C8BCFEE">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1259B27F">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noWrap w:val="0"/>
                  <w:vAlign w:val="center"/>
                </w:tcPr>
                <w:p w14:paraId="6470E6DE">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SS</w:t>
                  </w:r>
                </w:p>
              </w:tc>
              <w:tc>
                <w:tcPr>
                  <w:tcW w:w="1373" w:type="pct"/>
                  <w:vMerge w:val="continue"/>
                  <w:noWrap w:val="0"/>
                  <w:vAlign w:val="center"/>
                </w:tcPr>
                <w:p w14:paraId="57FC9BBB">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73B7DF17">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2C65B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68EC43D6">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1447C2FC">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578C776B">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noWrap w:val="0"/>
                  <w:vAlign w:val="center"/>
                </w:tcPr>
                <w:p w14:paraId="7AE43589">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w:t>
                  </w:r>
                </w:p>
              </w:tc>
              <w:tc>
                <w:tcPr>
                  <w:tcW w:w="1373" w:type="pct"/>
                  <w:vMerge w:val="continue"/>
                  <w:noWrap w:val="0"/>
                  <w:vAlign w:val="center"/>
                </w:tcPr>
                <w:p w14:paraId="5BAA9036">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7D5B06D1">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36842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03477B28">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755957A6">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6C68989A">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noWrap w:val="0"/>
                  <w:vAlign w:val="center"/>
                </w:tcPr>
                <w:p w14:paraId="387B78B2">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TP</w:t>
                  </w:r>
                </w:p>
              </w:tc>
              <w:tc>
                <w:tcPr>
                  <w:tcW w:w="1373" w:type="pct"/>
                  <w:vMerge w:val="continue"/>
                  <w:noWrap w:val="0"/>
                  <w:vAlign w:val="center"/>
                </w:tcPr>
                <w:p w14:paraId="2B2EE337">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74BE9E8A">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24517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6E4C7855">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0AE5F720">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2BB7CE1C">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noWrap w:val="0"/>
                  <w:vAlign w:val="center"/>
                </w:tcPr>
                <w:p w14:paraId="55E35669">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TN</w:t>
                  </w:r>
                </w:p>
              </w:tc>
              <w:tc>
                <w:tcPr>
                  <w:tcW w:w="1373" w:type="pct"/>
                  <w:vMerge w:val="continue"/>
                  <w:noWrap w:val="0"/>
                  <w:vAlign w:val="center"/>
                </w:tcPr>
                <w:p w14:paraId="480B7C40">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058429D1">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51694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restart"/>
                  <w:noWrap w:val="0"/>
                  <w:vAlign w:val="center"/>
                </w:tcPr>
                <w:p w14:paraId="08B35BBA">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391" w:type="pct"/>
                  <w:vMerge w:val="restart"/>
                  <w:noWrap w:val="0"/>
                  <w:vAlign w:val="center"/>
                </w:tcPr>
                <w:p w14:paraId="62A504C2">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w:t>
                  </w:r>
                </w:p>
              </w:tc>
              <w:tc>
                <w:tcPr>
                  <w:tcW w:w="659" w:type="pct"/>
                  <w:vMerge w:val="restart"/>
                  <w:noWrap w:val="0"/>
                  <w:vAlign w:val="center"/>
                </w:tcPr>
                <w:p w14:paraId="49027F89">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w:t>
                  </w:r>
                </w:p>
              </w:tc>
              <w:tc>
                <w:tcPr>
                  <w:tcW w:w="1038" w:type="pct"/>
                  <w:shd w:val="clear" w:color="auto" w:fill="auto"/>
                  <w:noWrap w:val="0"/>
                  <w:vAlign w:val="center"/>
                </w:tcPr>
                <w:p w14:paraId="0B51AECC">
                  <w:pPr>
                    <w:pStyle w:val="92"/>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废包装材料</w:t>
                  </w:r>
                </w:p>
              </w:tc>
              <w:tc>
                <w:tcPr>
                  <w:tcW w:w="1373" w:type="pct"/>
                  <w:vMerge w:val="restart"/>
                  <w:noWrap w:val="0"/>
                  <w:vAlign w:val="center"/>
                </w:tcPr>
                <w:p w14:paraId="7AE061E6">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外售综合利用</w:t>
                  </w:r>
                </w:p>
              </w:tc>
              <w:tc>
                <w:tcPr>
                  <w:tcW w:w="1208" w:type="pct"/>
                  <w:vMerge w:val="restart"/>
                  <w:noWrap w:val="0"/>
                  <w:vAlign w:val="center"/>
                </w:tcPr>
                <w:p w14:paraId="19CE5F8B">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外售综合利用</w:t>
                  </w:r>
                </w:p>
              </w:tc>
            </w:tr>
            <w:tr w14:paraId="4D5E4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16A5532A">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0B7ADB53">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3D3D3FC7">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shd w:val="clear" w:color="auto" w:fill="auto"/>
                  <w:noWrap w:val="0"/>
                  <w:vAlign w:val="center"/>
                </w:tcPr>
                <w:p w14:paraId="799791D2">
                  <w:pPr>
                    <w:pStyle w:val="92"/>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布袋捕集物、沉渣</w:t>
                  </w:r>
                </w:p>
              </w:tc>
              <w:tc>
                <w:tcPr>
                  <w:tcW w:w="1373" w:type="pct"/>
                  <w:vMerge w:val="continue"/>
                  <w:noWrap w:val="0"/>
                  <w:vAlign w:val="center"/>
                </w:tcPr>
                <w:p w14:paraId="388B34E3">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60150B7A">
                  <w:pPr>
                    <w:keepNext w:val="0"/>
                    <w:keepLines w:val="0"/>
                    <w:pageBreakBefore w:val="0"/>
                    <w:kinsoku/>
                    <w:wordWrap/>
                    <w:overflowPunct/>
                    <w:topLinePunct w:val="0"/>
                    <w:bidi w:val="0"/>
                    <w:spacing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0FCE7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1FD54642">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57D0C7B8">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0C9E92FC">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shd w:val="clear" w:color="auto" w:fill="auto"/>
                  <w:noWrap w:val="0"/>
                  <w:vAlign w:val="center"/>
                </w:tcPr>
                <w:p w14:paraId="468F9A24">
                  <w:pPr>
                    <w:pStyle w:val="92"/>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水喷淋更换废液</w:t>
                  </w:r>
                </w:p>
              </w:tc>
              <w:tc>
                <w:tcPr>
                  <w:tcW w:w="1373" w:type="pct"/>
                  <w:vMerge w:val="restart"/>
                  <w:noWrap w:val="0"/>
                  <w:vAlign w:val="center"/>
                </w:tcPr>
                <w:p w14:paraId="7C249D54">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委托有资质单位处置</w:t>
                  </w:r>
                </w:p>
              </w:tc>
              <w:tc>
                <w:tcPr>
                  <w:tcW w:w="1208" w:type="pct"/>
                  <w:vMerge w:val="restart"/>
                  <w:noWrap w:val="0"/>
                  <w:vAlign w:val="center"/>
                </w:tcPr>
                <w:p w14:paraId="654B7D2E">
                  <w:pPr>
                    <w:keepNext w:val="0"/>
                    <w:keepLines w:val="0"/>
                    <w:pageBreakBefore w:val="0"/>
                    <w:kinsoku/>
                    <w:wordWrap/>
                    <w:overflowPunct/>
                    <w:topLinePunct w:val="0"/>
                    <w:bidi w:val="0"/>
                    <w:spacing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委托有资质单位处置</w:t>
                  </w:r>
                </w:p>
              </w:tc>
            </w:tr>
            <w:tr w14:paraId="27D8B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71970525">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5131B69F">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06360586">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shd w:val="clear" w:color="auto" w:fill="auto"/>
                  <w:noWrap w:val="0"/>
                  <w:vAlign w:val="center"/>
                </w:tcPr>
                <w:p w14:paraId="0B301C3D">
                  <w:pPr>
                    <w:pStyle w:val="92"/>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rPr>
                    <w:t>废活性炭</w:t>
                  </w:r>
                </w:p>
              </w:tc>
              <w:tc>
                <w:tcPr>
                  <w:tcW w:w="1373" w:type="pct"/>
                  <w:vMerge w:val="continue"/>
                  <w:noWrap w:val="0"/>
                  <w:vAlign w:val="center"/>
                </w:tcPr>
                <w:p w14:paraId="6430AEDD">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67E5B5CB">
                  <w:pPr>
                    <w:keepNext w:val="0"/>
                    <w:keepLines w:val="0"/>
                    <w:pageBreakBefore w:val="0"/>
                    <w:kinsoku/>
                    <w:wordWrap/>
                    <w:overflowPunct/>
                    <w:topLinePunct w:val="0"/>
                    <w:bidi w:val="0"/>
                    <w:spacing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3CE11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35235831">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164CE776">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636453B8">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shd w:val="clear" w:color="auto" w:fill="auto"/>
                  <w:noWrap w:val="0"/>
                  <w:vAlign w:val="center"/>
                </w:tcPr>
                <w:p w14:paraId="2C7CC512">
                  <w:pPr>
                    <w:pStyle w:val="92"/>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废润滑油</w:t>
                  </w:r>
                </w:p>
              </w:tc>
              <w:tc>
                <w:tcPr>
                  <w:tcW w:w="1373" w:type="pct"/>
                  <w:vMerge w:val="continue"/>
                  <w:noWrap w:val="0"/>
                  <w:vAlign w:val="center"/>
                </w:tcPr>
                <w:p w14:paraId="04F72442">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453A024F">
                  <w:pPr>
                    <w:keepNext w:val="0"/>
                    <w:keepLines w:val="0"/>
                    <w:pageBreakBefore w:val="0"/>
                    <w:kinsoku/>
                    <w:wordWrap/>
                    <w:overflowPunct/>
                    <w:topLinePunct w:val="0"/>
                    <w:bidi w:val="0"/>
                    <w:spacing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1D672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35851D60">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6A96D41A">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57F250F8">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shd w:val="clear" w:color="auto" w:fill="auto"/>
                  <w:noWrap w:val="0"/>
                  <w:vAlign w:val="center"/>
                </w:tcPr>
                <w:p w14:paraId="5637247E">
                  <w:pPr>
                    <w:pStyle w:val="92"/>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废铁质油桶</w:t>
                  </w:r>
                </w:p>
              </w:tc>
              <w:tc>
                <w:tcPr>
                  <w:tcW w:w="1373" w:type="pct"/>
                  <w:vMerge w:val="continue"/>
                  <w:noWrap w:val="0"/>
                  <w:vAlign w:val="center"/>
                </w:tcPr>
                <w:p w14:paraId="0F35C62E">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591174A8">
                  <w:pPr>
                    <w:keepNext w:val="0"/>
                    <w:keepLines w:val="0"/>
                    <w:pageBreakBefore w:val="0"/>
                    <w:kinsoku/>
                    <w:wordWrap/>
                    <w:overflowPunct/>
                    <w:topLinePunct w:val="0"/>
                    <w:bidi w:val="0"/>
                    <w:spacing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062A4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21B1D90E">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793A771B">
                  <w:pPr>
                    <w:spacing w:line="240" w:lineRule="auto"/>
                    <w:jc w:val="center"/>
                    <w:rPr>
                      <w:rFonts w:hint="default" w:ascii="Times New Roman" w:hAnsi="Times New Roman" w:eastAsia="宋体" w:cs="Times New Roman"/>
                      <w:bCs/>
                      <w:color w:val="auto"/>
                      <w:sz w:val="21"/>
                      <w:szCs w:val="21"/>
                      <w:highlight w:val="none"/>
                    </w:rPr>
                  </w:pPr>
                </w:p>
              </w:tc>
              <w:tc>
                <w:tcPr>
                  <w:tcW w:w="659" w:type="pct"/>
                  <w:vMerge w:val="continue"/>
                  <w:noWrap w:val="0"/>
                  <w:vAlign w:val="center"/>
                </w:tcPr>
                <w:p w14:paraId="775FFB67">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8" w:type="pct"/>
                  <w:shd w:val="clear" w:color="auto" w:fill="auto"/>
                  <w:noWrap w:val="0"/>
                  <w:vAlign w:val="center"/>
                </w:tcPr>
                <w:p w14:paraId="78B67A67">
                  <w:pPr>
                    <w:pStyle w:val="92"/>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废含油抹布</w:t>
                  </w:r>
                </w:p>
              </w:tc>
              <w:tc>
                <w:tcPr>
                  <w:tcW w:w="1373" w:type="pct"/>
                  <w:vMerge w:val="continue"/>
                  <w:noWrap w:val="0"/>
                  <w:vAlign w:val="center"/>
                </w:tcPr>
                <w:p w14:paraId="79BA97B0">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08" w:type="pct"/>
                  <w:vMerge w:val="continue"/>
                  <w:noWrap w:val="0"/>
                  <w:vAlign w:val="center"/>
                </w:tcPr>
                <w:p w14:paraId="155A04FA">
                  <w:pPr>
                    <w:keepNext w:val="0"/>
                    <w:keepLines w:val="0"/>
                    <w:pageBreakBefore w:val="0"/>
                    <w:kinsoku/>
                    <w:wordWrap/>
                    <w:overflowPunct/>
                    <w:topLinePunct w:val="0"/>
                    <w:bidi w:val="0"/>
                    <w:spacing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rPr>
                  </w:pPr>
                </w:p>
              </w:tc>
            </w:tr>
            <w:tr w14:paraId="52014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Merge w:val="continue"/>
                  <w:noWrap w:val="0"/>
                  <w:vAlign w:val="center"/>
                </w:tcPr>
                <w:p w14:paraId="10CBCCD0">
                  <w:pPr>
                    <w:spacing w:line="240" w:lineRule="auto"/>
                    <w:jc w:val="center"/>
                    <w:rPr>
                      <w:rFonts w:hint="default" w:ascii="Times New Roman" w:hAnsi="Times New Roman" w:eastAsia="宋体" w:cs="Times New Roman"/>
                      <w:bCs/>
                      <w:color w:val="auto"/>
                      <w:sz w:val="21"/>
                      <w:szCs w:val="21"/>
                      <w:highlight w:val="none"/>
                    </w:rPr>
                  </w:pPr>
                </w:p>
              </w:tc>
              <w:tc>
                <w:tcPr>
                  <w:tcW w:w="391" w:type="pct"/>
                  <w:vMerge w:val="continue"/>
                  <w:noWrap w:val="0"/>
                  <w:vAlign w:val="center"/>
                </w:tcPr>
                <w:p w14:paraId="1CE444E8">
                  <w:pPr>
                    <w:spacing w:line="240" w:lineRule="auto"/>
                    <w:jc w:val="center"/>
                    <w:rPr>
                      <w:rFonts w:hint="default" w:ascii="Times New Roman" w:hAnsi="Times New Roman" w:eastAsia="宋体" w:cs="Times New Roman"/>
                      <w:bCs/>
                      <w:color w:val="auto"/>
                      <w:sz w:val="21"/>
                      <w:szCs w:val="21"/>
                      <w:highlight w:val="none"/>
                    </w:rPr>
                  </w:pPr>
                </w:p>
              </w:tc>
              <w:tc>
                <w:tcPr>
                  <w:tcW w:w="659" w:type="pct"/>
                  <w:noWrap w:val="0"/>
                  <w:vAlign w:val="center"/>
                </w:tcPr>
                <w:p w14:paraId="21305AD1">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员工生活</w:t>
                  </w:r>
                </w:p>
              </w:tc>
              <w:tc>
                <w:tcPr>
                  <w:tcW w:w="1038" w:type="pct"/>
                  <w:noWrap w:val="0"/>
                  <w:vAlign w:val="center"/>
                </w:tcPr>
                <w:p w14:paraId="3CEA218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373" w:type="pct"/>
                  <w:noWrap w:val="0"/>
                  <w:vAlign w:val="center"/>
                </w:tcPr>
                <w:p w14:paraId="58A4A234">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环卫部门统一处理</w:t>
                  </w:r>
                </w:p>
              </w:tc>
              <w:tc>
                <w:tcPr>
                  <w:tcW w:w="1208" w:type="pct"/>
                  <w:noWrap w:val="0"/>
                  <w:vAlign w:val="center"/>
                </w:tcPr>
                <w:p w14:paraId="2C3F2B58">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环卫部门统一处理</w:t>
                  </w:r>
                </w:p>
              </w:tc>
            </w:tr>
          </w:tbl>
          <w:p w14:paraId="6F108C3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原</w:t>
            </w:r>
            <w:r>
              <w:rPr>
                <w:rFonts w:hint="default" w:ascii="Times New Roman" w:hAnsi="Times New Roman" w:eastAsia="宋体" w:cs="Times New Roman"/>
                <w:b/>
                <w:bCs/>
                <w:color w:val="auto"/>
                <w:sz w:val="21"/>
                <w:szCs w:val="21"/>
                <w:lang w:val="en-US" w:eastAsia="zh-CN"/>
              </w:rPr>
              <w:t>项目</w:t>
            </w:r>
            <w:r>
              <w:rPr>
                <w:rFonts w:hint="eastAsia"/>
                <w:b/>
                <w:bCs/>
                <w:color w:val="auto"/>
                <w:sz w:val="21"/>
                <w:szCs w:val="21"/>
                <w:highlight w:val="none"/>
              </w:rPr>
              <w:t>污染物达标排放情况</w:t>
            </w:r>
          </w:p>
          <w:p w14:paraId="5EBEBF76">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eastAsia="宋体"/>
                <w:color w:val="auto"/>
                <w:sz w:val="21"/>
                <w:szCs w:val="21"/>
                <w:highlight w:val="none"/>
              </w:rPr>
              <w:t>根据《常州和瑞新材料科技有限公司新建热塑性弹性体及制品项目竣工环境保护验收</w:t>
            </w:r>
            <w:r>
              <w:rPr>
                <w:rFonts w:hint="eastAsia" w:eastAsia="宋体"/>
                <w:color w:val="auto"/>
                <w:sz w:val="21"/>
                <w:szCs w:val="21"/>
                <w:highlight w:val="none"/>
                <w:lang w:val="en-US" w:eastAsia="zh-CN"/>
              </w:rPr>
              <w:t>监测报告表</w:t>
            </w:r>
            <w:r>
              <w:rPr>
                <w:rFonts w:hint="eastAsia" w:eastAsia="宋体"/>
                <w:color w:val="auto"/>
                <w:sz w:val="21"/>
                <w:szCs w:val="21"/>
                <w:highlight w:val="none"/>
              </w:rPr>
              <w:t>》</w:t>
            </w:r>
            <w:r>
              <w:rPr>
                <w:rFonts w:hint="eastAsia" w:eastAsia="宋体"/>
                <w:color w:val="auto"/>
                <w:sz w:val="21"/>
                <w:szCs w:val="21"/>
                <w:highlight w:val="none"/>
                <w:lang w:val="en-US" w:eastAsia="zh-CN"/>
              </w:rPr>
              <w:t>中验收监测数据可知</w:t>
            </w:r>
            <w:r>
              <w:rPr>
                <w:rFonts w:hint="eastAsia"/>
                <w:color w:val="auto"/>
                <w:sz w:val="21"/>
                <w:szCs w:val="21"/>
                <w:highlight w:val="none"/>
              </w:rPr>
              <w:t>，</w:t>
            </w:r>
            <w:r>
              <w:rPr>
                <w:rFonts w:hint="eastAsia"/>
                <w:color w:val="auto"/>
                <w:sz w:val="21"/>
                <w:szCs w:val="21"/>
                <w:highlight w:val="none"/>
                <w:lang w:val="en-US" w:eastAsia="zh-CN"/>
              </w:rPr>
              <w:t>现有</w:t>
            </w:r>
            <w:r>
              <w:rPr>
                <w:rFonts w:hint="eastAsia"/>
                <w:color w:val="auto"/>
                <w:sz w:val="21"/>
                <w:szCs w:val="21"/>
                <w:highlight w:val="none"/>
              </w:rPr>
              <w:t>项目污染物监测结果见下表。</w:t>
            </w:r>
          </w:p>
          <w:p w14:paraId="59B36218">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（1）废气</w:t>
            </w:r>
          </w:p>
          <w:p w14:paraId="61BACAD2">
            <w:pPr>
              <w:pStyle w:val="6"/>
              <w:adjustRightInd w:val="0"/>
              <w:snapToGrid w:val="0"/>
              <w:spacing w:line="360" w:lineRule="auto"/>
              <w:ind w:left="0" w:leftChars="0" w:firstLine="420" w:firstLineChars="200"/>
              <w:rPr>
                <w:rFonts w:ascii="Times New Roman" w:hAnsi="Times New Roman" w:eastAsia="宋体"/>
                <w:b/>
                <w:bCs/>
                <w:color w:val="auto"/>
                <w:sz w:val="21"/>
                <w:szCs w:val="21"/>
                <w:highlight w:val="none"/>
              </w:rPr>
            </w:pPr>
            <w:r>
              <w:rPr>
                <w:rFonts w:hint="eastAsia"/>
                <w:color w:val="auto"/>
                <w:sz w:val="21"/>
                <w:szCs w:val="21"/>
                <w:highlight w:val="none"/>
              </w:rPr>
              <w:t>项目废气监测结果见</w:t>
            </w:r>
            <w:r>
              <w:rPr>
                <w:rFonts w:hint="eastAsia"/>
                <w:color w:val="auto"/>
                <w:sz w:val="21"/>
                <w:szCs w:val="21"/>
                <w:highlight w:val="none"/>
                <w:lang w:val="en-US" w:eastAsia="zh-CN"/>
              </w:rPr>
              <w:t>下</w:t>
            </w:r>
            <w:r>
              <w:rPr>
                <w:rFonts w:hint="eastAsia"/>
                <w:color w:val="auto"/>
                <w:sz w:val="21"/>
                <w:szCs w:val="21"/>
                <w:highlight w:val="none"/>
              </w:rPr>
              <w:t>表。</w:t>
            </w:r>
          </w:p>
          <w:p w14:paraId="2DEE7F6F">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表</w:t>
            </w:r>
            <w:r>
              <w:rPr>
                <w:rFonts w:hint="eastAsia" w:ascii="Times New Roman" w:hAnsi="Times New Roman" w:eastAsia="宋体"/>
                <w:b/>
                <w:bCs/>
                <w:color w:val="auto"/>
                <w:sz w:val="21"/>
                <w:szCs w:val="21"/>
                <w:highlight w:val="none"/>
              </w:rPr>
              <w:t>2-</w:t>
            </w:r>
            <w:r>
              <w:rPr>
                <w:rFonts w:hint="eastAsia" w:ascii="Times New Roman" w:hAnsi="Times New Roman" w:eastAsia="宋体"/>
                <w:b/>
                <w:bCs/>
                <w:color w:val="auto"/>
                <w:sz w:val="21"/>
                <w:szCs w:val="21"/>
                <w:highlight w:val="none"/>
                <w:lang w:val="en-US" w:eastAsia="zh-CN"/>
              </w:rPr>
              <w:t>9 有组织</w:t>
            </w:r>
            <w:r>
              <w:rPr>
                <w:rFonts w:ascii="Times New Roman" w:hAnsi="Times New Roman" w:eastAsia="宋体"/>
                <w:b/>
                <w:bCs/>
                <w:color w:val="auto"/>
                <w:sz w:val="21"/>
                <w:szCs w:val="21"/>
                <w:highlight w:val="none"/>
              </w:rPr>
              <w:t>废气监测结果</w:t>
            </w:r>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038"/>
              <w:gridCol w:w="1410"/>
              <w:gridCol w:w="1121"/>
              <w:gridCol w:w="1209"/>
              <w:gridCol w:w="1208"/>
              <w:gridCol w:w="1295"/>
            </w:tblGrid>
            <w:tr w14:paraId="2B1E6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restart"/>
                  <w:tcBorders>
                    <w:tl2br w:val="nil"/>
                    <w:tr2bl w:val="nil"/>
                  </w:tcBorders>
                  <w:noWrap w:val="0"/>
                  <w:tcMar>
                    <w:top w:w="0" w:type="dxa"/>
                    <w:left w:w="0" w:type="dxa"/>
                    <w:bottom w:w="0" w:type="dxa"/>
                    <w:right w:w="0" w:type="dxa"/>
                  </w:tcMar>
                  <w:vAlign w:val="center"/>
                </w:tcPr>
                <w:p w14:paraId="07181F1F">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采样</w:t>
                  </w:r>
                  <w:r>
                    <w:rPr>
                      <w:rFonts w:hint="default" w:ascii="Times New Roman" w:hAnsi="Times New Roman" w:eastAsia="宋体" w:cs="Times New Roman"/>
                      <w:b/>
                      <w:bCs/>
                      <w:color w:val="auto"/>
                      <w:sz w:val="21"/>
                      <w:szCs w:val="21"/>
                      <w:lang w:eastAsia="zh-CN"/>
                    </w:rPr>
                    <w:t>日期</w:t>
                  </w:r>
                </w:p>
              </w:tc>
              <w:tc>
                <w:tcPr>
                  <w:tcW w:w="626" w:type="pct"/>
                  <w:vMerge w:val="restart"/>
                  <w:tcBorders>
                    <w:tl2br w:val="nil"/>
                    <w:tr2bl w:val="nil"/>
                  </w:tcBorders>
                  <w:noWrap w:val="0"/>
                  <w:tcMar>
                    <w:top w:w="0" w:type="dxa"/>
                    <w:left w:w="0" w:type="dxa"/>
                    <w:bottom w:w="0" w:type="dxa"/>
                    <w:right w:w="0" w:type="dxa"/>
                  </w:tcMar>
                  <w:vAlign w:val="center"/>
                </w:tcPr>
                <w:p w14:paraId="5A3BA10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eastAsia="zh-CN"/>
                    </w:rPr>
                    <w:t>采样</w:t>
                  </w:r>
                  <w:r>
                    <w:rPr>
                      <w:rFonts w:hint="default" w:ascii="Times New Roman" w:hAnsi="Times New Roman" w:eastAsia="宋体" w:cs="Times New Roman"/>
                      <w:b/>
                      <w:bCs/>
                      <w:color w:val="auto"/>
                      <w:sz w:val="21"/>
                      <w:szCs w:val="21"/>
                    </w:rPr>
                    <w:t>点位</w:t>
                  </w:r>
                </w:p>
              </w:tc>
              <w:tc>
                <w:tcPr>
                  <w:tcW w:w="850" w:type="pct"/>
                  <w:vMerge w:val="restart"/>
                  <w:tcBorders>
                    <w:tl2br w:val="nil"/>
                    <w:tr2bl w:val="nil"/>
                  </w:tcBorders>
                  <w:noWrap w:val="0"/>
                  <w:tcMar>
                    <w:top w:w="0" w:type="dxa"/>
                    <w:left w:w="0" w:type="dxa"/>
                    <w:bottom w:w="0" w:type="dxa"/>
                    <w:right w:w="0" w:type="dxa"/>
                  </w:tcMar>
                  <w:vAlign w:val="center"/>
                </w:tcPr>
                <w:p w14:paraId="6B46C4D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rPr>
                    <w:t>检测项目</w:t>
                  </w:r>
                </w:p>
              </w:tc>
              <w:tc>
                <w:tcPr>
                  <w:tcW w:w="676" w:type="pct"/>
                  <w:vMerge w:val="restart"/>
                  <w:tcBorders>
                    <w:tl2br w:val="nil"/>
                    <w:tr2bl w:val="nil"/>
                  </w:tcBorders>
                  <w:noWrap w:val="0"/>
                  <w:tcMar>
                    <w:top w:w="0" w:type="dxa"/>
                    <w:left w:w="0" w:type="dxa"/>
                    <w:bottom w:w="0" w:type="dxa"/>
                    <w:right w:w="0" w:type="dxa"/>
                  </w:tcMar>
                  <w:vAlign w:val="center"/>
                </w:tcPr>
                <w:p w14:paraId="3637CA5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检测频次</w:t>
                  </w:r>
                </w:p>
              </w:tc>
              <w:tc>
                <w:tcPr>
                  <w:tcW w:w="2237" w:type="pct"/>
                  <w:gridSpan w:val="3"/>
                  <w:tcBorders>
                    <w:tl2br w:val="nil"/>
                    <w:tr2bl w:val="nil"/>
                  </w:tcBorders>
                  <w:noWrap w:val="0"/>
                  <w:tcMar>
                    <w:top w:w="0" w:type="dxa"/>
                    <w:left w:w="0" w:type="dxa"/>
                    <w:bottom w:w="0" w:type="dxa"/>
                    <w:right w:w="0" w:type="dxa"/>
                  </w:tcMar>
                  <w:vAlign w:val="center"/>
                </w:tcPr>
                <w:p w14:paraId="126D5F0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检测结果</w:t>
                  </w:r>
                </w:p>
              </w:tc>
            </w:tr>
            <w:tr w14:paraId="21E7D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165E03F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4158E06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4E8D862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p>
              </w:tc>
              <w:tc>
                <w:tcPr>
                  <w:tcW w:w="676" w:type="pct"/>
                  <w:vMerge w:val="continue"/>
                  <w:tcBorders>
                    <w:tl2br w:val="nil"/>
                    <w:tr2bl w:val="nil"/>
                  </w:tcBorders>
                  <w:noWrap w:val="0"/>
                  <w:tcMar>
                    <w:top w:w="0" w:type="dxa"/>
                    <w:left w:w="0" w:type="dxa"/>
                    <w:bottom w:w="0" w:type="dxa"/>
                    <w:right w:w="0" w:type="dxa"/>
                  </w:tcMar>
                  <w:vAlign w:val="center"/>
                </w:tcPr>
                <w:p w14:paraId="7F28791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p>
              </w:tc>
              <w:tc>
                <w:tcPr>
                  <w:tcW w:w="729" w:type="pct"/>
                  <w:tcBorders>
                    <w:tl2br w:val="nil"/>
                    <w:tr2bl w:val="nil"/>
                  </w:tcBorders>
                  <w:noWrap w:val="0"/>
                  <w:tcMar>
                    <w:top w:w="0" w:type="dxa"/>
                    <w:left w:w="0" w:type="dxa"/>
                    <w:bottom w:w="0" w:type="dxa"/>
                    <w:right w:w="0" w:type="dxa"/>
                  </w:tcMar>
                  <w:vAlign w:val="center"/>
                </w:tcPr>
                <w:p w14:paraId="696772E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排放</w:t>
                  </w:r>
                  <w:r>
                    <w:rPr>
                      <w:rFonts w:hint="default" w:ascii="Times New Roman" w:hAnsi="Times New Roman" w:eastAsia="宋体" w:cs="Times New Roman"/>
                      <w:b/>
                      <w:bCs/>
                      <w:color w:val="auto"/>
                      <w:sz w:val="21"/>
                      <w:szCs w:val="21"/>
                    </w:rPr>
                    <w:t>浓</w:t>
                  </w:r>
                  <w:r>
                    <w:rPr>
                      <w:rFonts w:hint="default" w:ascii="Times New Roman" w:hAnsi="Times New Roman" w:eastAsia="宋体" w:cs="Times New Roman"/>
                      <w:b/>
                      <w:bCs/>
                      <w:color w:val="auto"/>
                      <w:sz w:val="21"/>
                      <w:szCs w:val="21"/>
                      <w:lang w:eastAsia="zh-CN"/>
                    </w:rPr>
                    <w:t>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28" w:type="pct"/>
                  <w:tcBorders>
                    <w:tl2br w:val="nil"/>
                    <w:tr2bl w:val="nil"/>
                  </w:tcBorders>
                  <w:noWrap w:val="0"/>
                  <w:tcMar>
                    <w:top w:w="0" w:type="dxa"/>
                    <w:left w:w="0" w:type="dxa"/>
                    <w:bottom w:w="0" w:type="dxa"/>
                    <w:right w:w="0" w:type="dxa"/>
                  </w:tcMar>
                  <w:vAlign w:val="center"/>
                </w:tcPr>
                <w:p w14:paraId="4B20251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标干流量（</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lang w:eastAsia="zh-CN"/>
                    </w:rPr>
                    <w:t>）</w:t>
                  </w:r>
                </w:p>
              </w:tc>
              <w:tc>
                <w:tcPr>
                  <w:tcW w:w="779" w:type="pct"/>
                  <w:tcBorders>
                    <w:tl2br w:val="nil"/>
                    <w:tr2bl w:val="nil"/>
                  </w:tcBorders>
                  <w:noWrap w:val="0"/>
                  <w:tcMar>
                    <w:top w:w="0" w:type="dxa"/>
                    <w:left w:w="0" w:type="dxa"/>
                    <w:bottom w:w="0" w:type="dxa"/>
                    <w:right w:w="0" w:type="dxa"/>
                  </w:tcMar>
                  <w:vAlign w:val="center"/>
                </w:tcPr>
                <w:p w14:paraId="7B151A8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排放速率（kg/h）</w:t>
                  </w:r>
                </w:p>
              </w:tc>
            </w:tr>
            <w:tr w14:paraId="527F9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restart"/>
                  <w:tcBorders>
                    <w:tl2br w:val="nil"/>
                    <w:tr2bl w:val="nil"/>
                  </w:tcBorders>
                  <w:noWrap w:val="0"/>
                  <w:tcMar>
                    <w:top w:w="0" w:type="dxa"/>
                    <w:left w:w="0" w:type="dxa"/>
                    <w:bottom w:w="0" w:type="dxa"/>
                    <w:right w:w="0" w:type="dxa"/>
                  </w:tcMar>
                  <w:vAlign w:val="center"/>
                </w:tcPr>
                <w:p w14:paraId="17FFB0C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2022.01.07</w:t>
                  </w:r>
                </w:p>
              </w:tc>
              <w:tc>
                <w:tcPr>
                  <w:tcW w:w="626" w:type="pct"/>
                  <w:vMerge w:val="restart"/>
                  <w:tcBorders>
                    <w:tl2br w:val="nil"/>
                    <w:tr2bl w:val="nil"/>
                  </w:tcBorders>
                  <w:noWrap w:val="0"/>
                  <w:tcMar>
                    <w:top w:w="0" w:type="dxa"/>
                    <w:left w:w="0" w:type="dxa"/>
                    <w:bottom w:w="0" w:type="dxa"/>
                    <w:right w:w="0" w:type="dxa"/>
                  </w:tcMar>
                  <w:vAlign w:val="center"/>
                </w:tcPr>
                <w:p w14:paraId="79D02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DA001排气筒出口</w:t>
                  </w:r>
                </w:p>
              </w:tc>
              <w:tc>
                <w:tcPr>
                  <w:tcW w:w="850" w:type="pct"/>
                  <w:vMerge w:val="restart"/>
                  <w:tcBorders>
                    <w:tl2br w:val="nil"/>
                    <w:tr2bl w:val="nil"/>
                  </w:tcBorders>
                  <w:noWrap w:val="0"/>
                  <w:tcMar>
                    <w:top w:w="0" w:type="dxa"/>
                    <w:left w:w="0" w:type="dxa"/>
                    <w:bottom w:w="0" w:type="dxa"/>
                    <w:right w:w="0" w:type="dxa"/>
                  </w:tcMar>
                  <w:vAlign w:val="center"/>
                </w:tcPr>
                <w:p w14:paraId="684B82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低浓度颗粒物</w:t>
                  </w:r>
                </w:p>
              </w:tc>
              <w:tc>
                <w:tcPr>
                  <w:tcW w:w="676" w:type="pct"/>
                  <w:tcBorders>
                    <w:tl2br w:val="nil"/>
                    <w:tr2bl w:val="nil"/>
                  </w:tcBorders>
                  <w:noWrap w:val="0"/>
                  <w:tcMar>
                    <w:top w:w="0" w:type="dxa"/>
                    <w:left w:w="0" w:type="dxa"/>
                    <w:bottom w:w="0" w:type="dxa"/>
                    <w:right w:w="0" w:type="dxa"/>
                  </w:tcMar>
                  <w:vAlign w:val="center"/>
                </w:tcPr>
                <w:p w14:paraId="65469B8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7719B3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728" w:type="pct"/>
                  <w:tcBorders>
                    <w:tl2br w:val="nil"/>
                    <w:tr2bl w:val="nil"/>
                  </w:tcBorders>
                  <w:noWrap w:val="0"/>
                  <w:tcMar>
                    <w:top w:w="0" w:type="dxa"/>
                    <w:left w:w="0" w:type="dxa"/>
                    <w:bottom w:w="0" w:type="dxa"/>
                    <w:right w:w="0" w:type="dxa"/>
                  </w:tcMar>
                  <w:vAlign w:val="center"/>
                </w:tcPr>
                <w:p w14:paraId="3AB416E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9316</w:t>
                  </w:r>
                </w:p>
              </w:tc>
              <w:tc>
                <w:tcPr>
                  <w:tcW w:w="779" w:type="pct"/>
                  <w:tcBorders>
                    <w:tl2br w:val="nil"/>
                    <w:tr2bl w:val="nil"/>
                  </w:tcBorders>
                  <w:noWrap w:val="0"/>
                  <w:tcMar>
                    <w:top w:w="0" w:type="dxa"/>
                    <w:left w:w="0" w:type="dxa"/>
                    <w:bottom w:w="0" w:type="dxa"/>
                    <w:right w:w="0" w:type="dxa"/>
                  </w:tcMar>
                  <w:vAlign w:val="center"/>
                </w:tcPr>
                <w:p w14:paraId="22452B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0.017</w:t>
                  </w:r>
                </w:p>
              </w:tc>
            </w:tr>
            <w:tr w14:paraId="456B4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4F97F86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3028735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726C313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1B52EF7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62E695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2.3</w:t>
                  </w:r>
                </w:p>
              </w:tc>
              <w:tc>
                <w:tcPr>
                  <w:tcW w:w="728" w:type="pct"/>
                  <w:tcBorders>
                    <w:tl2br w:val="nil"/>
                    <w:tr2bl w:val="nil"/>
                  </w:tcBorders>
                  <w:noWrap w:val="0"/>
                  <w:tcMar>
                    <w:top w:w="0" w:type="dxa"/>
                    <w:left w:w="0" w:type="dxa"/>
                    <w:bottom w:w="0" w:type="dxa"/>
                    <w:right w:w="0" w:type="dxa"/>
                  </w:tcMar>
                  <w:vAlign w:val="center"/>
                </w:tcPr>
                <w:p w14:paraId="05511F8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9326</w:t>
                  </w:r>
                </w:p>
              </w:tc>
              <w:tc>
                <w:tcPr>
                  <w:tcW w:w="779" w:type="pct"/>
                  <w:tcBorders>
                    <w:tl2br w:val="nil"/>
                    <w:tr2bl w:val="nil"/>
                  </w:tcBorders>
                  <w:noWrap w:val="0"/>
                  <w:tcMar>
                    <w:top w:w="0" w:type="dxa"/>
                    <w:left w:w="0" w:type="dxa"/>
                    <w:bottom w:w="0" w:type="dxa"/>
                    <w:right w:w="0" w:type="dxa"/>
                  </w:tcMar>
                  <w:vAlign w:val="center"/>
                </w:tcPr>
                <w:p w14:paraId="40D2BF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0.021</w:t>
                  </w:r>
                </w:p>
              </w:tc>
            </w:tr>
            <w:tr w14:paraId="7FDE3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08E74E8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71161F9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16B6636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1C6C832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14F555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728" w:type="pct"/>
                  <w:tcBorders>
                    <w:tl2br w:val="nil"/>
                    <w:tr2bl w:val="nil"/>
                  </w:tcBorders>
                  <w:noWrap w:val="0"/>
                  <w:tcMar>
                    <w:top w:w="0" w:type="dxa"/>
                    <w:left w:w="0" w:type="dxa"/>
                    <w:bottom w:w="0" w:type="dxa"/>
                    <w:right w:w="0" w:type="dxa"/>
                  </w:tcMar>
                  <w:vAlign w:val="center"/>
                </w:tcPr>
                <w:p w14:paraId="7FEF6AD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9244</w:t>
                  </w:r>
                </w:p>
              </w:tc>
              <w:tc>
                <w:tcPr>
                  <w:tcW w:w="779" w:type="pct"/>
                  <w:tcBorders>
                    <w:tl2br w:val="nil"/>
                    <w:tr2bl w:val="nil"/>
                  </w:tcBorders>
                  <w:noWrap w:val="0"/>
                  <w:tcMar>
                    <w:top w:w="0" w:type="dxa"/>
                    <w:left w:w="0" w:type="dxa"/>
                    <w:bottom w:w="0" w:type="dxa"/>
                    <w:right w:w="0" w:type="dxa"/>
                  </w:tcMar>
                  <w:vAlign w:val="center"/>
                </w:tcPr>
                <w:p w14:paraId="415AE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0.018</w:t>
                  </w:r>
                </w:p>
              </w:tc>
            </w:tr>
            <w:tr w14:paraId="383E2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5382005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restart"/>
                  <w:tcBorders>
                    <w:tl2br w:val="nil"/>
                    <w:tr2bl w:val="nil"/>
                  </w:tcBorders>
                  <w:noWrap w:val="0"/>
                  <w:tcMar>
                    <w:top w:w="0" w:type="dxa"/>
                    <w:left w:w="0" w:type="dxa"/>
                    <w:bottom w:w="0" w:type="dxa"/>
                    <w:right w:w="0" w:type="dxa"/>
                  </w:tcMar>
                  <w:vAlign w:val="center"/>
                </w:tcPr>
                <w:p w14:paraId="14CCD0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DA002处理设施进口</w:t>
                  </w:r>
                </w:p>
              </w:tc>
              <w:tc>
                <w:tcPr>
                  <w:tcW w:w="850" w:type="pct"/>
                  <w:vMerge w:val="restart"/>
                  <w:tcBorders>
                    <w:tl2br w:val="nil"/>
                    <w:tr2bl w:val="nil"/>
                  </w:tcBorders>
                  <w:noWrap w:val="0"/>
                  <w:tcMar>
                    <w:top w:w="0" w:type="dxa"/>
                    <w:left w:w="0" w:type="dxa"/>
                    <w:bottom w:w="0" w:type="dxa"/>
                    <w:right w:w="0" w:type="dxa"/>
                  </w:tcMar>
                  <w:vAlign w:val="center"/>
                </w:tcPr>
                <w:p w14:paraId="1BF03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76" w:type="pct"/>
                  <w:tcBorders>
                    <w:tl2br w:val="nil"/>
                    <w:tr2bl w:val="nil"/>
                  </w:tcBorders>
                  <w:noWrap w:val="0"/>
                  <w:tcMar>
                    <w:top w:w="0" w:type="dxa"/>
                    <w:left w:w="0" w:type="dxa"/>
                    <w:bottom w:w="0" w:type="dxa"/>
                    <w:right w:w="0" w:type="dxa"/>
                  </w:tcMar>
                  <w:vAlign w:val="center"/>
                </w:tcPr>
                <w:p w14:paraId="4EBE36D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54F8BC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&lt;20</w:t>
                  </w:r>
                </w:p>
              </w:tc>
              <w:tc>
                <w:tcPr>
                  <w:tcW w:w="728" w:type="pct"/>
                  <w:tcBorders>
                    <w:tl2br w:val="nil"/>
                    <w:tr2bl w:val="nil"/>
                  </w:tcBorders>
                  <w:noWrap w:val="0"/>
                  <w:tcMar>
                    <w:top w:w="0" w:type="dxa"/>
                    <w:left w:w="0" w:type="dxa"/>
                    <w:bottom w:w="0" w:type="dxa"/>
                    <w:right w:w="0" w:type="dxa"/>
                  </w:tcMar>
                  <w:vAlign w:val="center"/>
                </w:tcPr>
                <w:p w14:paraId="5955161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3388</w:t>
                  </w:r>
                </w:p>
              </w:tc>
              <w:tc>
                <w:tcPr>
                  <w:tcW w:w="779" w:type="pct"/>
                  <w:tcBorders>
                    <w:tl2br w:val="nil"/>
                    <w:tr2bl w:val="nil"/>
                  </w:tcBorders>
                  <w:noWrap w:val="0"/>
                  <w:tcMar>
                    <w:top w:w="0" w:type="dxa"/>
                    <w:left w:w="0" w:type="dxa"/>
                    <w:bottom w:w="0" w:type="dxa"/>
                    <w:right w:w="0" w:type="dxa"/>
                  </w:tcMar>
                  <w:vAlign w:val="center"/>
                </w:tcPr>
                <w:p w14:paraId="11E228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14:paraId="04202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36F7C2B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035F515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6D8DC64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7A615B6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76B364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&lt;20</w:t>
                  </w:r>
                </w:p>
              </w:tc>
              <w:tc>
                <w:tcPr>
                  <w:tcW w:w="728" w:type="pct"/>
                  <w:tcBorders>
                    <w:tl2br w:val="nil"/>
                    <w:tr2bl w:val="nil"/>
                  </w:tcBorders>
                  <w:noWrap w:val="0"/>
                  <w:tcMar>
                    <w:top w:w="0" w:type="dxa"/>
                    <w:left w:w="0" w:type="dxa"/>
                    <w:bottom w:w="0" w:type="dxa"/>
                    <w:right w:w="0" w:type="dxa"/>
                  </w:tcMar>
                  <w:vAlign w:val="center"/>
                </w:tcPr>
                <w:p w14:paraId="3CB9EC2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3410</w:t>
                  </w:r>
                </w:p>
              </w:tc>
              <w:tc>
                <w:tcPr>
                  <w:tcW w:w="779" w:type="pct"/>
                  <w:tcBorders>
                    <w:tl2br w:val="nil"/>
                    <w:tr2bl w:val="nil"/>
                  </w:tcBorders>
                  <w:noWrap w:val="0"/>
                  <w:tcMar>
                    <w:top w:w="0" w:type="dxa"/>
                    <w:left w:w="0" w:type="dxa"/>
                    <w:bottom w:w="0" w:type="dxa"/>
                    <w:right w:w="0" w:type="dxa"/>
                  </w:tcMar>
                  <w:vAlign w:val="center"/>
                </w:tcPr>
                <w:p w14:paraId="252250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14:paraId="2FCA2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45BB821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19616CA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196961D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2A34D3B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2BB646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&lt;20</w:t>
                  </w:r>
                </w:p>
              </w:tc>
              <w:tc>
                <w:tcPr>
                  <w:tcW w:w="728" w:type="pct"/>
                  <w:tcBorders>
                    <w:tl2br w:val="nil"/>
                    <w:tr2bl w:val="nil"/>
                  </w:tcBorders>
                  <w:noWrap w:val="0"/>
                  <w:tcMar>
                    <w:top w:w="0" w:type="dxa"/>
                    <w:left w:w="0" w:type="dxa"/>
                    <w:bottom w:w="0" w:type="dxa"/>
                    <w:right w:w="0" w:type="dxa"/>
                  </w:tcMar>
                  <w:vAlign w:val="center"/>
                </w:tcPr>
                <w:p w14:paraId="575EE32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3357</w:t>
                  </w:r>
                </w:p>
              </w:tc>
              <w:tc>
                <w:tcPr>
                  <w:tcW w:w="779" w:type="pct"/>
                  <w:tcBorders>
                    <w:tl2br w:val="nil"/>
                    <w:tr2bl w:val="nil"/>
                  </w:tcBorders>
                  <w:noWrap w:val="0"/>
                  <w:tcMar>
                    <w:top w:w="0" w:type="dxa"/>
                    <w:left w:w="0" w:type="dxa"/>
                    <w:bottom w:w="0" w:type="dxa"/>
                    <w:right w:w="0" w:type="dxa"/>
                  </w:tcMar>
                  <w:vAlign w:val="center"/>
                </w:tcPr>
                <w:p w14:paraId="0870F0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14:paraId="6F1D0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0E9969E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14FC7A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restart"/>
                  <w:tcBorders>
                    <w:tl2br w:val="nil"/>
                    <w:tr2bl w:val="nil"/>
                  </w:tcBorders>
                  <w:noWrap w:val="0"/>
                  <w:tcMar>
                    <w:top w:w="0" w:type="dxa"/>
                    <w:left w:w="0" w:type="dxa"/>
                    <w:bottom w:w="0" w:type="dxa"/>
                    <w:right w:w="0" w:type="dxa"/>
                  </w:tcMar>
                  <w:vAlign w:val="center"/>
                </w:tcPr>
                <w:p w14:paraId="274165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76" w:type="pct"/>
                  <w:tcBorders>
                    <w:tl2br w:val="nil"/>
                    <w:tr2bl w:val="nil"/>
                  </w:tcBorders>
                  <w:noWrap w:val="0"/>
                  <w:tcMar>
                    <w:top w:w="0" w:type="dxa"/>
                    <w:left w:w="0" w:type="dxa"/>
                    <w:bottom w:w="0" w:type="dxa"/>
                    <w:right w:w="0" w:type="dxa"/>
                  </w:tcMar>
                  <w:vAlign w:val="center"/>
                </w:tcPr>
                <w:p w14:paraId="1D40524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67068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13.1</w:t>
                  </w:r>
                </w:p>
              </w:tc>
              <w:tc>
                <w:tcPr>
                  <w:tcW w:w="728" w:type="pct"/>
                  <w:tcBorders>
                    <w:tl2br w:val="nil"/>
                    <w:tr2bl w:val="nil"/>
                  </w:tcBorders>
                  <w:noWrap w:val="0"/>
                  <w:tcMar>
                    <w:top w:w="0" w:type="dxa"/>
                    <w:left w:w="0" w:type="dxa"/>
                    <w:bottom w:w="0" w:type="dxa"/>
                    <w:right w:w="0" w:type="dxa"/>
                  </w:tcMar>
                  <w:vAlign w:val="center"/>
                </w:tcPr>
                <w:p w14:paraId="651F46A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3388</w:t>
                  </w:r>
                </w:p>
              </w:tc>
              <w:tc>
                <w:tcPr>
                  <w:tcW w:w="779" w:type="pct"/>
                  <w:tcBorders>
                    <w:tl2br w:val="nil"/>
                    <w:tr2bl w:val="nil"/>
                  </w:tcBorders>
                  <w:noWrap w:val="0"/>
                  <w:tcMar>
                    <w:top w:w="0" w:type="dxa"/>
                    <w:left w:w="0" w:type="dxa"/>
                    <w:bottom w:w="0" w:type="dxa"/>
                    <w:right w:w="0" w:type="dxa"/>
                  </w:tcMar>
                  <w:vAlign w:val="center"/>
                </w:tcPr>
                <w:p w14:paraId="0AD41A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0.044</w:t>
                  </w:r>
                </w:p>
              </w:tc>
            </w:tr>
            <w:tr w14:paraId="12545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0BCD89F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21EBCAC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55DF5E5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11C1049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3672C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10.7</w:t>
                  </w:r>
                </w:p>
              </w:tc>
              <w:tc>
                <w:tcPr>
                  <w:tcW w:w="728" w:type="pct"/>
                  <w:tcBorders>
                    <w:tl2br w:val="nil"/>
                    <w:tr2bl w:val="nil"/>
                  </w:tcBorders>
                  <w:noWrap w:val="0"/>
                  <w:tcMar>
                    <w:top w:w="0" w:type="dxa"/>
                    <w:left w:w="0" w:type="dxa"/>
                    <w:bottom w:w="0" w:type="dxa"/>
                    <w:right w:w="0" w:type="dxa"/>
                  </w:tcMar>
                  <w:vAlign w:val="center"/>
                </w:tcPr>
                <w:p w14:paraId="17DA5FA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3410</w:t>
                  </w:r>
                </w:p>
              </w:tc>
              <w:tc>
                <w:tcPr>
                  <w:tcW w:w="779" w:type="pct"/>
                  <w:tcBorders>
                    <w:tl2br w:val="nil"/>
                    <w:tr2bl w:val="nil"/>
                  </w:tcBorders>
                  <w:noWrap w:val="0"/>
                  <w:tcMar>
                    <w:top w:w="0" w:type="dxa"/>
                    <w:left w:w="0" w:type="dxa"/>
                    <w:bottom w:w="0" w:type="dxa"/>
                    <w:right w:w="0" w:type="dxa"/>
                  </w:tcMar>
                  <w:vAlign w:val="center"/>
                </w:tcPr>
                <w:p w14:paraId="4FDB5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0.036</w:t>
                  </w:r>
                </w:p>
              </w:tc>
            </w:tr>
            <w:tr w14:paraId="66E47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074F524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25753B0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3378691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5B2268F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6E3F31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10.9</w:t>
                  </w:r>
                </w:p>
              </w:tc>
              <w:tc>
                <w:tcPr>
                  <w:tcW w:w="728" w:type="pct"/>
                  <w:tcBorders>
                    <w:tl2br w:val="nil"/>
                    <w:tr2bl w:val="nil"/>
                  </w:tcBorders>
                  <w:noWrap w:val="0"/>
                  <w:tcMar>
                    <w:top w:w="0" w:type="dxa"/>
                    <w:left w:w="0" w:type="dxa"/>
                    <w:bottom w:w="0" w:type="dxa"/>
                    <w:right w:w="0" w:type="dxa"/>
                  </w:tcMar>
                  <w:vAlign w:val="center"/>
                </w:tcPr>
                <w:p w14:paraId="5AD6C29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3357</w:t>
                  </w:r>
                </w:p>
              </w:tc>
              <w:tc>
                <w:tcPr>
                  <w:tcW w:w="779" w:type="pct"/>
                  <w:tcBorders>
                    <w:tl2br w:val="nil"/>
                    <w:tr2bl w:val="nil"/>
                  </w:tcBorders>
                  <w:noWrap w:val="0"/>
                  <w:tcMar>
                    <w:top w:w="0" w:type="dxa"/>
                    <w:left w:w="0" w:type="dxa"/>
                    <w:bottom w:w="0" w:type="dxa"/>
                    <w:right w:w="0" w:type="dxa"/>
                  </w:tcMar>
                  <w:vAlign w:val="center"/>
                </w:tcPr>
                <w:p w14:paraId="5DE023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0.037</w:t>
                  </w:r>
                </w:p>
              </w:tc>
            </w:tr>
            <w:tr w14:paraId="5DEDE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7326447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restart"/>
                  <w:tcBorders>
                    <w:tl2br w:val="nil"/>
                    <w:tr2bl w:val="nil"/>
                  </w:tcBorders>
                  <w:noWrap w:val="0"/>
                  <w:tcMar>
                    <w:top w:w="0" w:type="dxa"/>
                    <w:left w:w="0" w:type="dxa"/>
                    <w:bottom w:w="0" w:type="dxa"/>
                    <w:right w:w="0" w:type="dxa"/>
                  </w:tcMar>
                  <w:vAlign w:val="center"/>
                </w:tcPr>
                <w:p w14:paraId="68B789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DA002处理设施出口</w:t>
                  </w:r>
                </w:p>
              </w:tc>
              <w:tc>
                <w:tcPr>
                  <w:tcW w:w="850" w:type="pct"/>
                  <w:vMerge w:val="restart"/>
                  <w:tcBorders>
                    <w:tl2br w:val="nil"/>
                    <w:tr2bl w:val="nil"/>
                  </w:tcBorders>
                  <w:noWrap w:val="0"/>
                  <w:tcMar>
                    <w:top w:w="0" w:type="dxa"/>
                    <w:left w:w="0" w:type="dxa"/>
                    <w:bottom w:w="0" w:type="dxa"/>
                    <w:right w:w="0" w:type="dxa"/>
                  </w:tcMar>
                  <w:vAlign w:val="center"/>
                </w:tcPr>
                <w:p w14:paraId="06709C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低浓度颗粒物</w:t>
                  </w:r>
                </w:p>
              </w:tc>
              <w:tc>
                <w:tcPr>
                  <w:tcW w:w="676" w:type="pct"/>
                  <w:tcBorders>
                    <w:tl2br w:val="nil"/>
                    <w:tr2bl w:val="nil"/>
                  </w:tcBorders>
                  <w:noWrap w:val="0"/>
                  <w:tcMar>
                    <w:top w:w="0" w:type="dxa"/>
                    <w:left w:w="0" w:type="dxa"/>
                    <w:bottom w:w="0" w:type="dxa"/>
                    <w:right w:w="0" w:type="dxa"/>
                  </w:tcMar>
                  <w:vAlign w:val="center"/>
                </w:tcPr>
                <w:p w14:paraId="631BA6F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74806F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728" w:type="pct"/>
                  <w:tcBorders>
                    <w:tl2br w:val="nil"/>
                    <w:tr2bl w:val="nil"/>
                  </w:tcBorders>
                  <w:noWrap w:val="0"/>
                  <w:tcMar>
                    <w:top w:w="0" w:type="dxa"/>
                    <w:left w:w="0" w:type="dxa"/>
                    <w:bottom w:w="0" w:type="dxa"/>
                    <w:right w:w="0" w:type="dxa"/>
                  </w:tcMar>
                  <w:vAlign w:val="center"/>
                </w:tcPr>
                <w:p w14:paraId="18DEA92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3507</w:t>
                  </w:r>
                </w:p>
              </w:tc>
              <w:tc>
                <w:tcPr>
                  <w:tcW w:w="779" w:type="pct"/>
                  <w:tcBorders>
                    <w:tl2br w:val="nil"/>
                    <w:tr2bl w:val="nil"/>
                  </w:tcBorders>
                  <w:noWrap w:val="0"/>
                  <w:tcMar>
                    <w:top w:w="0" w:type="dxa"/>
                    <w:left w:w="0" w:type="dxa"/>
                    <w:bottom w:w="0" w:type="dxa"/>
                    <w:right w:w="0" w:type="dxa"/>
                  </w:tcMar>
                  <w:vAlign w:val="center"/>
                </w:tcPr>
                <w:p w14:paraId="3E56A3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4.21×10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6896A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1229587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6090CBE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4CB6942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1D48CA4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1679E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w:t>
                  </w:r>
                </w:p>
              </w:tc>
              <w:tc>
                <w:tcPr>
                  <w:tcW w:w="728" w:type="pct"/>
                  <w:tcBorders>
                    <w:tl2br w:val="nil"/>
                    <w:tr2bl w:val="nil"/>
                  </w:tcBorders>
                  <w:noWrap w:val="0"/>
                  <w:tcMar>
                    <w:top w:w="0" w:type="dxa"/>
                    <w:left w:w="0" w:type="dxa"/>
                    <w:bottom w:w="0" w:type="dxa"/>
                    <w:right w:w="0" w:type="dxa"/>
                  </w:tcMar>
                  <w:vAlign w:val="center"/>
                </w:tcPr>
                <w:p w14:paraId="65BC1D4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3530</w:t>
                  </w:r>
                </w:p>
              </w:tc>
              <w:tc>
                <w:tcPr>
                  <w:tcW w:w="779" w:type="pct"/>
                  <w:tcBorders>
                    <w:tl2br w:val="nil"/>
                    <w:tr2bl w:val="nil"/>
                  </w:tcBorders>
                  <w:noWrap w:val="0"/>
                  <w:tcMar>
                    <w:top w:w="0" w:type="dxa"/>
                    <w:left w:w="0" w:type="dxa"/>
                    <w:bottom w:w="0" w:type="dxa"/>
                    <w:right w:w="0" w:type="dxa"/>
                  </w:tcMar>
                  <w:vAlign w:val="center"/>
                </w:tcPr>
                <w:p w14:paraId="755F64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6.00×10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76B96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13B1506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769AC17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6151E96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464146A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7BB64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728" w:type="pct"/>
                  <w:tcBorders>
                    <w:tl2br w:val="nil"/>
                    <w:tr2bl w:val="nil"/>
                  </w:tcBorders>
                  <w:noWrap w:val="0"/>
                  <w:tcMar>
                    <w:top w:w="0" w:type="dxa"/>
                    <w:left w:w="0" w:type="dxa"/>
                    <w:bottom w:w="0" w:type="dxa"/>
                    <w:right w:w="0" w:type="dxa"/>
                  </w:tcMar>
                  <w:vAlign w:val="center"/>
                </w:tcPr>
                <w:p w14:paraId="4E1D4C9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3540</w:t>
                  </w:r>
                </w:p>
              </w:tc>
              <w:tc>
                <w:tcPr>
                  <w:tcW w:w="779" w:type="pct"/>
                  <w:tcBorders>
                    <w:tl2br w:val="nil"/>
                    <w:tr2bl w:val="nil"/>
                  </w:tcBorders>
                  <w:noWrap w:val="0"/>
                  <w:tcMar>
                    <w:top w:w="0" w:type="dxa"/>
                    <w:left w:w="0" w:type="dxa"/>
                    <w:bottom w:w="0" w:type="dxa"/>
                    <w:right w:w="0" w:type="dxa"/>
                  </w:tcMar>
                  <w:vAlign w:val="center"/>
                </w:tcPr>
                <w:p w14:paraId="190336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4.96×10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2F196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123FD13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31EC6E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restart"/>
                  <w:tcBorders>
                    <w:tl2br w:val="nil"/>
                    <w:tr2bl w:val="nil"/>
                  </w:tcBorders>
                  <w:noWrap w:val="0"/>
                  <w:tcMar>
                    <w:top w:w="0" w:type="dxa"/>
                    <w:left w:w="0" w:type="dxa"/>
                    <w:bottom w:w="0" w:type="dxa"/>
                    <w:right w:w="0" w:type="dxa"/>
                  </w:tcMar>
                  <w:vAlign w:val="center"/>
                </w:tcPr>
                <w:p w14:paraId="6D12CF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76" w:type="pct"/>
                  <w:tcBorders>
                    <w:tl2br w:val="nil"/>
                    <w:tr2bl w:val="nil"/>
                  </w:tcBorders>
                  <w:noWrap w:val="0"/>
                  <w:tcMar>
                    <w:top w:w="0" w:type="dxa"/>
                    <w:left w:w="0" w:type="dxa"/>
                    <w:bottom w:w="0" w:type="dxa"/>
                    <w:right w:w="0" w:type="dxa"/>
                  </w:tcMar>
                  <w:vAlign w:val="center"/>
                </w:tcPr>
                <w:p w14:paraId="21D77C4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3C8D9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1.52</w:t>
                  </w:r>
                </w:p>
              </w:tc>
              <w:tc>
                <w:tcPr>
                  <w:tcW w:w="728" w:type="pct"/>
                  <w:tcBorders>
                    <w:tl2br w:val="nil"/>
                    <w:tr2bl w:val="nil"/>
                  </w:tcBorders>
                  <w:noWrap w:val="0"/>
                  <w:tcMar>
                    <w:top w:w="0" w:type="dxa"/>
                    <w:left w:w="0" w:type="dxa"/>
                    <w:bottom w:w="0" w:type="dxa"/>
                    <w:right w:w="0" w:type="dxa"/>
                  </w:tcMar>
                  <w:vAlign w:val="center"/>
                </w:tcPr>
                <w:p w14:paraId="2098A3B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3507</w:t>
                  </w:r>
                </w:p>
              </w:tc>
              <w:tc>
                <w:tcPr>
                  <w:tcW w:w="779" w:type="pct"/>
                  <w:tcBorders>
                    <w:tl2br w:val="nil"/>
                    <w:tr2bl w:val="nil"/>
                  </w:tcBorders>
                  <w:noWrap w:val="0"/>
                  <w:tcMar>
                    <w:top w:w="0" w:type="dxa"/>
                    <w:left w:w="0" w:type="dxa"/>
                    <w:bottom w:w="0" w:type="dxa"/>
                    <w:right w:w="0" w:type="dxa"/>
                  </w:tcMar>
                  <w:vAlign w:val="center"/>
                </w:tcPr>
                <w:p w14:paraId="3EB09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5.33×10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2E6C7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364A604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1901317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4E296D7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6409BC4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740019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1.56</w:t>
                  </w:r>
                </w:p>
              </w:tc>
              <w:tc>
                <w:tcPr>
                  <w:tcW w:w="728" w:type="pct"/>
                  <w:tcBorders>
                    <w:tl2br w:val="nil"/>
                    <w:tr2bl w:val="nil"/>
                  </w:tcBorders>
                  <w:noWrap w:val="0"/>
                  <w:tcMar>
                    <w:top w:w="0" w:type="dxa"/>
                    <w:left w:w="0" w:type="dxa"/>
                    <w:bottom w:w="0" w:type="dxa"/>
                    <w:right w:w="0" w:type="dxa"/>
                  </w:tcMar>
                  <w:vAlign w:val="center"/>
                </w:tcPr>
                <w:p w14:paraId="622D669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3530</w:t>
                  </w:r>
                </w:p>
              </w:tc>
              <w:tc>
                <w:tcPr>
                  <w:tcW w:w="779" w:type="pct"/>
                  <w:tcBorders>
                    <w:tl2br w:val="nil"/>
                    <w:tr2bl w:val="nil"/>
                  </w:tcBorders>
                  <w:noWrap w:val="0"/>
                  <w:tcMar>
                    <w:top w:w="0" w:type="dxa"/>
                    <w:left w:w="0" w:type="dxa"/>
                    <w:bottom w:w="0" w:type="dxa"/>
                    <w:right w:w="0" w:type="dxa"/>
                  </w:tcMar>
                  <w:vAlign w:val="center"/>
                </w:tcPr>
                <w:p w14:paraId="6A8D6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5.51×10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6384B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115AAA4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122E31AF">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7309AA8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2440A51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68FF9D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1.62</w:t>
                  </w:r>
                </w:p>
              </w:tc>
              <w:tc>
                <w:tcPr>
                  <w:tcW w:w="728" w:type="pct"/>
                  <w:tcBorders>
                    <w:tl2br w:val="nil"/>
                    <w:tr2bl w:val="nil"/>
                  </w:tcBorders>
                  <w:noWrap w:val="0"/>
                  <w:tcMar>
                    <w:top w:w="0" w:type="dxa"/>
                    <w:left w:w="0" w:type="dxa"/>
                    <w:bottom w:w="0" w:type="dxa"/>
                    <w:right w:w="0" w:type="dxa"/>
                  </w:tcMar>
                  <w:vAlign w:val="center"/>
                </w:tcPr>
                <w:p w14:paraId="1F3EB2D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3540</w:t>
                  </w:r>
                </w:p>
              </w:tc>
              <w:tc>
                <w:tcPr>
                  <w:tcW w:w="779" w:type="pct"/>
                  <w:tcBorders>
                    <w:tl2br w:val="nil"/>
                    <w:tr2bl w:val="nil"/>
                  </w:tcBorders>
                  <w:noWrap w:val="0"/>
                  <w:tcMar>
                    <w:top w:w="0" w:type="dxa"/>
                    <w:left w:w="0" w:type="dxa"/>
                    <w:bottom w:w="0" w:type="dxa"/>
                    <w:right w:w="0" w:type="dxa"/>
                  </w:tcMar>
                  <w:vAlign w:val="center"/>
                </w:tcPr>
                <w:p w14:paraId="44E391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5.73×10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73FB7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restart"/>
                  <w:tcBorders>
                    <w:tl2br w:val="nil"/>
                    <w:tr2bl w:val="nil"/>
                  </w:tcBorders>
                  <w:noWrap w:val="0"/>
                  <w:tcMar>
                    <w:top w:w="0" w:type="dxa"/>
                    <w:left w:w="0" w:type="dxa"/>
                    <w:bottom w:w="0" w:type="dxa"/>
                    <w:right w:w="0" w:type="dxa"/>
                  </w:tcMar>
                  <w:vAlign w:val="center"/>
                </w:tcPr>
                <w:p w14:paraId="7277C2B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2022.01.08</w:t>
                  </w:r>
                </w:p>
              </w:tc>
              <w:tc>
                <w:tcPr>
                  <w:tcW w:w="626" w:type="pct"/>
                  <w:vMerge w:val="restart"/>
                  <w:tcBorders>
                    <w:tl2br w:val="nil"/>
                    <w:tr2bl w:val="nil"/>
                  </w:tcBorders>
                  <w:noWrap w:val="0"/>
                  <w:tcMar>
                    <w:top w:w="0" w:type="dxa"/>
                    <w:left w:w="0" w:type="dxa"/>
                    <w:bottom w:w="0" w:type="dxa"/>
                    <w:right w:w="0" w:type="dxa"/>
                  </w:tcMar>
                  <w:vAlign w:val="center"/>
                </w:tcPr>
                <w:p w14:paraId="26C3AC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DA001排气筒出口</w:t>
                  </w:r>
                </w:p>
              </w:tc>
              <w:tc>
                <w:tcPr>
                  <w:tcW w:w="850" w:type="pct"/>
                  <w:vMerge w:val="restart"/>
                  <w:tcBorders>
                    <w:tl2br w:val="nil"/>
                    <w:tr2bl w:val="nil"/>
                  </w:tcBorders>
                  <w:noWrap w:val="0"/>
                  <w:tcMar>
                    <w:top w:w="0" w:type="dxa"/>
                    <w:left w:w="0" w:type="dxa"/>
                    <w:bottom w:w="0" w:type="dxa"/>
                    <w:right w:w="0" w:type="dxa"/>
                  </w:tcMar>
                  <w:vAlign w:val="center"/>
                </w:tcPr>
                <w:p w14:paraId="2A2E2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低浓度颗粒物</w:t>
                  </w:r>
                </w:p>
              </w:tc>
              <w:tc>
                <w:tcPr>
                  <w:tcW w:w="676" w:type="pct"/>
                  <w:tcBorders>
                    <w:tl2br w:val="nil"/>
                    <w:tr2bl w:val="nil"/>
                  </w:tcBorders>
                  <w:noWrap w:val="0"/>
                  <w:tcMar>
                    <w:top w:w="0" w:type="dxa"/>
                    <w:left w:w="0" w:type="dxa"/>
                    <w:bottom w:w="0" w:type="dxa"/>
                    <w:right w:w="0" w:type="dxa"/>
                  </w:tcMar>
                  <w:vAlign w:val="center"/>
                </w:tcPr>
                <w:p w14:paraId="7B409B1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5DFE5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728" w:type="pct"/>
                  <w:tcBorders>
                    <w:tl2br w:val="nil"/>
                    <w:tr2bl w:val="nil"/>
                  </w:tcBorders>
                  <w:noWrap w:val="0"/>
                  <w:tcMar>
                    <w:top w:w="0" w:type="dxa"/>
                    <w:left w:w="0" w:type="dxa"/>
                    <w:bottom w:w="0" w:type="dxa"/>
                    <w:right w:w="0" w:type="dxa"/>
                  </w:tcMar>
                  <w:vAlign w:val="center"/>
                </w:tcPr>
                <w:p w14:paraId="3C5B111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9384</w:t>
                  </w:r>
                </w:p>
              </w:tc>
              <w:tc>
                <w:tcPr>
                  <w:tcW w:w="779" w:type="pct"/>
                  <w:tcBorders>
                    <w:tl2br w:val="nil"/>
                    <w:tr2bl w:val="nil"/>
                  </w:tcBorders>
                  <w:noWrap w:val="0"/>
                  <w:tcMar>
                    <w:top w:w="0" w:type="dxa"/>
                    <w:left w:w="0" w:type="dxa"/>
                    <w:bottom w:w="0" w:type="dxa"/>
                    <w:right w:w="0" w:type="dxa"/>
                  </w:tcMar>
                  <w:vAlign w:val="center"/>
                </w:tcPr>
                <w:p w14:paraId="237C5F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0.014</w:t>
                  </w:r>
                </w:p>
              </w:tc>
            </w:tr>
            <w:tr w14:paraId="1560E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3E96E28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193352D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448A7FE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7186503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13C4F3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2.7</w:t>
                  </w:r>
                </w:p>
              </w:tc>
              <w:tc>
                <w:tcPr>
                  <w:tcW w:w="728" w:type="pct"/>
                  <w:tcBorders>
                    <w:tl2br w:val="nil"/>
                    <w:tr2bl w:val="nil"/>
                  </w:tcBorders>
                  <w:noWrap w:val="0"/>
                  <w:tcMar>
                    <w:top w:w="0" w:type="dxa"/>
                    <w:left w:w="0" w:type="dxa"/>
                    <w:bottom w:w="0" w:type="dxa"/>
                    <w:right w:w="0" w:type="dxa"/>
                  </w:tcMar>
                  <w:vAlign w:val="center"/>
                </w:tcPr>
                <w:p w14:paraId="4E76A15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9261</w:t>
                  </w:r>
                </w:p>
              </w:tc>
              <w:tc>
                <w:tcPr>
                  <w:tcW w:w="779" w:type="pct"/>
                  <w:tcBorders>
                    <w:tl2br w:val="nil"/>
                    <w:tr2bl w:val="nil"/>
                  </w:tcBorders>
                  <w:noWrap w:val="0"/>
                  <w:tcMar>
                    <w:top w:w="0" w:type="dxa"/>
                    <w:left w:w="0" w:type="dxa"/>
                    <w:bottom w:w="0" w:type="dxa"/>
                    <w:right w:w="0" w:type="dxa"/>
                  </w:tcMar>
                  <w:vAlign w:val="center"/>
                </w:tcPr>
                <w:p w14:paraId="6DA0D7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0.025</w:t>
                  </w:r>
                </w:p>
              </w:tc>
            </w:tr>
            <w:tr w14:paraId="74F4D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3D95731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7FCC1C6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2AE2A47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38C661B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3D6547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w:t>
                  </w:r>
                </w:p>
              </w:tc>
              <w:tc>
                <w:tcPr>
                  <w:tcW w:w="728" w:type="pct"/>
                  <w:tcBorders>
                    <w:tl2br w:val="nil"/>
                    <w:tr2bl w:val="nil"/>
                  </w:tcBorders>
                  <w:noWrap w:val="0"/>
                  <w:tcMar>
                    <w:top w:w="0" w:type="dxa"/>
                    <w:left w:w="0" w:type="dxa"/>
                    <w:bottom w:w="0" w:type="dxa"/>
                    <w:right w:w="0" w:type="dxa"/>
                  </w:tcMar>
                  <w:vAlign w:val="center"/>
                </w:tcPr>
                <w:p w14:paraId="0F87321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9304</w:t>
                  </w:r>
                </w:p>
              </w:tc>
              <w:tc>
                <w:tcPr>
                  <w:tcW w:w="779" w:type="pct"/>
                  <w:tcBorders>
                    <w:tl2br w:val="nil"/>
                    <w:tr2bl w:val="nil"/>
                  </w:tcBorders>
                  <w:noWrap w:val="0"/>
                  <w:tcMar>
                    <w:top w:w="0" w:type="dxa"/>
                    <w:left w:w="0" w:type="dxa"/>
                    <w:bottom w:w="0" w:type="dxa"/>
                    <w:right w:w="0" w:type="dxa"/>
                  </w:tcMar>
                  <w:vAlign w:val="center"/>
                </w:tcPr>
                <w:p w14:paraId="40EDA3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0.023</w:t>
                  </w:r>
                </w:p>
              </w:tc>
            </w:tr>
            <w:tr w14:paraId="616F1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794FCF0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restart"/>
                  <w:tcBorders>
                    <w:tl2br w:val="nil"/>
                    <w:tr2bl w:val="nil"/>
                  </w:tcBorders>
                  <w:noWrap w:val="0"/>
                  <w:tcMar>
                    <w:top w:w="0" w:type="dxa"/>
                    <w:left w:w="0" w:type="dxa"/>
                    <w:bottom w:w="0" w:type="dxa"/>
                    <w:right w:w="0" w:type="dxa"/>
                  </w:tcMar>
                  <w:vAlign w:val="center"/>
                </w:tcPr>
                <w:p w14:paraId="1205B0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DA002处理设施进口</w:t>
                  </w:r>
                </w:p>
              </w:tc>
              <w:tc>
                <w:tcPr>
                  <w:tcW w:w="850" w:type="pct"/>
                  <w:vMerge w:val="restart"/>
                  <w:tcBorders>
                    <w:tl2br w:val="nil"/>
                    <w:tr2bl w:val="nil"/>
                  </w:tcBorders>
                  <w:noWrap w:val="0"/>
                  <w:tcMar>
                    <w:top w:w="0" w:type="dxa"/>
                    <w:left w:w="0" w:type="dxa"/>
                    <w:bottom w:w="0" w:type="dxa"/>
                    <w:right w:w="0" w:type="dxa"/>
                  </w:tcMar>
                  <w:vAlign w:val="center"/>
                </w:tcPr>
                <w:p w14:paraId="2D1E36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76" w:type="pct"/>
                  <w:tcBorders>
                    <w:tl2br w:val="nil"/>
                    <w:tr2bl w:val="nil"/>
                  </w:tcBorders>
                  <w:noWrap w:val="0"/>
                  <w:tcMar>
                    <w:top w:w="0" w:type="dxa"/>
                    <w:left w:w="0" w:type="dxa"/>
                    <w:bottom w:w="0" w:type="dxa"/>
                    <w:right w:w="0" w:type="dxa"/>
                  </w:tcMar>
                  <w:vAlign w:val="center"/>
                </w:tcPr>
                <w:p w14:paraId="6B52ABD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565083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&lt;20</w:t>
                  </w:r>
                </w:p>
              </w:tc>
              <w:tc>
                <w:tcPr>
                  <w:tcW w:w="728" w:type="pct"/>
                  <w:tcBorders>
                    <w:tl2br w:val="nil"/>
                    <w:tr2bl w:val="nil"/>
                  </w:tcBorders>
                  <w:noWrap w:val="0"/>
                  <w:tcMar>
                    <w:top w:w="0" w:type="dxa"/>
                    <w:left w:w="0" w:type="dxa"/>
                    <w:bottom w:w="0" w:type="dxa"/>
                    <w:right w:w="0" w:type="dxa"/>
                  </w:tcMar>
                  <w:vAlign w:val="center"/>
                </w:tcPr>
                <w:p w14:paraId="6AD3CCD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3365</w:t>
                  </w:r>
                </w:p>
              </w:tc>
              <w:tc>
                <w:tcPr>
                  <w:tcW w:w="779" w:type="pct"/>
                  <w:tcBorders>
                    <w:tl2br w:val="nil"/>
                    <w:tr2bl w:val="nil"/>
                  </w:tcBorders>
                  <w:noWrap w:val="0"/>
                  <w:tcMar>
                    <w:top w:w="0" w:type="dxa"/>
                    <w:left w:w="0" w:type="dxa"/>
                    <w:bottom w:w="0" w:type="dxa"/>
                    <w:right w:w="0" w:type="dxa"/>
                  </w:tcMar>
                  <w:vAlign w:val="center"/>
                </w:tcPr>
                <w:p w14:paraId="4FD679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14:paraId="13200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05DF8B7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4D76E99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0A18D34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673B0FC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373765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&lt;20</w:t>
                  </w:r>
                </w:p>
              </w:tc>
              <w:tc>
                <w:tcPr>
                  <w:tcW w:w="728" w:type="pct"/>
                  <w:tcBorders>
                    <w:tl2br w:val="nil"/>
                    <w:tr2bl w:val="nil"/>
                  </w:tcBorders>
                  <w:noWrap w:val="0"/>
                  <w:tcMar>
                    <w:top w:w="0" w:type="dxa"/>
                    <w:left w:w="0" w:type="dxa"/>
                    <w:bottom w:w="0" w:type="dxa"/>
                    <w:right w:w="0" w:type="dxa"/>
                  </w:tcMar>
                  <w:vAlign w:val="center"/>
                </w:tcPr>
                <w:p w14:paraId="5D3177A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3359</w:t>
                  </w:r>
                </w:p>
              </w:tc>
              <w:tc>
                <w:tcPr>
                  <w:tcW w:w="779" w:type="pct"/>
                  <w:tcBorders>
                    <w:tl2br w:val="nil"/>
                    <w:tr2bl w:val="nil"/>
                  </w:tcBorders>
                  <w:noWrap w:val="0"/>
                  <w:tcMar>
                    <w:top w:w="0" w:type="dxa"/>
                    <w:left w:w="0" w:type="dxa"/>
                    <w:bottom w:w="0" w:type="dxa"/>
                    <w:right w:w="0" w:type="dxa"/>
                  </w:tcMar>
                  <w:vAlign w:val="center"/>
                </w:tcPr>
                <w:p w14:paraId="349E4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14:paraId="14E83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77251DA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7AEA98C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6E96CF4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7E6A428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435A4B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&lt;20</w:t>
                  </w:r>
                </w:p>
              </w:tc>
              <w:tc>
                <w:tcPr>
                  <w:tcW w:w="728" w:type="pct"/>
                  <w:tcBorders>
                    <w:tl2br w:val="nil"/>
                    <w:tr2bl w:val="nil"/>
                  </w:tcBorders>
                  <w:noWrap w:val="0"/>
                  <w:tcMar>
                    <w:top w:w="0" w:type="dxa"/>
                    <w:left w:w="0" w:type="dxa"/>
                    <w:bottom w:w="0" w:type="dxa"/>
                    <w:right w:w="0" w:type="dxa"/>
                  </w:tcMar>
                  <w:vAlign w:val="center"/>
                </w:tcPr>
                <w:p w14:paraId="308F5E6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3387</w:t>
                  </w:r>
                </w:p>
              </w:tc>
              <w:tc>
                <w:tcPr>
                  <w:tcW w:w="779" w:type="pct"/>
                  <w:tcBorders>
                    <w:tl2br w:val="nil"/>
                    <w:tr2bl w:val="nil"/>
                  </w:tcBorders>
                  <w:noWrap w:val="0"/>
                  <w:tcMar>
                    <w:top w:w="0" w:type="dxa"/>
                    <w:left w:w="0" w:type="dxa"/>
                    <w:bottom w:w="0" w:type="dxa"/>
                    <w:right w:w="0" w:type="dxa"/>
                  </w:tcMar>
                  <w:vAlign w:val="center"/>
                </w:tcPr>
                <w:p w14:paraId="0EDB6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14:paraId="08095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7E8F60A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2E404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restart"/>
                  <w:tcBorders>
                    <w:tl2br w:val="nil"/>
                    <w:tr2bl w:val="nil"/>
                  </w:tcBorders>
                  <w:noWrap w:val="0"/>
                  <w:tcMar>
                    <w:top w:w="0" w:type="dxa"/>
                    <w:left w:w="0" w:type="dxa"/>
                    <w:bottom w:w="0" w:type="dxa"/>
                    <w:right w:w="0" w:type="dxa"/>
                  </w:tcMar>
                  <w:vAlign w:val="center"/>
                </w:tcPr>
                <w:p w14:paraId="4E985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76" w:type="pct"/>
                  <w:tcBorders>
                    <w:tl2br w:val="nil"/>
                    <w:tr2bl w:val="nil"/>
                  </w:tcBorders>
                  <w:noWrap w:val="0"/>
                  <w:tcMar>
                    <w:top w:w="0" w:type="dxa"/>
                    <w:left w:w="0" w:type="dxa"/>
                    <w:bottom w:w="0" w:type="dxa"/>
                    <w:right w:w="0" w:type="dxa"/>
                  </w:tcMar>
                  <w:vAlign w:val="center"/>
                </w:tcPr>
                <w:p w14:paraId="5B94233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1899D0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15.0</w:t>
                  </w:r>
                </w:p>
              </w:tc>
              <w:tc>
                <w:tcPr>
                  <w:tcW w:w="728" w:type="pct"/>
                  <w:tcBorders>
                    <w:tl2br w:val="nil"/>
                    <w:tr2bl w:val="nil"/>
                  </w:tcBorders>
                  <w:noWrap w:val="0"/>
                  <w:tcMar>
                    <w:top w:w="0" w:type="dxa"/>
                    <w:left w:w="0" w:type="dxa"/>
                    <w:bottom w:w="0" w:type="dxa"/>
                    <w:right w:w="0" w:type="dxa"/>
                  </w:tcMar>
                  <w:vAlign w:val="center"/>
                </w:tcPr>
                <w:p w14:paraId="34B12DA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3365</w:t>
                  </w:r>
                </w:p>
              </w:tc>
              <w:tc>
                <w:tcPr>
                  <w:tcW w:w="779" w:type="pct"/>
                  <w:tcBorders>
                    <w:tl2br w:val="nil"/>
                    <w:tr2bl w:val="nil"/>
                  </w:tcBorders>
                  <w:noWrap w:val="0"/>
                  <w:tcMar>
                    <w:top w:w="0" w:type="dxa"/>
                    <w:left w:w="0" w:type="dxa"/>
                    <w:bottom w:w="0" w:type="dxa"/>
                    <w:right w:w="0" w:type="dxa"/>
                  </w:tcMar>
                  <w:vAlign w:val="center"/>
                </w:tcPr>
                <w:p w14:paraId="3AC395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0.050</w:t>
                  </w:r>
                </w:p>
              </w:tc>
            </w:tr>
            <w:tr w14:paraId="2F567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51D5045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0D494B4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5B35A09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7D5CEE0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5274E3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11.8</w:t>
                  </w:r>
                </w:p>
              </w:tc>
              <w:tc>
                <w:tcPr>
                  <w:tcW w:w="728" w:type="pct"/>
                  <w:tcBorders>
                    <w:tl2br w:val="nil"/>
                    <w:tr2bl w:val="nil"/>
                  </w:tcBorders>
                  <w:noWrap w:val="0"/>
                  <w:tcMar>
                    <w:top w:w="0" w:type="dxa"/>
                    <w:left w:w="0" w:type="dxa"/>
                    <w:bottom w:w="0" w:type="dxa"/>
                    <w:right w:w="0" w:type="dxa"/>
                  </w:tcMar>
                  <w:vAlign w:val="center"/>
                </w:tcPr>
                <w:p w14:paraId="002406F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3359</w:t>
                  </w:r>
                </w:p>
              </w:tc>
              <w:tc>
                <w:tcPr>
                  <w:tcW w:w="779" w:type="pct"/>
                  <w:tcBorders>
                    <w:tl2br w:val="nil"/>
                    <w:tr2bl w:val="nil"/>
                  </w:tcBorders>
                  <w:noWrap w:val="0"/>
                  <w:tcMar>
                    <w:top w:w="0" w:type="dxa"/>
                    <w:left w:w="0" w:type="dxa"/>
                    <w:bottom w:w="0" w:type="dxa"/>
                    <w:right w:w="0" w:type="dxa"/>
                  </w:tcMar>
                  <w:vAlign w:val="center"/>
                </w:tcPr>
                <w:p w14:paraId="1658FB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0.040</w:t>
                  </w:r>
                </w:p>
              </w:tc>
            </w:tr>
            <w:tr w14:paraId="48A69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2CBC932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1F4EEE5F">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113536A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69BED04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4B3D8A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10.2</w:t>
                  </w:r>
                </w:p>
              </w:tc>
              <w:tc>
                <w:tcPr>
                  <w:tcW w:w="728" w:type="pct"/>
                  <w:tcBorders>
                    <w:tl2br w:val="nil"/>
                    <w:tr2bl w:val="nil"/>
                  </w:tcBorders>
                  <w:noWrap w:val="0"/>
                  <w:tcMar>
                    <w:top w:w="0" w:type="dxa"/>
                    <w:left w:w="0" w:type="dxa"/>
                    <w:bottom w:w="0" w:type="dxa"/>
                    <w:right w:w="0" w:type="dxa"/>
                  </w:tcMar>
                  <w:vAlign w:val="center"/>
                </w:tcPr>
                <w:p w14:paraId="356CF33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3387</w:t>
                  </w:r>
                </w:p>
              </w:tc>
              <w:tc>
                <w:tcPr>
                  <w:tcW w:w="779" w:type="pct"/>
                  <w:tcBorders>
                    <w:tl2br w:val="nil"/>
                    <w:tr2bl w:val="nil"/>
                  </w:tcBorders>
                  <w:noWrap w:val="0"/>
                  <w:tcMar>
                    <w:top w:w="0" w:type="dxa"/>
                    <w:left w:w="0" w:type="dxa"/>
                    <w:bottom w:w="0" w:type="dxa"/>
                    <w:right w:w="0" w:type="dxa"/>
                  </w:tcMar>
                  <w:vAlign w:val="center"/>
                </w:tcPr>
                <w:p w14:paraId="4234F6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0.035</w:t>
                  </w:r>
                </w:p>
              </w:tc>
            </w:tr>
            <w:tr w14:paraId="3D814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68DC677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restart"/>
                  <w:tcBorders>
                    <w:tl2br w:val="nil"/>
                    <w:tr2bl w:val="nil"/>
                  </w:tcBorders>
                  <w:noWrap w:val="0"/>
                  <w:tcMar>
                    <w:top w:w="0" w:type="dxa"/>
                    <w:left w:w="0" w:type="dxa"/>
                    <w:bottom w:w="0" w:type="dxa"/>
                    <w:right w:w="0" w:type="dxa"/>
                  </w:tcMar>
                  <w:vAlign w:val="center"/>
                </w:tcPr>
                <w:p w14:paraId="33929E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DA002处理设施出口</w:t>
                  </w:r>
                </w:p>
              </w:tc>
              <w:tc>
                <w:tcPr>
                  <w:tcW w:w="850" w:type="pct"/>
                  <w:vMerge w:val="restart"/>
                  <w:tcBorders>
                    <w:tl2br w:val="nil"/>
                    <w:tr2bl w:val="nil"/>
                  </w:tcBorders>
                  <w:noWrap w:val="0"/>
                  <w:tcMar>
                    <w:top w:w="0" w:type="dxa"/>
                    <w:left w:w="0" w:type="dxa"/>
                    <w:bottom w:w="0" w:type="dxa"/>
                    <w:right w:w="0" w:type="dxa"/>
                  </w:tcMar>
                  <w:vAlign w:val="center"/>
                </w:tcPr>
                <w:p w14:paraId="33F76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低浓度颗粒物</w:t>
                  </w:r>
                </w:p>
              </w:tc>
              <w:tc>
                <w:tcPr>
                  <w:tcW w:w="676" w:type="pct"/>
                  <w:tcBorders>
                    <w:tl2br w:val="nil"/>
                    <w:tr2bl w:val="nil"/>
                  </w:tcBorders>
                  <w:noWrap w:val="0"/>
                  <w:tcMar>
                    <w:top w:w="0" w:type="dxa"/>
                    <w:left w:w="0" w:type="dxa"/>
                    <w:bottom w:w="0" w:type="dxa"/>
                    <w:right w:w="0" w:type="dxa"/>
                  </w:tcMar>
                  <w:vAlign w:val="center"/>
                </w:tcPr>
                <w:p w14:paraId="501443B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728569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728" w:type="pct"/>
                  <w:tcBorders>
                    <w:tl2br w:val="nil"/>
                    <w:tr2bl w:val="nil"/>
                  </w:tcBorders>
                  <w:noWrap w:val="0"/>
                  <w:tcMar>
                    <w:top w:w="0" w:type="dxa"/>
                    <w:left w:w="0" w:type="dxa"/>
                    <w:bottom w:w="0" w:type="dxa"/>
                    <w:right w:w="0" w:type="dxa"/>
                  </w:tcMar>
                  <w:vAlign w:val="center"/>
                </w:tcPr>
                <w:p w14:paraId="7AF44DBD">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3533</w:t>
                  </w:r>
                </w:p>
              </w:tc>
              <w:tc>
                <w:tcPr>
                  <w:tcW w:w="779" w:type="pct"/>
                  <w:tcBorders>
                    <w:tl2br w:val="nil"/>
                    <w:tr2bl w:val="nil"/>
                  </w:tcBorders>
                  <w:noWrap w:val="0"/>
                  <w:tcMar>
                    <w:top w:w="0" w:type="dxa"/>
                    <w:left w:w="0" w:type="dxa"/>
                    <w:bottom w:w="0" w:type="dxa"/>
                    <w:right w:w="0" w:type="dxa"/>
                  </w:tcMar>
                  <w:vAlign w:val="center"/>
                </w:tcPr>
                <w:p w14:paraId="454223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5.30×10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23DE6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283CF6E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0E7E5E9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6CA453E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2E57832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77B0BD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728" w:type="pct"/>
                  <w:tcBorders>
                    <w:tl2br w:val="nil"/>
                    <w:tr2bl w:val="nil"/>
                  </w:tcBorders>
                  <w:noWrap w:val="0"/>
                  <w:tcMar>
                    <w:top w:w="0" w:type="dxa"/>
                    <w:left w:w="0" w:type="dxa"/>
                    <w:bottom w:w="0" w:type="dxa"/>
                    <w:right w:w="0" w:type="dxa"/>
                  </w:tcMar>
                  <w:vAlign w:val="center"/>
                </w:tcPr>
                <w:p w14:paraId="2035A10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3506</w:t>
                  </w:r>
                </w:p>
              </w:tc>
              <w:tc>
                <w:tcPr>
                  <w:tcW w:w="779" w:type="pct"/>
                  <w:tcBorders>
                    <w:tl2br w:val="nil"/>
                    <w:tr2bl w:val="nil"/>
                  </w:tcBorders>
                  <w:noWrap w:val="0"/>
                  <w:tcMar>
                    <w:top w:w="0" w:type="dxa"/>
                    <w:left w:w="0" w:type="dxa"/>
                    <w:bottom w:w="0" w:type="dxa"/>
                    <w:right w:w="0" w:type="dxa"/>
                  </w:tcMar>
                  <w:vAlign w:val="center"/>
                </w:tcPr>
                <w:p w14:paraId="4D3C18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7.01×10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2CF6E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2D0A5FF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3088C65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58B4A19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1D732B0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2745C5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728" w:type="pct"/>
                  <w:tcBorders>
                    <w:tl2br w:val="nil"/>
                    <w:tr2bl w:val="nil"/>
                  </w:tcBorders>
                  <w:noWrap w:val="0"/>
                  <w:tcMar>
                    <w:top w:w="0" w:type="dxa"/>
                    <w:left w:w="0" w:type="dxa"/>
                    <w:bottom w:w="0" w:type="dxa"/>
                    <w:right w:w="0" w:type="dxa"/>
                  </w:tcMar>
                  <w:vAlign w:val="center"/>
                </w:tcPr>
                <w:p w14:paraId="05E5503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3558</w:t>
                  </w:r>
                </w:p>
              </w:tc>
              <w:tc>
                <w:tcPr>
                  <w:tcW w:w="779" w:type="pct"/>
                  <w:tcBorders>
                    <w:tl2br w:val="nil"/>
                    <w:tr2bl w:val="nil"/>
                  </w:tcBorders>
                  <w:noWrap w:val="0"/>
                  <w:tcMar>
                    <w:top w:w="0" w:type="dxa"/>
                    <w:left w:w="0" w:type="dxa"/>
                    <w:bottom w:w="0" w:type="dxa"/>
                    <w:right w:w="0" w:type="dxa"/>
                  </w:tcMar>
                  <w:vAlign w:val="center"/>
                </w:tcPr>
                <w:p w14:paraId="519981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4.63×10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3F6B8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40EB881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41F868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restart"/>
                  <w:tcBorders>
                    <w:tl2br w:val="nil"/>
                    <w:tr2bl w:val="nil"/>
                  </w:tcBorders>
                  <w:noWrap w:val="0"/>
                  <w:tcMar>
                    <w:top w:w="0" w:type="dxa"/>
                    <w:left w:w="0" w:type="dxa"/>
                    <w:bottom w:w="0" w:type="dxa"/>
                    <w:right w:w="0" w:type="dxa"/>
                  </w:tcMar>
                  <w:vAlign w:val="center"/>
                </w:tcPr>
                <w:p w14:paraId="481742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76" w:type="pct"/>
                  <w:tcBorders>
                    <w:tl2br w:val="nil"/>
                    <w:tr2bl w:val="nil"/>
                  </w:tcBorders>
                  <w:noWrap w:val="0"/>
                  <w:tcMar>
                    <w:top w:w="0" w:type="dxa"/>
                    <w:left w:w="0" w:type="dxa"/>
                    <w:bottom w:w="0" w:type="dxa"/>
                    <w:right w:w="0" w:type="dxa"/>
                  </w:tcMar>
                  <w:vAlign w:val="center"/>
                </w:tcPr>
                <w:p w14:paraId="7F28A10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第一次</w:t>
                  </w:r>
                </w:p>
              </w:tc>
              <w:tc>
                <w:tcPr>
                  <w:tcW w:w="729" w:type="pct"/>
                  <w:tcBorders>
                    <w:tl2br w:val="nil"/>
                    <w:tr2bl w:val="nil"/>
                  </w:tcBorders>
                  <w:noWrap w:val="0"/>
                  <w:tcMar>
                    <w:top w:w="0" w:type="dxa"/>
                    <w:left w:w="0" w:type="dxa"/>
                    <w:bottom w:w="0" w:type="dxa"/>
                    <w:right w:w="0" w:type="dxa"/>
                  </w:tcMar>
                  <w:vAlign w:val="center"/>
                </w:tcPr>
                <w:p w14:paraId="08988F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1.52</w:t>
                  </w:r>
                </w:p>
              </w:tc>
              <w:tc>
                <w:tcPr>
                  <w:tcW w:w="728" w:type="pct"/>
                  <w:tcBorders>
                    <w:tl2br w:val="nil"/>
                    <w:tr2bl w:val="nil"/>
                  </w:tcBorders>
                  <w:noWrap w:val="0"/>
                  <w:tcMar>
                    <w:top w:w="0" w:type="dxa"/>
                    <w:left w:w="0" w:type="dxa"/>
                    <w:bottom w:w="0" w:type="dxa"/>
                    <w:right w:w="0" w:type="dxa"/>
                  </w:tcMar>
                  <w:vAlign w:val="center"/>
                </w:tcPr>
                <w:p w14:paraId="108AC4DE">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3533</w:t>
                  </w:r>
                </w:p>
              </w:tc>
              <w:tc>
                <w:tcPr>
                  <w:tcW w:w="779" w:type="pct"/>
                  <w:tcBorders>
                    <w:tl2br w:val="nil"/>
                    <w:tr2bl w:val="nil"/>
                  </w:tcBorders>
                  <w:noWrap w:val="0"/>
                  <w:tcMar>
                    <w:top w:w="0" w:type="dxa"/>
                    <w:left w:w="0" w:type="dxa"/>
                    <w:bottom w:w="0" w:type="dxa"/>
                    <w:right w:w="0" w:type="dxa"/>
                  </w:tcMar>
                  <w:vAlign w:val="center"/>
                </w:tcPr>
                <w:p w14:paraId="35D1D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5.37×10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39136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7C36E7B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719D17C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2FD254A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579F6BA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第二次</w:t>
                  </w:r>
                </w:p>
              </w:tc>
              <w:tc>
                <w:tcPr>
                  <w:tcW w:w="729" w:type="pct"/>
                  <w:tcBorders>
                    <w:tl2br w:val="nil"/>
                    <w:tr2bl w:val="nil"/>
                  </w:tcBorders>
                  <w:noWrap w:val="0"/>
                  <w:tcMar>
                    <w:top w:w="0" w:type="dxa"/>
                    <w:left w:w="0" w:type="dxa"/>
                    <w:bottom w:w="0" w:type="dxa"/>
                    <w:right w:w="0" w:type="dxa"/>
                  </w:tcMar>
                  <w:vAlign w:val="center"/>
                </w:tcPr>
                <w:p w14:paraId="2B3BB3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1.46</w:t>
                  </w:r>
                </w:p>
              </w:tc>
              <w:tc>
                <w:tcPr>
                  <w:tcW w:w="728" w:type="pct"/>
                  <w:tcBorders>
                    <w:tl2br w:val="nil"/>
                    <w:tr2bl w:val="nil"/>
                  </w:tcBorders>
                  <w:noWrap w:val="0"/>
                  <w:tcMar>
                    <w:top w:w="0" w:type="dxa"/>
                    <w:left w:w="0" w:type="dxa"/>
                    <w:bottom w:w="0" w:type="dxa"/>
                    <w:right w:w="0" w:type="dxa"/>
                  </w:tcMar>
                  <w:vAlign w:val="center"/>
                </w:tcPr>
                <w:p w14:paraId="476DBD8F">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3506</w:t>
                  </w:r>
                </w:p>
              </w:tc>
              <w:tc>
                <w:tcPr>
                  <w:tcW w:w="779" w:type="pct"/>
                  <w:tcBorders>
                    <w:tl2br w:val="nil"/>
                    <w:tr2bl w:val="nil"/>
                  </w:tcBorders>
                  <w:noWrap w:val="0"/>
                  <w:tcMar>
                    <w:top w:w="0" w:type="dxa"/>
                    <w:left w:w="0" w:type="dxa"/>
                    <w:bottom w:w="0" w:type="dxa"/>
                    <w:right w:w="0" w:type="dxa"/>
                  </w:tcMar>
                  <w:vAlign w:val="center"/>
                </w:tcPr>
                <w:p w14:paraId="63B3B6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5.12×10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14:paraId="0F235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tcBorders>
                    <w:tl2br w:val="nil"/>
                    <w:tr2bl w:val="nil"/>
                  </w:tcBorders>
                  <w:noWrap w:val="0"/>
                  <w:tcMar>
                    <w:top w:w="0" w:type="dxa"/>
                    <w:left w:w="0" w:type="dxa"/>
                    <w:bottom w:w="0" w:type="dxa"/>
                    <w:right w:w="0" w:type="dxa"/>
                  </w:tcMar>
                  <w:vAlign w:val="center"/>
                </w:tcPr>
                <w:p w14:paraId="3DAB090F">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26" w:type="pct"/>
                  <w:vMerge w:val="continue"/>
                  <w:tcBorders>
                    <w:tl2br w:val="nil"/>
                    <w:tr2bl w:val="nil"/>
                  </w:tcBorders>
                  <w:noWrap w:val="0"/>
                  <w:tcMar>
                    <w:top w:w="0" w:type="dxa"/>
                    <w:left w:w="0" w:type="dxa"/>
                    <w:bottom w:w="0" w:type="dxa"/>
                    <w:right w:w="0" w:type="dxa"/>
                  </w:tcMar>
                  <w:vAlign w:val="center"/>
                </w:tcPr>
                <w:p w14:paraId="778B71A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50" w:type="pct"/>
                  <w:vMerge w:val="continue"/>
                  <w:tcBorders>
                    <w:tl2br w:val="nil"/>
                    <w:tr2bl w:val="nil"/>
                  </w:tcBorders>
                  <w:noWrap w:val="0"/>
                  <w:tcMar>
                    <w:top w:w="0" w:type="dxa"/>
                    <w:left w:w="0" w:type="dxa"/>
                    <w:bottom w:w="0" w:type="dxa"/>
                    <w:right w:w="0" w:type="dxa"/>
                  </w:tcMar>
                  <w:vAlign w:val="center"/>
                </w:tcPr>
                <w:p w14:paraId="62181CC2">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676" w:type="pct"/>
                  <w:tcBorders>
                    <w:tl2br w:val="nil"/>
                    <w:tr2bl w:val="nil"/>
                  </w:tcBorders>
                  <w:noWrap w:val="0"/>
                  <w:tcMar>
                    <w:top w:w="0" w:type="dxa"/>
                    <w:left w:w="0" w:type="dxa"/>
                    <w:bottom w:w="0" w:type="dxa"/>
                    <w:right w:w="0" w:type="dxa"/>
                  </w:tcMar>
                  <w:vAlign w:val="center"/>
                </w:tcPr>
                <w:p w14:paraId="297E176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第三次</w:t>
                  </w:r>
                </w:p>
              </w:tc>
              <w:tc>
                <w:tcPr>
                  <w:tcW w:w="729" w:type="pct"/>
                  <w:tcBorders>
                    <w:tl2br w:val="nil"/>
                    <w:tr2bl w:val="nil"/>
                  </w:tcBorders>
                  <w:noWrap w:val="0"/>
                  <w:tcMar>
                    <w:top w:w="0" w:type="dxa"/>
                    <w:left w:w="0" w:type="dxa"/>
                    <w:bottom w:w="0" w:type="dxa"/>
                    <w:right w:w="0" w:type="dxa"/>
                  </w:tcMar>
                  <w:vAlign w:val="center"/>
                </w:tcPr>
                <w:p w14:paraId="0EABC5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1.54</w:t>
                  </w:r>
                </w:p>
              </w:tc>
              <w:tc>
                <w:tcPr>
                  <w:tcW w:w="728" w:type="pct"/>
                  <w:tcBorders>
                    <w:tl2br w:val="nil"/>
                    <w:tr2bl w:val="nil"/>
                  </w:tcBorders>
                  <w:noWrap w:val="0"/>
                  <w:tcMar>
                    <w:top w:w="0" w:type="dxa"/>
                    <w:left w:w="0" w:type="dxa"/>
                    <w:bottom w:w="0" w:type="dxa"/>
                    <w:right w:w="0" w:type="dxa"/>
                  </w:tcMar>
                  <w:vAlign w:val="center"/>
                </w:tcPr>
                <w:p w14:paraId="590B2DD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3558</w:t>
                  </w:r>
                </w:p>
              </w:tc>
              <w:tc>
                <w:tcPr>
                  <w:tcW w:w="779" w:type="pct"/>
                  <w:tcBorders>
                    <w:tl2br w:val="nil"/>
                    <w:tr2bl w:val="nil"/>
                  </w:tcBorders>
                  <w:noWrap w:val="0"/>
                  <w:tcMar>
                    <w:top w:w="0" w:type="dxa"/>
                    <w:left w:w="0" w:type="dxa"/>
                    <w:bottom w:w="0" w:type="dxa"/>
                    <w:right w:w="0" w:type="dxa"/>
                  </w:tcMar>
                  <w:vAlign w:val="center"/>
                </w:tcPr>
                <w:p w14:paraId="4E986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5.48×10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bl>
          <w:p w14:paraId="41F7141E">
            <w:pPr>
              <w:pStyle w:val="2"/>
              <w:keepNext w:val="0"/>
              <w:keepLines w:val="0"/>
              <w:pageBreakBefore w:val="0"/>
              <w:widowControl/>
              <w:kinsoku/>
              <w:wordWrap/>
              <w:overflowPunct/>
              <w:topLinePunct w:val="0"/>
              <w:autoSpaceDE/>
              <w:autoSpaceDN/>
              <w:bidi w:val="0"/>
              <w:adjustRightInd w:val="0"/>
              <w:snapToGrid w:val="0"/>
              <w:spacing w:before="181" w:beforeLines="50" w:after="0"/>
              <w:jc w:val="center"/>
              <w:textAlignment w:val="auto"/>
              <w:rPr>
                <w:rFonts w:ascii="Times New Roman" w:hAnsi="Times New Roman" w:eastAsia="宋体"/>
                <w:b/>
                <w:color w:val="auto"/>
                <w:sz w:val="21"/>
                <w:szCs w:val="21"/>
                <w:highlight w:val="none"/>
              </w:rPr>
            </w:pPr>
            <w:r>
              <w:rPr>
                <w:rFonts w:hint="eastAsia" w:ascii="Times New Roman" w:hAnsi="Times New Roman" w:eastAsia="宋体"/>
                <w:b/>
                <w:bCs/>
                <w:color w:val="auto"/>
                <w:sz w:val="21"/>
                <w:szCs w:val="21"/>
                <w:highlight w:val="none"/>
              </w:rPr>
              <w:t>表</w:t>
            </w:r>
            <w:r>
              <w:rPr>
                <w:rFonts w:hint="eastAsia" w:ascii="Times New Roman" w:hAnsi="Times New Roman" w:eastAsia="宋体"/>
                <w:b/>
                <w:bCs/>
                <w:color w:val="auto"/>
                <w:sz w:val="21"/>
                <w:szCs w:val="21"/>
                <w:highlight w:val="none"/>
                <w:lang w:val="en-US" w:eastAsia="zh-CN"/>
              </w:rPr>
              <w:t>2-10 厂界</w:t>
            </w:r>
            <w:r>
              <w:rPr>
                <w:rFonts w:hint="eastAsia" w:ascii="Times New Roman" w:hAnsi="Times New Roman" w:eastAsia="宋体"/>
                <w:b/>
                <w:color w:val="auto"/>
                <w:sz w:val="21"/>
                <w:szCs w:val="21"/>
                <w:highlight w:val="none"/>
              </w:rPr>
              <w:t>无</w:t>
            </w:r>
            <w:r>
              <w:rPr>
                <w:rFonts w:ascii="Times New Roman" w:hAnsi="Times New Roman" w:eastAsia="宋体"/>
                <w:b/>
                <w:color w:val="auto"/>
                <w:sz w:val="21"/>
                <w:szCs w:val="21"/>
                <w:highlight w:val="none"/>
              </w:rPr>
              <w:t>组织废气监测结果</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7"/>
              <w:gridCol w:w="1056"/>
              <w:gridCol w:w="890"/>
              <w:gridCol w:w="740"/>
              <w:gridCol w:w="1121"/>
              <w:gridCol w:w="1113"/>
              <w:gridCol w:w="1106"/>
              <w:gridCol w:w="1126"/>
            </w:tblGrid>
            <w:tr w14:paraId="136658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restart"/>
                  <w:tcBorders>
                    <w:tl2br w:val="nil"/>
                    <w:tr2bl w:val="nil"/>
                  </w:tcBorders>
                  <w:noWrap w:val="0"/>
                  <w:tcMar>
                    <w:top w:w="0" w:type="dxa"/>
                    <w:left w:w="0" w:type="dxa"/>
                    <w:bottom w:w="0" w:type="dxa"/>
                    <w:right w:w="0" w:type="dxa"/>
                  </w:tcMar>
                  <w:vAlign w:val="center"/>
                </w:tcPr>
                <w:p w14:paraId="0681F9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w:t>
                  </w:r>
                </w:p>
                <w:p w14:paraId="3BF1F1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日期</w:t>
                  </w:r>
                </w:p>
              </w:tc>
              <w:tc>
                <w:tcPr>
                  <w:tcW w:w="637" w:type="pct"/>
                  <w:vMerge w:val="restart"/>
                  <w:tcBorders>
                    <w:tl2br w:val="nil"/>
                    <w:tr2bl w:val="nil"/>
                  </w:tcBorders>
                  <w:noWrap w:val="0"/>
                  <w:tcMar>
                    <w:top w:w="0" w:type="dxa"/>
                    <w:left w:w="0" w:type="dxa"/>
                    <w:bottom w:w="0" w:type="dxa"/>
                    <w:right w:w="0" w:type="dxa"/>
                  </w:tcMar>
                  <w:vAlign w:val="center"/>
                </w:tcPr>
                <w:p w14:paraId="5FA12F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537" w:type="pct"/>
                  <w:vMerge w:val="restart"/>
                  <w:tcBorders>
                    <w:tl2br w:val="nil"/>
                    <w:tr2bl w:val="nil"/>
                  </w:tcBorders>
                  <w:noWrap w:val="0"/>
                  <w:tcMar>
                    <w:top w:w="0" w:type="dxa"/>
                    <w:left w:w="0" w:type="dxa"/>
                    <w:bottom w:w="0" w:type="dxa"/>
                    <w:right w:w="0" w:type="dxa"/>
                  </w:tcMar>
                  <w:vAlign w:val="center"/>
                </w:tcPr>
                <w:p w14:paraId="212FF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单位</w:t>
                  </w:r>
                </w:p>
              </w:tc>
              <w:tc>
                <w:tcPr>
                  <w:tcW w:w="446" w:type="pct"/>
                  <w:vMerge w:val="restart"/>
                  <w:tcBorders>
                    <w:tl2br w:val="nil"/>
                    <w:tr2bl w:val="nil"/>
                  </w:tcBorders>
                  <w:noWrap w:val="0"/>
                  <w:tcMar>
                    <w:top w:w="0" w:type="dxa"/>
                    <w:left w:w="0" w:type="dxa"/>
                    <w:bottom w:w="0" w:type="dxa"/>
                    <w:right w:w="0" w:type="dxa"/>
                  </w:tcMar>
                  <w:vAlign w:val="center"/>
                </w:tcPr>
                <w:p w14:paraId="6C31F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p>
                <w:p w14:paraId="465F93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频次</w:t>
                  </w:r>
                </w:p>
              </w:tc>
              <w:tc>
                <w:tcPr>
                  <w:tcW w:w="2693" w:type="pct"/>
                  <w:gridSpan w:val="4"/>
                  <w:tcBorders>
                    <w:tl2br w:val="nil"/>
                    <w:tr2bl w:val="nil"/>
                  </w:tcBorders>
                  <w:noWrap w:val="0"/>
                  <w:tcMar>
                    <w:top w:w="0" w:type="dxa"/>
                    <w:left w:w="0" w:type="dxa"/>
                    <w:bottom w:w="0" w:type="dxa"/>
                    <w:right w:w="0" w:type="dxa"/>
                  </w:tcMar>
                  <w:vAlign w:val="center"/>
                </w:tcPr>
                <w:p w14:paraId="0A19F1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vertAlign w:val="baseline"/>
                      <w:lang w:eastAsia="zh-CN"/>
                    </w:rPr>
                    <w:t>检测结果</w:t>
                  </w:r>
                </w:p>
              </w:tc>
            </w:tr>
            <w:tr w14:paraId="7F0E75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677066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rPr>
                  </w:pPr>
                </w:p>
              </w:tc>
              <w:tc>
                <w:tcPr>
                  <w:tcW w:w="637" w:type="pct"/>
                  <w:vMerge w:val="continue"/>
                  <w:tcBorders>
                    <w:tl2br w:val="nil"/>
                    <w:tr2bl w:val="nil"/>
                  </w:tcBorders>
                  <w:noWrap w:val="0"/>
                  <w:tcMar>
                    <w:top w:w="0" w:type="dxa"/>
                    <w:left w:w="0" w:type="dxa"/>
                    <w:bottom w:w="0" w:type="dxa"/>
                    <w:right w:w="0" w:type="dxa"/>
                  </w:tcMar>
                  <w:vAlign w:val="center"/>
                </w:tcPr>
                <w:p w14:paraId="710670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rPr>
                  </w:pPr>
                </w:p>
              </w:tc>
              <w:tc>
                <w:tcPr>
                  <w:tcW w:w="537" w:type="pct"/>
                  <w:vMerge w:val="continue"/>
                  <w:tcBorders>
                    <w:tl2br w:val="nil"/>
                    <w:tr2bl w:val="nil"/>
                  </w:tcBorders>
                  <w:noWrap w:val="0"/>
                  <w:tcMar>
                    <w:top w:w="0" w:type="dxa"/>
                    <w:left w:w="0" w:type="dxa"/>
                    <w:bottom w:w="0" w:type="dxa"/>
                    <w:right w:w="0" w:type="dxa"/>
                  </w:tcMar>
                  <w:vAlign w:val="center"/>
                </w:tcPr>
                <w:p w14:paraId="512BE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rPr>
                  </w:pPr>
                </w:p>
              </w:tc>
              <w:tc>
                <w:tcPr>
                  <w:tcW w:w="446" w:type="pct"/>
                  <w:vMerge w:val="continue"/>
                  <w:tcBorders>
                    <w:tl2br w:val="nil"/>
                    <w:tr2bl w:val="nil"/>
                  </w:tcBorders>
                  <w:noWrap w:val="0"/>
                  <w:tcMar>
                    <w:top w:w="0" w:type="dxa"/>
                    <w:left w:w="0" w:type="dxa"/>
                    <w:bottom w:w="0" w:type="dxa"/>
                    <w:right w:w="0" w:type="dxa"/>
                  </w:tcMar>
                  <w:vAlign w:val="center"/>
                </w:tcPr>
                <w:p w14:paraId="6E5E90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rPr>
                  </w:pPr>
                </w:p>
              </w:tc>
              <w:tc>
                <w:tcPr>
                  <w:tcW w:w="676" w:type="pct"/>
                  <w:tcBorders>
                    <w:tl2br w:val="nil"/>
                    <w:tr2bl w:val="nil"/>
                  </w:tcBorders>
                  <w:noWrap w:val="0"/>
                  <w:tcMar>
                    <w:top w:w="0" w:type="dxa"/>
                    <w:left w:w="0" w:type="dxa"/>
                    <w:bottom w:w="0" w:type="dxa"/>
                    <w:right w:w="0" w:type="dxa"/>
                  </w:tcMar>
                  <w:vAlign w:val="center"/>
                </w:tcPr>
                <w:p w14:paraId="04609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厂界上风向</w:t>
                  </w:r>
                  <w:r>
                    <w:rPr>
                      <w:rFonts w:hint="default" w:ascii="Times New Roman" w:hAnsi="Times New Roman" w:eastAsia="宋体" w:cs="Times New Roman"/>
                      <w:b/>
                      <w:bCs/>
                      <w:color w:val="auto"/>
                      <w:sz w:val="21"/>
                      <w:szCs w:val="21"/>
                      <w:lang w:val="en-US" w:eastAsia="zh-CN"/>
                    </w:rPr>
                    <w:t>1#监测点</w:t>
                  </w:r>
                </w:p>
              </w:tc>
              <w:tc>
                <w:tcPr>
                  <w:tcW w:w="671" w:type="pct"/>
                  <w:tcBorders>
                    <w:tl2br w:val="nil"/>
                    <w:tr2bl w:val="nil"/>
                  </w:tcBorders>
                  <w:noWrap w:val="0"/>
                  <w:tcMar>
                    <w:top w:w="0" w:type="dxa"/>
                    <w:left w:w="0" w:type="dxa"/>
                    <w:bottom w:w="0" w:type="dxa"/>
                    <w:right w:w="0" w:type="dxa"/>
                  </w:tcMar>
                  <w:vAlign w:val="center"/>
                </w:tcPr>
                <w:p w14:paraId="770701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厂界下风向</w:t>
                  </w:r>
                  <w:r>
                    <w:rPr>
                      <w:rFonts w:hint="default" w:ascii="Times New Roman" w:hAnsi="Times New Roman" w:eastAsia="宋体" w:cs="Times New Roman"/>
                      <w:b/>
                      <w:bCs/>
                      <w:color w:val="auto"/>
                      <w:sz w:val="21"/>
                      <w:szCs w:val="21"/>
                      <w:lang w:val="en-US" w:eastAsia="zh-CN"/>
                    </w:rPr>
                    <w:t>2#监测点</w:t>
                  </w:r>
                </w:p>
              </w:tc>
              <w:tc>
                <w:tcPr>
                  <w:tcW w:w="667" w:type="pct"/>
                  <w:tcBorders>
                    <w:tl2br w:val="nil"/>
                    <w:tr2bl w:val="nil"/>
                  </w:tcBorders>
                  <w:noWrap w:val="0"/>
                  <w:tcMar>
                    <w:top w:w="0" w:type="dxa"/>
                    <w:left w:w="0" w:type="dxa"/>
                    <w:bottom w:w="0" w:type="dxa"/>
                    <w:right w:w="0" w:type="dxa"/>
                  </w:tcMar>
                  <w:vAlign w:val="center"/>
                </w:tcPr>
                <w:p w14:paraId="7F2B2D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厂界下风向</w:t>
                  </w:r>
                  <w:r>
                    <w:rPr>
                      <w:rFonts w:hint="default" w:ascii="Times New Roman" w:hAnsi="Times New Roman" w:eastAsia="宋体" w:cs="Times New Roman"/>
                      <w:b/>
                      <w:bCs/>
                      <w:color w:val="auto"/>
                      <w:sz w:val="21"/>
                      <w:szCs w:val="21"/>
                      <w:lang w:val="en-US" w:eastAsia="zh-CN"/>
                    </w:rPr>
                    <w:t>3#监测点</w:t>
                  </w:r>
                </w:p>
              </w:tc>
              <w:tc>
                <w:tcPr>
                  <w:tcW w:w="676" w:type="pct"/>
                  <w:tcBorders>
                    <w:tl2br w:val="nil"/>
                    <w:tr2bl w:val="nil"/>
                  </w:tcBorders>
                  <w:noWrap w:val="0"/>
                  <w:tcMar>
                    <w:top w:w="0" w:type="dxa"/>
                    <w:left w:w="0" w:type="dxa"/>
                    <w:bottom w:w="0" w:type="dxa"/>
                    <w:right w:w="0" w:type="dxa"/>
                  </w:tcMar>
                  <w:vAlign w:val="center"/>
                </w:tcPr>
                <w:p w14:paraId="5A2D17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厂界下风向</w:t>
                  </w:r>
                  <w:r>
                    <w:rPr>
                      <w:rFonts w:hint="default" w:ascii="Times New Roman" w:hAnsi="Times New Roman" w:eastAsia="宋体" w:cs="Times New Roman"/>
                      <w:b/>
                      <w:bCs/>
                      <w:color w:val="auto"/>
                      <w:sz w:val="21"/>
                      <w:szCs w:val="21"/>
                      <w:lang w:val="en-US" w:eastAsia="zh-CN"/>
                    </w:rPr>
                    <w:t>4#监测点</w:t>
                  </w:r>
                </w:p>
              </w:tc>
            </w:tr>
            <w:tr w14:paraId="7D677C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restart"/>
                  <w:tcBorders>
                    <w:tl2br w:val="nil"/>
                    <w:tr2bl w:val="nil"/>
                  </w:tcBorders>
                  <w:noWrap w:val="0"/>
                  <w:tcMar>
                    <w:top w:w="0" w:type="dxa"/>
                    <w:left w:w="0" w:type="dxa"/>
                    <w:bottom w:w="0" w:type="dxa"/>
                    <w:right w:w="0" w:type="dxa"/>
                  </w:tcMar>
                  <w:vAlign w:val="center"/>
                </w:tcPr>
                <w:p w14:paraId="17FF535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2022.01.07</w:t>
                  </w:r>
                </w:p>
              </w:tc>
              <w:tc>
                <w:tcPr>
                  <w:tcW w:w="637" w:type="pct"/>
                  <w:vMerge w:val="restart"/>
                  <w:tcBorders>
                    <w:tl2br w:val="nil"/>
                    <w:tr2bl w:val="nil"/>
                  </w:tcBorders>
                  <w:noWrap w:val="0"/>
                  <w:tcMar>
                    <w:top w:w="0" w:type="dxa"/>
                    <w:left w:w="0" w:type="dxa"/>
                    <w:bottom w:w="0" w:type="dxa"/>
                    <w:right w:w="0" w:type="dxa"/>
                  </w:tcMar>
                  <w:vAlign w:val="center"/>
                </w:tcPr>
                <w:p w14:paraId="31C36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w:t>
                  </w:r>
                </w:p>
                <w:p w14:paraId="692F5E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37" w:type="pct"/>
                  <w:vMerge w:val="restart"/>
                  <w:tcBorders>
                    <w:tl2br w:val="nil"/>
                    <w:tr2bl w:val="nil"/>
                  </w:tcBorders>
                  <w:noWrap w:val="0"/>
                  <w:tcMar>
                    <w:top w:w="0" w:type="dxa"/>
                    <w:left w:w="0" w:type="dxa"/>
                    <w:bottom w:w="0" w:type="dxa"/>
                    <w:right w:w="0" w:type="dxa"/>
                  </w:tcMar>
                  <w:vAlign w:val="center"/>
                </w:tcPr>
                <w:p w14:paraId="53C7023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446" w:type="pct"/>
                  <w:tcBorders>
                    <w:tl2br w:val="nil"/>
                    <w:tr2bl w:val="nil"/>
                  </w:tcBorders>
                  <w:noWrap w:val="0"/>
                  <w:tcMar>
                    <w:top w:w="0" w:type="dxa"/>
                    <w:left w:w="0" w:type="dxa"/>
                    <w:bottom w:w="0" w:type="dxa"/>
                    <w:right w:w="0" w:type="dxa"/>
                  </w:tcMar>
                  <w:vAlign w:val="center"/>
                </w:tcPr>
                <w:p w14:paraId="73CD54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676" w:type="pct"/>
                  <w:tcBorders>
                    <w:tl2br w:val="nil"/>
                    <w:tr2bl w:val="nil"/>
                  </w:tcBorders>
                  <w:noWrap w:val="0"/>
                  <w:tcMar>
                    <w:top w:w="0" w:type="dxa"/>
                    <w:left w:w="0" w:type="dxa"/>
                    <w:bottom w:w="0" w:type="dxa"/>
                    <w:right w:w="0" w:type="dxa"/>
                  </w:tcMar>
                  <w:vAlign w:val="center"/>
                </w:tcPr>
                <w:p w14:paraId="0C8B8C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0.133</w:t>
                  </w:r>
                </w:p>
              </w:tc>
              <w:tc>
                <w:tcPr>
                  <w:tcW w:w="671" w:type="pct"/>
                  <w:tcBorders>
                    <w:tl2br w:val="nil"/>
                    <w:tr2bl w:val="nil"/>
                  </w:tcBorders>
                  <w:noWrap w:val="0"/>
                  <w:tcMar>
                    <w:top w:w="0" w:type="dxa"/>
                    <w:left w:w="0" w:type="dxa"/>
                    <w:bottom w:w="0" w:type="dxa"/>
                    <w:right w:w="0" w:type="dxa"/>
                  </w:tcMar>
                  <w:vAlign w:val="center"/>
                </w:tcPr>
                <w:p w14:paraId="0AB742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0.233</w:t>
                  </w:r>
                </w:p>
              </w:tc>
              <w:tc>
                <w:tcPr>
                  <w:tcW w:w="667" w:type="pct"/>
                  <w:tcBorders>
                    <w:tl2br w:val="nil"/>
                    <w:tr2bl w:val="nil"/>
                  </w:tcBorders>
                  <w:noWrap w:val="0"/>
                  <w:tcMar>
                    <w:top w:w="0" w:type="dxa"/>
                    <w:left w:w="0" w:type="dxa"/>
                    <w:bottom w:w="0" w:type="dxa"/>
                    <w:right w:w="0" w:type="dxa"/>
                  </w:tcMar>
                  <w:vAlign w:val="center"/>
                </w:tcPr>
                <w:p w14:paraId="724AB5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0.200</w:t>
                  </w:r>
                </w:p>
              </w:tc>
              <w:tc>
                <w:tcPr>
                  <w:tcW w:w="676" w:type="pct"/>
                  <w:tcBorders>
                    <w:tl2br w:val="nil"/>
                    <w:tr2bl w:val="nil"/>
                  </w:tcBorders>
                  <w:noWrap w:val="0"/>
                  <w:tcMar>
                    <w:top w:w="0" w:type="dxa"/>
                    <w:left w:w="0" w:type="dxa"/>
                    <w:bottom w:w="0" w:type="dxa"/>
                    <w:right w:w="0" w:type="dxa"/>
                  </w:tcMar>
                  <w:vAlign w:val="center"/>
                </w:tcPr>
                <w:p w14:paraId="454202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0.250</w:t>
                  </w:r>
                </w:p>
              </w:tc>
            </w:tr>
            <w:tr w14:paraId="65F17A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2380E9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637" w:type="pct"/>
                  <w:vMerge w:val="continue"/>
                  <w:tcBorders>
                    <w:tl2br w:val="nil"/>
                    <w:tr2bl w:val="nil"/>
                  </w:tcBorders>
                  <w:noWrap w:val="0"/>
                  <w:tcMar>
                    <w:top w:w="0" w:type="dxa"/>
                    <w:left w:w="0" w:type="dxa"/>
                    <w:bottom w:w="0" w:type="dxa"/>
                    <w:right w:w="0" w:type="dxa"/>
                  </w:tcMar>
                  <w:vAlign w:val="center"/>
                </w:tcPr>
                <w:p w14:paraId="0E8BF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p>
              </w:tc>
              <w:tc>
                <w:tcPr>
                  <w:tcW w:w="537" w:type="pct"/>
                  <w:vMerge w:val="continue"/>
                  <w:tcBorders>
                    <w:tl2br w:val="nil"/>
                    <w:tr2bl w:val="nil"/>
                  </w:tcBorders>
                  <w:noWrap w:val="0"/>
                  <w:tcMar>
                    <w:top w:w="0" w:type="dxa"/>
                    <w:left w:w="0" w:type="dxa"/>
                    <w:bottom w:w="0" w:type="dxa"/>
                    <w:right w:w="0" w:type="dxa"/>
                  </w:tcMar>
                  <w:vAlign w:val="center"/>
                </w:tcPr>
                <w:p w14:paraId="555CAF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p>
              </w:tc>
              <w:tc>
                <w:tcPr>
                  <w:tcW w:w="446" w:type="pct"/>
                  <w:tcBorders>
                    <w:tl2br w:val="nil"/>
                    <w:tr2bl w:val="nil"/>
                  </w:tcBorders>
                  <w:noWrap w:val="0"/>
                  <w:tcMar>
                    <w:top w:w="0" w:type="dxa"/>
                    <w:left w:w="0" w:type="dxa"/>
                    <w:bottom w:w="0" w:type="dxa"/>
                    <w:right w:w="0" w:type="dxa"/>
                  </w:tcMar>
                  <w:vAlign w:val="center"/>
                </w:tcPr>
                <w:p w14:paraId="5E80A7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676" w:type="pct"/>
                  <w:tcBorders>
                    <w:tl2br w:val="nil"/>
                    <w:tr2bl w:val="nil"/>
                  </w:tcBorders>
                  <w:noWrap w:val="0"/>
                  <w:tcMar>
                    <w:top w:w="0" w:type="dxa"/>
                    <w:left w:w="0" w:type="dxa"/>
                    <w:bottom w:w="0" w:type="dxa"/>
                    <w:right w:w="0" w:type="dxa"/>
                  </w:tcMar>
                  <w:vAlign w:val="center"/>
                </w:tcPr>
                <w:p w14:paraId="58E27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0.117</w:t>
                  </w:r>
                </w:p>
              </w:tc>
              <w:tc>
                <w:tcPr>
                  <w:tcW w:w="671" w:type="pct"/>
                  <w:tcBorders>
                    <w:tl2br w:val="nil"/>
                    <w:tr2bl w:val="nil"/>
                  </w:tcBorders>
                  <w:noWrap w:val="0"/>
                  <w:tcMar>
                    <w:top w:w="0" w:type="dxa"/>
                    <w:left w:w="0" w:type="dxa"/>
                    <w:bottom w:w="0" w:type="dxa"/>
                    <w:right w:w="0" w:type="dxa"/>
                  </w:tcMar>
                  <w:vAlign w:val="center"/>
                </w:tcPr>
                <w:p w14:paraId="24C1A1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0.284</w:t>
                  </w:r>
                </w:p>
              </w:tc>
              <w:tc>
                <w:tcPr>
                  <w:tcW w:w="667" w:type="pct"/>
                  <w:tcBorders>
                    <w:tl2br w:val="nil"/>
                    <w:tr2bl w:val="nil"/>
                  </w:tcBorders>
                  <w:noWrap w:val="0"/>
                  <w:tcMar>
                    <w:top w:w="0" w:type="dxa"/>
                    <w:left w:w="0" w:type="dxa"/>
                    <w:bottom w:w="0" w:type="dxa"/>
                    <w:right w:w="0" w:type="dxa"/>
                  </w:tcMar>
                  <w:vAlign w:val="center"/>
                </w:tcPr>
                <w:p w14:paraId="23349A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0.268</w:t>
                  </w:r>
                </w:p>
              </w:tc>
              <w:tc>
                <w:tcPr>
                  <w:tcW w:w="676" w:type="pct"/>
                  <w:tcBorders>
                    <w:tl2br w:val="nil"/>
                    <w:tr2bl w:val="nil"/>
                  </w:tcBorders>
                  <w:noWrap w:val="0"/>
                  <w:tcMar>
                    <w:top w:w="0" w:type="dxa"/>
                    <w:left w:w="0" w:type="dxa"/>
                    <w:bottom w:w="0" w:type="dxa"/>
                    <w:right w:w="0" w:type="dxa"/>
                  </w:tcMar>
                  <w:vAlign w:val="center"/>
                </w:tcPr>
                <w:p w14:paraId="58B50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0.335</w:t>
                  </w:r>
                </w:p>
              </w:tc>
            </w:tr>
            <w:tr w14:paraId="04B843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7E7ADE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637" w:type="pct"/>
                  <w:vMerge w:val="continue"/>
                  <w:tcBorders>
                    <w:tl2br w:val="nil"/>
                    <w:tr2bl w:val="nil"/>
                  </w:tcBorders>
                  <w:noWrap w:val="0"/>
                  <w:tcMar>
                    <w:top w:w="0" w:type="dxa"/>
                    <w:left w:w="0" w:type="dxa"/>
                    <w:bottom w:w="0" w:type="dxa"/>
                    <w:right w:w="0" w:type="dxa"/>
                  </w:tcMar>
                  <w:vAlign w:val="center"/>
                </w:tcPr>
                <w:p w14:paraId="0C8435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20603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4CE912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676" w:type="pct"/>
                  <w:tcBorders>
                    <w:tl2br w:val="nil"/>
                    <w:tr2bl w:val="nil"/>
                  </w:tcBorders>
                  <w:noWrap w:val="0"/>
                  <w:tcMar>
                    <w:top w:w="0" w:type="dxa"/>
                    <w:left w:w="0" w:type="dxa"/>
                    <w:bottom w:w="0" w:type="dxa"/>
                    <w:right w:w="0" w:type="dxa"/>
                  </w:tcMar>
                  <w:vAlign w:val="center"/>
                </w:tcPr>
                <w:p w14:paraId="08E631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0.151</w:t>
                  </w:r>
                </w:p>
              </w:tc>
              <w:tc>
                <w:tcPr>
                  <w:tcW w:w="671" w:type="pct"/>
                  <w:tcBorders>
                    <w:tl2br w:val="nil"/>
                    <w:tr2bl w:val="nil"/>
                  </w:tcBorders>
                  <w:noWrap w:val="0"/>
                  <w:tcMar>
                    <w:top w:w="0" w:type="dxa"/>
                    <w:left w:w="0" w:type="dxa"/>
                    <w:bottom w:w="0" w:type="dxa"/>
                    <w:right w:w="0" w:type="dxa"/>
                  </w:tcMar>
                  <w:vAlign w:val="center"/>
                </w:tcPr>
                <w:p w14:paraId="62E91D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0.185</w:t>
                  </w:r>
                </w:p>
              </w:tc>
              <w:tc>
                <w:tcPr>
                  <w:tcW w:w="667" w:type="pct"/>
                  <w:tcBorders>
                    <w:tl2br w:val="nil"/>
                    <w:tr2bl w:val="nil"/>
                  </w:tcBorders>
                  <w:noWrap w:val="0"/>
                  <w:tcMar>
                    <w:top w:w="0" w:type="dxa"/>
                    <w:left w:w="0" w:type="dxa"/>
                    <w:bottom w:w="0" w:type="dxa"/>
                    <w:right w:w="0" w:type="dxa"/>
                  </w:tcMar>
                  <w:vAlign w:val="center"/>
                </w:tcPr>
                <w:p w14:paraId="5DFB80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0.219</w:t>
                  </w:r>
                </w:p>
              </w:tc>
              <w:tc>
                <w:tcPr>
                  <w:tcW w:w="676" w:type="pct"/>
                  <w:tcBorders>
                    <w:tl2br w:val="nil"/>
                    <w:tr2bl w:val="nil"/>
                  </w:tcBorders>
                  <w:noWrap w:val="0"/>
                  <w:tcMar>
                    <w:top w:w="0" w:type="dxa"/>
                    <w:left w:w="0" w:type="dxa"/>
                    <w:bottom w:w="0" w:type="dxa"/>
                    <w:right w:w="0" w:type="dxa"/>
                  </w:tcMar>
                  <w:vAlign w:val="center"/>
                </w:tcPr>
                <w:p w14:paraId="37CDEB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0.303</w:t>
                  </w:r>
                </w:p>
              </w:tc>
            </w:tr>
            <w:tr w14:paraId="64D0BF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restart"/>
                  <w:tcBorders>
                    <w:tl2br w:val="nil"/>
                    <w:tr2bl w:val="nil"/>
                  </w:tcBorders>
                  <w:noWrap w:val="0"/>
                  <w:tcMar>
                    <w:top w:w="0" w:type="dxa"/>
                    <w:left w:w="0" w:type="dxa"/>
                    <w:bottom w:w="0" w:type="dxa"/>
                    <w:right w:w="0" w:type="dxa"/>
                  </w:tcMar>
                  <w:vAlign w:val="center"/>
                </w:tcPr>
                <w:p w14:paraId="498E2EB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2022.01.08</w:t>
                  </w:r>
                </w:p>
              </w:tc>
              <w:tc>
                <w:tcPr>
                  <w:tcW w:w="637" w:type="pct"/>
                  <w:vMerge w:val="continue"/>
                  <w:tcBorders>
                    <w:tl2br w:val="nil"/>
                    <w:tr2bl w:val="nil"/>
                  </w:tcBorders>
                  <w:noWrap w:val="0"/>
                  <w:tcMar>
                    <w:top w:w="0" w:type="dxa"/>
                    <w:left w:w="0" w:type="dxa"/>
                    <w:bottom w:w="0" w:type="dxa"/>
                    <w:right w:w="0" w:type="dxa"/>
                  </w:tcMar>
                  <w:vAlign w:val="center"/>
                </w:tcPr>
                <w:p w14:paraId="45F19C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4E2871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213F6A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第一次</w:t>
                  </w:r>
                </w:p>
              </w:tc>
              <w:tc>
                <w:tcPr>
                  <w:tcW w:w="676" w:type="pct"/>
                  <w:tcBorders>
                    <w:tl2br w:val="nil"/>
                    <w:tr2bl w:val="nil"/>
                  </w:tcBorders>
                  <w:noWrap w:val="0"/>
                  <w:tcMar>
                    <w:top w:w="0" w:type="dxa"/>
                    <w:left w:w="0" w:type="dxa"/>
                    <w:bottom w:w="0" w:type="dxa"/>
                    <w:right w:w="0" w:type="dxa"/>
                  </w:tcMar>
                  <w:vAlign w:val="center"/>
                </w:tcPr>
                <w:p w14:paraId="54442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0.100</w:t>
                  </w:r>
                </w:p>
              </w:tc>
              <w:tc>
                <w:tcPr>
                  <w:tcW w:w="671" w:type="pct"/>
                  <w:tcBorders>
                    <w:tl2br w:val="nil"/>
                    <w:tr2bl w:val="nil"/>
                  </w:tcBorders>
                  <w:noWrap w:val="0"/>
                  <w:tcMar>
                    <w:top w:w="0" w:type="dxa"/>
                    <w:left w:w="0" w:type="dxa"/>
                    <w:bottom w:w="0" w:type="dxa"/>
                    <w:right w:w="0" w:type="dxa"/>
                  </w:tcMar>
                  <w:vAlign w:val="center"/>
                </w:tcPr>
                <w:p w14:paraId="4B2964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0.217</w:t>
                  </w:r>
                </w:p>
              </w:tc>
              <w:tc>
                <w:tcPr>
                  <w:tcW w:w="667" w:type="pct"/>
                  <w:tcBorders>
                    <w:tl2br w:val="nil"/>
                    <w:tr2bl w:val="nil"/>
                  </w:tcBorders>
                  <w:noWrap w:val="0"/>
                  <w:tcMar>
                    <w:top w:w="0" w:type="dxa"/>
                    <w:left w:w="0" w:type="dxa"/>
                    <w:bottom w:w="0" w:type="dxa"/>
                    <w:right w:w="0" w:type="dxa"/>
                  </w:tcMar>
                  <w:vAlign w:val="center"/>
                </w:tcPr>
                <w:p w14:paraId="22B7E0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0.234</w:t>
                  </w:r>
                </w:p>
              </w:tc>
              <w:tc>
                <w:tcPr>
                  <w:tcW w:w="676" w:type="pct"/>
                  <w:tcBorders>
                    <w:tl2br w:val="nil"/>
                    <w:tr2bl w:val="nil"/>
                  </w:tcBorders>
                  <w:noWrap w:val="0"/>
                  <w:tcMar>
                    <w:top w:w="0" w:type="dxa"/>
                    <w:left w:w="0" w:type="dxa"/>
                    <w:bottom w:w="0" w:type="dxa"/>
                    <w:right w:w="0" w:type="dxa"/>
                  </w:tcMar>
                  <w:vAlign w:val="center"/>
                </w:tcPr>
                <w:p w14:paraId="241365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0.284</w:t>
                  </w:r>
                </w:p>
              </w:tc>
            </w:tr>
            <w:tr w14:paraId="1F3F2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1EA28A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637" w:type="pct"/>
                  <w:vMerge w:val="continue"/>
                  <w:tcBorders>
                    <w:tl2br w:val="nil"/>
                    <w:tr2bl w:val="nil"/>
                  </w:tcBorders>
                  <w:noWrap w:val="0"/>
                  <w:tcMar>
                    <w:top w:w="0" w:type="dxa"/>
                    <w:left w:w="0" w:type="dxa"/>
                    <w:bottom w:w="0" w:type="dxa"/>
                    <w:right w:w="0" w:type="dxa"/>
                  </w:tcMar>
                  <w:vAlign w:val="center"/>
                </w:tcPr>
                <w:p w14:paraId="5B6B88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4568A6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64AEA6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676" w:type="pct"/>
                  <w:tcBorders>
                    <w:tl2br w:val="nil"/>
                    <w:tr2bl w:val="nil"/>
                  </w:tcBorders>
                  <w:noWrap w:val="0"/>
                  <w:tcMar>
                    <w:top w:w="0" w:type="dxa"/>
                    <w:left w:w="0" w:type="dxa"/>
                    <w:bottom w:w="0" w:type="dxa"/>
                    <w:right w:w="0" w:type="dxa"/>
                  </w:tcMar>
                  <w:vAlign w:val="center"/>
                </w:tcPr>
                <w:p w14:paraId="18C0F3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0.151</w:t>
                  </w:r>
                </w:p>
              </w:tc>
              <w:tc>
                <w:tcPr>
                  <w:tcW w:w="671" w:type="pct"/>
                  <w:tcBorders>
                    <w:tl2br w:val="nil"/>
                    <w:tr2bl w:val="nil"/>
                  </w:tcBorders>
                  <w:noWrap w:val="0"/>
                  <w:tcMar>
                    <w:top w:w="0" w:type="dxa"/>
                    <w:left w:w="0" w:type="dxa"/>
                    <w:bottom w:w="0" w:type="dxa"/>
                    <w:right w:w="0" w:type="dxa"/>
                  </w:tcMar>
                  <w:vAlign w:val="center"/>
                </w:tcPr>
                <w:p w14:paraId="2DCB94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0.268</w:t>
                  </w:r>
                </w:p>
              </w:tc>
              <w:tc>
                <w:tcPr>
                  <w:tcW w:w="667" w:type="pct"/>
                  <w:tcBorders>
                    <w:tl2br w:val="nil"/>
                    <w:tr2bl w:val="nil"/>
                  </w:tcBorders>
                  <w:noWrap w:val="0"/>
                  <w:tcMar>
                    <w:top w:w="0" w:type="dxa"/>
                    <w:left w:w="0" w:type="dxa"/>
                    <w:bottom w:w="0" w:type="dxa"/>
                    <w:right w:w="0" w:type="dxa"/>
                  </w:tcMar>
                  <w:vAlign w:val="center"/>
                </w:tcPr>
                <w:p w14:paraId="7CB3C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0.319</w:t>
                  </w:r>
                </w:p>
              </w:tc>
              <w:tc>
                <w:tcPr>
                  <w:tcW w:w="676" w:type="pct"/>
                  <w:tcBorders>
                    <w:tl2br w:val="nil"/>
                    <w:tr2bl w:val="nil"/>
                  </w:tcBorders>
                  <w:noWrap w:val="0"/>
                  <w:tcMar>
                    <w:top w:w="0" w:type="dxa"/>
                    <w:left w:w="0" w:type="dxa"/>
                    <w:bottom w:w="0" w:type="dxa"/>
                    <w:right w:w="0" w:type="dxa"/>
                  </w:tcMar>
                  <w:vAlign w:val="center"/>
                </w:tcPr>
                <w:p w14:paraId="738212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0.335</w:t>
                  </w:r>
                </w:p>
              </w:tc>
            </w:tr>
            <w:tr w14:paraId="0ABC9E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2D1AD2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637" w:type="pct"/>
                  <w:vMerge w:val="continue"/>
                  <w:tcBorders>
                    <w:tl2br w:val="nil"/>
                    <w:tr2bl w:val="nil"/>
                  </w:tcBorders>
                  <w:noWrap w:val="0"/>
                  <w:tcMar>
                    <w:top w:w="0" w:type="dxa"/>
                    <w:left w:w="0" w:type="dxa"/>
                    <w:bottom w:w="0" w:type="dxa"/>
                    <w:right w:w="0" w:type="dxa"/>
                  </w:tcMar>
                  <w:vAlign w:val="center"/>
                </w:tcPr>
                <w:p w14:paraId="0030FA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121B92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09C52E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676" w:type="pct"/>
                  <w:tcBorders>
                    <w:tl2br w:val="nil"/>
                    <w:tr2bl w:val="nil"/>
                  </w:tcBorders>
                  <w:noWrap w:val="0"/>
                  <w:tcMar>
                    <w:top w:w="0" w:type="dxa"/>
                    <w:left w:w="0" w:type="dxa"/>
                    <w:bottom w:w="0" w:type="dxa"/>
                    <w:right w:w="0" w:type="dxa"/>
                  </w:tcMar>
                  <w:vAlign w:val="center"/>
                </w:tcPr>
                <w:p w14:paraId="701BD2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0.118</w:t>
                  </w:r>
                </w:p>
              </w:tc>
              <w:tc>
                <w:tcPr>
                  <w:tcW w:w="671" w:type="pct"/>
                  <w:tcBorders>
                    <w:tl2br w:val="nil"/>
                    <w:tr2bl w:val="nil"/>
                  </w:tcBorders>
                  <w:noWrap w:val="0"/>
                  <w:tcMar>
                    <w:top w:w="0" w:type="dxa"/>
                    <w:left w:w="0" w:type="dxa"/>
                    <w:bottom w:w="0" w:type="dxa"/>
                    <w:right w:w="0" w:type="dxa"/>
                  </w:tcMar>
                  <w:vAlign w:val="center"/>
                </w:tcPr>
                <w:p w14:paraId="7C6969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0.203</w:t>
                  </w:r>
                </w:p>
              </w:tc>
              <w:tc>
                <w:tcPr>
                  <w:tcW w:w="667" w:type="pct"/>
                  <w:tcBorders>
                    <w:tl2br w:val="nil"/>
                    <w:tr2bl w:val="nil"/>
                  </w:tcBorders>
                  <w:noWrap w:val="0"/>
                  <w:tcMar>
                    <w:top w:w="0" w:type="dxa"/>
                    <w:left w:w="0" w:type="dxa"/>
                    <w:bottom w:w="0" w:type="dxa"/>
                    <w:right w:w="0" w:type="dxa"/>
                  </w:tcMar>
                  <w:vAlign w:val="center"/>
                </w:tcPr>
                <w:p w14:paraId="47020A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0.304</w:t>
                  </w:r>
                </w:p>
              </w:tc>
              <w:tc>
                <w:tcPr>
                  <w:tcW w:w="676" w:type="pct"/>
                  <w:tcBorders>
                    <w:tl2br w:val="nil"/>
                    <w:tr2bl w:val="nil"/>
                  </w:tcBorders>
                  <w:noWrap w:val="0"/>
                  <w:tcMar>
                    <w:top w:w="0" w:type="dxa"/>
                    <w:left w:w="0" w:type="dxa"/>
                    <w:bottom w:w="0" w:type="dxa"/>
                    <w:right w:w="0" w:type="dxa"/>
                  </w:tcMar>
                  <w:vAlign w:val="center"/>
                </w:tcPr>
                <w:p w14:paraId="156FE7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0.253</w:t>
                  </w:r>
                </w:p>
              </w:tc>
            </w:tr>
            <w:tr w14:paraId="341CEF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restart"/>
                  <w:tcBorders>
                    <w:tl2br w:val="nil"/>
                    <w:tr2bl w:val="nil"/>
                  </w:tcBorders>
                  <w:noWrap w:val="0"/>
                  <w:tcMar>
                    <w:top w:w="0" w:type="dxa"/>
                    <w:left w:w="0" w:type="dxa"/>
                    <w:bottom w:w="0" w:type="dxa"/>
                    <w:right w:w="0" w:type="dxa"/>
                  </w:tcMar>
                  <w:vAlign w:val="center"/>
                </w:tcPr>
                <w:p w14:paraId="27E130CF">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2022.01.07</w:t>
                  </w:r>
                </w:p>
              </w:tc>
              <w:tc>
                <w:tcPr>
                  <w:tcW w:w="637" w:type="pct"/>
                  <w:vMerge w:val="restart"/>
                  <w:tcBorders>
                    <w:tl2br w:val="nil"/>
                    <w:tr2bl w:val="nil"/>
                  </w:tcBorders>
                  <w:noWrap w:val="0"/>
                  <w:tcMar>
                    <w:top w:w="0" w:type="dxa"/>
                    <w:left w:w="0" w:type="dxa"/>
                    <w:bottom w:w="0" w:type="dxa"/>
                    <w:right w:w="0" w:type="dxa"/>
                  </w:tcMar>
                  <w:vAlign w:val="center"/>
                </w:tcPr>
                <w:p w14:paraId="328F4F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537" w:type="pct"/>
                  <w:vMerge w:val="restart"/>
                  <w:tcBorders>
                    <w:tl2br w:val="nil"/>
                    <w:tr2bl w:val="nil"/>
                  </w:tcBorders>
                  <w:noWrap w:val="0"/>
                  <w:tcMar>
                    <w:top w:w="0" w:type="dxa"/>
                    <w:left w:w="0" w:type="dxa"/>
                    <w:bottom w:w="0" w:type="dxa"/>
                    <w:right w:w="0" w:type="dxa"/>
                  </w:tcMar>
                  <w:vAlign w:val="center"/>
                </w:tcPr>
                <w:p w14:paraId="647BA276">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446" w:type="pct"/>
                  <w:tcBorders>
                    <w:tl2br w:val="nil"/>
                    <w:tr2bl w:val="nil"/>
                  </w:tcBorders>
                  <w:noWrap w:val="0"/>
                  <w:tcMar>
                    <w:top w:w="0" w:type="dxa"/>
                    <w:left w:w="0" w:type="dxa"/>
                    <w:bottom w:w="0" w:type="dxa"/>
                    <w:right w:w="0" w:type="dxa"/>
                  </w:tcMar>
                  <w:vAlign w:val="center"/>
                </w:tcPr>
                <w:p w14:paraId="246D0C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第一次</w:t>
                  </w:r>
                </w:p>
              </w:tc>
              <w:tc>
                <w:tcPr>
                  <w:tcW w:w="676" w:type="pct"/>
                  <w:tcBorders>
                    <w:tl2br w:val="nil"/>
                    <w:tr2bl w:val="nil"/>
                  </w:tcBorders>
                  <w:noWrap w:val="0"/>
                  <w:tcMar>
                    <w:top w:w="0" w:type="dxa"/>
                    <w:left w:w="0" w:type="dxa"/>
                    <w:bottom w:w="0" w:type="dxa"/>
                    <w:right w:w="0" w:type="dxa"/>
                  </w:tcMar>
                  <w:vAlign w:val="center"/>
                </w:tcPr>
                <w:p w14:paraId="08E3C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0.96</w:t>
                  </w:r>
                </w:p>
              </w:tc>
              <w:tc>
                <w:tcPr>
                  <w:tcW w:w="671" w:type="pct"/>
                  <w:tcBorders>
                    <w:tl2br w:val="nil"/>
                    <w:tr2bl w:val="nil"/>
                  </w:tcBorders>
                  <w:noWrap w:val="0"/>
                  <w:tcMar>
                    <w:top w:w="0" w:type="dxa"/>
                    <w:left w:w="0" w:type="dxa"/>
                    <w:bottom w:w="0" w:type="dxa"/>
                    <w:right w:w="0" w:type="dxa"/>
                  </w:tcMar>
                  <w:vAlign w:val="center"/>
                </w:tcPr>
                <w:p w14:paraId="5C2C84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667" w:type="pct"/>
                  <w:tcBorders>
                    <w:tl2br w:val="nil"/>
                    <w:tr2bl w:val="nil"/>
                  </w:tcBorders>
                  <w:noWrap w:val="0"/>
                  <w:tcMar>
                    <w:top w:w="0" w:type="dxa"/>
                    <w:left w:w="0" w:type="dxa"/>
                    <w:bottom w:w="0" w:type="dxa"/>
                    <w:right w:w="0" w:type="dxa"/>
                  </w:tcMar>
                  <w:vAlign w:val="center"/>
                </w:tcPr>
                <w:p w14:paraId="6D7B04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0.98</w:t>
                  </w:r>
                </w:p>
              </w:tc>
              <w:tc>
                <w:tcPr>
                  <w:tcW w:w="676" w:type="pct"/>
                  <w:tcBorders>
                    <w:tl2br w:val="nil"/>
                    <w:tr2bl w:val="nil"/>
                  </w:tcBorders>
                  <w:noWrap w:val="0"/>
                  <w:tcMar>
                    <w:top w:w="0" w:type="dxa"/>
                    <w:left w:w="0" w:type="dxa"/>
                    <w:bottom w:w="0" w:type="dxa"/>
                    <w:right w:w="0" w:type="dxa"/>
                  </w:tcMar>
                  <w:vAlign w:val="center"/>
                </w:tcPr>
                <w:p w14:paraId="34868F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1.02</w:t>
                  </w:r>
                </w:p>
              </w:tc>
            </w:tr>
            <w:tr w14:paraId="5ECE92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4A9C8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637" w:type="pct"/>
                  <w:vMerge w:val="continue"/>
                  <w:tcBorders>
                    <w:tl2br w:val="nil"/>
                    <w:tr2bl w:val="nil"/>
                  </w:tcBorders>
                  <w:noWrap w:val="0"/>
                  <w:tcMar>
                    <w:top w:w="0" w:type="dxa"/>
                    <w:left w:w="0" w:type="dxa"/>
                    <w:bottom w:w="0" w:type="dxa"/>
                    <w:right w:w="0" w:type="dxa"/>
                  </w:tcMar>
                  <w:vAlign w:val="center"/>
                </w:tcPr>
                <w:p w14:paraId="286C59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0C4B8B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0EB6F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第二次</w:t>
                  </w:r>
                </w:p>
              </w:tc>
              <w:tc>
                <w:tcPr>
                  <w:tcW w:w="676" w:type="pct"/>
                  <w:tcBorders>
                    <w:tl2br w:val="nil"/>
                    <w:tr2bl w:val="nil"/>
                  </w:tcBorders>
                  <w:noWrap w:val="0"/>
                  <w:tcMar>
                    <w:top w:w="0" w:type="dxa"/>
                    <w:left w:w="0" w:type="dxa"/>
                    <w:bottom w:w="0" w:type="dxa"/>
                    <w:right w:w="0" w:type="dxa"/>
                  </w:tcMar>
                  <w:vAlign w:val="center"/>
                </w:tcPr>
                <w:p w14:paraId="567E4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0.82</w:t>
                  </w:r>
                </w:p>
              </w:tc>
              <w:tc>
                <w:tcPr>
                  <w:tcW w:w="671" w:type="pct"/>
                  <w:tcBorders>
                    <w:tl2br w:val="nil"/>
                    <w:tr2bl w:val="nil"/>
                  </w:tcBorders>
                  <w:noWrap w:val="0"/>
                  <w:tcMar>
                    <w:top w:w="0" w:type="dxa"/>
                    <w:left w:w="0" w:type="dxa"/>
                    <w:bottom w:w="0" w:type="dxa"/>
                    <w:right w:w="0" w:type="dxa"/>
                  </w:tcMar>
                  <w:vAlign w:val="center"/>
                </w:tcPr>
                <w:p w14:paraId="75FBF8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0.99</w:t>
                  </w:r>
                </w:p>
              </w:tc>
              <w:tc>
                <w:tcPr>
                  <w:tcW w:w="667" w:type="pct"/>
                  <w:tcBorders>
                    <w:tl2br w:val="nil"/>
                    <w:tr2bl w:val="nil"/>
                  </w:tcBorders>
                  <w:noWrap w:val="0"/>
                  <w:tcMar>
                    <w:top w:w="0" w:type="dxa"/>
                    <w:left w:w="0" w:type="dxa"/>
                    <w:bottom w:w="0" w:type="dxa"/>
                    <w:right w:w="0" w:type="dxa"/>
                  </w:tcMar>
                  <w:vAlign w:val="center"/>
                </w:tcPr>
                <w:p w14:paraId="37ADF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1.02</w:t>
                  </w:r>
                </w:p>
              </w:tc>
              <w:tc>
                <w:tcPr>
                  <w:tcW w:w="676" w:type="pct"/>
                  <w:tcBorders>
                    <w:tl2br w:val="nil"/>
                    <w:tr2bl w:val="nil"/>
                  </w:tcBorders>
                  <w:noWrap w:val="0"/>
                  <w:tcMar>
                    <w:top w:w="0" w:type="dxa"/>
                    <w:left w:w="0" w:type="dxa"/>
                    <w:bottom w:w="0" w:type="dxa"/>
                    <w:right w:w="0" w:type="dxa"/>
                  </w:tcMar>
                  <w:vAlign w:val="center"/>
                </w:tcPr>
                <w:p w14:paraId="0DC050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r>
            <w:tr w14:paraId="3E3F2F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7B06AB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637" w:type="pct"/>
                  <w:vMerge w:val="continue"/>
                  <w:tcBorders>
                    <w:tl2br w:val="nil"/>
                    <w:tr2bl w:val="nil"/>
                  </w:tcBorders>
                  <w:noWrap w:val="0"/>
                  <w:tcMar>
                    <w:top w:w="0" w:type="dxa"/>
                    <w:left w:w="0" w:type="dxa"/>
                    <w:bottom w:w="0" w:type="dxa"/>
                    <w:right w:w="0" w:type="dxa"/>
                  </w:tcMar>
                  <w:vAlign w:val="center"/>
                </w:tcPr>
                <w:p w14:paraId="09EE28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178958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516047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676" w:type="pct"/>
                  <w:tcBorders>
                    <w:tl2br w:val="nil"/>
                    <w:tr2bl w:val="nil"/>
                  </w:tcBorders>
                  <w:noWrap w:val="0"/>
                  <w:tcMar>
                    <w:top w:w="0" w:type="dxa"/>
                    <w:left w:w="0" w:type="dxa"/>
                    <w:bottom w:w="0" w:type="dxa"/>
                    <w:right w:w="0" w:type="dxa"/>
                  </w:tcMar>
                  <w:vAlign w:val="center"/>
                </w:tcPr>
                <w:p w14:paraId="170D2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0.92</w:t>
                  </w:r>
                </w:p>
              </w:tc>
              <w:tc>
                <w:tcPr>
                  <w:tcW w:w="671" w:type="pct"/>
                  <w:tcBorders>
                    <w:tl2br w:val="nil"/>
                    <w:tr2bl w:val="nil"/>
                  </w:tcBorders>
                  <w:noWrap w:val="0"/>
                  <w:tcMar>
                    <w:top w:w="0" w:type="dxa"/>
                    <w:left w:w="0" w:type="dxa"/>
                    <w:bottom w:w="0" w:type="dxa"/>
                    <w:right w:w="0" w:type="dxa"/>
                  </w:tcMar>
                  <w:vAlign w:val="center"/>
                </w:tcPr>
                <w:p w14:paraId="58D8B2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0.99</w:t>
                  </w:r>
                </w:p>
              </w:tc>
              <w:tc>
                <w:tcPr>
                  <w:tcW w:w="667" w:type="pct"/>
                  <w:tcBorders>
                    <w:tl2br w:val="nil"/>
                    <w:tr2bl w:val="nil"/>
                  </w:tcBorders>
                  <w:noWrap w:val="0"/>
                  <w:tcMar>
                    <w:top w:w="0" w:type="dxa"/>
                    <w:left w:w="0" w:type="dxa"/>
                    <w:bottom w:w="0" w:type="dxa"/>
                    <w:right w:w="0" w:type="dxa"/>
                  </w:tcMar>
                  <w:vAlign w:val="center"/>
                </w:tcPr>
                <w:p w14:paraId="41D322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0.99</w:t>
                  </w:r>
                </w:p>
              </w:tc>
              <w:tc>
                <w:tcPr>
                  <w:tcW w:w="676" w:type="pct"/>
                  <w:tcBorders>
                    <w:tl2br w:val="nil"/>
                    <w:tr2bl w:val="nil"/>
                  </w:tcBorders>
                  <w:noWrap w:val="0"/>
                  <w:tcMar>
                    <w:top w:w="0" w:type="dxa"/>
                    <w:left w:w="0" w:type="dxa"/>
                    <w:bottom w:w="0" w:type="dxa"/>
                    <w:right w:w="0" w:type="dxa"/>
                  </w:tcMar>
                  <w:vAlign w:val="center"/>
                </w:tcPr>
                <w:p w14:paraId="3B2956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1.01</w:t>
                  </w:r>
                </w:p>
              </w:tc>
            </w:tr>
            <w:tr w14:paraId="0944D3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restart"/>
                  <w:tcBorders>
                    <w:tl2br w:val="nil"/>
                    <w:tr2bl w:val="nil"/>
                  </w:tcBorders>
                  <w:noWrap w:val="0"/>
                  <w:tcMar>
                    <w:top w:w="0" w:type="dxa"/>
                    <w:left w:w="0" w:type="dxa"/>
                    <w:bottom w:w="0" w:type="dxa"/>
                    <w:right w:w="0" w:type="dxa"/>
                  </w:tcMar>
                  <w:vAlign w:val="center"/>
                </w:tcPr>
                <w:p w14:paraId="041BF46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2022.01.08</w:t>
                  </w:r>
                </w:p>
              </w:tc>
              <w:tc>
                <w:tcPr>
                  <w:tcW w:w="637" w:type="pct"/>
                  <w:vMerge w:val="continue"/>
                  <w:tcBorders>
                    <w:tl2br w:val="nil"/>
                    <w:tr2bl w:val="nil"/>
                  </w:tcBorders>
                  <w:noWrap w:val="0"/>
                  <w:tcMar>
                    <w:top w:w="0" w:type="dxa"/>
                    <w:left w:w="0" w:type="dxa"/>
                    <w:bottom w:w="0" w:type="dxa"/>
                    <w:right w:w="0" w:type="dxa"/>
                  </w:tcMar>
                  <w:vAlign w:val="center"/>
                </w:tcPr>
                <w:p w14:paraId="6CCE46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6B678A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463E3D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第一次</w:t>
                  </w:r>
                </w:p>
              </w:tc>
              <w:tc>
                <w:tcPr>
                  <w:tcW w:w="676" w:type="pct"/>
                  <w:tcBorders>
                    <w:tl2br w:val="nil"/>
                    <w:tr2bl w:val="nil"/>
                  </w:tcBorders>
                  <w:noWrap w:val="0"/>
                  <w:tcMar>
                    <w:top w:w="0" w:type="dxa"/>
                    <w:left w:w="0" w:type="dxa"/>
                    <w:bottom w:w="0" w:type="dxa"/>
                    <w:right w:w="0" w:type="dxa"/>
                  </w:tcMar>
                  <w:vAlign w:val="center"/>
                </w:tcPr>
                <w:p w14:paraId="35017A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0.92</w:t>
                  </w:r>
                </w:p>
              </w:tc>
              <w:tc>
                <w:tcPr>
                  <w:tcW w:w="671" w:type="pct"/>
                  <w:tcBorders>
                    <w:tl2br w:val="nil"/>
                    <w:tr2bl w:val="nil"/>
                  </w:tcBorders>
                  <w:noWrap w:val="0"/>
                  <w:tcMar>
                    <w:top w:w="0" w:type="dxa"/>
                    <w:left w:w="0" w:type="dxa"/>
                    <w:bottom w:w="0" w:type="dxa"/>
                    <w:right w:w="0" w:type="dxa"/>
                  </w:tcMar>
                  <w:vAlign w:val="center"/>
                </w:tcPr>
                <w:p w14:paraId="0554B1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1.02</w:t>
                  </w:r>
                </w:p>
              </w:tc>
              <w:tc>
                <w:tcPr>
                  <w:tcW w:w="667" w:type="pct"/>
                  <w:tcBorders>
                    <w:tl2br w:val="nil"/>
                    <w:tr2bl w:val="nil"/>
                  </w:tcBorders>
                  <w:noWrap w:val="0"/>
                  <w:tcMar>
                    <w:top w:w="0" w:type="dxa"/>
                    <w:left w:w="0" w:type="dxa"/>
                    <w:bottom w:w="0" w:type="dxa"/>
                    <w:right w:w="0" w:type="dxa"/>
                  </w:tcMar>
                  <w:vAlign w:val="center"/>
                </w:tcPr>
                <w:p w14:paraId="583C6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1.07</w:t>
                  </w:r>
                </w:p>
              </w:tc>
              <w:tc>
                <w:tcPr>
                  <w:tcW w:w="676" w:type="pct"/>
                  <w:tcBorders>
                    <w:tl2br w:val="nil"/>
                    <w:tr2bl w:val="nil"/>
                  </w:tcBorders>
                  <w:noWrap w:val="0"/>
                  <w:tcMar>
                    <w:top w:w="0" w:type="dxa"/>
                    <w:left w:w="0" w:type="dxa"/>
                    <w:bottom w:w="0" w:type="dxa"/>
                    <w:right w:w="0" w:type="dxa"/>
                  </w:tcMar>
                  <w:vAlign w:val="center"/>
                </w:tcPr>
                <w:p w14:paraId="4FB93F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1.14</w:t>
                  </w:r>
                </w:p>
              </w:tc>
            </w:tr>
            <w:tr w14:paraId="64460E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35A67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637" w:type="pct"/>
                  <w:vMerge w:val="continue"/>
                  <w:tcBorders>
                    <w:tl2br w:val="nil"/>
                    <w:tr2bl w:val="nil"/>
                  </w:tcBorders>
                  <w:noWrap w:val="0"/>
                  <w:tcMar>
                    <w:top w:w="0" w:type="dxa"/>
                    <w:left w:w="0" w:type="dxa"/>
                    <w:bottom w:w="0" w:type="dxa"/>
                    <w:right w:w="0" w:type="dxa"/>
                  </w:tcMar>
                  <w:vAlign w:val="center"/>
                </w:tcPr>
                <w:p w14:paraId="52FCFE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1B8AF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564CE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第二次</w:t>
                  </w:r>
                </w:p>
              </w:tc>
              <w:tc>
                <w:tcPr>
                  <w:tcW w:w="676" w:type="pct"/>
                  <w:tcBorders>
                    <w:tl2br w:val="nil"/>
                    <w:tr2bl w:val="nil"/>
                  </w:tcBorders>
                  <w:noWrap w:val="0"/>
                  <w:tcMar>
                    <w:top w:w="0" w:type="dxa"/>
                    <w:left w:w="0" w:type="dxa"/>
                    <w:bottom w:w="0" w:type="dxa"/>
                    <w:right w:w="0" w:type="dxa"/>
                  </w:tcMar>
                  <w:vAlign w:val="center"/>
                </w:tcPr>
                <w:p w14:paraId="465CE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0.99</w:t>
                  </w:r>
                </w:p>
              </w:tc>
              <w:tc>
                <w:tcPr>
                  <w:tcW w:w="671" w:type="pct"/>
                  <w:tcBorders>
                    <w:tl2br w:val="nil"/>
                    <w:tr2bl w:val="nil"/>
                  </w:tcBorders>
                  <w:noWrap w:val="0"/>
                  <w:tcMar>
                    <w:top w:w="0" w:type="dxa"/>
                    <w:left w:w="0" w:type="dxa"/>
                    <w:bottom w:w="0" w:type="dxa"/>
                    <w:right w:w="0" w:type="dxa"/>
                  </w:tcMar>
                  <w:vAlign w:val="center"/>
                </w:tcPr>
                <w:p w14:paraId="7B190E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1.08</w:t>
                  </w:r>
                </w:p>
              </w:tc>
              <w:tc>
                <w:tcPr>
                  <w:tcW w:w="667" w:type="pct"/>
                  <w:tcBorders>
                    <w:tl2br w:val="nil"/>
                    <w:tr2bl w:val="nil"/>
                  </w:tcBorders>
                  <w:noWrap w:val="0"/>
                  <w:tcMar>
                    <w:top w:w="0" w:type="dxa"/>
                    <w:left w:w="0" w:type="dxa"/>
                    <w:bottom w:w="0" w:type="dxa"/>
                    <w:right w:w="0" w:type="dxa"/>
                  </w:tcMar>
                  <w:vAlign w:val="center"/>
                </w:tcPr>
                <w:p w14:paraId="5303AA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1.12</w:t>
                  </w:r>
                </w:p>
              </w:tc>
              <w:tc>
                <w:tcPr>
                  <w:tcW w:w="676" w:type="pct"/>
                  <w:tcBorders>
                    <w:tl2br w:val="nil"/>
                    <w:tr2bl w:val="nil"/>
                  </w:tcBorders>
                  <w:noWrap w:val="0"/>
                  <w:tcMar>
                    <w:top w:w="0" w:type="dxa"/>
                    <w:left w:w="0" w:type="dxa"/>
                    <w:bottom w:w="0" w:type="dxa"/>
                    <w:right w:w="0" w:type="dxa"/>
                  </w:tcMar>
                  <w:vAlign w:val="center"/>
                </w:tcPr>
                <w:p w14:paraId="319213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1.21</w:t>
                  </w:r>
                </w:p>
              </w:tc>
            </w:tr>
            <w:tr w14:paraId="28FE1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6" w:type="pct"/>
                  <w:vMerge w:val="continue"/>
                  <w:tcBorders>
                    <w:tl2br w:val="nil"/>
                    <w:tr2bl w:val="nil"/>
                  </w:tcBorders>
                  <w:noWrap w:val="0"/>
                  <w:tcMar>
                    <w:top w:w="0" w:type="dxa"/>
                    <w:left w:w="0" w:type="dxa"/>
                    <w:bottom w:w="0" w:type="dxa"/>
                    <w:right w:w="0" w:type="dxa"/>
                  </w:tcMar>
                  <w:vAlign w:val="center"/>
                </w:tcPr>
                <w:p w14:paraId="671AC0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637" w:type="pct"/>
                  <w:vMerge w:val="continue"/>
                  <w:tcBorders>
                    <w:tl2br w:val="nil"/>
                    <w:tr2bl w:val="nil"/>
                  </w:tcBorders>
                  <w:noWrap w:val="0"/>
                  <w:tcMar>
                    <w:top w:w="0" w:type="dxa"/>
                    <w:left w:w="0" w:type="dxa"/>
                    <w:bottom w:w="0" w:type="dxa"/>
                    <w:right w:w="0" w:type="dxa"/>
                  </w:tcMar>
                  <w:vAlign w:val="center"/>
                </w:tcPr>
                <w:p w14:paraId="3CCA20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noWrap w:val="0"/>
                  <w:tcMar>
                    <w:top w:w="0" w:type="dxa"/>
                    <w:left w:w="0" w:type="dxa"/>
                    <w:bottom w:w="0" w:type="dxa"/>
                    <w:right w:w="0" w:type="dxa"/>
                  </w:tcMar>
                  <w:vAlign w:val="center"/>
                </w:tcPr>
                <w:p w14:paraId="36B506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tcMar>
                    <w:top w:w="0" w:type="dxa"/>
                    <w:left w:w="0" w:type="dxa"/>
                    <w:bottom w:w="0" w:type="dxa"/>
                    <w:right w:w="0" w:type="dxa"/>
                  </w:tcMar>
                  <w:vAlign w:val="center"/>
                </w:tcPr>
                <w:p w14:paraId="3195A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676" w:type="pct"/>
                  <w:tcBorders>
                    <w:tl2br w:val="nil"/>
                    <w:tr2bl w:val="nil"/>
                  </w:tcBorders>
                  <w:noWrap w:val="0"/>
                  <w:tcMar>
                    <w:top w:w="0" w:type="dxa"/>
                    <w:left w:w="0" w:type="dxa"/>
                    <w:bottom w:w="0" w:type="dxa"/>
                    <w:right w:w="0" w:type="dxa"/>
                  </w:tcMar>
                  <w:vAlign w:val="center"/>
                </w:tcPr>
                <w:p w14:paraId="4DD1B7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0.98</w:t>
                  </w:r>
                </w:p>
              </w:tc>
              <w:tc>
                <w:tcPr>
                  <w:tcW w:w="671" w:type="pct"/>
                  <w:tcBorders>
                    <w:tl2br w:val="nil"/>
                    <w:tr2bl w:val="nil"/>
                  </w:tcBorders>
                  <w:noWrap w:val="0"/>
                  <w:tcMar>
                    <w:top w:w="0" w:type="dxa"/>
                    <w:left w:w="0" w:type="dxa"/>
                    <w:bottom w:w="0" w:type="dxa"/>
                    <w:right w:w="0" w:type="dxa"/>
                  </w:tcMar>
                  <w:vAlign w:val="center"/>
                </w:tcPr>
                <w:p w14:paraId="5F0040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1.04</w:t>
                  </w:r>
                </w:p>
              </w:tc>
              <w:tc>
                <w:tcPr>
                  <w:tcW w:w="667" w:type="pct"/>
                  <w:tcBorders>
                    <w:tl2br w:val="nil"/>
                    <w:tr2bl w:val="nil"/>
                  </w:tcBorders>
                  <w:noWrap w:val="0"/>
                  <w:tcMar>
                    <w:top w:w="0" w:type="dxa"/>
                    <w:left w:w="0" w:type="dxa"/>
                    <w:bottom w:w="0" w:type="dxa"/>
                    <w:right w:w="0" w:type="dxa"/>
                  </w:tcMar>
                  <w:vAlign w:val="center"/>
                </w:tcPr>
                <w:p w14:paraId="500EE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1.09</w:t>
                  </w:r>
                </w:p>
              </w:tc>
              <w:tc>
                <w:tcPr>
                  <w:tcW w:w="676" w:type="pct"/>
                  <w:tcBorders>
                    <w:tl2br w:val="nil"/>
                    <w:tr2bl w:val="nil"/>
                  </w:tcBorders>
                  <w:noWrap w:val="0"/>
                  <w:tcMar>
                    <w:top w:w="0" w:type="dxa"/>
                    <w:left w:w="0" w:type="dxa"/>
                    <w:bottom w:w="0" w:type="dxa"/>
                    <w:right w:w="0" w:type="dxa"/>
                  </w:tcMar>
                  <w:vAlign w:val="center"/>
                </w:tcPr>
                <w:p w14:paraId="64D47C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1.12</w:t>
                  </w:r>
                </w:p>
              </w:tc>
            </w:tr>
          </w:tbl>
          <w:p w14:paraId="276FC2C9">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ind w:left="0" w:right="0"/>
              <w:jc w:val="center"/>
              <w:textAlignment w:val="auto"/>
              <w:rPr>
                <w:rFonts w:hint="eastAsia" w:ascii="Times New Roman" w:hAnsi="Times New Roman" w:eastAsia="宋体"/>
                <w:b/>
                <w:color w:val="auto"/>
                <w:sz w:val="21"/>
                <w:szCs w:val="21"/>
                <w:lang w:eastAsia="zh-CN"/>
              </w:rPr>
            </w:pPr>
            <w:r>
              <w:rPr>
                <w:rFonts w:hint="eastAsia" w:ascii="Times New Roman" w:hAnsi="Times New Roman" w:eastAsia="宋体"/>
                <w:b/>
                <w:color w:val="auto"/>
                <w:sz w:val="21"/>
                <w:szCs w:val="21"/>
              </w:rPr>
              <w:t>表</w:t>
            </w:r>
            <w:r>
              <w:rPr>
                <w:rFonts w:hint="eastAsia" w:ascii="Times New Roman" w:hAnsi="Times New Roman" w:eastAsia="宋体"/>
                <w:b/>
                <w:color w:val="auto"/>
                <w:sz w:val="21"/>
                <w:szCs w:val="21"/>
                <w:lang w:val="en-US" w:eastAsia="zh-CN"/>
              </w:rPr>
              <w:t>2-11 厂区内</w:t>
            </w:r>
            <w:r>
              <w:rPr>
                <w:rFonts w:hint="eastAsia" w:ascii="Times New Roman" w:hAnsi="Times New Roman" w:eastAsia="宋体"/>
                <w:b/>
                <w:color w:val="auto"/>
                <w:sz w:val="21"/>
                <w:szCs w:val="21"/>
                <w:highlight w:val="none"/>
              </w:rPr>
              <w:t>无</w:t>
            </w:r>
            <w:r>
              <w:rPr>
                <w:rFonts w:ascii="Times New Roman" w:hAnsi="Times New Roman" w:eastAsia="宋体"/>
                <w:b/>
                <w:color w:val="auto"/>
                <w:sz w:val="21"/>
                <w:szCs w:val="21"/>
                <w:highlight w:val="none"/>
              </w:rPr>
              <w:t>组织废气监测结果</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140"/>
              <w:gridCol w:w="1312"/>
              <w:gridCol w:w="819"/>
              <w:gridCol w:w="892"/>
              <w:gridCol w:w="892"/>
              <w:gridCol w:w="907"/>
            </w:tblGrid>
            <w:tr w14:paraId="64357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tcBorders>
                    <w:tl2br w:val="nil"/>
                    <w:tr2bl w:val="nil"/>
                  </w:tcBorders>
                  <w:noWrap w:val="0"/>
                  <w:tcMar>
                    <w:top w:w="0" w:type="dxa"/>
                    <w:left w:w="0" w:type="dxa"/>
                    <w:bottom w:w="0" w:type="dxa"/>
                    <w:right w:w="0" w:type="dxa"/>
                  </w:tcMar>
                  <w:vAlign w:val="center"/>
                </w:tcPr>
                <w:p w14:paraId="6A5CE22E">
                  <w:pPr>
                    <w:keepNext w:val="0"/>
                    <w:keepLines w:val="0"/>
                    <w:widowControl/>
                    <w:suppressLineNumbers w:val="0"/>
                    <w:spacing w:before="0" w:beforeAutospacing="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采样</w:t>
                  </w:r>
                  <w:r>
                    <w:rPr>
                      <w:rFonts w:hint="default" w:ascii="Times New Roman" w:hAnsi="Times New Roman" w:eastAsia="宋体" w:cs="Times New Roman"/>
                      <w:b/>
                      <w:bCs/>
                      <w:color w:val="auto"/>
                      <w:sz w:val="21"/>
                      <w:szCs w:val="21"/>
                      <w:lang w:eastAsia="zh-CN"/>
                    </w:rPr>
                    <w:t>日期</w:t>
                  </w:r>
                </w:p>
              </w:tc>
              <w:tc>
                <w:tcPr>
                  <w:tcW w:w="1290" w:type="pct"/>
                  <w:vMerge w:val="restart"/>
                  <w:tcBorders>
                    <w:tl2br w:val="nil"/>
                    <w:tr2bl w:val="nil"/>
                  </w:tcBorders>
                  <w:noWrap w:val="0"/>
                  <w:tcMar>
                    <w:top w:w="0" w:type="dxa"/>
                    <w:left w:w="0" w:type="dxa"/>
                    <w:bottom w:w="0" w:type="dxa"/>
                    <w:right w:w="0" w:type="dxa"/>
                  </w:tcMar>
                  <w:vAlign w:val="center"/>
                </w:tcPr>
                <w:p w14:paraId="02ECC901">
                  <w:pPr>
                    <w:keepNext w:val="0"/>
                    <w:keepLines w:val="0"/>
                    <w:widowControl/>
                    <w:suppressLineNumbers w:val="0"/>
                    <w:spacing w:before="0" w:beforeAutospacing="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采样点位</w:t>
                  </w:r>
                </w:p>
              </w:tc>
              <w:tc>
                <w:tcPr>
                  <w:tcW w:w="791" w:type="pct"/>
                  <w:vMerge w:val="restart"/>
                  <w:tcBorders>
                    <w:tl2br w:val="nil"/>
                    <w:tr2bl w:val="nil"/>
                  </w:tcBorders>
                  <w:noWrap w:val="0"/>
                  <w:tcMar>
                    <w:top w:w="0" w:type="dxa"/>
                    <w:left w:w="0" w:type="dxa"/>
                    <w:bottom w:w="0" w:type="dxa"/>
                    <w:right w:w="0" w:type="dxa"/>
                  </w:tcMar>
                  <w:vAlign w:val="center"/>
                </w:tcPr>
                <w:p w14:paraId="3AEBE6D5">
                  <w:pPr>
                    <w:keepNext w:val="0"/>
                    <w:keepLines w:val="0"/>
                    <w:widowControl/>
                    <w:suppressLineNumbers w:val="0"/>
                    <w:spacing w:before="0" w:beforeAutospacing="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494" w:type="pct"/>
                  <w:vMerge w:val="restart"/>
                  <w:tcBorders>
                    <w:tl2br w:val="nil"/>
                    <w:tr2bl w:val="nil"/>
                  </w:tcBorders>
                  <w:noWrap w:val="0"/>
                  <w:tcMar>
                    <w:top w:w="0" w:type="dxa"/>
                    <w:left w:w="0" w:type="dxa"/>
                    <w:bottom w:w="0" w:type="dxa"/>
                    <w:right w:w="0" w:type="dxa"/>
                  </w:tcMar>
                  <w:vAlign w:val="center"/>
                </w:tcPr>
                <w:p w14:paraId="06065CC4">
                  <w:pPr>
                    <w:keepNext w:val="0"/>
                    <w:keepLines w:val="0"/>
                    <w:widowControl/>
                    <w:suppressLineNumbers w:val="0"/>
                    <w:spacing w:before="0" w:beforeAutospacing="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单位</w:t>
                  </w:r>
                </w:p>
              </w:tc>
              <w:tc>
                <w:tcPr>
                  <w:tcW w:w="1622" w:type="pct"/>
                  <w:gridSpan w:val="3"/>
                  <w:tcBorders>
                    <w:tl2br w:val="nil"/>
                    <w:tr2bl w:val="nil"/>
                  </w:tcBorders>
                  <w:noWrap w:val="0"/>
                  <w:tcMar>
                    <w:top w:w="0" w:type="dxa"/>
                    <w:left w:w="0" w:type="dxa"/>
                    <w:bottom w:w="0" w:type="dxa"/>
                    <w:right w:w="0" w:type="dxa"/>
                  </w:tcMar>
                  <w:vAlign w:val="center"/>
                </w:tcPr>
                <w:p w14:paraId="620743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vertAlign w:val="baseline"/>
                      <w:lang w:eastAsia="zh-CN"/>
                    </w:rPr>
                    <w:t>检测结果</w:t>
                  </w:r>
                </w:p>
              </w:tc>
            </w:tr>
            <w:tr w14:paraId="454CE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noWrap w:val="0"/>
                  <w:tcMar>
                    <w:top w:w="0" w:type="dxa"/>
                    <w:left w:w="0" w:type="dxa"/>
                    <w:bottom w:w="0" w:type="dxa"/>
                    <w:right w:w="0" w:type="dxa"/>
                  </w:tcMar>
                  <w:vAlign w:val="center"/>
                </w:tcPr>
                <w:p w14:paraId="3018B0F8">
                  <w:pPr>
                    <w:keepNext w:val="0"/>
                    <w:keepLines w:val="0"/>
                    <w:widowControl/>
                    <w:suppressLineNumbers w:val="0"/>
                    <w:spacing w:before="0" w:beforeAutospacing="0" w:afterAutospacing="0"/>
                    <w:ind w:left="0" w:right="0"/>
                    <w:jc w:val="center"/>
                    <w:rPr>
                      <w:rFonts w:hint="default" w:ascii="Times New Roman" w:hAnsi="Times New Roman" w:eastAsia="宋体" w:cs="Times New Roman"/>
                      <w:b/>
                      <w:bCs/>
                      <w:color w:val="auto"/>
                      <w:sz w:val="21"/>
                      <w:szCs w:val="21"/>
                    </w:rPr>
                  </w:pPr>
                </w:p>
              </w:tc>
              <w:tc>
                <w:tcPr>
                  <w:tcW w:w="1290" w:type="pct"/>
                  <w:vMerge w:val="continue"/>
                  <w:tcBorders>
                    <w:tl2br w:val="nil"/>
                    <w:tr2bl w:val="nil"/>
                  </w:tcBorders>
                  <w:noWrap w:val="0"/>
                  <w:tcMar>
                    <w:top w:w="0" w:type="dxa"/>
                    <w:left w:w="0" w:type="dxa"/>
                    <w:bottom w:w="0" w:type="dxa"/>
                    <w:right w:w="0" w:type="dxa"/>
                  </w:tcMar>
                  <w:vAlign w:val="center"/>
                </w:tcPr>
                <w:p w14:paraId="79EE312A">
                  <w:pPr>
                    <w:keepNext w:val="0"/>
                    <w:keepLines w:val="0"/>
                    <w:widowControl/>
                    <w:suppressLineNumbers w:val="0"/>
                    <w:spacing w:before="0" w:beforeAutospacing="0" w:afterAutospacing="0"/>
                    <w:ind w:left="0" w:right="0"/>
                    <w:jc w:val="center"/>
                    <w:rPr>
                      <w:rFonts w:hint="default" w:ascii="Times New Roman" w:hAnsi="Times New Roman" w:eastAsia="宋体" w:cs="Times New Roman"/>
                      <w:b/>
                      <w:bCs/>
                      <w:color w:val="auto"/>
                      <w:sz w:val="21"/>
                      <w:szCs w:val="21"/>
                    </w:rPr>
                  </w:pPr>
                </w:p>
              </w:tc>
              <w:tc>
                <w:tcPr>
                  <w:tcW w:w="791" w:type="pct"/>
                  <w:vMerge w:val="continue"/>
                  <w:tcBorders>
                    <w:tl2br w:val="nil"/>
                    <w:tr2bl w:val="nil"/>
                  </w:tcBorders>
                  <w:noWrap w:val="0"/>
                  <w:tcMar>
                    <w:top w:w="0" w:type="dxa"/>
                    <w:left w:w="0" w:type="dxa"/>
                    <w:bottom w:w="0" w:type="dxa"/>
                    <w:right w:w="0" w:type="dxa"/>
                  </w:tcMar>
                  <w:vAlign w:val="center"/>
                </w:tcPr>
                <w:p w14:paraId="2981F097">
                  <w:pPr>
                    <w:keepNext w:val="0"/>
                    <w:keepLines w:val="0"/>
                    <w:widowControl/>
                    <w:suppressLineNumbers w:val="0"/>
                    <w:spacing w:before="0" w:beforeAutospacing="0" w:afterAutospacing="0"/>
                    <w:ind w:left="0" w:right="0"/>
                    <w:jc w:val="center"/>
                    <w:rPr>
                      <w:rFonts w:hint="default" w:ascii="Times New Roman" w:hAnsi="Times New Roman" w:eastAsia="宋体" w:cs="Times New Roman"/>
                      <w:b/>
                      <w:bCs/>
                      <w:color w:val="auto"/>
                      <w:sz w:val="21"/>
                      <w:szCs w:val="21"/>
                    </w:rPr>
                  </w:pPr>
                </w:p>
              </w:tc>
              <w:tc>
                <w:tcPr>
                  <w:tcW w:w="494" w:type="pct"/>
                  <w:vMerge w:val="continue"/>
                  <w:tcBorders>
                    <w:tl2br w:val="nil"/>
                    <w:tr2bl w:val="nil"/>
                  </w:tcBorders>
                  <w:noWrap w:val="0"/>
                  <w:tcMar>
                    <w:top w:w="0" w:type="dxa"/>
                    <w:left w:w="0" w:type="dxa"/>
                    <w:bottom w:w="0" w:type="dxa"/>
                    <w:right w:w="0" w:type="dxa"/>
                  </w:tcMar>
                  <w:vAlign w:val="center"/>
                </w:tcPr>
                <w:p w14:paraId="4CE65D76">
                  <w:pPr>
                    <w:keepNext w:val="0"/>
                    <w:keepLines w:val="0"/>
                    <w:widowControl/>
                    <w:suppressLineNumbers w:val="0"/>
                    <w:spacing w:before="0" w:beforeAutospacing="0" w:afterAutospacing="0"/>
                    <w:ind w:left="0" w:right="0"/>
                    <w:jc w:val="center"/>
                    <w:rPr>
                      <w:rFonts w:hint="default" w:ascii="Times New Roman" w:hAnsi="Times New Roman" w:eastAsia="宋体" w:cs="Times New Roman"/>
                      <w:b/>
                      <w:bCs/>
                      <w:color w:val="auto"/>
                      <w:sz w:val="21"/>
                      <w:szCs w:val="21"/>
                    </w:rPr>
                  </w:pPr>
                </w:p>
              </w:tc>
              <w:tc>
                <w:tcPr>
                  <w:tcW w:w="538" w:type="pct"/>
                  <w:tcBorders>
                    <w:tl2br w:val="nil"/>
                    <w:tr2bl w:val="nil"/>
                  </w:tcBorders>
                  <w:noWrap w:val="0"/>
                  <w:tcMar>
                    <w:top w:w="0" w:type="dxa"/>
                    <w:left w:w="0" w:type="dxa"/>
                    <w:bottom w:w="0" w:type="dxa"/>
                    <w:right w:w="0" w:type="dxa"/>
                  </w:tcMar>
                  <w:vAlign w:val="center"/>
                </w:tcPr>
                <w:p w14:paraId="5350FCF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第一次</w:t>
                  </w:r>
                </w:p>
              </w:tc>
              <w:tc>
                <w:tcPr>
                  <w:tcW w:w="538" w:type="pct"/>
                  <w:tcBorders>
                    <w:tl2br w:val="nil"/>
                    <w:tr2bl w:val="nil"/>
                  </w:tcBorders>
                  <w:noWrap w:val="0"/>
                  <w:tcMar>
                    <w:top w:w="0" w:type="dxa"/>
                    <w:left w:w="0" w:type="dxa"/>
                    <w:bottom w:w="0" w:type="dxa"/>
                    <w:right w:w="0" w:type="dxa"/>
                  </w:tcMar>
                  <w:vAlign w:val="center"/>
                </w:tcPr>
                <w:p w14:paraId="5F3B9169">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第二次</w:t>
                  </w:r>
                </w:p>
              </w:tc>
              <w:tc>
                <w:tcPr>
                  <w:tcW w:w="545" w:type="pct"/>
                  <w:tcBorders>
                    <w:tl2br w:val="nil"/>
                    <w:tr2bl w:val="nil"/>
                  </w:tcBorders>
                  <w:noWrap w:val="0"/>
                  <w:tcMar>
                    <w:top w:w="0" w:type="dxa"/>
                    <w:left w:w="0" w:type="dxa"/>
                    <w:bottom w:w="0" w:type="dxa"/>
                    <w:right w:w="0" w:type="dxa"/>
                  </w:tcMar>
                  <w:vAlign w:val="center"/>
                </w:tcPr>
                <w:p w14:paraId="0AA4181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第三次</w:t>
                  </w:r>
                </w:p>
              </w:tc>
            </w:tr>
            <w:tr w14:paraId="19FA3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tcMar>
                    <w:top w:w="0" w:type="dxa"/>
                    <w:left w:w="0" w:type="dxa"/>
                    <w:bottom w:w="0" w:type="dxa"/>
                    <w:right w:w="0" w:type="dxa"/>
                  </w:tcMar>
                  <w:vAlign w:val="center"/>
                </w:tcPr>
                <w:p w14:paraId="621C251C">
                  <w:pPr>
                    <w:keepNext w:val="0"/>
                    <w:keepLines w:val="0"/>
                    <w:widowControl/>
                    <w:suppressLineNumbers w:val="0"/>
                    <w:tabs>
                      <w:tab w:val="left" w:pos="12559"/>
                    </w:tabs>
                    <w:spacing w:before="0" w:beforeAutospacing="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2022.01.07</w:t>
                  </w:r>
                </w:p>
              </w:tc>
              <w:tc>
                <w:tcPr>
                  <w:tcW w:w="1290" w:type="pct"/>
                  <w:vMerge w:val="restart"/>
                  <w:tcBorders>
                    <w:tl2br w:val="nil"/>
                    <w:tr2bl w:val="nil"/>
                  </w:tcBorders>
                  <w:noWrap w:val="0"/>
                  <w:tcMar>
                    <w:top w:w="0" w:type="dxa"/>
                    <w:left w:w="0" w:type="dxa"/>
                    <w:bottom w:w="0" w:type="dxa"/>
                    <w:right w:w="0" w:type="dxa"/>
                  </w:tcMar>
                  <w:vAlign w:val="center"/>
                </w:tcPr>
                <w:p w14:paraId="7AC7D3BB">
                  <w:pPr>
                    <w:keepNext w:val="0"/>
                    <w:keepLines w:val="0"/>
                    <w:widowControl/>
                    <w:suppressLineNumbers w:val="0"/>
                    <w:spacing w:before="0" w:beforeAutospacing="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厂界内车间外门窗浓度最高处</w:t>
                  </w:r>
                  <w:r>
                    <w:rPr>
                      <w:rFonts w:hint="default"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sz w:val="21"/>
                      <w:szCs w:val="21"/>
                      <w:lang w:val="en-US" w:eastAsia="zh-CN"/>
                    </w:rPr>
                    <w:t>#监测点</w:t>
                  </w:r>
                </w:p>
              </w:tc>
              <w:tc>
                <w:tcPr>
                  <w:tcW w:w="791" w:type="pct"/>
                  <w:tcBorders>
                    <w:tl2br w:val="nil"/>
                    <w:tr2bl w:val="nil"/>
                  </w:tcBorders>
                  <w:noWrap w:val="0"/>
                  <w:tcMar>
                    <w:top w:w="0" w:type="dxa"/>
                    <w:left w:w="0" w:type="dxa"/>
                    <w:bottom w:w="0" w:type="dxa"/>
                    <w:right w:w="0" w:type="dxa"/>
                  </w:tcMar>
                  <w:vAlign w:val="center"/>
                </w:tcPr>
                <w:p w14:paraId="2958663D">
                  <w:pPr>
                    <w:keepNext w:val="0"/>
                    <w:keepLines w:val="0"/>
                    <w:widowControl/>
                    <w:suppressLineNumbers w:val="0"/>
                    <w:spacing w:before="0" w:beforeAutospacing="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494" w:type="pct"/>
                  <w:tcBorders>
                    <w:tl2br w:val="nil"/>
                    <w:tr2bl w:val="nil"/>
                  </w:tcBorders>
                  <w:noWrap w:val="0"/>
                  <w:tcMar>
                    <w:top w:w="0" w:type="dxa"/>
                    <w:left w:w="0" w:type="dxa"/>
                    <w:bottom w:w="0" w:type="dxa"/>
                    <w:right w:w="0" w:type="dxa"/>
                  </w:tcMar>
                  <w:vAlign w:val="center"/>
                </w:tcPr>
                <w:p w14:paraId="3F006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p>
              </w:tc>
              <w:tc>
                <w:tcPr>
                  <w:tcW w:w="952" w:type="dxa"/>
                  <w:tcBorders>
                    <w:tl2br w:val="nil"/>
                    <w:tr2bl w:val="nil"/>
                  </w:tcBorders>
                  <w:noWrap w:val="0"/>
                  <w:tcMar>
                    <w:top w:w="0" w:type="dxa"/>
                    <w:left w:w="0" w:type="dxa"/>
                    <w:bottom w:w="0" w:type="dxa"/>
                    <w:right w:w="0" w:type="dxa"/>
                  </w:tcMar>
                  <w:vAlign w:val="center"/>
                </w:tcPr>
                <w:p w14:paraId="37ECFA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1.05</w:t>
                  </w:r>
                </w:p>
              </w:tc>
              <w:tc>
                <w:tcPr>
                  <w:tcW w:w="952" w:type="dxa"/>
                  <w:tcBorders>
                    <w:tl2br w:val="nil"/>
                    <w:tr2bl w:val="nil"/>
                  </w:tcBorders>
                  <w:noWrap w:val="0"/>
                  <w:tcMar>
                    <w:top w:w="0" w:type="dxa"/>
                    <w:left w:w="0" w:type="dxa"/>
                    <w:bottom w:w="0" w:type="dxa"/>
                    <w:right w:w="0" w:type="dxa"/>
                  </w:tcMar>
                  <w:vAlign w:val="center"/>
                </w:tcPr>
                <w:p w14:paraId="755A65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1.08</w:t>
                  </w:r>
                </w:p>
              </w:tc>
              <w:tc>
                <w:tcPr>
                  <w:tcW w:w="966" w:type="dxa"/>
                  <w:tcBorders>
                    <w:tl2br w:val="nil"/>
                    <w:tr2bl w:val="nil"/>
                  </w:tcBorders>
                  <w:noWrap w:val="0"/>
                  <w:tcMar>
                    <w:top w:w="0" w:type="dxa"/>
                    <w:left w:w="0" w:type="dxa"/>
                    <w:bottom w:w="0" w:type="dxa"/>
                    <w:right w:w="0" w:type="dxa"/>
                  </w:tcMar>
                  <w:vAlign w:val="center"/>
                </w:tcPr>
                <w:p w14:paraId="56E76B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1.05</w:t>
                  </w:r>
                </w:p>
              </w:tc>
            </w:tr>
            <w:tr w14:paraId="505F3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tcMar>
                    <w:top w:w="0" w:type="dxa"/>
                    <w:left w:w="0" w:type="dxa"/>
                    <w:bottom w:w="0" w:type="dxa"/>
                    <w:right w:w="0" w:type="dxa"/>
                  </w:tcMar>
                  <w:vAlign w:val="center"/>
                </w:tcPr>
                <w:p w14:paraId="2216CF7A">
                  <w:pPr>
                    <w:keepNext w:val="0"/>
                    <w:keepLines w:val="0"/>
                    <w:widowControl/>
                    <w:suppressLineNumbers w:val="0"/>
                    <w:tabs>
                      <w:tab w:val="left" w:pos="12559"/>
                    </w:tabs>
                    <w:spacing w:before="0" w:beforeAutospacing="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2022.01.08</w:t>
                  </w:r>
                </w:p>
              </w:tc>
              <w:tc>
                <w:tcPr>
                  <w:tcW w:w="1290" w:type="pct"/>
                  <w:vMerge w:val="continue"/>
                  <w:tcBorders>
                    <w:tl2br w:val="nil"/>
                    <w:tr2bl w:val="nil"/>
                  </w:tcBorders>
                  <w:noWrap w:val="0"/>
                  <w:tcMar>
                    <w:top w:w="0" w:type="dxa"/>
                    <w:left w:w="0" w:type="dxa"/>
                    <w:bottom w:w="0" w:type="dxa"/>
                    <w:right w:w="0" w:type="dxa"/>
                  </w:tcMar>
                  <w:vAlign w:val="center"/>
                </w:tcPr>
                <w:p w14:paraId="34E48509">
                  <w:pPr>
                    <w:keepNext w:val="0"/>
                    <w:keepLines w:val="0"/>
                    <w:widowControl/>
                    <w:suppressLineNumbers w:val="0"/>
                    <w:spacing w:before="0" w:beforeAutospacing="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p>
              </w:tc>
              <w:tc>
                <w:tcPr>
                  <w:tcW w:w="791" w:type="pct"/>
                  <w:tcBorders>
                    <w:tl2br w:val="nil"/>
                    <w:tr2bl w:val="nil"/>
                  </w:tcBorders>
                  <w:noWrap w:val="0"/>
                  <w:tcMar>
                    <w:top w:w="0" w:type="dxa"/>
                    <w:left w:w="0" w:type="dxa"/>
                    <w:bottom w:w="0" w:type="dxa"/>
                    <w:right w:w="0" w:type="dxa"/>
                  </w:tcMar>
                  <w:vAlign w:val="center"/>
                </w:tcPr>
                <w:p w14:paraId="734A44FB">
                  <w:pPr>
                    <w:keepNext w:val="0"/>
                    <w:keepLines w:val="0"/>
                    <w:widowControl/>
                    <w:suppressLineNumbers w:val="0"/>
                    <w:spacing w:before="0" w:beforeAutospacing="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494" w:type="pct"/>
                  <w:tcBorders>
                    <w:tl2br w:val="nil"/>
                    <w:tr2bl w:val="nil"/>
                  </w:tcBorders>
                  <w:noWrap w:val="0"/>
                  <w:tcMar>
                    <w:top w:w="0" w:type="dxa"/>
                    <w:left w:w="0" w:type="dxa"/>
                    <w:bottom w:w="0" w:type="dxa"/>
                    <w:right w:w="0" w:type="dxa"/>
                  </w:tcMar>
                  <w:vAlign w:val="center"/>
                </w:tcPr>
                <w:p w14:paraId="3F04A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p>
              </w:tc>
              <w:tc>
                <w:tcPr>
                  <w:tcW w:w="952" w:type="dxa"/>
                  <w:tcBorders>
                    <w:tl2br w:val="nil"/>
                    <w:tr2bl w:val="nil"/>
                  </w:tcBorders>
                  <w:noWrap w:val="0"/>
                  <w:tcMar>
                    <w:top w:w="0" w:type="dxa"/>
                    <w:left w:w="0" w:type="dxa"/>
                    <w:bottom w:w="0" w:type="dxa"/>
                    <w:right w:w="0" w:type="dxa"/>
                  </w:tcMar>
                  <w:vAlign w:val="center"/>
                </w:tcPr>
                <w:p w14:paraId="14CC4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1.36</w:t>
                  </w:r>
                </w:p>
              </w:tc>
              <w:tc>
                <w:tcPr>
                  <w:tcW w:w="952" w:type="dxa"/>
                  <w:tcBorders>
                    <w:tl2br w:val="nil"/>
                    <w:tr2bl w:val="nil"/>
                  </w:tcBorders>
                  <w:noWrap w:val="0"/>
                  <w:tcMar>
                    <w:top w:w="0" w:type="dxa"/>
                    <w:left w:w="0" w:type="dxa"/>
                    <w:bottom w:w="0" w:type="dxa"/>
                    <w:right w:w="0" w:type="dxa"/>
                  </w:tcMar>
                  <w:vAlign w:val="center"/>
                </w:tcPr>
                <w:p w14:paraId="07567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1.22</w:t>
                  </w:r>
                </w:p>
              </w:tc>
              <w:tc>
                <w:tcPr>
                  <w:tcW w:w="966" w:type="dxa"/>
                  <w:tcBorders>
                    <w:tl2br w:val="nil"/>
                    <w:tr2bl w:val="nil"/>
                  </w:tcBorders>
                  <w:noWrap w:val="0"/>
                  <w:tcMar>
                    <w:top w:w="0" w:type="dxa"/>
                    <w:left w:w="0" w:type="dxa"/>
                    <w:bottom w:w="0" w:type="dxa"/>
                    <w:right w:w="0" w:type="dxa"/>
                  </w:tcMar>
                  <w:vAlign w:val="center"/>
                </w:tcPr>
                <w:p w14:paraId="682D1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1.27</w:t>
                  </w:r>
                </w:p>
              </w:tc>
            </w:tr>
          </w:tbl>
          <w:p w14:paraId="774E616B">
            <w:pPr>
              <w:pStyle w:val="2"/>
              <w:keepNext w:val="0"/>
              <w:keepLines w:val="0"/>
              <w:pageBreakBefore w:val="0"/>
              <w:widowControl w:val="0"/>
              <w:kinsoku/>
              <w:wordWrap/>
              <w:overflowPunct/>
              <w:topLinePunct w:val="0"/>
              <w:autoSpaceDE/>
              <w:autoSpaceDN/>
              <w:bidi w:val="0"/>
              <w:adjustRightInd/>
              <w:snapToGrid/>
              <w:spacing w:before="157" w:beforeLines="50" w:after="0" w:line="360" w:lineRule="auto"/>
              <w:ind w:firstLine="420" w:firstLineChars="20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监测结果表明，</w:t>
            </w:r>
            <w:r>
              <w:rPr>
                <w:rFonts w:hint="eastAsia" w:ascii="Times New Roman" w:hAnsi="Times New Roman" w:eastAsia="宋体" w:cs="Times New Roman"/>
                <w:b w:val="0"/>
                <w:bCs w:val="0"/>
                <w:color w:val="auto"/>
                <w:sz w:val="21"/>
                <w:szCs w:val="21"/>
                <w:highlight w:val="none"/>
                <w:lang w:val="en-US" w:eastAsia="zh-CN"/>
              </w:rPr>
              <w:t>原项目</w:t>
            </w:r>
            <w:r>
              <w:rPr>
                <w:rFonts w:hint="default" w:ascii="Times New Roman" w:hAnsi="Times New Roman" w:eastAsia="宋体" w:cs="Times New Roman"/>
                <w:b w:val="0"/>
                <w:bCs w:val="0"/>
                <w:color w:val="auto"/>
                <w:sz w:val="21"/>
                <w:szCs w:val="21"/>
                <w:highlight w:val="none"/>
                <w:lang w:val="en-US" w:eastAsia="zh-CN"/>
              </w:rPr>
              <w:t>废气非甲烷总烃</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颗粒物有组织排放</w:t>
            </w:r>
            <w:r>
              <w:rPr>
                <w:rFonts w:hint="eastAsia" w:ascii="Times New Roman" w:hAnsi="Times New Roman" w:eastAsia="宋体" w:cs="Times New Roman"/>
                <w:b w:val="0"/>
                <w:bCs w:val="0"/>
                <w:color w:val="auto"/>
                <w:sz w:val="21"/>
                <w:szCs w:val="21"/>
                <w:highlight w:val="none"/>
                <w:lang w:val="en-US" w:eastAsia="zh-CN"/>
              </w:rPr>
              <w:t>浓度</w:t>
            </w:r>
            <w:r>
              <w:rPr>
                <w:rFonts w:hint="default" w:ascii="Times New Roman" w:hAnsi="Times New Roman" w:eastAsia="宋体" w:cs="Times New Roman"/>
                <w:b w:val="0"/>
                <w:bCs w:val="0"/>
                <w:color w:val="auto"/>
                <w:sz w:val="21"/>
                <w:szCs w:val="21"/>
                <w:highlight w:val="none"/>
                <w:lang w:val="en-US" w:eastAsia="zh-CN"/>
              </w:rPr>
              <w:t>均满足《合成树脂工业污染物排放标准》（GB31572</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2015）中表5中标准限值</w:t>
            </w:r>
            <w:r>
              <w:rPr>
                <w:rFonts w:hint="eastAsia" w:ascii="Times New Roman" w:hAnsi="Times New Roman" w:eastAsia="宋体" w:cs="Times New Roman"/>
                <w:b w:val="0"/>
                <w:bCs w:val="0"/>
                <w:color w:val="auto"/>
                <w:sz w:val="21"/>
                <w:szCs w:val="21"/>
                <w:highlight w:val="none"/>
                <w:lang w:val="en-US" w:eastAsia="zh-CN"/>
              </w:rPr>
              <w:t>；厂界无组织排放浓度分别</w:t>
            </w:r>
            <w:r>
              <w:rPr>
                <w:rFonts w:hint="default" w:ascii="Times New Roman" w:hAnsi="Times New Roman" w:eastAsia="宋体" w:cs="Times New Roman"/>
                <w:b w:val="0"/>
                <w:bCs w:val="0"/>
                <w:color w:val="auto"/>
                <w:sz w:val="21"/>
                <w:szCs w:val="21"/>
                <w:highlight w:val="none"/>
                <w:lang w:val="en-US" w:eastAsia="zh-CN"/>
              </w:rPr>
              <w:t>满足</w:t>
            </w:r>
            <w:r>
              <w:rPr>
                <w:rFonts w:hint="eastAsia" w:ascii="Times New Roman" w:hAnsi="Times New Roman" w:eastAsia="宋体" w:cs="Times New Roman"/>
                <w:b w:val="0"/>
                <w:bCs w:val="0"/>
                <w:color w:val="auto"/>
                <w:sz w:val="21"/>
                <w:szCs w:val="21"/>
                <w:highlight w:val="none"/>
                <w:lang w:val="en-US" w:eastAsia="zh-CN"/>
              </w:rPr>
              <w:t>《大气污染物综合排放标准》（DB32/4041-2021）表3中</w:t>
            </w:r>
            <w:r>
              <w:rPr>
                <w:rFonts w:hint="default" w:ascii="Times New Roman" w:hAnsi="Times New Roman" w:eastAsia="宋体" w:cs="Times New Roman"/>
                <w:b w:val="0"/>
                <w:bCs w:val="0"/>
                <w:color w:val="auto"/>
                <w:sz w:val="21"/>
                <w:szCs w:val="21"/>
                <w:highlight w:val="none"/>
                <w:lang w:val="en-US" w:eastAsia="zh-CN"/>
              </w:rPr>
              <w:t>标准限值</w:t>
            </w:r>
            <w:r>
              <w:rPr>
                <w:rFonts w:hint="eastAsia" w:ascii="Times New Roman" w:hAnsi="Times New Roman" w:eastAsia="宋体" w:cs="Times New Roman"/>
                <w:b w:val="0"/>
                <w:bCs w:val="0"/>
                <w:color w:val="auto"/>
                <w:sz w:val="21"/>
                <w:szCs w:val="21"/>
                <w:highlight w:val="none"/>
                <w:lang w:val="en-US" w:eastAsia="zh-CN"/>
              </w:rPr>
              <w:t>和《合成树脂工业污染物排放标准》（GB31572-2015）中表9</w:t>
            </w:r>
            <w:r>
              <w:rPr>
                <w:rFonts w:hint="default" w:ascii="Times New Roman" w:hAnsi="Times New Roman" w:eastAsia="宋体" w:cs="Times New Roman"/>
                <w:b w:val="0"/>
                <w:bCs w:val="0"/>
                <w:color w:val="auto"/>
                <w:sz w:val="21"/>
                <w:szCs w:val="21"/>
                <w:highlight w:val="none"/>
                <w:lang w:val="en-US" w:eastAsia="zh-CN"/>
              </w:rPr>
              <w:t>中标准限值</w:t>
            </w:r>
            <w:r>
              <w:rPr>
                <w:rFonts w:hint="eastAsia" w:ascii="Times New Roman" w:hAnsi="Times New Roman" w:eastAsia="宋体" w:cs="Times New Roman"/>
                <w:b w:val="0"/>
                <w:bCs w:val="0"/>
                <w:color w:val="auto"/>
                <w:sz w:val="21"/>
                <w:szCs w:val="21"/>
                <w:highlight w:val="none"/>
                <w:lang w:val="en-US" w:eastAsia="zh-CN"/>
              </w:rPr>
              <w:t>；非甲烷总烃厂区内无组织排放浓度满足《大气污染物综合排放标准》（DB32/4041-2021）表2中标准限值。</w:t>
            </w:r>
          </w:p>
          <w:p w14:paraId="34606554">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（2）废水</w:t>
            </w:r>
          </w:p>
          <w:p w14:paraId="3DD45BD7">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olor w:val="auto"/>
                <w:sz w:val="21"/>
                <w:szCs w:val="21"/>
                <w:highlight w:val="none"/>
              </w:rPr>
              <w:t>项目废水监测结果见</w:t>
            </w:r>
            <w:r>
              <w:rPr>
                <w:rFonts w:hint="eastAsia" w:ascii="Times New Roman" w:hAnsi="Times New Roman" w:eastAsia="宋体"/>
                <w:color w:val="auto"/>
                <w:sz w:val="21"/>
                <w:szCs w:val="21"/>
                <w:highlight w:val="none"/>
                <w:lang w:val="en-US" w:eastAsia="zh-CN"/>
              </w:rPr>
              <w:t>下表</w:t>
            </w:r>
            <w:r>
              <w:rPr>
                <w:rFonts w:hint="eastAsia" w:ascii="Times New Roman" w:hAnsi="Times New Roman" w:eastAsia="宋体"/>
                <w:color w:val="auto"/>
                <w:sz w:val="21"/>
                <w:szCs w:val="21"/>
                <w:highlight w:val="none"/>
              </w:rPr>
              <w:t>。</w:t>
            </w:r>
          </w:p>
          <w:p w14:paraId="61595E90">
            <w:pPr>
              <w:pStyle w:val="48"/>
              <w:spacing w:before="0" w:after="0"/>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w:t>
            </w:r>
            <w:r>
              <w:rPr>
                <w:rFonts w:hint="eastAsia" w:ascii="Times New Roman" w:hAnsi="Times New Roman" w:eastAsia="宋体" w:cs="Times New Roman"/>
                <w:b/>
                <w:color w:val="auto"/>
                <w:kern w:val="2"/>
                <w:sz w:val="21"/>
                <w:szCs w:val="21"/>
                <w:highlight w:val="none"/>
                <w:lang w:val="en-US" w:eastAsia="zh-CN" w:bidi="ar-SA"/>
              </w:rPr>
              <w:t>2-12</w:t>
            </w:r>
            <w:r>
              <w:rPr>
                <w:rFonts w:hint="default" w:ascii="Times New Roman" w:hAnsi="Times New Roman" w:eastAsia="宋体" w:cs="Times New Roman"/>
                <w:b/>
                <w:color w:val="auto"/>
                <w:kern w:val="2"/>
                <w:sz w:val="21"/>
                <w:szCs w:val="21"/>
                <w:highlight w:val="none"/>
                <w:lang w:val="en-US" w:eastAsia="zh-CN" w:bidi="ar-SA"/>
              </w:rPr>
              <w:t xml:space="preserve"> 废水水质监测结果表</w:t>
            </w:r>
          </w:p>
          <w:tbl>
            <w:tblPr>
              <w:tblStyle w:val="29"/>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236"/>
              <w:gridCol w:w="1388"/>
              <w:gridCol w:w="861"/>
              <w:gridCol w:w="922"/>
              <w:gridCol w:w="922"/>
              <w:gridCol w:w="922"/>
              <w:gridCol w:w="890"/>
            </w:tblGrid>
            <w:tr w14:paraId="7E767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tl2br w:val="nil"/>
                    <w:tr2bl w:val="nil"/>
                  </w:tcBorders>
                  <w:noWrap w:val="0"/>
                  <w:tcMar>
                    <w:top w:w="0" w:type="dxa"/>
                    <w:left w:w="0" w:type="dxa"/>
                    <w:bottom w:w="0" w:type="dxa"/>
                    <w:right w:w="0" w:type="dxa"/>
                  </w:tcMar>
                  <w:vAlign w:val="center"/>
                </w:tcPr>
                <w:p w14:paraId="4309AF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采样</w:t>
                  </w:r>
                  <w:r>
                    <w:rPr>
                      <w:rFonts w:hint="default" w:ascii="Times New Roman" w:hAnsi="Times New Roman" w:eastAsia="宋体" w:cs="Times New Roman"/>
                      <w:b/>
                      <w:bCs/>
                      <w:color w:val="auto"/>
                      <w:sz w:val="21"/>
                      <w:szCs w:val="21"/>
                      <w:lang w:eastAsia="zh-CN"/>
                    </w:rPr>
                    <w:t>日期</w:t>
                  </w:r>
                </w:p>
              </w:tc>
              <w:tc>
                <w:tcPr>
                  <w:tcW w:w="745" w:type="pct"/>
                  <w:vMerge w:val="restart"/>
                  <w:tcBorders>
                    <w:tl2br w:val="nil"/>
                    <w:tr2bl w:val="nil"/>
                  </w:tcBorders>
                  <w:noWrap w:val="0"/>
                  <w:tcMar>
                    <w:top w:w="0" w:type="dxa"/>
                    <w:left w:w="0" w:type="dxa"/>
                    <w:bottom w:w="0" w:type="dxa"/>
                    <w:right w:w="0" w:type="dxa"/>
                  </w:tcMar>
                  <w:vAlign w:val="center"/>
                </w:tcPr>
                <w:p w14:paraId="14C201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eastAsia="zh-CN"/>
                    </w:rPr>
                    <w:t>采样点位</w:t>
                  </w:r>
                </w:p>
              </w:tc>
              <w:tc>
                <w:tcPr>
                  <w:tcW w:w="837" w:type="pct"/>
                  <w:vMerge w:val="restart"/>
                  <w:tcBorders>
                    <w:tl2br w:val="nil"/>
                    <w:tr2bl w:val="nil"/>
                  </w:tcBorders>
                  <w:noWrap w:val="0"/>
                  <w:tcMar>
                    <w:top w:w="0" w:type="dxa"/>
                    <w:left w:w="0" w:type="dxa"/>
                    <w:bottom w:w="0" w:type="dxa"/>
                    <w:right w:w="0" w:type="dxa"/>
                  </w:tcMar>
                  <w:vAlign w:val="center"/>
                </w:tcPr>
                <w:p w14:paraId="5EB3C8B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检测项目</w:t>
                  </w:r>
                </w:p>
              </w:tc>
              <w:tc>
                <w:tcPr>
                  <w:tcW w:w="519" w:type="pct"/>
                  <w:vMerge w:val="restart"/>
                  <w:tcBorders>
                    <w:tl2br w:val="nil"/>
                    <w:tr2bl w:val="nil"/>
                  </w:tcBorders>
                  <w:noWrap w:val="0"/>
                  <w:tcMar>
                    <w:top w:w="0" w:type="dxa"/>
                    <w:left w:w="0" w:type="dxa"/>
                    <w:bottom w:w="0" w:type="dxa"/>
                    <w:right w:w="0" w:type="dxa"/>
                  </w:tcMar>
                  <w:vAlign w:val="center"/>
                </w:tcPr>
                <w:p w14:paraId="681C288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单位</w:t>
                  </w:r>
                </w:p>
              </w:tc>
              <w:tc>
                <w:tcPr>
                  <w:tcW w:w="2204" w:type="pct"/>
                  <w:gridSpan w:val="4"/>
                  <w:tcBorders>
                    <w:tl2br w:val="nil"/>
                    <w:tr2bl w:val="nil"/>
                  </w:tcBorders>
                  <w:noWrap w:val="0"/>
                  <w:tcMar>
                    <w:top w:w="0" w:type="dxa"/>
                    <w:left w:w="0" w:type="dxa"/>
                    <w:bottom w:w="0" w:type="dxa"/>
                    <w:right w:w="0" w:type="dxa"/>
                  </w:tcMar>
                  <w:vAlign w:val="center"/>
                </w:tcPr>
                <w:p w14:paraId="63003AE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检测结果</w:t>
                  </w:r>
                </w:p>
              </w:tc>
            </w:tr>
            <w:tr w14:paraId="7E46D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092CFE03">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745" w:type="pct"/>
                  <w:vMerge w:val="continue"/>
                  <w:tcBorders>
                    <w:tl2br w:val="nil"/>
                    <w:tr2bl w:val="nil"/>
                  </w:tcBorders>
                  <w:noWrap w:val="0"/>
                  <w:tcMar>
                    <w:top w:w="0" w:type="dxa"/>
                    <w:left w:w="0" w:type="dxa"/>
                    <w:bottom w:w="0" w:type="dxa"/>
                    <w:right w:w="0" w:type="dxa"/>
                  </w:tcMar>
                  <w:vAlign w:val="center"/>
                </w:tcPr>
                <w:p w14:paraId="3D2CDC0B">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837" w:type="pct"/>
                  <w:vMerge w:val="continue"/>
                  <w:tcBorders>
                    <w:tl2br w:val="nil"/>
                    <w:tr2bl w:val="nil"/>
                  </w:tcBorders>
                  <w:noWrap w:val="0"/>
                  <w:tcMar>
                    <w:top w:w="0" w:type="dxa"/>
                    <w:left w:w="0" w:type="dxa"/>
                    <w:bottom w:w="0" w:type="dxa"/>
                    <w:right w:w="0" w:type="dxa"/>
                  </w:tcMar>
                  <w:vAlign w:val="center"/>
                </w:tcPr>
                <w:p w14:paraId="7796F71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519" w:type="pct"/>
                  <w:vMerge w:val="continue"/>
                  <w:tcBorders>
                    <w:tl2br w:val="nil"/>
                    <w:tr2bl w:val="nil"/>
                  </w:tcBorders>
                  <w:noWrap w:val="0"/>
                  <w:tcMar>
                    <w:top w:w="0" w:type="dxa"/>
                    <w:left w:w="0" w:type="dxa"/>
                    <w:bottom w:w="0" w:type="dxa"/>
                    <w:right w:w="0" w:type="dxa"/>
                  </w:tcMar>
                  <w:vAlign w:val="center"/>
                </w:tcPr>
                <w:p w14:paraId="4EB502E8">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556" w:type="pct"/>
                  <w:tcBorders>
                    <w:tl2br w:val="nil"/>
                    <w:tr2bl w:val="nil"/>
                  </w:tcBorders>
                  <w:noWrap w:val="0"/>
                  <w:tcMar>
                    <w:top w:w="0" w:type="dxa"/>
                    <w:left w:w="0" w:type="dxa"/>
                    <w:bottom w:w="0" w:type="dxa"/>
                    <w:right w:w="0" w:type="dxa"/>
                  </w:tcMar>
                  <w:vAlign w:val="center"/>
                </w:tcPr>
                <w:p w14:paraId="2E6AC07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第一次</w:t>
                  </w:r>
                </w:p>
              </w:tc>
              <w:tc>
                <w:tcPr>
                  <w:tcW w:w="556" w:type="pct"/>
                  <w:tcBorders>
                    <w:tl2br w:val="nil"/>
                    <w:tr2bl w:val="nil"/>
                  </w:tcBorders>
                  <w:noWrap w:val="0"/>
                  <w:tcMar>
                    <w:top w:w="0" w:type="dxa"/>
                    <w:left w:w="0" w:type="dxa"/>
                    <w:bottom w:w="0" w:type="dxa"/>
                    <w:right w:w="0" w:type="dxa"/>
                  </w:tcMar>
                  <w:vAlign w:val="center"/>
                </w:tcPr>
                <w:p w14:paraId="35FFCED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第二次</w:t>
                  </w:r>
                </w:p>
              </w:tc>
              <w:tc>
                <w:tcPr>
                  <w:tcW w:w="556" w:type="pct"/>
                  <w:tcBorders>
                    <w:tl2br w:val="nil"/>
                    <w:tr2bl w:val="nil"/>
                  </w:tcBorders>
                  <w:noWrap w:val="0"/>
                  <w:tcMar>
                    <w:top w:w="0" w:type="dxa"/>
                    <w:left w:w="0" w:type="dxa"/>
                    <w:bottom w:w="0" w:type="dxa"/>
                    <w:right w:w="0" w:type="dxa"/>
                  </w:tcMar>
                  <w:vAlign w:val="center"/>
                </w:tcPr>
                <w:p w14:paraId="2DE79F1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第三次</w:t>
                  </w:r>
                </w:p>
              </w:tc>
              <w:tc>
                <w:tcPr>
                  <w:tcW w:w="535" w:type="pct"/>
                  <w:tcBorders>
                    <w:tl2br w:val="nil"/>
                    <w:tr2bl w:val="nil"/>
                  </w:tcBorders>
                  <w:noWrap w:val="0"/>
                  <w:tcMar>
                    <w:top w:w="0" w:type="dxa"/>
                    <w:left w:w="0" w:type="dxa"/>
                    <w:bottom w:w="0" w:type="dxa"/>
                    <w:right w:w="0" w:type="dxa"/>
                  </w:tcMar>
                  <w:vAlign w:val="center"/>
                </w:tcPr>
                <w:p w14:paraId="2D5F4DF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第四次</w:t>
                  </w:r>
                </w:p>
              </w:tc>
            </w:tr>
            <w:tr w14:paraId="5E44F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tl2br w:val="nil"/>
                    <w:tr2bl w:val="nil"/>
                  </w:tcBorders>
                  <w:noWrap w:val="0"/>
                  <w:tcMar>
                    <w:top w:w="0" w:type="dxa"/>
                    <w:left w:w="0" w:type="dxa"/>
                    <w:bottom w:w="0" w:type="dxa"/>
                    <w:right w:w="0" w:type="dxa"/>
                  </w:tcMar>
                  <w:vAlign w:val="center"/>
                </w:tcPr>
                <w:p w14:paraId="6F936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2022.01.07</w:t>
                  </w:r>
                </w:p>
              </w:tc>
              <w:tc>
                <w:tcPr>
                  <w:tcW w:w="745" w:type="pct"/>
                  <w:vMerge w:val="restart"/>
                  <w:tcBorders>
                    <w:tl2br w:val="nil"/>
                    <w:tr2bl w:val="nil"/>
                  </w:tcBorders>
                  <w:noWrap w:val="0"/>
                  <w:tcMar>
                    <w:top w:w="0" w:type="dxa"/>
                    <w:left w:w="0" w:type="dxa"/>
                    <w:bottom w:w="0" w:type="dxa"/>
                    <w:right w:w="0" w:type="dxa"/>
                  </w:tcMar>
                  <w:vAlign w:val="center"/>
                </w:tcPr>
                <w:p w14:paraId="7F8450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厂区总排口</w:t>
                  </w:r>
                </w:p>
              </w:tc>
              <w:tc>
                <w:tcPr>
                  <w:tcW w:w="837" w:type="pct"/>
                  <w:tcBorders>
                    <w:tl2br w:val="nil"/>
                    <w:tr2bl w:val="nil"/>
                  </w:tcBorders>
                  <w:noWrap w:val="0"/>
                  <w:tcMar>
                    <w:top w:w="0" w:type="dxa"/>
                    <w:left w:w="0" w:type="dxa"/>
                    <w:bottom w:w="0" w:type="dxa"/>
                    <w:right w:w="0" w:type="dxa"/>
                  </w:tcMar>
                  <w:vAlign w:val="center"/>
                </w:tcPr>
                <w:p w14:paraId="46D6CA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pH值</w:t>
                  </w:r>
                </w:p>
              </w:tc>
              <w:tc>
                <w:tcPr>
                  <w:tcW w:w="519" w:type="pct"/>
                  <w:tcBorders>
                    <w:tl2br w:val="nil"/>
                    <w:tr2bl w:val="nil"/>
                  </w:tcBorders>
                  <w:noWrap w:val="0"/>
                  <w:tcMar>
                    <w:top w:w="0" w:type="dxa"/>
                    <w:left w:w="0" w:type="dxa"/>
                    <w:bottom w:w="0" w:type="dxa"/>
                    <w:right w:w="0" w:type="dxa"/>
                  </w:tcMar>
                  <w:vAlign w:val="center"/>
                </w:tcPr>
                <w:p w14:paraId="74895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无量纲</w:t>
                  </w:r>
                </w:p>
              </w:tc>
              <w:tc>
                <w:tcPr>
                  <w:tcW w:w="556" w:type="pct"/>
                  <w:tcBorders>
                    <w:tl2br w:val="nil"/>
                    <w:tr2bl w:val="nil"/>
                  </w:tcBorders>
                  <w:noWrap w:val="0"/>
                  <w:tcMar>
                    <w:top w:w="0" w:type="dxa"/>
                    <w:left w:w="0" w:type="dxa"/>
                    <w:bottom w:w="0" w:type="dxa"/>
                    <w:right w:w="0" w:type="dxa"/>
                  </w:tcMar>
                  <w:vAlign w:val="center"/>
                </w:tcPr>
                <w:p w14:paraId="716C0D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7.6</w:t>
                  </w:r>
                </w:p>
              </w:tc>
              <w:tc>
                <w:tcPr>
                  <w:tcW w:w="556" w:type="pct"/>
                  <w:tcBorders>
                    <w:tl2br w:val="nil"/>
                    <w:tr2bl w:val="nil"/>
                  </w:tcBorders>
                  <w:noWrap w:val="0"/>
                  <w:tcMar>
                    <w:top w:w="0" w:type="dxa"/>
                    <w:left w:w="0" w:type="dxa"/>
                    <w:bottom w:w="0" w:type="dxa"/>
                    <w:right w:w="0" w:type="dxa"/>
                  </w:tcMar>
                  <w:vAlign w:val="center"/>
                </w:tcPr>
                <w:p w14:paraId="0BC466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7.5</w:t>
                  </w:r>
                </w:p>
              </w:tc>
              <w:tc>
                <w:tcPr>
                  <w:tcW w:w="556" w:type="pct"/>
                  <w:tcBorders>
                    <w:tl2br w:val="nil"/>
                    <w:tr2bl w:val="nil"/>
                  </w:tcBorders>
                  <w:noWrap w:val="0"/>
                  <w:tcMar>
                    <w:top w:w="0" w:type="dxa"/>
                    <w:left w:w="0" w:type="dxa"/>
                    <w:bottom w:w="0" w:type="dxa"/>
                    <w:right w:w="0" w:type="dxa"/>
                  </w:tcMar>
                  <w:vAlign w:val="center"/>
                </w:tcPr>
                <w:p w14:paraId="4D6513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7.5</w:t>
                  </w:r>
                </w:p>
              </w:tc>
              <w:tc>
                <w:tcPr>
                  <w:tcW w:w="535" w:type="pct"/>
                  <w:tcBorders>
                    <w:tl2br w:val="nil"/>
                    <w:tr2bl w:val="nil"/>
                  </w:tcBorders>
                  <w:noWrap w:val="0"/>
                  <w:tcMar>
                    <w:top w:w="0" w:type="dxa"/>
                    <w:left w:w="0" w:type="dxa"/>
                    <w:bottom w:w="0" w:type="dxa"/>
                    <w:right w:w="0" w:type="dxa"/>
                  </w:tcMar>
                  <w:vAlign w:val="center"/>
                </w:tcPr>
                <w:p w14:paraId="5179AD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7.4</w:t>
                  </w:r>
                </w:p>
              </w:tc>
            </w:tr>
            <w:tr w14:paraId="61D23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19C5B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4A9FA93A">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3382C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化学需氧量</w:t>
                  </w:r>
                </w:p>
              </w:tc>
              <w:tc>
                <w:tcPr>
                  <w:tcW w:w="519" w:type="pct"/>
                  <w:tcBorders>
                    <w:tl2br w:val="nil"/>
                    <w:tr2bl w:val="nil"/>
                  </w:tcBorders>
                  <w:noWrap w:val="0"/>
                  <w:tcMar>
                    <w:top w:w="0" w:type="dxa"/>
                    <w:left w:w="0" w:type="dxa"/>
                    <w:bottom w:w="0" w:type="dxa"/>
                    <w:right w:w="0" w:type="dxa"/>
                  </w:tcMar>
                  <w:vAlign w:val="center"/>
                </w:tcPr>
                <w:p w14:paraId="771D83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0F47B3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112</w:t>
                  </w:r>
                </w:p>
              </w:tc>
              <w:tc>
                <w:tcPr>
                  <w:tcW w:w="556" w:type="pct"/>
                  <w:tcBorders>
                    <w:tl2br w:val="nil"/>
                    <w:tr2bl w:val="nil"/>
                  </w:tcBorders>
                  <w:noWrap w:val="0"/>
                  <w:tcMar>
                    <w:top w:w="0" w:type="dxa"/>
                    <w:left w:w="0" w:type="dxa"/>
                    <w:bottom w:w="0" w:type="dxa"/>
                    <w:right w:w="0" w:type="dxa"/>
                  </w:tcMar>
                  <w:vAlign w:val="center"/>
                </w:tcPr>
                <w:p w14:paraId="5BD3E9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93</w:t>
                  </w:r>
                </w:p>
              </w:tc>
              <w:tc>
                <w:tcPr>
                  <w:tcW w:w="556" w:type="pct"/>
                  <w:tcBorders>
                    <w:tl2br w:val="nil"/>
                    <w:tr2bl w:val="nil"/>
                  </w:tcBorders>
                  <w:noWrap w:val="0"/>
                  <w:tcMar>
                    <w:top w:w="0" w:type="dxa"/>
                    <w:left w:w="0" w:type="dxa"/>
                    <w:bottom w:w="0" w:type="dxa"/>
                    <w:right w:w="0" w:type="dxa"/>
                  </w:tcMar>
                  <w:vAlign w:val="center"/>
                </w:tcPr>
                <w:p w14:paraId="06FA5A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102</w:t>
                  </w:r>
                </w:p>
              </w:tc>
              <w:tc>
                <w:tcPr>
                  <w:tcW w:w="535" w:type="pct"/>
                  <w:tcBorders>
                    <w:tl2br w:val="nil"/>
                    <w:tr2bl w:val="nil"/>
                  </w:tcBorders>
                  <w:noWrap w:val="0"/>
                  <w:tcMar>
                    <w:top w:w="0" w:type="dxa"/>
                    <w:left w:w="0" w:type="dxa"/>
                    <w:bottom w:w="0" w:type="dxa"/>
                    <w:right w:w="0" w:type="dxa"/>
                  </w:tcMar>
                  <w:vAlign w:val="center"/>
                </w:tcPr>
                <w:p w14:paraId="5D85C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90</w:t>
                  </w:r>
                </w:p>
              </w:tc>
            </w:tr>
            <w:tr w14:paraId="39DB8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01856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67EC140C">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2DB5EC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悬浮物</w:t>
                  </w:r>
                </w:p>
              </w:tc>
              <w:tc>
                <w:tcPr>
                  <w:tcW w:w="519" w:type="pct"/>
                  <w:tcBorders>
                    <w:tl2br w:val="nil"/>
                    <w:tr2bl w:val="nil"/>
                  </w:tcBorders>
                  <w:noWrap w:val="0"/>
                  <w:tcMar>
                    <w:top w:w="0" w:type="dxa"/>
                    <w:left w:w="0" w:type="dxa"/>
                    <w:bottom w:w="0" w:type="dxa"/>
                    <w:right w:w="0" w:type="dxa"/>
                  </w:tcMar>
                  <w:vAlign w:val="center"/>
                </w:tcPr>
                <w:p w14:paraId="3C698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7EE0E9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78</w:t>
                  </w:r>
                </w:p>
              </w:tc>
              <w:tc>
                <w:tcPr>
                  <w:tcW w:w="556" w:type="pct"/>
                  <w:tcBorders>
                    <w:tl2br w:val="nil"/>
                    <w:tr2bl w:val="nil"/>
                  </w:tcBorders>
                  <w:noWrap w:val="0"/>
                  <w:tcMar>
                    <w:top w:w="0" w:type="dxa"/>
                    <w:left w:w="0" w:type="dxa"/>
                    <w:bottom w:w="0" w:type="dxa"/>
                    <w:right w:w="0" w:type="dxa"/>
                  </w:tcMar>
                  <w:vAlign w:val="center"/>
                </w:tcPr>
                <w:p w14:paraId="7B13B5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87</w:t>
                  </w:r>
                </w:p>
              </w:tc>
              <w:tc>
                <w:tcPr>
                  <w:tcW w:w="556" w:type="pct"/>
                  <w:tcBorders>
                    <w:tl2br w:val="nil"/>
                    <w:tr2bl w:val="nil"/>
                  </w:tcBorders>
                  <w:noWrap w:val="0"/>
                  <w:tcMar>
                    <w:top w:w="0" w:type="dxa"/>
                    <w:left w:w="0" w:type="dxa"/>
                    <w:bottom w:w="0" w:type="dxa"/>
                    <w:right w:w="0" w:type="dxa"/>
                  </w:tcMar>
                  <w:vAlign w:val="center"/>
                </w:tcPr>
                <w:p w14:paraId="23A301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81</w:t>
                  </w:r>
                </w:p>
              </w:tc>
              <w:tc>
                <w:tcPr>
                  <w:tcW w:w="535" w:type="pct"/>
                  <w:tcBorders>
                    <w:tl2br w:val="nil"/>
                    <w:tr2bl w:val="nil"/>
                  </w:tcBorders>
                  <w:noWrap w:val="0"/>
                  <w:tcMar>
                    <w:top w:w="0" w:type="dxa"/>
                    <w:left w:w="0" w:type="dxa"/>
                    <w:bottom w:w="0" w:type="dxa"/>
                    <w:right w:w="0" w:type="dxa"/>
                  </w:tcMar>
                  <w:vAlign w:val="center"/>
                </w:tcPr>
                <w:p w14:paraId="204643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85</w:t>
                  </w:r>
                </w:p>
              </w:tc>
            </w:tr>
            <w:tr w14:paraId="0F24E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67CA13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05AE8100">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5E308A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氨氮</w:t>
                  </w:r>
                </w:p>
              </w:tc>
              <w:tc>
                <w:tcPr>
                  <w:tcW w:w="519" w:type="pct"/>
                  <w:tcBorders>
                    <w:tl2br w:val="nil"/>
                    <w:tr2bl w:val="nil"/>
                  </w:tcBorders>
                  <w:noWrap w:val="0"/>
                  <w:tcMar>
                    <w:top w:w="0" w:type="dxa"/>
                    <w:left w:w="0" w:type="dxa"/>
                    <w:bottom w:w="0" w:type="dxa"/>
                    <w:right w:w="0" w:type="dxa"/>
                  </w:tcMar>
                  <w:vAlign w:val="center"/>
                </w:tcPr>
                <w:p w14:paraId="7A2AE2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61BFC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2.57</w:t>
                  </w:r>
                </w:p>
              </w:tc>
              <w:tc>
                <w:tcPr>
                  <w:tcW w:w="556" w:type="pct"/>
                  <w:tcBorders>
                    <w:tl2br w:val="nil"/>
                    <w:tr2bl w:val="nil"/>
                  </w:tcBorders>
                  <w:noWrap w:val="0"/>
                  <w:tcMar>
                    <w:top w:w="0" w:type="dxa"/>
                    <w:left w:w="0" w:type="dxa"/>
                    <w:bottom w:w="0" w:type="dxa"/>
                    <w:right w:w="0" w:type="dxa"/>
                  </w:tcMar>
                  <w:vAlign w:val="center"/>
                </w:tcPr>
                <w:p w14:paraId="47033F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2.74</w:t>
                  </w:r>
                </w:p>
              </w:tc>
              <w:tc>
                <w:tcPr>
                  <w:tcW w:w="556" w:type="pct"/>
                  <w:tcBorders>
                    <w:tl2br w:val="nil"/>
                    <w:tr2bl w:val="nil"/>
                  </w:tcBorders>
                  <w:noWrap w:val="0"/>
                  <w:tcMar>
                    <w:top w:w="0" w:type="dxa"/>
                    <w:left w:w="0" w:type="dxa"/>
                    <w:bottom w:w="0" w:type="dxa"/>
                    <w:right w:w="0" w:type="dxa"/>
                  </w:tcMar>
                  <w:vAlign w:val="center"/>
                </w:tcPr>
                <w:p w14:paraId="0AEAC1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2.65</w:t>
                  </w:r>
                </w:p>
              </w:tc>
              <w:tc>
                <w:tcPr>
                  <w:tcW w:w="535" w:type="pct"/>
                  <w:tcBorders>
                    <w:tl2br w:val="nil"/>
                    <w:tr2bl w:val="nil"/>
                  </w:tcBorders>
                  <w:noWrap w:val="0"/>
                  <w:tcMar>
                    <w:top w:w="0" w:type="dxa"/>
                    <w:left w:w="0" w:type="dxa"/>
                    <w:bottom w:w="0" w:type="dxa"/>
                    <w:right w:w="0" w:type="dxa"/>
                  </w:tcMar>
                  <w:vAlign w:val="center"/>
                </w:tcPr>
                <w:p w14:paraId="5C7884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2.55</w:t>
                  </w:r>
                </w:p>
              </w:tc>
            </w:tr>
            <w:tr w14:paraId="4C902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5B70F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77F7F91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75E10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总磷</w:t>
                  </w:r>
                </w:p>
              </w:tc>
              <w:tc>
                <w:tcPr>
                  <w:tcW w:w="519" w:type="pct"/>
                  <w:tcBorders>
                    <w:tl2br w:val="nil"/>
                    <w:tr2bl w:val="nil"/>
                  </w:tcBorders>
                  <w:noWrap w:val="0"/>
                  <w:tcMar>
                    <w:top w:w="0" w:type="dxa"/>
                    <w:left w:w="0" w:type="dxa"/>
                    <w:bottom w:w="0" w:type="dxa"/>
                    <w:right w:w="0" w:type="dxa"/>
                  </w:tcMar>
                  <w:vAlign w:val="center"/>
                </w:tcPr>
                <w:p w14:paraId="78FB6C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4D0558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0.41</w:t>
                  </w:r>
                </w:p>
              </w:tc>
              <w:tc>
                <w:tcPr>
                  <w:tcW w:w="556" w:type="pct"/>
                  <w:tcBorders>
                    <w:tl2br w:val="nil"/>
                    <w:tr2bl w:val="nil"/>
                  </w:tcBorders>
                  <w:noWrap w:val="0"/>
                  <w:tcMar>
                    <w:top w:w="0" w:type="dxa"/>
                    <w:left w:w="0" w:type="dxa"/>
                    <w:bottom w:w="0" w:type="dxa"/>
                    <w:right w:w="0" w:type="dxa"/>
                  </w:tcMar>
                  <w:vAlign w:val="center"/>
                </w:tcPr>
                <w:p w14:paraId="602463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0.60</w:t>
                  </w:r>
                </w:p>
              </w:tc>
              <w:tc>
                <w:tcPr>
                  <w:tcW w:w="556" w:type="pct"/>
                  <w:tcBorders>
                    <w:tl2br w:val="nil"/>
                    <w:tr2bl w:val="nil"/>
                  </w:tcBorders>
                  <w:noWrap w:val="0"/>
                  <w:tcMar>
                    <w:top w:w="0" w:type="dxa"/>
                    <w:left w:w="0" w:type="dxa"/>
                    <w:bottom w:w="0" w:type="dxa"/>
                    <w:right w:w="0" w:type="dxa"/>
                  </w:tcMar>
                  <w:vAlign w:val="center"/>
                </w:tcPr>
                <w:p w14:paraId="5D9BFC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0.52</w:t>
                  </w:r>
                </w:p>
              </w:tc>
              <w:tc>
                <w:tcPr>
                  <w:tcW w:w="535" w:type="pct"/>
                  <w:tcBorders>
                    <w:tl2br w:val="nil"/>
                    <w:tr2bl w:val="nil"/>
                  </w:tcBorders>
                  <w:noWrap w:val="0"/>
                  <w:tcMar>
                    <w:top w:w="0" w:type="dxa"/>
                    <w:left w:w="0" w:type="dxa"/>
                    <w:bottom w:w="0" w:type="dxa"/>
                    <w:right w:w="0" w:type="dxa"/>
                  </w:tcMar>
                  <w:vAlign w:val="center"/>
                </w:tcPr>
                <w:p w14:paraId="1DE942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0.47</w:t>
                  </w:r>
                </w:p>
              </w:tc>
            </w:tr>
            <w:tr w14:paraId="7FE8B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3498C6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620E13A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751643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总氮</w:t>
                  </w:r>
                </w:p>
              </w:tc>
              <w:tc>
                <w:tcPr>
                  <w:tcW w:w="519" w:type="pct"/>
                  <w:tcBorders>
                    <w:tl2br w:val="nil"/>
                    <w:tr2bl w:val="nil"/>
                  </w:tcBorders>
                  <w:noWrap w:val="0"/>
                  <w:tcMar>
                    <w:top w:w="0" w:type="dxa"/>
                    <w:left w:w="0" w:type="dxa"/>
                    <w:bottom w:w="0" w:type="dxa"/>
                    <w:right w:w="0" w:type="dxa"/>
                  </w:tcMar>
                  <w:vAlign w:val="center"/>
                </w:tcPr>
                <w:p w14:paraId="1ECC8D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680CC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6.29</w:t>
                  </w:r>
                </w:p>
              </w:tc>
              <w:tc>
                <w:tcPr>
                  <w:tcW w:w="556" w:type="pct"/>
                  <w:tcBorders>
                    <w:tl2br w:val="nil"/>
                    <w:tr2bl w:val="nil"/>
                  </w:tcBorders>
                  <w:noWrap w:val="0"/>
                  <w:tcMar>
                    <w:top w:w="0" w:type="dxa"/>
                    <w:left w:w="0" w:type="dxa"/>
                    <w:bottom w:w="0" w:type="dxa"/>
                    <w:right w:w="0" w:type="dxa"/>
                  </w:tcMar>
                  <w:vAlign w:val="center"/>
                </w:tcPr>
                <w:p w14:paraId="713EDA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7.26</w:t>
                  </w:r>
                </w:p>
              </w:tc>
              <w:tc>
                <w:tcPr>
                  <w:tcW w:w="556" w:type="pct"/>
                  <w:tcBorders>
                    <w:tl2br w:val="nil"/>
                    <w:tr2bl w:val="nil"/>
                  </w:tcBorders>
                  <w:noWrap w:val="0"/>
                  <w:tcMar>
                    <w:top w:w="0" w:type="dxa"/>
                    <w:left w:w="0" w:type="dxa"/>
                    <w:bottom w:w="0" w:type="dxa"/>
                    <w:right w:w="0" w:type="dxa"/>
                  </w:tcMar>
                  <w:vAlign w:val="center"/>
                </w:tcPr>
                <w:p w14:paraId="78319F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6.76</w:t>
                  </w:r>
                </w:p>
              </w:tc>
              <w:tc>
                <w:tcPr>
                  <w:tcW w:w="535" w:type="pct"/>
                  <w:tcBorders>
                    <w:tl2br w:val="nil"/>
                    <w:tr2bl w:val="nil"/>
                  </w:tcBorders>
                  <w:noWrap w:val="0"/>
                  <w:tcMar>
                    <w:top w:w="0" w:type="dxa"/>
                    <w:left w:w="0" w:type="dxa"/>
                    <w:bottom w:w="0" w:type="dxa"/>
                    <w:right w:w="0" w:type="dxa"/>
                  </w:tcMar>
                  <w:vAlign w:val="center"/>
                </w:tcPr>
                <w:p w14:paraId="6342A1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7.78</w:t>
                  </w:r>
                </w:p>
              </w:tc>
            </w:tr>
            <w:tr w14:paraId="37D68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tl2br w:val="nil"/>
                    <w:tr2bl w:val="nil"/>
                  </w:tcBorders>
                  <w:noWrap w:val="0"/>
                  <w:tcMar>
                    <w:top w:w="0" w:type="dxa"/>
                    <w:left w:w="0" w:type="dxa"/>
                    <w:bottom w:w="0" w:type="dxa"/>
                    <w:right w:w="0" w:type="dxa"/>
                  </w:tcMar>
                  <w:vAlign w:val="center"/>
                </w:tcPr>
                <w:p w14:paraId="127606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2022.01.08</w:t>
                  </w:r>
                </w:p>
              </w:tc>
              <w:tc>
                <w:tcPr>
                  <w:tcW w:w="745" w:type="pct"/>
                  <w:vMerge w:val="continue"/>
                  <w:tcBorders>
                    <w:tl2br w:val="nil"/>
                    <w:tr2bl w:val="nil"/>
                  </w:tcBorders>
                  <w:noWrap w:val="0"/>
                  <w:tcMar>
                    <w:top w:w="0" w:type="dxa"/>
                    <w:left w:w="0" w:type="dxa"/>
                    <w:bottom w:w="0" w:type="dxa"/>
                    <w:right w:w="0" w:type="dxa"/>
                  </w:tcMar>
                  <w:vAlign w:val="center"/>
                </w:tcPr>
                <w:p w14:paraId="6C9A7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2C9F4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pH值</w:t>
                  </w:r>
                </w:p>
              </w:tc>
              <w:tc>
                <w:tcPr>
                  <w:tcW w:w="519" w:type="pct"/>
                  <w:tcBorders>
                    <w:tl2br w:val="nil"/>
                    <w:tr2bl w:val="nil"/>
                  </w:tcBorders>
                  <w:noWrap w:val="0"/>
                  <w:tcMar>
                    <w:top w:w="0" w:type="dxa"/>
                    <w:left w:w="0" w:type="dxa"/>
                    <w:bottom w:w="0" w:type="dxa"/>
                    <w:right w:w="0" w:type="dxa"/>
                  </w:tcMar>
                  <w:vAlign w:val="center"/>
                </w:tcPr>
                <w:p w14:paraId="315A44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无量纲</w:t>
                  </w:r>
                </w:p>
              </w:tc>
              <w:tc>
                <w:tcPr>
                  <w:tcW w:w="556" w:type="pct"/>
                  <w:tcBorders>
                    <w:tl2br w:val="nil"/>
                    <w:tr2bl w:val="nil"/>
                  </w:tcBorders>
                  <w:noWrap w:val="0"/>
                  <w:tcMar>
                    <w:top w:w="0" w:type="dxa"/>
                    <w:left w:w="0" w:type="dxa"/>
                    <w:bottom w:w="0" w:type="dxa"/>
                    <w:right w:w="0" w:type="dxa"/>
                  </w:tcMar>
                  <w:vAlign w:val="center"/>
                </w:tcPr>
                <w:p w14:paraId="08DD5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7.4</w:t>
                  </w:r>
                </w:p>
              </w:tc>
              <w:tc>
                <w:tcPr>
                  <w:tcW w:w="556" w:type="pct"/>
                  <w:tcBorders>
                    <w:tl2br w:val="nil"/>
                    <w:tr2bl w:val="nil"/>
                  </w:tcBorders>
                  <w:noWrap w:val="0"/>
                  <w:tcMar>
                    <w:top w:w="0" w:type="dxa"/>
                    <w:left w:w="0" w:type="dxa"/>
                    <w:bottom w:w="0" w:type="dxa"/>
                    <w:right w:w="0" w:type="dxa"/>
                  </w:tcMar>
                  <w:vAlign w:val="center"/>
                </w:tcPr>
                <w:p w14:paraId="50F32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7.4</w:t>
                  </w:r>
                </w:p>
              </w:tc>
              <w:tc>
                <w:tcPr>
                  <w:tcW w:w="556" w:type="pct"/>
                  <w:tcBorders>
                    <w:tl2br w:val="nil"/>
                    <w:tr2bl w:val="nil"/>
                  </w:tcBorders>
                  <w:noWrap w:val="0"/>
                  <w:tcMar>
                    <w:top w:w="0" w:type="dxa"/>
                    <w:left w:w="0" w:type="dxa"/>
                    <w:bottom w:w="0" w:type="dxa"/>
                    <w:right w:w="0" w:type="dxa"/>
                  </w:tcMar>
                  <w:vAlign w:val="center"/>
                </w:tcPr>
                <w:p w14:paraId="6D8D74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7.5</w:t>
                  </w:r>
                </w:p>
              </w:tc>
              <w:tc>
                <w:tcPr>
                  <w:tcW w:w="535" w:type="pct"/>
                  <w:tcBorders>
                    <w:tl2br w:val="nil"/>
                    <w:tr2bl w:val="nil"/>
                  </w:tcBorders>
                  <w:noWrap w:val="0"/>
                  <w:tcMar>
                    <w:top w:w="0" w:type="dxa"/>
                    <w:left w:w="0" w:type="dxa"/>
                    <w:bottom w:w="0" w:type="dxa"/>
                    <w:right w:w="0" w:type="dxa"/>
                  </w:tcMar>
                  <w:vAlign w:val="center"/>
                </w:tcPr>
                <w:p w14:paraId="729D9A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7.5</w:t>
                  </w:r>
                </w:p>
              </w:tc>
            </w:tr>
            <w:tr w14:paraId="2AE4A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3D542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282124B7">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313F2F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化学需氧量</w:t>
                  </w:r>
                </w:p>
              </w:tc>
              <w:tc>
                <w:tcPr>
                  <w:tcW w:w="519" w:type="pct"/>
                  <w:tcBorders>
                    <w:tl2br w:val="nil"/>
                    <w:tr2bl w:val="nil"/>
                  </w:tcBorders>
                  <w:noWrap w:val="0"/>
                  <w:tcMar>
                    <w:top w:w="0" w:type="dxa"/>
                    <w:left w:w="0" w:type="dxa"/>
                    <w:bottom w:w="0" w:type="dxa"/>
                    <w:right w:w="0" w:type="dxa"/>
                  </w:tcMar>
                  <w:vAlign w:val="center"/>
                </w:tcPr>
                <w:p w14:paraId="209FB1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53E5D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109</w:t>
                  </w:r>
                </w:p>
              </w:tc>
              <w:tc>
                <w:tcPr>
                  <w:tcW w:w="556" w:type="pct"/>
                  <w:tcBorders>
                    <w:tl2br w:val="nil"/>
                    <w:tr2bl w:val="nil"/>
                  </w:tcBorders>
                  <w:noWrap w:val="0"/>
                  <w:tcMar>
                    <w:top w:w="0" w:type="dxa"/>
                    <w:left w:w="0" w:type="dxa"/>
                    <w:bottom w:w="0" w:type="dxa"/>
                    <w:right w:w="0" w:type="dxa"/>
                  </w:tcMar>
                  <w:vAlign w:val="center"/>
                </w:tcPr>
                <w:p w14:paraId="1A7C3C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113</w:t>
                  </w:r>
                </w:p>
              </w:tc>
              <w:tc>
                <w:tcPr>
                  <w:tcW w:w="556" w:type="pct"/>
                  <w:tcBorders>
                    <w:tl2br w:val="nil"/>
                    <w:tr2bl w:val="nil"/>
                  </w:tcBorders>
                  <w:noWrap w:val="0"/>
                  <w:tcMar>
                    <w:top w:w="0" w:type="dxa"/>
                    <w:left w:w="0" w:type="dxa"/>
                    <w:bottom w:w="0" w:type="dxa"/>
                    <w:right w:w="0" w:type="dxa"/>
                  </w:tcMar>
                  <w:vAlign w:val="center"/>
                </w:tcPr>
                <w:p w14:paraId="65DA1C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94</w:t>
                  </w:r>
                </w:p>
              </w:tc>
              <w:tc>
                <w:tcPr>
                  <w:tcW w:w="535" w:type="pct"/>
                  <w:tcBorders>
                    <w:tl2br w:val="nil"/>
                    <w:tr2bl w:val="nil"/>
                  </w:tcBorders>
                  <w:noWrap w:val="0"/>
                  <w:tcMar>
                    <w:top w:w="0" w:type="dxa"/>
                    <w:left w:w="0" w:type="dxa"/>
                    <w:bottom w:w="0" w:type="dxa"/>
                    <w:right w:w="0" w:type="dxa"/>
                  </w:tcMar>
                  <w:vAlign w:val="center"/>
                </w:tcPr>
                <w:p w14:paraId="216B32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104</w:t>
                  </w:r>
                </w:p>
              </w:tc>
            </w:tr>
            <w:tr w14:paraId="4BDE7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711075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560FEA54">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0006A3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悬浮物</w:t>
                  </w:r>
                </w:p>
              </w:tc>
              <w:tc>
                <w:tcPr>
                  <w:tcW w:w="519" w:type="pct"/>
                  <w:tcBorders>
                    <w:tl2br w:val="nil"/>
                    <w:tr2bl w:val="nil"/>
                  </w:tcBorders>
                  <w:noWrap w:val="0"/>
                  <w:tcMar>
                    <w:top w:w="0" w:type="dxa"/>
                    <w:left w:w="0" w:type="dxa"/>
                    <w:bottom w:w="0" w:type="dxa"/>
                    <w:right w:w="0" w:type="dxa"/>
                  </w:tcMar>
                  <w:vAlign w:val="center"/>
                </w:tcPr>
                <w:p w14:paraId="13194C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2F21F9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73</w:t>
                  </w:r>
                </w:p>
              </w:tc>
              <w:tc>
                <w:tcPr>
                  <w:tcW w:w="556" w:type="pct"/>
                  <w:tcBorders>
                    <w:tl2br w:val="nil"/>
                    <w:tr2bl w:val="nil"/>
                  </w:tcBorders>
                  <w:noWrap w:val="0"/>
                  <w:tcMar>
                    <w:top w:w="0" w:type="dxa"/>
                    <w:left w:w="0" w:type="dxa"/>
                    <w:bottom w:w="0" w:type="dxa"/>
                    <w:right w:w="0" w:type="dxa"/>
                  </w:tcMar>
                  <w:vAlign w:val="center"/>
                </w:tcPr>
                <w:p w14:paraId="32502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84</w:t>
                  </w:r>
                </w:p>
              </w:tc>
              <w:tc>
                <w:tcPr>
                  <w:tcW w:w="556" w:type="pct"/>
                  <w:tcBorders>
                    <w:tl2br w:val="nil"/>
                    <w:tr2bl w:val="nil"/>
                  </w:tcBorders>
                  <w:noWrap w:val="0"/>
                  <w:tcMar>
                    <w:top w:w="0" w:type="dxa"/>
                    <w:left w:w="0" w:type="dxa"/>
                    <w:bottom w:w="0" w:type="dxa"/>
                    <w:right w:w="0" w:type="dxa"/>
                  </w:tcMar>
                  <w:vAlign w:val="center"/>
                </w:tcPr>
                <w:p w14:paraId="1966F2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75</w:t>
                  </w:r>
                </w:p>
              </w:tc>
              <w:tc>
                <w:tcPr>
                  <w:tcW w:w="535" w:type="pct"/>
                  <w:tcBorders>
                    <w:tl2br w:val="nil"/>
                    <w:tr2bl w:val="nil"/>
                  </w:tcBorders>
                  <w:noWrap w:val="0"/>
                  <w:tcMar>
                    <w:top w:w="0" w:type="dxa"/>
                    <w:left w:w="0" w:type="dxa"/>
                    <w:bottom w:w="0" w:type="dxa"/>
                    <w:right w:w="0" w:type="dxa"/>
                  </w:tcMar>
                  <w:vAlign w:val="center"/>
                </w:tcPr>
                <w:p w14:paraId="26551D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89</w:t>
                  </w:r>
                </w:p>
              </w:tc>
            </w:tr>
            <w:tr w14:paraId="697BB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3E01B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5CFC2C21">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49181E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氨氮</w:t>
                  </w:r>
                </w:p>
              </w:tc>
              <w:tc>
                <w:tcPr>
                  <w:tcW w:w="519" w:type="pct"/>
                  <w:tcBorders>
                    <w:tl2br w:val="nil"/>
                    <w:tr2bl w:val="nil"/>
                  </w:tcBorders>
                  <w:noWrap w:val="0"/>
                  <w:tcMar>
                    <w:top w:w="0" w:type="dxa"/>
                    <w:left w:w="0" w:type="dxa"/>
                    <w:bottom w:w="0" w:type="dxa"/>
                    <w:right w:w="0" w:type="dxa"/>
                  </w:tcMar>
                  <w:vAlign w:val="center"/>
                </w:tcPr>
                <w:p w14:paraId="77971B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6EA9A7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2.75</w:t>
                  </w:r>
                </w:p>
              </w:tc>
              <w:tc>
                <w:tcPr>
                  <w:tcW w:w="556" w:type="pct"/>
                  <w:tcBorders>
                    <w:tl2br w:val="nil"/>
                    <w:tr2bl w:val="nil"/>
                  </w:tcBorders>
                  <w:noWrap w:val="0"/>
                  <w:tcMar>
                    <w:top w:w="0" w:type="dxa"/>
                    <w:left w:w="0" w:type="dxa"/>
                    <w:bottom w:w="0" w:type="dxa"/>
                    <w:right w:w="0" w:type="dxa"/>
                  </w:tcMar>
                  <w:vAlign w:val="center"/>
                </w:tcPr>
                <w:p w14:paraId="276D97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2.63</w:t>
                  </w:r>
                </w:p>
              </w:tc>
              <w:tc>
                <w:tcPr>
                  <w:tcW w:w="556" w:type="pct"/>
                  <w:tcBorders>
                    <w:tl2br w:val="nil"/>
                    <w:tr2bl w:val="nil"/>
                  </w:tcBorders>
                  <w:noWrap w:val="0"/>
                  <w:tcMar>
                    <w:top w:w="0" w:type="dxa"/>
                    <w:left w:w="0" w:type="dxa"/>
                    <w:bottom w:w="0" w:type="dxa"/>
                    <w:right w:w="0" w:type="dxa"/>
                  </w:tcMar>
                  <w:vAlign w:val="center"/>
                </w:tcPr>
                <w:p w14:paraId="0FC160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2.88</w:t>
                  </w:r>
                </w:p>
              </w:tc>
              <w:tc>
                <w:tcPr>
                  <w:tcW w:w="535" w:type="pct"/>
                  <w:tcBorders>
                    <w:tl2br w:val="nil"/>
                    <w:tr2bl w:val="nil"/>
                  </w:tcBorders>
                  <w:noWrap w:val="0"/>
                  <w:tcMar>
                    <w:top w:w="0" w:type="dxa"/>
                    <w:left w:w="0" w:type="dxa"/>
                    <w:bottom w:w="0" w:type="dxa"/>
                    <w:right w:w="0" w:type="dxa"/>
                  </w:tcMar>
                  <w:vAlign w:val="center"/>
                </w:tcPr>
                <w:p w14:paraId="5DDF12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2.58</w:t>
                  </w:r>
                </w:p>
              </w:tc>
            </w:tr>
            <w:tr w14:paraId="5DEEB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591DCE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6C716CA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419DA1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总磷</w:t>
                  </w:r>
                </w:p>
              </w:tc>
              <w:tc>
                <w:tcPr>
                  <w:tcW w:w="519" w:type="pct"/>
                  <w:tcBorders>
                    <w:tl2br w:val="nil"/>
                    <w:tr2bl w:val="nil"/>
                  </w:tcBorders>
                  <w:noWrap w:val="0"/>
                  <w:tcMar>
                    <w:top w:w="0" w:type="dxa"/>
                    <w:left w:w="0" w:type="dxa"/>
                    <w:bottom w:w="0" w:type="dxa"/>
                    <w:right w:w="0" w:type="dxa"/>
                  </w:tcMar>
                  <w:vAlign w:val="center"/>
                </w:tcPr>
                <w:p w14:paraId="0800EE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07EAF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0.65</w:t>
                  </w:r>
                </w:p>
              </w:tc>
              <w:tc>
                <w:tcPr>
                  <w:tcW w:w="556" w:type="pct"/>
                  <w:tcBorders>
                    <w:tl2br w:val="nil"/>
                    <w:tr2bl w:val="nil"/>
                  </w:tcBorders>
                  <w:noWrap w:val="0"/>
                  <w:tcMar>
                    <w:top w:w="0" w:type="dxa"/>
                    <w:left w:w="0" w:type="dxa"/>
                    <w:bottom w:w="0" w:type="dxa"/>
                    <w:right w:w="0" w:type="dxa"/>
                  </w:tcMar>
                  <w:vAlign w:val="center"/>
                </w:tcPr>
                <w:p w14:paraId="4CCDBC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0.49</w:t>
                  </w:r>
                </w:p>
              </w:tc>
              <w:tc>
                <w:tcPr>
                  <w:tcW w:w="556" w:type="pct"/>
                  <w:tcBorders>
                    <w:tl2br w:val="nil"/>
                    <w:tr2bl w:val="nil"/>
                  </w:tcBorders>
                  <w:noWrap w:val="0"/>
                  <w:tcMar>
                    <w:top w:w="0" w:type="dxa"/>
                    <w:left w:w="0" w:type="dxa"/>
                    <w:bottom w:w="0" w:type="dxa"/>
                    <w:right w:w="0" w:type="dxa"/>
                  </w:tcMar>
                  <w:vAlign w:val="center"/>
                </w:tcPr>
                <w:p w14:paraId="0E8A11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0.53</w:t>
                  </w:r>
                </w:p>
              </w:tc>
              <w:tc>
                <w:tcPr>
                  <w:tcW w:w="535" w:type="pct"/>
                  <w:tcBorders>
                    <w:tl2br w:val="nil"/>
                    <w:tr2bl w:val="nil"/>
                  </w:tcBorders>
                  <w:noWrap w:val="0"/>
                  <w:tcMar>
                    <w:top w:w="0" w:type="dxa"/>
                    <w:left w:w="0" w:type="dxa"/>
                    <w:bottom w:w="0" w:type="dxa"/>
                    <w:right w:w="0" w:type="dxa"/>
                  </w:tcMar>
                  <w:vAlign w:val="center"/>
                </w:tcPr>
                <w:p w14:paraId="4BB8D7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0.42</w:t>
                  </w:r>
                </w:p>
              </w:tc>
            </w:tr>
            <w:tr w14:paraId="5DD96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tl2br w:val="nil"/>
                    <w:tr2bl w:val="nil"/>
                  </w:tcBorders>
                  <w:noWrap w:val="0"/>
                  <w:tcMar>
                    <w:top w:w="0" w:type="dxa"/>
                    <w:left w:w="0" w:type="dxa"/>
                    <w:bottom w:w="0" w:type="dxa"/>
                    <w:right w:w="0" w:type="dxa"/>
                  </w:tcMar>
                  <w:vAlign w:val="center"/>
                </w:tcPr>
                <w:p w14:paraId="3B4994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45" w:type="pct"/>
                  <w:vMerge w:val="continue"/>
                  <w:tcBorders>
                    <w:tl2br w:val="nil"/>
                    <w:tr2bl w:val="nil"/>
                  </w:tcBorders>
                  <w:noWrap w:val="0"/>
                  <w:tcMar>
                    <w:top w:w="0" w:type="dxa"/>
                    <w:left w:w="0" w:type="dxa"/>
                    <w:bottom w:w="0" w:type="dxa"/>
                    <w:right w:w="0" w:type="dxa"/>
                  </w:tcMar>
                  <w:vAlign w:val="center"/>
                </w:tcPr>
                <w:p w14:paraId="73484BB5">
                  <w:pPr>
                    <w:keepNext w:val="0"/>
                    <w:keepLines w:val="0"/>
                    <w:pageBreakBefore w:val="0"/>
                    <w:widowControl/>
                    <w:suppressLineNumbers w:val="0"/>
                    <w:tabs>
                      <w:tab w:val="left" w:pos="12559"/>
                    </w:tabs>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837" w:type="pct"/>
                  <w:tcBorders>
                    <w:tl2br w:val="nil"/>
                    <w:tr2bl w:val="nil"/>
                  </w:tcBorders>
                  <w:noWrap w:val="0"/>
                  <w:tcMar>
                    <w:top w:w="0" w:type="dxa"/>
                    <w:left w:w="0" w:type="dxa"/>
                    <w:bottom w:w="0" w:type="dxa"/>
                    <w:right w:w="0" w:type="dxa"/>
                  </w:tcMar>
                  <w:vAlign w:val="center"/>
                </w:tcPr>
                <w:p w14:paraId="360D40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总氮</w:t>
                  </w:r>
                </w:p>
              </w:tc>
              <w:tc>
                <w:tcPr>
                  <w:tcW w:w="519" w:type="pct"/>
                  <w:tcBorders>
                    <w:tl2br w:val="nil"/>
                    <w:tr2bl w:val="nil"/>
                  </w:tcBorders>
                  <w:noWrap w:val="0"/>
                  <w:tcMar>
                    <w:top w:w="0" w:type="dxa"/>
                    <w:left w:w="0" w:type="dxa"/>
                    <w:bottom w:w="0" w:type="dxa"/>
                    <w:right w:w="0" w:type="dxa"/>
                  </w:tcMar>
                  <w:vAlign w:val="center"/>
                </w:tcPr>
                <w:p w14:paraId="6D384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mg/L</w:t>
                  </w:r>
                </w:p>
              </w:tc>
              <w:tc>
                <w:tcPr>
                  <w:tcW w:w="556" w:type="pct"/>
                  <w:tcBorders>
                    <w:tl2br w:val="nil"/>
                    <w:tr2bl w:val="nil"/>
                  </w:tcBorders>
                  <w:noWrap w:val="0"/>
                  <w:tcMar>
                    <w:top w:w="0" w:type="dxa"/>
                    <w:left w:w="0" w:type="dxa"/>
                    <w:bottom w:w="0" w:type="dxa"/>
                    <w:right w:w="0" w:type="dxa"/>
                  </w:tcMar>
                  <w:vAlign w:val="center"/>
                </w:tcPr>
                <w:p w14:paraId="059FE4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6.05</w:t>
                  </w:r>
                </w:p>
              </w:tc>
              <w:tc>
                <w:tcPr>
                  <w:tcW w:w="556" w:type="pct"/>
                  <w:tcBorders>
                    <w:tl2br w:val="nil"/>
                    <w:tr2bl w:val="nil"/>
                  </w:tcBorders>
                  <w:noWrap w:val="0"/>
                  <w:tcMar>
                    <w:top w:w="0" w:type="dxa"/>
                    <w:left w:w="0" w:type="dxa"/>
                    <w:bottom w:w="0" w:type="dxa"/>
                    <w:right w:w="0" w:type="dxa"/>
                  </w:tcMar>
                  <w:vAlign w:val="center"/>
                </w:tcPr>
                <w:p w14:paraId="234664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5.50</w:t>
                  </w:r>
                </w:p>
              </w:tc>
              <w:tc>
                <w:tcPr>
                  <w:tcW w:w="556" w:type="pct"/>
                  <w:tcBorders>
                    <w:tl2br w:val="nil"/>
                    <w:tr2bl w:val="nil"/>
                  </w:tcBorders>
                  <w:noWrap w:val="0"/>
                  <w:tcMar>
                    <w:top w:w="0" w:type="dxa"/>
                    <w:left w:w="0" w:type="dxa"/>
                    <w:bottom w:w="0" w:type="dxa"/>
                    <w:right w:w="0" w:type="dxa"/>
                  </w:tcMar>
                  <w:vAlign w:val="center"/>
                </w:tcPr>
                <w:p w14:paraId="04D0EC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6.63</w:t>
                  </w:r>
                </w:p>
              </w:tc>
              <w:tc>
                <w:tcPr>
                  <w:tcW w:w="535" w:type="pct"/>
                  <w:tcBorders>
                    <w:tl2br w:val="nil"/>
                    <w:tr2bl w:val="nil"/>
                  </w:tcBorders>
                  <w:noWrap w:val="0"/>
                  <w:tcMar>
                    <w:top w:w="0" w:type="dxa"/>
                    <w:left w:w="0" w:type="dxa"/>
                    <w:bottom w:w="0" w:type="dxa"/>
                    <w:right w:w="0" w:type="dxa"/>
                  </w:tcMar>
                  <w:vAlign w:val="center"/>
                </w:tcPr>
                <w:p w14:paraId="1B82F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7.00</w:t>
                  </w:r>
                </w:p>
              </w:tc>
            </w:tr>
          </w:tbl>
          <w:p w14:paraId="0FE6F907">
            <w:pPr>
              <w:pStyle w:val="6"/>
              <w:adjustRightInd w:val="0"/>
              <w:snapToGrid w:val="0"/>
              <w:spacing w:before="120" w:beforeLines="50" w:line="360" w:lineRule="auto"/>
              <w:ind w:left="0" w:leftChars="0" w:firstLine="420" w:firstLineChars="200"/>
              <w:rPr>
                <w:rFonts w:hint="eastAsia" w:ascii="Times New Roman" w:hAnsi="Times New Roman" w:eastAsia="宋体" w:cs="Times New Roman"/>
                <w:b/>
                <w:bCs/>
                <w:color w:val="auto"/>
                <w:kern w:val="2"/>
                <w:sz w:val="21"/>
                <w:szCs w:val="21"/>
                <w:highlight w:val="none"/>
                <w:lang w:val="en-US" w:eastAsia="zh-CN" w:bidi="ar-SA"/>
              </w:rPr>
            </w:pPr>
            <w:r>
              <w:rPr>
                <w:rFonts w:hint="eastAsia" w:ascii="宋体" w:hAnsi="宋体" w:cs="宋体"/>
                <w:color w:val="auto"/>
                <w:sz w:val="21"/>
                <w:szCs w:val="21"/>
                <w:highlight w:val="none"/>
              </w:rPr>
              <w:t>监测结果表明，在生活污水正常排放的工况下，厂区污水总排口中污染物浓度均能达到</w:t>
            </w:r>
            <w:r>
              <w:rPr>
                <w:rFonts w:hint="default" w:ascii="Times New Roman" w:hAnsi="Times New Roman" w:eastAsia="宋体" w:cs="Times New Roman"/>
                <w:b w:val="0"/>
                <w:bCs w:val="0"/>
                <w:color w:val="auto"/>
                <w:kern w:val="0"/>
                <w:sz w:val="21"/>
                <w:szCs w:val="21"/>
                <w:lang w:val="en-US" w:eastAsia="zh-CN" w:bidi="ar"/>
              </w:rPr>
              <w:t>常州金坛区第</w:t>
            </w:r>
            <w:r>
              <w:rPr>
                <w:rFonts w:hint="eastAsia" w:ascii="Times New Roman" w:hAnsi="Times New Roman" w:eastAsia="宋体" w:cs="Times New Roman"/>
                <w:b w:val="0"/>
                <w:bCs w:val="0"/>
                <w:color w:val="auto"/>
                <w:kern w:val="0"/>
                <w:sz w:val="21"/>
                <w:szCs w:val="21"/>
                <w:lang w:val="en-US" w:eastAsia="zh-CN" w:bidi="ar"/>
              </w:rPr>
              <w:t>二</w:t>
            </w:r>
            <w:r>
              <w:rPr>
                <w:rFonts w:hint="default" w:ascii="Times New Roman" w:hAnsi="Times New Roman" w:eastAsia="宋体" w:cs="Times New Roman"/>
                <w:b w:val="0"/>
                <w:bCs w:val="0"/>
                <w:color w:val="auto"/>
                <w:kern w:val="0"/>
                <w:sz w:val="21"/>
                <w:szCs w:val="21"/>
                <w:lang w:val="en-US" w:eastAsia="zh-CN" w:bidi="ar"/>
              </w:rPr>
              <w:t>污水处理有限公司</w:t>
            </w:r>
            <w:r>
              <w:rPr>
                <w:rFonts w:hint="eastAsia" w:ascii="宋体" w:hAnsi="宋体" w:cs="宋体"/>
                <w:color w:val="auto"/>
                <w:sz w:val="21"/>
                <w:szCs w:val="21"/>
                <w:highlight w:val="none"/>
              </w:rPr>
              <w:t>接管</w:t>
            </w:r>
            <w:r>
              <w:rPr>
                <w:rFonts w:hint="eastAsia" w:ascii="宋体" w:hAnsi="宋体" w:cs="宋体"/>
                <w:color w:val="auto"/>
                <w:sz w:val="21"/>
                <w:szCs w:val="21"/>
                <w:highlight w:val="none"/>
                <w:lang w:val="en-US" w:eastAsia="zh-CN"/>
              </w:rPr>
              <w:t>限值要求</w:t>
            </w:r>
            <w:r>
              <w:rPr>
                <w:rFonts w:hint="eastAsia" w:ascii="宋体" w:hAnsi="宋体" w:cs="宋体"/>
                <w:color w:val="auto"/>
                <w:sz w:val="21"/>
                <w:szCs w:val="21"/>
                <w:highlight w:val="none"/>
              </w:rPr>
              <w:t>。</w:t>
            </w:r>
          </w:p>
          <w:p w14:paraId="06AF9A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（3）噪声</w:t>
            </w:r>
          </w:p>
          <w:p w14:paraId="31AB65BC">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both"/>
              <w:textAlignment w:val="auto"/>
              <w:rPr>
                <w:rFonts w:ascii="Times New Roman" w:hAnsi="Times New Roman" w:eastAsia="宋体"/>
                <w:b/>
                <w:bCs/>
                <w:color w:val="auto"/>
                <w:sz w:val="21"/>
                <w:szCs w:val="21"/>
                <w:highlight w:val="none"/>
              </w:rPr>
            </w:pPr>
            <w:r>
              <w:rPr>
                <w:rFonts w:hint="eastAsia" w:ascii="Times New Roman" w:hAnsi="Times New Roman" w:eastAsia="宋体"/>
                <w:color w:val="auto"/>
                <w:sz w:val="21"/>
                <w:szCs w:val="21"/>
                <w:highlight w:val="none"/>
              </w:rPr>
              <w:t>项目噪声监测结果见</w:t>
            </w:r>
            <w:r>
              <w:rPr>
                <w:rFonts w:hint="eastAsia" w:ascii="Times New Roman" w:hAnsi="Times New Roman" w:eastAsia="宋体"/>
                <w:color w:val="auto"/>
                <w:sz w:val="21"/>
                <w:szCs w:val="21"/>
                <w:highlight w:val="none"/>
                <w:lang w:val="en-US" w:eastAsia="zh-CN"/>
              </w:rPr>
              <w:t>下表</w:t>
            </w:r>
            <w:r>
              <w:rPr>
                <w:rFonts w:hint="eastAsia" w:ascii="Times New Roman" w:hAnsi="Times New Roman" w:eastAsia="宋体"/>
                <w:color w:val="auto"/>
                <w:sz w:val="21"/>
                <w:szCs w:val="21"/>
                <w:highlight w:val="none"/>
              </w:rPr>
              <w:t>。</w:t>
            </w:r>
          </w:p>
          <w:p w14:paraId="7C7DF42D">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表</w:t>
            </w:r>
            <w:r>
              <w:rPr>
                <w:rFonts w:hint="eastAsia" w:ascii="Times New Roman" w:hAnsi="Times New Roman" w:eastAsia="宋体"/>
                <w:b/>
                <w:bCs/>
                <w:color w:val="auto"/>
                <w:sz w:val="21"/>
                <w:szCs w:val="21"/>
                <w:highlight w:val="none"/>
              </w:rPr>
              <w:t>2-</w:t>
            </w:r>
            <w:r>
              <w:rPr>
                <w:rFonts w:hint="eastAsia" w:ascii="Times New Roman" w:hAnsi="Times New Roman" w:eastAsia="宋体"/>
                <w:b/>
                <w:bCs/>
                <w:color w:val="auto"/>
                <w:sz w:val="21"/>
                <w:szCs w:val="21"/>
                <w:highlight w:val="none"/>
                <w:lang w:val="en-US" w:eastAsia="zh-CN"/>
              </w:rPr>
              <w:t xml:space="preserve">13 </w:t>
            </w:r>
            <w:r>
              <w:rPr>
                <w:rFonts w:ascii="Times New Roman" w:hAnsi="Times New Roman" w:eastAsia="宋体"/>
                <w:b/>
                <w:bCs/>
                <w:color w:val="auto"/>
                <w:sz w:val="21"/>
                <w:szCs w:val="21"/>
                <w:highlight w:val="none"/>
              </w:rPr>
              <w:t>厂界噪声监测一览表  单位：dB（A）</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6"/>
              <w:gridCol w:w="3557"/>
              <w:gridCol w:w="1629"/>
              <w:gridCol w:w="1830"/>
            </w:tblGrid>
            <w:tr w14:paraId="08A5AF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restart"/>
                  <w:tcBorders>
                    <w:tl2br w:val="nil"/>
                    <w:tr2bl w:val="nil"/>
                  </w:tcBorders>
                  <w:noWrap w:val="0"/>
                  <w:tcMar>
                    <w:top w:w="0" w:type="dxa"/>
                    <w:left w:w="0" w:type="dxa"/>
                    <w:bottom w:w="0" w:type="dxa"/>
                    <w:right w:w="0" w:type="dxa"/>
                  </w:tcMar>
                  <w:vAlign w:val="center"/>
                </w:tcPr>
                <w:p w14:paraId="5C9AC4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采样日期</w:t>
                  </w:r>
                </w:p>
              </w:tc>
              <w:tc>
                <w:tcPr>
                  <w:tcW w:w="2144" w:type="pct"/>
                  <w:vMerge w:val="restart"/>
                  <w:tcBorders>
                    <w:tl2br w:val="nil"/>
                    <w:tr2bl w:val="nil"/>
                  </w:tcBorders>
                  <w:noWrap w:val="0"/>
                  <w:tcMar>
                    <w:top w:w="0" w:type="dxa"/>
                    <w:left w:w="0" w:type="dxa"/>
                    <w:bottom w:w="0" w:type="dxa"/>
                    <w:right w:w="0" w:type="dxa"/>
                  </w:tcMar>
                  <w:vAlign w:val="center"/>
                </w:tcPr>
                <w:p w14:paraId="5F39DF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采样点位</w:t>
                  </w:r>
                </w:p>
              </w:tc>
              <w:tc>
                <w:tcPr>
                  <w:tcW w:w="982" w:type="pct"/>
                  <w:tcBorders>
                    <w:tl2br w:val="nil"/>
                    <w:tr2bl w:val="nil"/>
                  </w:tcBorders>
                  <w:noWrap w:val="0"/>
                  <w:tcMar>
                    <w:top w:w="0" w:type="dxa"/>
                    <w:left w:w="0" w:type="dxa"/>
                    <w:bottom w:w="0" w:type="dxa"/>
                    <w:right w:w="0" w:type="dxa"/>
                  </w:tcMar>
                  <w:vAlign w:val="center"/>
                </w:tcPr>
                <w:p w14:paraId="2D3D10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昼间</w:t>
                  </w:r>
                </w:p>
              </w:tc>
              <w:tc>
                <w:tcPr>
                  <w:tcW w:w="1103" w:type="pct"/>
                  <w:tcBorders>
                    <w:tl2br w:val="nil"/>
                    <w:tr2bl w:val="nil"/>
                  </w:tcBorders>
                  <w:noWrap w:val="0"/>
                  <w:tcMar>
                    <w:top w:w="0" w:type="dxa"/>
                    <w:left w:w="0" w:type="dxa"/>
                    <w:bottom w:w="0" w:type="dxa"/>
                    <w:right w:w="0" w:type="dxa"/>
                  </w:tcMar>
                  <w:vAlign w:val="center"/>
                </w:tcPr>
                <w:p w14:paraId="2407C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夜间</w:t>
                  </w:r>
                </w:p>
              </w:tc>
            </w:tr>
            <w:tr w14:paraId="26B4B6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continue"/>
                  <w:tcBorders>
                    <w:tl2br w:val="nil"/>
                    <w:tr2bl w:val="nil"/>
                  </w:tcBorders>
                  <w:noWrap w:val="0"/>
                  <w:tcMar>
                    <w:top w:w="0" w:type="dxa"/>
                    <w:left w:w="0" w:type="dxa"/>
                    <w:bottom w:w="0" w:type="dxa"/>
                    <w:right w:w="0" w:type="dxa"/>
                  </w:tcMar>
                  <w:vAlign w:val="center"/>
                </w:tcPr>
                <w:p w14:paraId="46963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rPr>
                  </w:pPr>
                </w:p>
              </w:tc>
              <w:tc>
                <w:tcPr>
                  <w:tcW w:w="2144" w:type="pct"/>
                  <w:vMerge w:val="continue"/>
                  <w:tcBorders>
                    <w:tl2br w:val="nil"/>
                    <w:tr2bl w:val="nil"/>
                  </w:tcBorders>
                  <w:noWrap w:val="0"/>
                  <w:tcMar>
                    <w:top w:w="0" w:type="dxa"/>
                    <w:left w:w="0" w:type="dxa"/>
                    <w:bottom w:w="0" w:type="dxa"/>
                    <w:right w:w="0" w:type="dxa"/>
                  </w:tcMar>
                  <w:vAlign w:val="center"/>
                </w:tcPr>
                <w:p w14:paraId="64543A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rPr>
                  </w:pPr>
                </w:p>
              </w:tc>
              <w:tc>
                <w:tcPr>
                  <w:tcW w:w="982" w:type="pct"/>
                  <w:tcBorders>
                    <w:tl2br w:val="nil"/>
                    <w:tr2bl w:val="nil"/>
                  </w:tcBorders>
                  <w:shd w:val="clear" w:color="auto" w:fill="auto"/>
                  <w:noWrap w:val="0"/>
                  <w:tcMar>
                    <w:top w:w="0" w:type="dxa"/>
                    <w:left w:w="0" w:type="dxa"/>
                    <w:bottom w:w="0" w:type="dxa"/>
                    <w:right w:w="0" w:type="dxa"/>
                  </w:tcMar>
                  <w:vAlign w:val="center"/>
                </w:tcPr>
                <w:p w14:paraId="3109A4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rPr>
                    <w:t>检测结果</w:t>
                  </w:r>
                </w:p>
              </w:tc>
              <w:tc>
                <w:tcPr>
                  <w:tcW w:w="1103" w:type="pct"/>
                  <w:tcBorders>
                    <w:tl2br w:val="nil"/>
                    <w:tr2bl w:val="nil"/>
                  </w:tcBorders>
                  <w:shd w:val="clear" w:color="auto" w:fill="auto"/>
                  <w:noWrap w:val="0"/>
                  <w:tcMar>
                    <w:top w:w="0" w:type="dxa"/>
                    <w:left w:w="0" w:type="dxa"/>
                    <w:bottom w:w="0" w:type="dxa"/>
                    <w:right w:w="0" w:type="dxa"/>
                  </w:tcMar>
                  <w:vAlign w:val="center"/>
                </w:tcPr>
                <w:p w14:paraId="06539F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rPr>
                    <w:t>检测结果</w:t>
                  </w:r>
                </w:p>
              </w:tc>
            </w:tr>
            <w:tr w14:paraId="040EF8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restart"/>
                  <w:tcBorders>
                    <w:tl2br w:val="nil"/>
                    <w:tr2bl w:val="nil"/>
                  </w:tcBorders>
                  <w:noWrap w:val="0"/>
                  <w:tcMar>
                    <w:top w:w="0" w:type="dxa"/>
                    <w:left w:w="0" w:type="dxa"/>
                    <w:bottom w:w="0" w:type="dxa"/>
                    <w:right w:w="0" w:type="dxa"/>
                  </w:tcMar>
                  <w:vAlign w:val="center"/>
                </w:tcPr>
                <w:p w14:paraId="70A8CC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2022.01.07</w:t>
                  </w:r>
                </w:p>
              </w:tc>
              <w:tc>
                <w:tcPr>
                  <w:tcW w:w="2144" w:type="pct"/>
                  <w:tcBorders>
                    <w:tl2br w:val="nil"/>
                    <w:tr2bl w:val="nil"/>
                  </w:tcBorders>
                  <w:noWrap w:val="0"/>
                  <w:tcMar>
                    <w:top w:w="0" w:type="dxa"/>
                    <w:left w:w="0" w:type="dxa"/>
                    <w:bottom w:w="0" w:type="dxa"/>
                    <w:right w:w="0" w:type="dxa"/>
                  </w:tcMar>
                  <w:vAlign w:val="center"/>
                </w:tcPr>
                <w:p w14:paraId="53D0C9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highlight w:val="none"/>
                    </w:rPr>
                    <w:t>东厂界</w:t>
                  </w:r>
                  <w:r>
                    <w:rPr>
                      <w:rFonts w:hint="eastAsia" w:ascii="Times New Roman" w:hAnsi="Times New Roman" w:cs="Times New Roman"/>
                      <w:color w:val="auto"/>
                      <w:sz w:val="21"/>
                      <w:szCs w:val="21"/>
                      <w:highlight w:val="none"/>
                      <w:lang w:val="en-US" w:eastAsia="zh-CN"/>
                    </w:rPr>
                    <w:t>外</w:t>
                  </w:r>
                  <w:r>
                    <w:rPr>
                      <w:rFonts w:hint="default" w:ascii="Times New Roman" w:hAnsi="Times New Roman" w:eastAsia="宋体" w:cs="Times New Roman"/>
                      <w:color w:val="auto"/>
                      <w:kern w:val="0"/>
                      <w:sz w:val="21"/>
                      <w:szCs w:val="21"/>
                      <w:lang w:val="en-US" w:eastAsia="zh-CN"/>
                    </w:rPr>
                    <w:t>1米处Z1监测点</w:t>
                  </w:r>
                </w:p>
              </w:tc>
              <w:tc>
                <w:tcPr>
                  <w:tcW w:w="982" w:type="pct"/>
                  <w:tcBorders>
                    <w:tl2br w:val="nil"/>
                    <w:tr2bl w:val="nil"/>
                  </w:tcBorders>
                  <w:shd w:val="clear" w:color="auto" w:fill="auto"/>
                  <w:noWrap w:val="0"/>
                  <w:tcMar>
                    <w:top w:w="0" w:type="dxa"/>
                    <w:left w:w="0" w:type="dxa"/>
                    <w:bottom w:w="0" w:type="dxa"/>
                    <w:right w:w="0" w:type="dxa"/>
                  </w:tcMar>
                  <w:vAlign w:val="center"/>
                </w:tcPr>
                <w:p w14:paraId="005B2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56.9</w:t>
                  </w:r>
                </w:p>
              </w:tc>
              <w:tc>
                <w:tcPr>
                  <w:tcW w:w="1103" w:type="pct"/>
                  <w:tcBorders>
                    <w:tl2br w:val="nil"/>
                    <w:tr2bl w:val="nil"/>
                  </w:tcBorders>
                  <w:shd w:val="clear" w:color="auto" w:fill="auto"/>
                  <w:noWrap w:val="0"/>
                  <w:tcMar>
                    <w:top w:w="0" w:type="dxa"/>
                    <w:left w:w="0" w:type="dxa"/>
                    <w:bottom w:w="0" w:type="dxa"/>
                    <w:right w:w="0" w:type="dxa"/>
                  </w:tcMar>
                  <w:vAlign w:val="center"/>
                </w:tcPr>
                <w:p w14:paraId="432F34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50.3</w:t>
                  </w:r>
                </w:p>
              </w:tc>
            </w:tr>
            <w:tr w14:paraId="6E9D99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continue"/>
                  <w:tcBorders>
                    <w:tl2br w:val="nil"/>
                    <w:tr2bl w:val="nil"/>
                  </w:tcBorders>
                  <w:noWrap w:val="0"/>
                  <w:tcMar>
                    <w:top w:w="0" w:type="dxa"/>
                    <w:left w:w="0" w:type="dxa"/>
                    <w:bottom w:w="0" w:type="dxa"/>
                    <w:right w:w="0" w:type="dxa"/>
                  </w:tcMar>
                  <w:vAlign w:val="center"/>
                </w:tcPr>
                <w:p w14:paraId="7A8B7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2144" w:type="pct"/>
                  <w:tcBorders>
                    <w:tl2br w:val="nil"/>
                    <w:tr2bl w:val="nil"/>
                  </w:tcBorders>
                  <w:noWrap w:val="0"/>
                  <w:tcMar>
                    <w:top w:w="0" w:type="dxa"/>
                    <w:left w:w="0" w:type="dxa"/>
                    <w:bottom w:w="0" w:type="dxa"/>
                    <w:right w:w="0" w:type="dxa"/>
                  </w:tcMar>
                  <w:vAlign w:val="center"/>
                </w:tcPr>
                <w:p w14:paraId="5B31A1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highlight w:val="none"/>
                    </w:rPr>
                    <w:t>南厂界</w:t>
                  </w:r>
                  <w:r>
                    <w:rPr>
                      <w:rFonts w:hint="eastAsia" w:ascii="Times New Roman" w:hAnsi="Times New Roman" w:cs="Times New Roman"/>
                      <w:color w:val="auto"/>
                      <w:sz w:val="21"/>
                      <w:szCs w:val="21"/>
                      <w:highlight w:val="none"/>
                      <w:lang w:val="en-US" w:eastAsia="zh-CN"/>
                    </w:rPr>
                    <w:t>外</w:t>
                  </w:r>
                  <w:r>
                    <w:rPr>
                      <w:rFonts w:hint="default" w:ascii="Times New Roman" w:hAnsi="Times New Roman" w:eastAsia="宋体" w:cs="Times New Roman"/>
                      <w:color w:val="auto"/>
                      <w:kern w:val="0"/>
                      <w:sz w:val="21"/>
                      <w:szCs w:val="21"/>
                      <w:lang w:val="en-US" w:eastAsia="zh-CN"/>
                    </w:rPr>
                    <w:t>1米处Z2监测点</w:t>
                  </w:r>
                </w:p>
              </w:tc>
              <w:tc>
                <w:tcPr>
                  <w:tcW w:w="982" w:type="pct"/>
                  <w:tcBorders>
                    <w:tl2br w:val="nil"/>
                    <w:tr2bl w:val="nil"/>
                  </w:tcBorders>
                  <w:shd w:val="clear" w:color="auto" w:fill="auto"/>
                  <w:noWrap w:val="0"/>
                  <w:tcMar>
                    <w:top w:w="0" w:type="dxa"/>
                    <w:left w:w="0" w:type="dxa"/>
                    <w:bottom w:w="0" w:type="dxa"/>
                    <w:right w:w="0" w:type="dxa"/>
                  </w:tcMar>
                  <w:vAlign w:val="center"/>
                </w:tcPr>
                <w:p w14:paraId="70779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57.6</w:t>
                  </w:r>
                </w:p>
              </w:tc>
              <w:tc>
                <w:tcPr>
                  <w:tcW w:w="1103" w:type="pct"/>
                  <w:tcBorders>
                    <w:tl2br w:val="nil"/>
                    <w:tr2bl w:val="nil"/>
                  </w:tcBorders>
                  <w:shd w:val="clear" w:color="auto" w:fill="auto"/>
                  <w:noWrap w:val="0"/>
                  <w:tcMar>
                    <w:top w:w="0" w:type="dxa"/>
                    <w:left w:w="0" w:type="dxa"/>
                    <w:bottom w:w="0" w:type="dxa"/>
                    <w:right w:w="0" w:type="dxa"/>
                  </w:tcMar>
                  <w:vAlign w:val="center"/>
                </w:tcPr>
                <w:p w14:paraId="7671CC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49.3</w:t>
                  </w:r>
                </w:p>
              </w:tc>
            </w:tr>
            <w:tr w14:paraId="072D16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continue"/>
                  <w:tcBorders>
                    <w:tl2br w:val="nil"/>
                    <w:tr2bl w:val="nil"/>
                  </w:tcBorders>
                  <w:noWrap w:val="0"/>
                  <w:tcMar>
                    <w:top w:w="0" w:type="dxa"/>
                    <w:left w:w="0" w:type="dxa"/>
                    <w:bottom w:w="0" w:type="dxa"/>
                    <w:right w:w="0" w:type="dxa"/>
                  </w:tcMar>
                  <w:vAlign w:val="center"/>
                </w:tcPr>
                <w:p w14:paraId="318CF5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2144" w:type="pct"/>
                  <w:tcBorders>
                    <w:tl2br w:val="nil"/>
                    <w:tr2bl w:val="nil"/>
                  </w:tcBorders>
                  <w:noWrap w:val="0"/>
                  <w:tcMar>
                    <w:top w:w="0" w:type="dxa"/>
                    <w:left w:w="0" w:type="dxa"/>
                    <w:bottom w:w="0" w:type="dxa"/>
                    <w:right w:w="0" w:type="dxa"/>
                  </w:tcMar>
                  <w:vAlign w:val="center"/>
                </w:tcPr>
                <w:p w14:paraId="40DFA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西</w:t>
                  </w:r>
                  <w:r>
                    <w:rPr>
                      <w:rFonts w:hint="default" w:ascii="Times New Roman" w:hAnsi="Times New Roman" w:cs="Times New Roman"/>
                      <w:color w:val="auto"/>
                      <w:sz w:val="21"/>
                      <w:szCs w:val="21"/>
                      <w:highlight w:val="none"/>
                    </w:rPr>
                    <w:t>厂界</w:t>
                  </w:r>
                  <w:r>
                    <w:rPr>
                      <w:rFonts w:hint="eastAsia" w:ascii="Times New Roman" w:hAnsi="Times New Roman" w:cs="Times New Roman"/>
                      <w:color w:val="auto"/>
                      <w:sz w:val="21"/>
                      <w:szCs w:val="21"/>
                      <w:highlight w:val="none"/>
                      <w:lang w:val="en-US" w:eastAsia="zh-CN"/>
                    </w:rPr>
                    <w:t>外</w:t>
                  </w:r>
                  <w:r>
                    <w:rPr>
                      <w:rFonts w:hint="default" w:ascii="Times New Roman" w:hAnsi="Times New Roman" w:eastAsia="宋体" w:cs="Times New Roman"/>
                      <w:color w:val="auto"/>
                      <w:kern w:val="0"/>
                      <w:sz w:val="21"/>
                      <w:szCs w:val="21"/>
                      <w:lang w:val="en-US" w:eastAsia="zh-CN"/>
                    </w:rPr>
                    <w:t>1米处Z3监测点</w:t>
                  </w:r>
                </w:p>
              </w:tc>
              <w:tc>
                <w:tcPr>
                  <w:tcW w:w="982" w:type="pct"/>
                  <w:tcBorders>
                    <w:tl2br w:val="nil"/>
                    <w:tr2bl w:val="nil"/>
                  </w:tcBorders>
                  <w:shd w:val="clear" w:color="auto" w:fill="auto"/>
                  <w:noWrap w:val="0"/>
                  <w:tcMar>
                    <w:top w:w="0" w:type="dxa"/>
                    <w:left w:w="0" w:type="dxa"/>
                    <w:bottom w:w="0" w:type="dxa"/>
                    <w:right w:w="0" w:type="dxa"/>
                  </w:tcMar>
                  <w:vAlign w:val="center"/>
                </w:tcPr>
                <w:p w14:paraId="340E21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56.2</w:t>
                  </w:r>
                </w:p>
              </w:tc>
              <w:tc>
                <w:tcPr>
                  <w:tcW w:w="1103" w:type="pct"/>
                  <w:tcBorders>
                    <w:tl2br w:val="nil"/>
                    <w:tr2bl w:val="nil"/>
                  </w:tcBorders>
                  <w:shd w:val="clear" w:color="auto" w:fill="auto"/>
                  <w:noWrap w:val="0"/>
                  <w:tcMar>
                    <w:top w:w="0" w:type="dxa"/>
                    <w:left w:w="0" w:type="dxa"/>
                    <w:bottom w:w="0" w:type="dxa"/>
                    <w:right w:w="0" w:type="dxa"/>
                  </w:tcMar>
                  <w:vAlign w:val="center"/>
                </w:tcPr>
                <w:p w14:paraId="029526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50.7</w:t>
                  </w:r>
                </w:p>
              </w:tc>
            </w:tr>
            <w:tr w14:paraId="7334FE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continue"/>
                  <w:tcBorders>
                    <w:tl2br w:val="nil"/>
                    <w:tr2bl w:val="nil"/>
                  </w:tcBorders>
                  <w:noWrap w:val="0"/>
                  <w:tcMar>
                    <w:top w:w="0" w:type="dxa"/>
                    <w:left w:w="0" w:type="dxa"/>
                    <w:bottom w:w="0" w:type="dxa"/>
                    <w:right w:w="0" w:type="dxa"/>
                  </w:tcMar>
                  <w:vAlign w:val="center"/>
                </w:tcPr>
                <w:p w14:paraId="21D274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2144" w:type="pct"/>
                  <w:tcBorders>
                    <w:tl2br w:val="nil"/>
                    <w:tr2bl w:val="nil"/>
                  </w:tcBorders>
                  <w:noWrap w:val="0"/>
                  <w:tcMar>
                    <w:top w:w="0" w:type="dxa"/>
                    <w:left w:w="0" w:type="dxa"/>
                    <w:bottom w:w="0" w:type="dxa"/>
                    <w:right w:w="0" w:type="dxa"/>
                  </w:tcMar>
                  <w:vAlign w:val="center"/>
                </w:tcPr>
                <w:p w14:paraId="1DFE6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北</w:t>
                  </w:r>
                  <w:r>
                    <w:rPr>
                      <w:rFonts w:hint="default" w:ascii="Times New Roman" w:hAnsi="Times New Roman" w:cs="Times New Roman"/>
                      <w:color w:val="auto"/>
                      <w:sz w:val="21"/>
                      <w:szCs w:val="21"/>
                      <w:highlight w:val="none"/>
                    </w:rPr>
                    <w:t>厂界</w:t>
                  </w:r>
                  <w:r>
                    <w:rPr>
                      <w:rFonts w:hint="eastAsia" w:ascii="Times New Roman" w:hAnsi="Times New Roman" w:cs="Times New Roman"/>
                      <w:color w:val="auto"/>
                      <w:sz w:val="21"/>
                      <w:szCs w:val="21"/>
                      <w:highlight w:val="none"/>
                      <w:lang w:val="en-US" w:eastAsia="zh-CN"/>
                    </w:rPr>
                    <w:t>外</w:t>
                  </w:r>
                  <w:r>
                    <w:rPr>
                      <w:rFonts w:hint="default" w:ascii="Times New Roman" w:hAnsi="Times New Roman" w:eastAsia="宋体" w:cs="Times New Roman"/>
                      <w:color w:val="auto"/>
                      <w:kern w:val="0"/>
                      <w:sz w:val="21"/>
                      <w:szCs w:val="21"/>
                      <w:lang w:val="en-US" w:eastAsia="zh-CN"/>
                    </w:rPr>
                    <w:t>1米处Z4监测点</w:t>
                  </w:r>
                </w:p>
              </w:tc>
              <w:tc>
                <w:tcPr>
                  <w:tcW w:w="982" w:type="pct"/>
                  <w:tcBorders>
                    <w:tl2br w:val="nil"/>
                    <w:tr2bl w:val="nil"/>
                  </w:tcBorders>
                  <w:shd w:val="clear" w:color="auto" w:fill="auto"/>
                  <w:noWrap w:val="0"/>
                  <w:tcMar>
                    <w:top w:w="0" w:type="dxa"/>
                    <w:left w:w="0" w:type="dxa"/>
                    <w:bottom w:w="0" w:type="dxa"/>
                    <w:right w:w="0" w:type="dxa"/>
                  </w:tcMar>
                  <w:vAlign w:val="center"/>
                </w:tcPr>
                <w:p w14:paraId="431A61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58.3</w:t>
                  </w:r>
                </w:p>
              </w:tc>
              <w:tc>
                <w:tcPr>
                  <w:tcW w:w="1103" w:type="pct"/>
                  <w:tcBorders>
                    <w:tl2br w:val="nil"/>
                    <w:tr2bl w:val="nil"/>
                  </w:tcBorders>
                  <w:shd w:val="clear" w:color="auto" w:fill="auto"/>
                  <w:noWrap w:val="0"/>
                  <w:tcMar>
                    <w:top w:w="0" w:type="dxa"/>
                    <w:left w:w="0" w:type="dxa"/>
                    <w:bottom w:w="0" w:type="dxa"/>
                    <w:right w:w="0" w:type="dxa"/>
                  </w:tcMar>
                  <w:vAlign w:val="center"/>
                </w:tcPr>
                <w:p w14:paraId="7BC1C0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52.0</w:t>
                  </w:r>
                </w:p>
              </w:tc>
            </w:tr>
            <w:tr w14:paraId="3AF41C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restart"/>
                  <w:tcBorders>
                    <w:tl2br w:val="nil"/>
                    <w:tr2bl w:val="nil"/>
                  </w:tcBorders>
                  <w:noWrap w:val="0"/>
                  <w:tcMar>
                    <w:top w:w="0" w:type="dxa"/>
                    <w:left w:w="0" w:type="dxa"/>
                    <w:bottom w:w="0" w:type="dxa"/>
                    <w:right w:w="0" w:type="dxa"/>
                  </w:tcMar>
                  <w:vAlign w:val="center"/>
                </w:tcPr>
                <w:p w14:paraId="0B43E8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2022.01.08</w:t>
                  </w:r>
                </w:p>
              </w:tc>
              <w:tc>
                <w:tcPr>
                  <w:tcW w:w="2144" w:type="pct"/>
                  <w:tcBorders>
                    <w:tl2br w:val="nil"/>
                    <w:tr2bl w:val="nil"/>
                  </w:tcBorders>
                  <w:shd w:val="clear" w:color="auto" w:fill="auto"/>
                  <w:noWrap w:val="0"/>
                  <w:tcMar>
                    <w:top w:w="0" w:type="dxa"/>
                    <w:left w:w="0" w:type="dxa"/>
                    <w:bottom w:w="0" w:type="dxa"/>
                    <w:right w:w="0" w:type="dxa"/>
                  </w:tcMar>
                  <w:vAlign w:val="center"/>
                </w:tcPr>
                <w:p w14:paraId="00D04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highlight w:val="none"/>
                    </w:rPr>
                    <w:t>东厂界</w:t>
                  </w:r>
                  <w:r>
                    <w:rPr>
                      <w:rFonts w:hint="eastAsia" w:ascii="Times New Roman" w:hAnsi="Times New Roman" w:cs="Times New Roman"/>
                      <w:color w:val="auto"/>
                      <w:sz w:val="21"/>
                      <w:szCs w:val="21"/>
                      <w:highlight w:val="none"/>
                      <w:lang w:val="en-US" w:eastAsia="zh-CN"/>
                    </w:rPr>
                    <w:t>外</w:t>
                  </w:r>
                  <w:r>
                    <w:rPr>
                      <w:rFonts w:hint="default" w:ascii="Times New Roman" w:hAnsi="Times New Roman" w:eastAsia="宋体" w:cs="Times New Roman"/>
                      <w:color w:val="auto"/>
                      <w:kern w:val="0"/>
                      <w:sz w:val="21"/>
                      <w:szCs w:val="21"/>
                      <w:lang w:val="en-US" w:eastAsia="zh-CN"/>
                    </w:rPr>
                    <w:t>1米处Z1监测点</w:t>
                  </w:r>
                </w:p>
              </w:tc>
              <w:tc>
                <w:tcPr>
                  <w:tcW w:w="982" w:type="pct"/>
                  <w:tcBorders>
                    <w:tl2br w:val="nil"/>
                    <w:tr2bl w:val="nil"/>
                  </w:tcBorders>
                  <w:shd w:val="clear" w:color="auto" w:fill="auto"/>
                  <w:noWrap w:val="0"/>
                  <w:tcMar>
                    <w:top w:w="0" w:type="dxa"/>
                    <w:left w:w="0" w:type="dxa"/>
                    <w:bottom w:w="0" w:type="dxa"/>
                    <w:right w:w="0" w:type="dxa"/>
                  </w:tcMar>
                  <w:vAlign w:val="center"/>
                </w:tcPr>
                <w:p w14:paraId="4EF915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57.3</w:t>
                  </w:r>
                </w:p>
              </w:tc>
              <w:tc>
                <w:tcPr>
                  <w:tcW w:w="1103" w:type="pct"/>
                  <w:tcBorders>
                    <w:tl2br w:val="nil"/>
                    <w:tr2bl w:val="nil"/>
                  </w:tcBorders>
                  <w:shd w:val="clear" w:color="auto" w:fill="auto"/>
                  <w:noWrap w:val="0"/>
                  <w:tcMar>
                    <w:top w:w="0" w:type="dxa"/>
                    <w:left w:w="0" w:type="dxa"/>
                    <w:bottom w:w="0" w:type="dxa"/>
                    <w:right w:w="0" w:type="dxa"/>
                  </w:tcMar>
                  <w:vAlign w:val="center"/>
                </w:tcPr>
                <w:p w14:paraId="122F6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49.9</w:t>
                  </w:r>
                </w:p>
              </w:tc>
            </w:tr>
            <w:tr w14:paraId="2E5AAC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continue"/>
                  <w:tcBorders>
                    <w:tl2br w:val="nil"/>
                    <w:tr2bl w:val="nil"/>
                  </w:tcBorders>
                  <w:noWrap w:val="0"/>
                  <w:tcMar>
                    <w:top w:w="0" w:type="dxa"/>
                    <w:left w:w="0" w:type="dxa"/>
                    <w:bottom w:w="0" w:type="dxa"/>
                    <w:right w:w="0" w:type="dxa"/>
                  </w:tcMar>
                  <w:vAlign w:val="center"/>
                </w:tcPr>
                <w:p w14:paraId="5535E2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2144" w:type="pct"/>
                  <w:tcBorders>
                    <w:tl2br w:val="nil"/>
                    <w:tr2bl w:val="nil"/>
                  </w:tcBorders>
                  <w:shd w:val="clear" w:color="auto" w:fill="auto"/>
                  <w:noWrap w:val="0"/>
                  <w:tcMar>
                    <w:top w:w="0" w:type="dxa"/>
                    <w:left w:w="0" w:type="dxa"/>
                    <w:bottom w:w="0" w:type="dxa"/>
                    <w:right w:w="0" w:type="dxa"/>
                  </w:tcMar>
                  <w:vAlign w:val="center"/>
                </w:tcPr>
                <w:p w14:paraId="4ED75D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highlight w:val="none"/>
                    </w:rPr>
                    <w:t>南厂界</w:t>
                  </w:r>
                  <w:r>
                    <w:rPr>
                      <w:rFonts w:hint="eastAsia" w:ascii="Times New Roman" w:hAnsi="Times New Roman" w:cs="Times New Roman"/>
                      <w:color w:val="auto"/>
                      <w:sz w:val="21"/>
                      <w:szCs w:val="21"/>
                      <w:highlight w:val="none"/>
                      <w:lang w:val="en-US" w:eastAsia="zh-CN"/>
                    </w:rPr>
                    <w:t>外</w:t>
                  </w:r>
                  <w:r>
                    <w:rPr>
                      <w:rFonts w:hint="default" w:ascii="Times New Roman" w:hAnsi="Times New Roman" w:eastAsia="宋体" w:cs="Times New Roman"/>
                      <w:color w:val="auto"/>
                      <w:kern w:val="0"/>
                      <w:sz w:val="21"/>
                      <w:szCs w:val="21"/>
                      <w:lang w:val="en-US" w:eastAsia="zh-CN"/>
                    </w:rPr>
                    <w:t>1米处Z2监测点</w:t>
                  </w:r>
                </w:p>
              </w:tc>
              <w:tc>
                <w:tcPr>
                  <w:tcW w:w="982" w:type="pct"/>
                  <w:tcBorders>
                    <w:tl2br w:val="nil"/>
                    <w:tr2bl w:val="nil"/>
                  </w:tcBorders>
                  <w:shd w:val="clear" w:color="auto" w:fill="auto"/>
                  <w:noWrap w:val="0"/>
                  <w:tcMar>
                    <w:top w:w="0" w:type="dxa"/>
                    <w:left w:w="0" w:type="dxa"/>
                    <w:bottom w:w="0" w:type="dxa"/>
                    <w:right w:w="0" w:type="dxa"/>
                  </w:tcMar>
                  <w:vAlign w:val="center"/>
                </w:tcPr>
                <w:p w14:paraId="6C3421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57.9</w:t>
                  </w:r>
                </w:p>
              </w:tc>
              <w:tc>
                <w:tcPr>
                  <w:tcW w:w="1103" w:type="pct"/>
                  <w:tcBorders>
                    <w:tl2br w:val="nil"/>
                    <w:tr2bl w:val="nil"/>
                  </w:tcBorders>
                  <w:shd w:val="clear" w:color="auto" w:fill="auto"/>
                  <w:noWrap w:val="0"/>
                  <w:tcMar>
                    <w:top w:w="0" w:type="dxa"/>
                    <w:left w:w="0" w:type="dxa"/>
                    <w:bottom w:w="0" w:type="dxa"/>
                    <w:right w:w="0" w:type="dxa"/>
                  </w:tcMar>
                  <w:vAlign w:val="center"/>
                </w:tcPr>
                <w:p w14:paraId="358BF1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50.5</w:t>
                  </w:r>
                </w:p>
              </w:tc>
            </w:tr>
            <w:tr w14:paraId="60214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continue"/>
                  <w:tcBorders>
                    <w:tl2br w:val="nil"/>
                    <w:tr2bl w:val="nil"/>
                  </w:tcBorders>
                  <w:noWrap w:val="0"/>
                  <w:tcMar>
                    <w:top w:w="0" w:type="dxa"/>
                    <w:left w:w="0" w:type="dxa"/>
                    <w:bottom w:w="0" w:type="dxa"/>
                    <w:right w:w="0" w:type="dxa"/>
                  </w:tcMar>
                  <w:vAlign w:val="center"/>
                </w:tcPr>
                <w:p w14:paraId="7EF5DB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2144" w:type="pct"/>
                  <w:tcBorders>
                    <w:tl2br w:val="nil"/>
                    <w:tr2bl w:val="nil"/>
                  </w:tcBorders>
                  <w:shd w:val="clear" w:color="auto" w:fill="auto"/>
                  <w:noWrap w:val="0"/>
                  <w:tcMar>
                    <w:top w:w="0" w:type="dxa"/>
                    <w:left w:w="0" w:type="dxa"/>
                    <w:bottom w:w="0" w:type="dxa"/>
                    <w:right w:w="0" w:type="dxa"/>
                  </w:tcMar>
                  <w:vAlign w:val="center"/>
                </w:tcPr>
                <w:p w14:paraId="7CDE6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西</w:t>
                  </w:r>
                  <w:r>
                    <w:rPr>
                      <w:rFonts w:hint="default" w:ascii="Times New Roman" w:hAnsi="Times New Roman" w:cs="Times New Roman"/>
                      <w:color w:val="auto"/>
                      <w:sz w:val="21"/>
                      <w:szCs w:val="21"/>
                      <w:highlight w:val="none"/>
                    </w:rPr>
                    <w:t>厂界</w:t>
                  </w:r>
                  <w:r>
                    <w:rPr>
                      <w:rFonts w:hint="eastAsia" w:ascii="Times New Roman" w:hAnsi="Times New Roman" w:cs="Times New Roman"/>
                      <w:color w:val="auto"/>
                      <w:sz w:val="21"/>
                      <w:szCs w:val="21"/>
                      <w:highlight w:val="none"/>
                      <w:lang w:val="en-US" w:eastAsia="zh-CN"/>
                    </w:rPr>
                    <w:t>外</w:t>
                  </w:r>
                  <w:r>
                    <w:rPr>
                      <w:rFonts w:hint="default" w:ascii="Times New Roman" w:hAnsi="Times New Roman" w:eastAsia="宋体" w:cs="Times New Roman"/>
                      <w:color w:val="auto"/>
                      <w:kern w:val="0"/>
                      <w:sz w:val="21"/>
                      <w:szCs w:val="21"/>
                      <w:lang w:val="en-US" w:eastAsia="zh-CN"/>
                    </w:rPr>
                    <w:t>1米处Z3监测点</w:t>
                  </w:r>
                </w:p>
              </w:tc>
              <w:tc>
                <w:tcPr>
                  <w:tcW w:w="982" w:type="pct"/>
                  <w:tcBorders>
                    <w:tl2br w:val="nil"/>
                    <w:tr2bl w:val="nil"/>
                  </w:tcBorders>
                  <w:shd w:val="clear" w:color="auto" w:fill="auto"/>
                  <w:noWrap w:val="0"/>
                  <w:tcMar>
                    <w:top w:w="0" w:type="dxa"/>
                    <w:left w:w="0" w:type="dxa"/>
                    <w:bottom w:w="0" w:type="dxa"/>
                    <w:right w:w="0" w:type="dxa"/>
                  </w:tcMar>
                  <w:vAlign w:val="center"/>
                </w:tcPr>
                <w:p w14:paraId="4A52B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57.0</w:t>
                  </w:r>
                </w:p>
              </w:tc>
              <w:tc>
                <w:tcPr>
                  <w:tcW w:w="1103" w:type="pct"/>
                  <w:tcBorders>
                    <w:tl2br w:val="nil"/>
                    <w:tr2bl w:val="nil"/>
                  </w:tcBorders>
                  <w:shd w:val="clear" w:color="auto" w:fill="auto"/>
                  <w:noWrap w:val="0"/>
                  <w:tcMar>
                    <w:top w:w="0" w:type="dxa"/>
                    <w:left w:w="0" w:type="dxa"/>
                    <w:bottom w:w="0" w:type="dxa"/>
                    <w:right w:w="0" w:type="dxa"/>
                  </w:tcMar>
                  <w:vAlign w:val="center"/>
                </w:tcPr>
                <w:p w14:paraId="5FC807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49.5</w:t>
                  </w:r>
                </w:p>
              </w:tc>
            </w:tr>
            <w:tr w14:paraId="4DBF19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vMerge w:val="continue"/>
                  <w:tcBorders>
                    <w:tl2br w:val="nil"/>
                    <w:tr2bl w:val="nil"/>
                  </w:tcBorders>
                  <w:noWrap w:val="0"/>
                  <w:tcMar>
                    <w:top w:w="0" w:type="dxa"/>
                    <w:left w:w="0" w:type="dxa"/>
                    <w:bottom w:w="0" w:type="dxa"/>
                    <w:right w:w="0" w:type="dxa"/>
                  </w:tcMar>
                  <w:vAlign w:val="center"/>
                </w:tcPr>
                <w:p w14:paraId="18F87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p>
              </w:tc>
              <w:tc>
                <w:tcPr>
                  <w:tcW w:w="2144" w:type="pct"/>
                  <w:tcBorders>
                    <w:tl2br w:val="nil"/>
                    <w:tr2bl w:val="nil"/>
                  </w:tcBorders>
                  <w:shd w:val="clear" w:color="auto" w:fill="auto"/>
                  <w:noWrap w:val="0"/>
                  <w:tcMar>
                    <w:top w:w="0" w:type="dxa"/>
                    <w:left w:w="0" w:type="dxa"/>
                    <w:bottom w:w="0" w:type="dxa"/>
                    <w:right w:w="0" w:type="dxa"/>
                  </w:tcMar>
                  <w:vAlign w:val="center"/>
                </w:tcPr>
                <w:p w14:paraId="09F3A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北</w:t>
                  </w:r>
                  <w:r>
                    <w:rPr>
                      <w:rFonts w:hint="default" w:ascii="Times New Roman" w:hAnsi="Times New Roman" w:cs="Times New Roman"/>
                      <w:color w:val="auto"/>
                      <w:sz w:val="21"/>
                      <w:szCs w:val="21"/>
                      <w:highlight w:val="none"/>
                    </w:rPr>
                    <w:t>厂界</w:t>
                  </w:r>
                  <w:r>
                    <w:rPr>
                      <w:rFonts w:hint="eastAsia" w:ascii="Times New Roman" w:hAnsi="Times New Roman" w:cs="Times New Roman"/>
                      <w:color w:val="auto"/>
                      <w:sz w:val="21"/>
                      <w:szCs w:val="21"/>
                      <w:highlight w:val="none"/>
                      <w:lang w:val="en-US" w:eastAsia="zh-CN"/>
                    </w:rPr>
                    <w:t>外</w:t>
                  </w:r>
                  <w:r>
                    <w:rPr>
                      <w:rFonts w:hint="default" w:ascii="Times New Roman" w:hAnsi="Times New Roman" w:eastAsia="宋体" w:cs="Times New Roman"/>
                      <w:color w:val="auto"/>
                      <w:kern w:val="0"/>
                      <w:sz w:val="21"/>
                      <w:szCs w:val="21"/>
                      <w:lang w:val="en-US" w:eastAsia="zh-CN"/>
                    </w:rPr>
                    <w:t>1米处Z4监测点</w:t>
                  </w:r>
                </w:p>
              </w:tc>
              <w:tc>
                <w:tcPr>
                  <w:tcW w:w="982" w:type="pct"/>
                  <w:tcBorders>
                    <w:tl2br w:val="nil"/>
                    <w:tr2bl w:val="nil"/>
                  </w:tcBorders>
                  <w:shd w:val="clear" w:color="auto" w:fill="auto"/>
                  <w:noWrap w:val="0"/>
                  <w:tcMar>
                    <w:top w:w="0" w:type="dxa"/>
                    <w:left w:w="0" w:type="dxa"/>
                    <w:bottom w:w="0" w:type="dxa"/>
                    <w:right w:w="0" w:type="dxa"/>
                  </w:tcMar>
                  <w:vAlign w:val="center"/>
                </w:tcPr>
                <w:p w14:paraId="5CB10D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58.7</w:t>
                  </w:r>
                </w:p>
              </w:tc>
              <w:tc>
                <w:tcPr>
                  <w:tcW w:w="1103" w:type="pct"/>
                  <w:tcBorders>
                    <w:tl2br w:val="nil"/>
                    <w:tr2bl w:val="nil"/>
                  </w:tcBorders>
                  <w:shd w:val="clear" w:color="auto" w:fill="auto"/>
                  <w:noWrap w:val="0"/>
                  <w:tcMar>
                    <w:top w:w="0" w:type="dxa"/>
                    <w:left w:w="0" w:type="dxa"/>
                    <w:bottom w:w="0" w:type="dxa"/>
                    <w:right w:w="0" w:type="dxa"/>
                  </w:tcMar>
                  <w:vAlign w:val="center"/>
                </w:tcPr>
                <w:p w14:paraId="031C1D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52.1</w:t>
                  </w:r>
                </w:p>
              </w:tc>
            </w:tr>
          </w:tbl>
          <w:p w14:paraId="53F19F2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rFonts w:hint="default" w:ascii="Times New Roman" w:hAnsi="Times New Roman" w:eastAsia="宋体" w:cs="Times New Roman"/>
                <w:b/>
                <w:bCs/>
                <w:color w:val="auto"/>
                <w:sz w:val="21"/>
                <w:szCs w:val="21"/>
                <w:lang w:val="en-US" w:eastAsia="zh-CN"/>
              </w:rPr>
            </w:pPr>
            <w:r>
              <w:rPr>
                <w:rFonts w:hint="eastAsia"/>
                <w:color w:val="auto"/>
                <w:sz w:val="21"/>
                <w:szCs w:val="21"/>
                <w:highlight w:val="none"/>
              </w:rPr>
              <w:t>监测结果表明，厂界噪声监测值均符合《工业企业厂界环境噪声排放标准》（GB12348-2008）</w:t>
            </w:r>
            <w:r>
              <w:rPr>
                <w:rFonts w:hint="eastAsia"/>
                <w:color w:val="auto"/>
                <w:sz w:val="21"/>
                <w:szCs w:val="21"/>
                <w:highlight w:val="none"/>
                <w:lang w:val="en-US" w:eastAsia="zh-CN"/>
              </w:rPr>
              <w:t>3</w:t>
            </w:r>
            <w:r>
              <w:rPr>
                <w:rFonts w:hint="eastAsia"/>
                <w:color w:val="auto"/>
                <w:sz w:val="21"/>
                <w:szCs w:val="21"/>
                <w:highlight w:val="none"/>
              </w:rPr>
              <w:t>类标准限值要求。</w:t>
            </w:r>
          </w:p>
          <w:p w14:paraId="79E51F83">
            <w:pPr>
              <w:spacing w:line="360" w:lineRule="auto"/>
              <w:ind w:firstLine="422" w:firstLineChars="200"/>
              <w:rPr>
                <w:color w:val="auto"/>
                <w:sz w:val="21"/>
                <w:szCs w:val="21"/>
                <w:highlight w:val="none"/>
              </w:rPr>
            </w:pPr>
            <w:r>
              <w:rPr>
                <w:rFonts w:hint="eastAsia" w:ascii="Times New Roman" w:hAnsi="Times New Roman" w:eastAsia="宋体" w:cs="Times New Roman"/>
                <w:b/>
                <w:color w:val="auto"/>
                <w:szCs w:val="21"/>
                <w:lang w:val="en-US" w:eastAsia="zh-CN"/>
              </w:rPr>
              <w:t>3、原</w:t>
            </w:r>
            <w:r>
              <w:rPr>
                <w:rFonts w:hint="eastAsia"/>
                <w:b/>
                <w:color w:val="auto"/>
                <w:szCs w:val="21"/>
              </w:rPr>
              <w:t>项目污染物产生及批复排放量汇总</w:t>
            </w:r>
          </w:p>
          <w:p w14:paraId="129EC29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color w:val="auto"/>
                <w:sz w:val="21"/>
                <w:szCs w:val="21"/>
                <w:highlight w:val="none"/>
                <w:lang w:val="en-US" w:eastAsia="zh-CN"/>
              </w:rPr>
            </w:pPr>
            <w:r>
              <w:rPr>
                <w:color w:val="auto"/>
                <w:sz w:val="21"/>
                <w:szCs w:val="21"/>
                <w:highlight w:val="none"/>
              </w:rPr>
              <w:t>根据</w:t>
            </w:r>
            <w:r>
              <w:rPr>
                <w:rFonts w:hint="eastAsia"/>
                <w:color w:val="auto"/>
                <w:sz w:val="21"/>
                <w:szCs w:val="21"/>
                <w:highlight w:val="none"/>
                <w:lang w:val="en-US" w:eastAsia="zh-CN"/>
              </w:rPr>
              <w:t>现有项目环评报告、竣工验收报告中数据，污染物环评批复排放量及实际排放量见下表。</w:t>
            </w:r>
          </w:p>
          <w:p w14:paraId="35D061A2">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b/>
                <w:bCs/>
                <w:color w:val="auto"/>
                <w:sz w:val="21"/>
                <w:szCs w:val="21"/>
                <w:highlight w:val="none"/>
              </w:rPr>
              <w:t>表2-</w:t>
            </w:r>
            <w:r>
              <w:rPr>
                <w:rFonts w:hint="eastAsia"/>
                <w:b/>
                <w:bCs/>
                <w:color w:val="auto"/>
                <w:sz w:val="21"/>
                <w:szCs w:val="21"/>
                <w:highlight w:val="none"/>
                <w:lang w:val="en-US" w:eastAsia="zh-CN"/>
              </w:rPr>
              <w:t>14 原</w:t>
            </w:r>
            <w:r>
              <w:rPr>
                <w:b/>
                <w:bCs/>
                <w:color w:val="auto"/>
                <w:sz w:val="21"/>
                <w:szCs w:val="21"/>
                <w:highlight w:val="none"/>
              </w:rPr>
              <w:t>项目污染物</w:t>
            </w:r>
            <w:r>
              <w:rPr>
                <w:rFonts w:hint="eastAsia"/>
                <w:b/>
                <w:bCs/>
                <w:color w:val="auto"/>
                <w:sz w:val="21"/>
                <w:szCs w:val="21"/>
                <w:highlight w:val="none"/>
                <w:lang w:val="en-US" w:eastAsia="zh-CN"/>
              </w:rPr>
              <w:t>环评批复排放量及实际排放量汇总表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7"/>
              <w:gridCol w:w="1684"/>
              <w:gridCol w:w="1686"/>
              <w:gridCol w:w="1930"/>
              <w:gridCol w:w="1897"/>
            </w:tblGrid>
            <w:tr w14:paraId="0DBFF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noWrap w:val="0"/>
                  <w:vAlign w:val="center"/>
                </w:tcPr>
                <w:p w14:paraId="40F4FE81">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分类</w:t>
                  </w:r>
                </w:p>
              </w:tc>
              <w:tc>
                <w:tcPr>
                  <w:tcW w:w="2031" w:type="pct"/>
                  <w:gridSpan w:val="2"/>
                  <w:noWrap w:val="0"/>
                  <w:vAlign w:val="center"/>
                </w:tcPr>
                <w:p w14:paraId="2FA5634E">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1163" w:type="pct"/>
                  <w:noWrap w:val="0"/>
                  <w:vAlign w:val="center"/>
                </w:tcPr>
                <w:p w14:paraId="6C141925">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环评批复量t/a</w:t>
                  </w:r>
                </w:p>
              </w:tc>
              <w:tc>
                <w:tcPr>
                  <w:tcW w:w="1143" w:type="pct"/>
                  <w:noWrap w:val="0"/>
                  <w:vAlign w:val="center"/>
                </w:tcPr>
                <w:p w14:paraId="4425E061">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实际排放量t/a</w:t>
                  </w:r>
                </w:p>
              </w:tc>
            </w:tr>
            <w:tr w14:paraId="10039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restart"/>
                  <w:noWrap w:val="0"/>
                  <w:vAlign w:val="center"/>
                </w:tcPr>
                <w:p w14:paraId="6E7D4D45">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2031" w:type="pct"/>
                  <w:gridSpan w:val="2"/>
                  <w:noWrap w:val="0"/>
                  <w:vAlign w:val="center"/>
                </w:tcPr>
                <w:p w14:paraId="436F5086">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1163" w:type="pct"/>
                  <w:shd w:val="clear" w:color="auto" w:fill="auto"/>
                  <w:noWrap w:val="0"/>
                  <w:vAlign w:val="center"/>
                </w:tcPr>
                <w:p w14:paraId="738467AB">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olor w:val="auto"/>
                      <w:szCs w:val="21"/>
                      <w:lang w:val="en-US" w:eastAsia="zh-CN"/>
                    </w:rPr>
                    <w:t>107.52</w:t>
                  </w:r>
                </w:p>
              </w:tc>
              <w:tc>
                <w:tcPr>
                  <w:tcW w:w="1143" w:type="pct"/>
                  <w:shd w:val="clear" w:color="auto" w:fill="auto"/>
                  <w:noWrap w:val="0"/>
                  <w:vAlign w:val="center"/>
                </w:tcPr>
                <w:p w14:paraId="5CB472F9">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olor w:val="auto"/>
                      <w:szCs w:val="21"/>
                      <w:lang w:val="en-US" w:eastAsia="zh-CN"/>
                    </w:rPr>
                    <w:t>107.52</w:t>
                  </w:r>
                </w:p>
              </w:tc>
            </w:tr>
            <w:tr w14:paraId="6F0AA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54DBA3C2">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p>
              </w:tc>
              <w:tc>
                <w:tcPr>
                  <w:tcW w:w="2031" w:type="pct"/>
                  <w:gridSpan w:val="2"/>
                  <w:noWrap w:val="0"/>
                  <w:vAlign w:val="center"/>
                </w:tcPr>
                <w:p w14:paraId="3023A283">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163" w:type="pct"/>
                  <w:shd w:val="clear" w:color="auto" w:fill="auto"/>
                  <w:noWrap w:val="0"/>
                  <w:vAlign w:val="center"/>
                </w:tcPr>
                <w:p w14:paraId="66FD5F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0.043</w:t>
                  </w:r>
                </w:p>
              </w:tc>
              <w:tc>
                <w:tcPr>
                  <w:tcW w:w="1143" w:type="pct"/>
                  <w:shd w:val="clear" w:color="auto" w:fill="auto"/>
                  <w:noWrap w:val="0"/>
                  <w:vAlign w:val="center"/>
                </w:tcPr>
                <w:p w14:paraId="56E6B6D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0.043</w:t>
                  </w:r>
                </w:p>
              </w:tc>
            </w:tr>
            <w:tr w14:paraId="3C5E3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09F60130">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p>
              </w:tc>
              <w:tc>
                <w:tcPr>
                  <w:tcW w:w="2031" w:type="pct"/>
                  <w:gridSpan w:val="2"/>
                  <w:noWrap w:val="0"/>
                  <w:vAlign w:val="center"/>
                </w:tcPr>
                <w:p w14:paraId="6F68B796">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163" w:type="pct"/>
                  <w:shd w:val="clear" w:color="auto" w:fill="auto"/>
                  <w:noWrap w:val="0"/>
                  <w:vAlign w:val="center"/>
                </w:tcPr>
                <w:p w14:paraId="4468FC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0.0215</w:t>
                  </w:r>
                </w:p>
              </w:tc>
              <w:tc>
                <w:tcPr>
                  <w:tcW w:w="1143" w:type="pct"/>
                  <w:shd w:val="clear" w:color="auto" w:fill="auto"/>
                  <w:noWrap w:val="0"/>
                  <w:vAlign w:val="center"/>
                </w:tcPr>
                <w:p w14:paraId="1799F9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0.0215</w:t>
                  </w:r>
                </w:p>
              </w:tc>
            </w:tr>
            <w:tr w14:paraId="1863E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28818E60">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p>
              </w:tc>
              <w:tc>
                <w:tcPr>
                  <w:tcW w:w="2031" w:type="pct"/>
                  <w:gridSpan w:val="2"/>
                  <w:noWrap w:val="0"/>
                  <w:vAlign w:val="center"/>
                </w:tcPr>
                <w:p w14:paraId="221415AA">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1163" w:type="pct"/>
                  <w:shd w:val="clear" w:color="auto" w:fill="auto"/>
                  <w:noWrap w:val="0"/>
                  <w:vAlign w:val="center"/>
                </w:tcPr>
                <w:p w14:paraId="28202E1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0.0038</w:t>
                  </w:r>
                </w:p>
              </w:tc>
              <w:tc>
                <w:tcPr>
                  <w:tcW w:w="1143" w:type="pct"/>
                  <w:shd w:val="clear" w:color="auto" w:fill="auto"/>
                  <w:noWrap w:val="0"/>
                  <w:vAlign w:val="center"/>
                </w:tcPr>
                <w:p w14:paraId="4C778EB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0.0038</w:t>
                  </w:r>
                </w:p>
              </w:tc>
            </w:tr>
            <w:tr w14:paraId="58B91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2A8045A0">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p>
              </w:tc>
              <w:tc>
                <w:tcPr>
                  <w:tcW w:w="2031" w:type="pct"/>
                  <w:gridSpan w:val="2"/>
                  <w:noWrap w:val="0"/>
                  <w:vAlign w:val="center"/>
                </w:tcPr>
                <w:p w14:paraId="7176B4CA">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TP</w:t>
                  </w:r>
                </w:p>
              </w:tc>
              <w:tc>
                <w:tcPr>
                  <w:tcW w:w="1163" w:type="pct"/>
                  <w:shd w:val="clear" w:color="auto" w:fill="auto"/>
                  <w:noWrap w:val="0"/>
                  <w:vAlign w:val="center"/>
                </w:tcPr>
                <w:p w14:paraId="359C17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c>
                <w:tcPr>
                  <w:tcW w:w="1143" w:type="pct"/>
                  <w:shd w:val="clear" w:color="auto" w:fill="auto"/>
                  <w:noWrap w:val="0"/>
                  <w:vAlign w:val="center"/>
                </w:tcPr>
                <w:p w14:paraId="3FFAC0C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r>
            <w:tr w14:paraId="0BC6E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6084710A">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p>
              </w:tc>
              <w:tc>
                <w:tcPr>
                  <w:tcW w:w="2031" w:type="pct"/>
                  <w:gridSpan w:val="2"/>
                  <w:noWrap w:val="0"/>
                  <w:vAlign w:val="center"/>
                </w:tcPr>
                <w:p w14:paraId="700130B4">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eastAsia" w:ascii="Times New Roman" w:hAnsi="Times New Roman" w:eastAsia="宋体" w:cs="Times New Roman"/>
                      <w:color w:val="auto"/>
                      <w:sz w:val="21"/>
                      <w:szCs w:val="21"/>
                      <w:highlight w:val="none"/>
                      <w:lang w:val="en-US" w:eastAsia="zh-CN"/>
                    </w:rPr>
                    <w:t>N</w:t>
                  </w:r>
                </w:p>
              </w:tc>
              <w:tc>
                <w:tcPr>
                  <w:tcW w:w="1163" w:type="pct"/>
                  <w:shd w:val="clear" w:color="auto" w:fill="auto"/>
                  <w:noWrap w:val="0"/>
                  <w:vAlign w:val="center"/>
                </w:tcPr>
                <w:p w14:paraId="2FAFF1A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0.0054</w:t>
                  </w:r>
                </w:p>
              </w:tc>
              <w:tc>
                <w:tcPr>
                  <w:tcW w:w="1143" w:type="pct"/>
                  <w:shd w:val="clear" w:color="auto" w:fill="auto"/>
                  <w:noWrap w:val="0"/>
                  <w:vAlign w:val="center"/>
                </w:tcPr>
                <w:p w14:paraId="04DDF4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0.0054</w:t>
                  </w:r>
                </w:p>
              </w:tc>
            </w:tr>
            <w:tr w14:paraId="09B8F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restart"/>
                  <w:noWrap w:val="0"/>
                  <w:vAlign w:val="center"/>
                </w:tcPr>
                <w:p w14:paraId="14178CC2">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有组织废气</w:t>
                  </w:r>
                </w:p>
              </w:tc>
              <w:tc>
                <w:tcPr>
                  <w:tcW w:w="1015" w:type="pct"/>
                  <w:noWrap w:val="0"/>
                  <w:vAlign w:val="center"/>
                </w:tcPr>
                <w:p w14:paraId="0DC73071">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DA001</w:t>
                  </w:r>
                </w:p>
              </w:tc>
              <w:tc>
                <w:tcPr>
                  <w:tcW w:w="1016" w:type="pct"/>
                  <w:shd w:val="clear" w:color="auto" w:fill="auto"/>
                  <w:noWrap w:val="0"/>
                  <w:vAlign w:val="center"/>
                </w:tcPr>
                <w:p w14:paraId="642E50AE">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1163" w:type="pct"/>
                  <w:shd w:val="clear" w:color="auto" w:fill="auto"/>
                  <w:noWrap w:val="0"/>
                  <w:vAlign w:val="center"/>
                </w:tcPr>
                <w:p w14:paraId="3AECE972">
                  <w:pPr>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color w:val="auto"/>
                      <w:szCs w:val="21"/>
                    </w:rPr>
                    <w:t>0.0189</w:t>
                  </w:r>
                </w:p>
              </w:tc>
              <w:tc>
                <w:tcPr>
                  <w:tcW w:w="1143" w:type="pct"/>
                  <w:shd w:val="clear" w:color="auto" w:fill="auto"/>
                  <w:noWrap w:val="0"/>
                  <w:vAlign w:val="center"/>
                </w:tcPr>
                <w:p w14:paraId="066DFB08">
                  <w:pPr>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color w:val="auto"/>
                      <w:szCs w:val="21"/>
                    </w:rPr>
                    <w:t>0.0189</w:t>
                  </w:r>
                </w:p>
              </w:tc>
            </w:tr>
            <w:tr w14:paraId="25223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55F046EF">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p>
              </w:tc>
              <w:tc>
                <w:tcPr>
                  <w:tcW w:w="1015" w:type="pct"/>
                  <w:vMerge w:val="restart"/>
                  <w:noWrap w:val="0"/>
                  <w:vAlign w:val="center"/>
                </w:tcPr>
                <w:p w14:paraId="57F2B33E">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DA002</w:t>
                  </w:r>
                </w:p>
              </w:tc>
              <w:tc>
                <w:tcPr>
                  <w:tcW w:w="1016" w:type="pct"/>
                  <w:shd w:val="clear" w:color="auto" w:fill="auto"/>
                  <w:noWrap w:val="0"/>
                  <w:vAlign w:val="center"/>
                </w:tcPr>
                <w:p w14:paraId="3DC63B5B">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163" w:type="pct"/>
                  <w:shd w:val="clear" w:color="auto" w:fill="auto"/>
                  <w:noWrap w:val="0"/>
                  <w:vAlign w:val="center"/>
                </w:tcPr>
                <w:p w14:paraId="0B06EC2F">
                  <w:pPr>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color w:val="auto"/>
                      <w:szCs w:val="21"/>
                    </w:rPr>
                    <w:t>0.054</w:t>
                  </w:r>
                </w:p>
              </w:tc>
              <w:tc>
                <w:tcPr>
                  <w:tcW w:w="1143" w:type="pct"/>
                  <w:shd w:val="clear" w:color="auto" w:fill="auto"/>
                  <w:noWrap w:val="0"/>
                  <w:vAlign w:val="center"/>
                </w:tcPr>
                <w:p w14:paraId="0ED6D840">
                  <w:pPr>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color w:val="auto"/>
                      <w:szCs w:val="21"/>
                    </w:rPr>
                    <w:t>0.054</w:t>
                  </w:r>
                </w:p>
              </w:tc>
            </w:tr>
            <w:tr w14:paraId="70E0F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09C8B133">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p>
              </w:tc>
              <w:tc>
                <w:tcPr>
                  <w:tcW w:w="1015" w:type="pct"/>
                  <w:vMerge w:val="continue"/>
                  <w:noWrap w:val="0"/>
                  <w:vAlign w:val="center"/>
                </w:tcPr>
                <w:p w14:paraId="2EAFA75F">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lang w:val="en-US" w:eastAsia="zh-CN"/>
                    </w:rPr>
                  </w:pPr>
                </w:p>
              </w:tc>
              <w:tc>
                <w:tcPr>
                  <w:tcW w:w="1016" w:type="pct"/>
                  <w:shd w:val="clear" w:color="auto" w:fill="auto"/>
                  <w:noWrap w:val="0"/>
                  <w:vAlign w:val="center"/>
                </w:tcPr>
                <w:p w14:paraId="6BC64B61">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163" w:type="pct"/>
                  <w:shd w:val="clear" w:color="auto" w:fill="auto"/>
                  <w:noWrap w:val="0"/>
                  <w:vAlign w:val="center"/>
                </w:tcPr>
                <w:p w14:paraId="45F127B5">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0.0</w:t>
                  </w:r>
                  <w:r>
                    <w:rPr>
                      <w:rFonts w:hint="eastAsia" w:ascii="Times New Roman" w:hAnsi="Times New Roman"/>
                      <w:color w:val="auto"/>
                      <w:szCs w:val="21"/>
                      <w:lang w:val="en-US" w:eastAsia="zh-CN"/>
                    </w:rPr>
                    <w:t>43</w:t>
                  </w:r>
                </w:p>
              </w:tc>
              <w:tc>
                <w:tcPr>
                  <w:tcW w:w="1143" w:type="pct"/>
                  <w:shd w:val="clear" w:color="auto" w:fill="auto"/>
                  <w:noWrap w:val="0"/>
                  <w:vAlign w:val="center"/>
                </w:tcPr>
                <w:p w14:paraId="42F3ADC9">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0.0</w:t>
                  </w:r>
                  <w:r>
                    <w:rPr>
                      <w:rFonts w:hint="eastAsia" w:ascii="Times New Roman" w:hAnsi="Times New Roman"/>
                      <w:color w:val="auto"/>
                      <w:szCs w:val="21"/>
                      <w:lang w:val="en-US" w:eastAsia="zh-CN"/>
                    </w:rPr>
                    <w:t>43</w:t>
                  </w:r>
                </w:p>
              </w:tc>
            </w:tr>
            <w:tr w14:paraId="2815D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restart"/>
                  <w:noWrap w:val="0"/>
                  <w:vAlign w:val="center"/>
                </w:tcPr>
                <w:p w14:paraId="64CEF30C">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无组织废气</w:t>
                  </w:r>
                </w:p>
              </w:tc>
              <w:tc>
                <w:tcPr>
                  <w:tcW w:w="2031" w:type="pct"/>
                  <w:gridSpan w:val="2"/>
                  <w:noWrap w:val="0"/>
                  <w:vAlign w:val="center"/>
                </w:tcPr>
                <w:p w14:paraId="0426D56F">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非甲烷总烃</w:t>
                  </w:r>
                </w:p>
              </w:tc>
              <w:tc>
                <w:tcPr>
                  <w:tcW w:w="1163" w:type="pct"/>
                  <w:shd w:val="clear" w:color="auto" w:fill="auto"/>
                  <w:noWrap w:val="0"/>
                  <w:vAlign w:val="center"/>
                </w:tcPr>
                <w:p w14:paraId="76FDF487">
                  <w:pPr>
                    <w:pStyle w:val="49"/>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rPr>
                    <w:t>0.064</w:t>
                  </w:r>
                </w:p>
              </w:tc>
              <w:tc>
                <w:tcPr>
                  <w:tcW w:w="1143" w:type="pct"/>
                  <w:noWrap w:val="0"/>
                  <w:vAlign w:val="center"/>
                </w:tcPr>
                <w:p w14:paraId="06D7D2BE">
                  <w:pPr>
                    <w:pStyle w:val="49"/>
                    <w:ind w:firstLine="0" w:firstLineChars="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olor w:val="auto"/>
                    </w:rPr>
                    <w:t>0.064</w:t>
                  </w:r>
                </w:p>
              </w:tc>
            </w:tr>
            <w:tr w14:paraId="6D32D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68A3A3AF">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p>
              </w:tc>
              <w:tc>
                <w:tcPr>
                  <w:tcW w:w="2031" w:type="pct"/>
                  <w:gridSpan w:val="2"/>
                  <w:noWrap w:val="0"/>
                  <w:vAlign w:val="center"/>
                </w:tcPr>
                <w:p w14:paraId="66CD4C04">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163" w:type="pct"/>
                  <w:shd w:val="clear" w:color="auto" w:fill="auto"/>
                  <w:noWrap w:val="0"/>
                  <w:vAlign w:val="center"/>
                </w:tcPr>
                <w:p w14:paraId="3FAC7B27">
                  <w:pPr>
                    <w:pStyle w:val="49"/>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rPr>
                    <w:t>0.0966</w:t>
                  </w:r>
                </w:p>
              </w:tc>
              <w:tc>
                <w:tcPr>
                  <w:tcW w:w="1143" w:type="pct"/>
                  <w:noWrap w:val="0"/>
                  <w:vAlign w:val="center"/>
                </w:tcPr>
                <w:p w14:paraId="17F70B4E">
                  <w:pPr>
                    <w:pStyle w:val="49"/>
                    <w:ind w:firstLine="0" w:firstLineChars="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olor w:val="auto"/>
                    </w:rPr>
                    <w:t>0.0966</w:t>
                  </w:r>
                </w:p>
              </w:tc>
            </w:tr>
            <w:tr w14:paraId="2272B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restart"/>
                  <w:noWrap w:val="0"/>
                  <w:vAlign w:val="center"/>
                </w:tcPr>
                <w:p w14:paraId="66A70370">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2031" w:type="pct"/>
                  <w:gridSpan w:val="2"/>
                  <w:noWrap w:val="0"/>
                  <w:vAlign w:val="center"/>
                </w:tcPr>
                <w:p w14:paraId="7B42B2C4">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163" w:type="pct"/>
                  <w:noWrap w:val="0"/>
                  <w:vAlign w:val="center"/>
                </w:tcPr>
                <w:p w14:paraId="6076B0A9">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143" w:type="pct"/>
                  <w:noWrap w:val="0"/>
                  <w:vAlign w:val="center"/>
                </w:tcPr>
                <w:p w14:paraId="342FC319">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14:paraId="52B4C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129D45B4">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p>
              </w:tc>
              <w:tc>
                <w:tcPr>
                  <w:tcW w:w="2031" w:type="pct"/>
                  <w:gridSpan w:val="2"/>
                  <w:noWrap w:val="0"/>
                  <w:vAlign w:val="center"/>
                </w:tcPr>
                <w:p w14:paraId="4AC9BBDA">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1163" w:type="pct"/>
                  <w:noWrap w:val="0"/>
                  <w:vAlign w:val="center"/>
                </w:tcPr>
                <w:p w14:paraId="51230DDF">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143" w:type="pct"/>
                  <w:noWrap w:val="0"/>
                  <w:vAlign w:val="center"/>
                </w:tcPr>
                <w:p w14:paraId="7C25332E">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14:paraId="6EB9A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pct"/>
                  <w:vMerge w:val="continue"/>
                  <w:noWrap w:val="0"/>
                  <w:vAlign w:val="center"/>
                </w:tcPr>
                <w:p w14:paraId="6C962950">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p>
              </w:tc>
              <w:tc>
                <w:tcPr>
                  <w:tcW w:w="2031" w:type="pct"/>
                  <w:gridSpan w:val="2"/>
                  <w:noWrap w:val="0"/>
                  <w:vAlign w:val="center"/>
                </w:tcPr>
                <w:p w14:paraId="730A5B1D">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危险固废</w:t>
                  </w:r>
                </w:p>
              </w:tc>
              <w:tc>
                <w:tcPr>
                  <w:tcW w:w="1163" w:type="pct"/>
                  <w:noWrap w:val="0"/>
                  <w:vAlign w:val="center"/>
                </w:tcPr>
                <w:p w14:paraId="2E04C664">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143" w:type="pct"/>
                  <w:noWrap w:val="0"/>
                  <w:vAlign w:val="center"/>
                </w:tcPr>
                <w:p w14:paraId="632AE2A8">
                  <w:pPr>
                    <w:keepNext w:val="0"/>
                    <w:keepLines w:val="0"/>
                    <w:pageBreakBefore w:val="0"/>
                    <w:kinsoku/>
                    <w:wordWrap/>
                    <w:overflowPunct/>
                    <w:topLinePunct w:val="0"/>
                    <w:autoSpaceDE/>
                    <w:autoSpaceDN/>
                    <w:bidi w:val="0"/>
                    <w:adjustRightInd/>
                    <w:snapToGrid/>
                    <w:spacing w:before="63" w:beforeLines="20" w:after="63" w:afterLines="20"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bl>
          <w:p w14:paraId="1D6BD3FA">
            <w:pPr>
              <w:tabs>
                <w:tab w:val="left" w:pos="840"/>
              </w:tabs>
              <w:adjustRightInd w:val="0"/>
              <w:snapToGrid w:val="0"/>
              <w:spacing w:line="360" w:lineRule="auto"/>
              <w:ind w:firstLine="422" w:firstLineChars="200"/>
              <w:rPr>
                <w:rFonts w:hint="default" w:ascii="Times New Roman" w:hAnsi="Times New Roman" w:eastAsia="宋体" w:cs="Times New Roman"/>
                <w:b/>
                <w:bCs/>
                <w:color w:val="auto"/>
                <w:szCs w:val="21"/>
              </w:rPr>
            </w:pPr>
            <w:r>
              <w:rPr>
                <w:rFonts w:hint="eastAsia" w:cs="Times New Roman"/>
                <w:b/>
                <w:bCs/>
                <w:color w:val="auto"/>
                <w:szCs w:val="21"/>
                <w:lang w:val="en-US" w:eastAsia="zh-CN"/>
              </w:rPr>
              <w:t>四</w:t>
            </w:r>
            <w:r>
              <w:rPr>
                <w:rFonts w:hint="default" w:ascii="Times New Roman" w:hAnsi="Times New Roman" w:eastAsia="宋体" w:cs="Times New Roman"/>
                <w:b/>
                <w:bCs/>
                <w:color w:val="auto"/>
                <w:szCs w:val="21"/>
              </w:rPr>
              <w:t>、</w:t>
            </w:r>
            <w:r>
              <w:rPr>
                <w:rFonts w:hint="eastAsia"/>
                <w:b/>
                <w:bCs/>
                <w:color w:val="auto"/>
                <w:szCs w:val="21"/>
              </w:rPr>
              <w:t>原项目环境问题</w:t>
            </w:r>
            <w:r>
              <w:rPr>
                <w:rFonts w:hint="default" w:ascii="Times New Roman" w:hAnsi="Times New Roman" w:eastAsia="宋体" w:cs="Times New Roman"/>
                <w:b/>
                <w:bCs/>
                <w:color w:val="auto"/>
                <w:szCs w:val="21"/>
              </w:rPr>
              <w:t>：</w:t>
            </w:r>
          </w:p>
          <w:p w14:paraId="11A44DDA">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搬迁前原有项目存在的环保问题</w:t>
            </w:r>
          </w:p>
          <w:p w14:paraId="7D2CC532">
            <w:pPr>
              <w:spacing w:line="360" w:lineRule="auto"/>
              <w:ind w:firstLine="420" w:firstLineChars="20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bCs/>
                <w:color w:val="auto"/>
                <w:szCs w:val="21"/>
              </w:rPr>
              <w:t>原有</w:t>
            </w:r>
            <w:r>
              <w:rPr>
                <w:bCs/>
                <w:color w:val="auto"/>
                <w:szCs w:val="21"/>
              </w:rPr>
              <w:t>项目环境影响</w:t>
            </w:r>
          </w:p>
          <w:p w14:paraId="70BFC325">
            <w:pPr>
              <w:spacing w:line="360" w:lineRule="auto"/>
              <w:ind w:firstLine="420" w:firstLineChars="200"/>
              <w:rPr>
                <w:rFonts w:hint="eastAsia"/>
                <w:color w:val="auto"/>
              </w:rPr>
            </w:pPr>
            <w:r>
              <w:rPr>
                <w:rFonts w:hint="eastAsia"/>
                <w:color w:val="auto"/>
              </w:rPr>
              <w:t>原有项目</w:t>
            </w:r>
            <w:r>
              <w:rPr>
                <w:rFonts w:hint="eastAsia"/>
                <w:color w:val="auto"/>
                <w:lang w:val="en-US" w:eastAsia="zh-CN"/>
              </w:rPr>
              <w:t>废气经收集处置后排放</w:t>
            </w:r>
            <w:r>
              <w:rPr>
                <w:rFonts w:hint="eastAsia"/>
                <w:color w:val="auto"/>
              </w:rPr>
              <w:t>。经验收检测数据可知，企业产生的废气有组织及无组织废气均能满足相应排放标准限值要求，另外企业通过加强车间通风等措施降低无组织废气浓度。</w:t>
            </w:r>
          </w:p>
          <w:p w14:paraId="047816D9">
            <w:pPr>
              <w:spacing w:line="360" w:lineRule="auto"/>
              <w:ind w:firstLine="420" w:firstLineChars="200"/>
              <w:rPr>
                <w:rFonts w:hint="eastAsia"/>
                <w:color w:val="auto"/>
              </w:rPr>
            </w:pPr>
            <w:r>
              <w:rPr>
                <w:rFonts w:hint="eastAsia"/>
                <w:color w:val="auto"/>
              </w:rPr>
              <w:t>原有项目排放的废水仅为生活污水。生活污水接入市政污水管网进入常州金坛区第二污水处理有限公司集中处理。</w:t>
            </w:r>
          </w:p>
          <w:p w14:paraId="1E626754">
            <w:pPr>
              <w:spacing w:line="360" w:lineRule="auto"/>
              <w:ind w:firstLine="420" w:firstLineChars="200"/>
              <w:rPr>
                <w:rFonts w:hint="eastAsia"/>
                <w:color w:val="auto"/>
              </w:rPr>
            </w:pPr>
            <w:r>
              <w:rPr>
                <w:rFonts w:hint="eastAsia"/>
                <w:color w:val="auto"/>
              </w:rPr>
              <w:t>原有危废暂存于危废仓库，一般固废暂存于一般固废仓库，各类固废均经妥善处置不外排。</w:t>
            </w:r>
          </w:p>
          <w:p w14:paraId="7C64FD2B">
            <w:pPr>
              <w:spacing w:line="360" w:lineRule="auto"/>
              <w:ind w:firstLine="420" w:firstLineChars="200"/>
              <w:rPr>
                <w:rFonts w:hint="eastAsia"/>
                <w:color w:val="auto"/>
              </w:rPr>
            </w:pPr>
            <w:r>
              <w:rPr>
                <w:rFonts w:hint="eastAsia"/>
                <w:color w:val="auto"/>
              </w:rPr>
              <w:t>原有项目已按照要求进行分区防渗，对危废仓库进行重点防渗，项目危废暂存量较小，一旦发生包装物破损等导致物料泄漏，及时用黄沙进行吸附，能有效的将泄漏物控制在小区域范围内，且地面做防渗处理，不会渗漏到土壤和地下水。</w:t>
            </w:r>
          </w:p>
          <w:p w14:paraId="762374CC">
            <w:pPr>
              <w:spacing w:line="360" w:lineRule="auto"/>
              <w:ind w:firstLine="420" w:firstLineChars="200"/>
              <w:rPr>
                <w:rFonts w:hint="eastAsia" w:eastAsia="宋体"/>
                <w:color w:val="auto"/>
                <w:lang w:eastAsia="zh-CN"/>
              </w:rPr>
            </w:pPr>
            <w:r>
              <w:rPr>
                <w:rFonts w:hint="eastAsia"/>
                <w:color w:val="auto"/>
              </w:rPr>
              <w:t>综上，引用原有环评结论，原有项目各项污染防治措施可行，对周边大气、地表水、地下水和土壤环境影响不大</w:t>
            </w:r>
            <w:r>
              <w:rPr>
                <w:rFonts w:hint="eastAsia"/>
                <w:color w:val="auto"/>
                <w:lang w:eastAsia="zh-CN"/>
              </w:rPr>
              <w:t>。</w:t>
            </w:r>
          </w:p>
          <w:p w14:paraId="0A4257F4">
            <w:pPr>
              <w:spacing w:line="360" w:lineRule="auto"/>
              <w:ind w:firstLine="420" w:firstLineChars="200"/>
              <w:rPr>
                <w:color w:val="auto"/>
              </w:rPr>
            </w:pPr>
            <w:r>
              <w:rPr>
                <w:rFonts w:hint="eastAsia"/>
                <w:bCs/>
                <w:color w:val="auto"/>
                <w:szCs w:val="21"/>
                <w:lang w:val="en-US" w:eastAsia="zh-CN"/>
              </w:rPr>
              <w:t>（2）</w:t>
            </w:r>
            <w:r>
              <w:rPr>
                <w:bCs/>
                <w:color w:val="auto"/>
                <w:szCs w:val="21"/>
              </w:rPr>
              <w:t>原有项目遗留问题</w:t>
            </w:r>
          </w:p>
          <w:p w14:paraId="5AFF7E4E">
            <w:pPr>
              <w:spacing w:line="360" w:lineRule="auto"/>
              <w:ind w:firstLine="420" w:firstLineChars="200"/>
              <w:rPr>
                <w:rFonts w:hint="eastAsia"/>
                <w:color w:val="auto"/>
              </w:rPr>
            </w:pPr>
            <w:r>
              <w:rPr>
                <w:rFonts w:hint="eastAsia"/>
                <w:color w:val="auto"/>
              </w:rPr>
              <w:t>原有项目搬迁后，原有设备部分搬迁至本次项目厂内继续使用，部分淘汰外售。原有项目厂址所在场地将全部停产拆除，设备拆除过程中将存在一定的环境风险，对企业提出如下要求：</w:t>
            </w:r>
          </w:p>
          <w:p w14:paraId="6DBF5E7D">
            <w:pPr>
              <w:spacing w:line="360" w:lineRule="auto"/>
              <w:ind w:firstLine="420" w:firstLineChars="200"/>
              <w:rPr>
                <w:rFonts w:hint="eastAsia"/>
                <w:color w:val="auto"/>
              </w:rPr>
            </w:pPr>
            <w:r>
              <w:rPr>
                <w:rFonts w:hint="eastAsia"/>
                <w:color w:val="auto"/>
              </w:rPr>
              <w:t>①拆除要求</w:t>
            </w:r>
          </w:p>
          <w:p w14:paraId="71696626">
            <w:pPr>
              <w:spacing w:line="360" w:lineRule="auto"/>
              <w:ind w:firstLine="420" w:firstLineChars="200"/>
              <w:rPr>
                <w:rFonts w:hint="eastAsia"/>
                <w:color w:val="auto"/>
              </w:rPr>
            </w:pPr>
            <w:r>
              <w:rPr>
                <w:rFonts w:hint="eastAsia"/>
                <w:color w:val="auto"/>
              </w:rPr>
              <w:t>原有项目在拆除前需保证厂内所有设备均处于断电停产状态，各类设备电气、仪表、阀门、工艺管道等进行第一步拆除，环保设备和消防设备最后一步拆除，拆除前需要保证厂内剩余的各类固废均有效转移和处置，目前原有项目危废仓库内部危废已全部转移完毕，环保设备等装置中剩余危险废物要求企业在搬迁之前全部妥善转移完毕，不在厂内遗留或自行转移到新厂区。</w:t>
            </w:r>
          </w:p>
          <w:p w14:paraId="13A05BAA">
            <w:pPr>
              <w:spacing w:line="360" w:lineRule="auto"/>
              <w:ind w:firstLine="420" w:firstLineChars="200"/>
              <w:rPr>
                <w:rFonts w:hint="eastAsia"/>
                <w:color w:val="auto"/>
              </w:rPr>
            </w:pPr>
            <w:r>
              <w:rPr>
                <w:rFonts w:hint="eastAsia"/>
                <w:color w:val="auto"/>
              </w:rPr>
              <w:t>②建（构）筑物无害化处理要求</w:t>
            </w:r>
          </w:p>
          <w:p w14:paraId="0D0D523C">
            <w:pPr>
              <w:spacing w:line="360" w:lineRule="auto"/>
              <w:ind w:firstLine="420" w:firstLineChars="200"/>
              <w:rPr>
                <w:rFonts w:hint="eastAsia"/>
                <w:color w:val="auto"/>
              </w:rPr>
            </w:pPr>
            <w:r>
              <w:rPr>
                <w:rFonts w:hint="eastAsia"/>
                <w:color w:val="auto"/>
              </w:rPr>
              <w:t>公司拟拆除的危废仓库等有可能被有机原料污染，因此在拆除前需要将被污染的墙面、地面等先拆除，拆除的垃圾作为净化清理废料，委托有资质的单位处理。</w:t>
            </w:r>
          </w:p>
          <w:p w14:paraId="35D5F110">
            <w:pPr>
              <w:spacing w:line="360" w:lineRule="auto"/>
              <w:ind w:firstLine="420" w:firstLineChars="200"/>
              <w:rPr>
                <w:rFonts w:hint="eastAsia"/>
                <w:color w:val="auto"/>
              </w:rPr>
            </w:pPr>
            <w:r>
              <w:rPr>
                <w:rFonts w:hint="eastAsia"/>
                <w:color w:val="auto"/>
              </w:rPr>
              <w:t>办公楼、维修间、变配电房、门卫、消防泵房、控制室等属于一般性环境风险，不需要进行无害化清理。</w:t>
            </w:r>
          </w:p>
          <w:p w14:paraId="259CD1C8">
            <w:pPr>
              <w:spacing w:line="360" w:lineRule="auto"/>
              <w:ind w:firstLine="420" w:firstLineChars="200"/>
              <w:rPr>
                <w:rFonts w:hint="eastAsia"/>
                <w:color w:val="auto"/>
              </w:rPr>
            </w:pPr>
            <w:r>
              <w:rPr>
                <w:rFonts w:hint="eastAsia"/>
                <w:color w:val="auto"/>
              </w:rPr>
              <w:t>③土壤环境管理要求</w:t>
            </w:r>
          </w:p>
          <w:p w14:paraId="3C4589A2">
            <w:pPr>
              <w:spacing w:line="360" w:lineRule="auto"/>
              <w:ind w:firstLine="420" w:firstLineChars="200"/>
              <w:rPr>
                <w:rFonts w:hint="eastAsia"/>
                <w:color w:val="auto"/>
              </w:rPr>
            </w:pPr>
            <w:r>
              <w:rPr>
                <w:rFonts w:hint="eastAsia"/>
                <w:color w:val="auto"/>
              </w:rPr>
              <w:t>a、建设单位拆除涉及有毒有害物质的生产设施设备、构筑物和污染治理设施的，应当按照有关规定，事先制定企业拆除活动污染防治方案。建设单位拆除活动污染防治方案应当包括被拆除生产设施设备、构筑物和污染治理设施的基本情况、拆除活动全过程土壤污染防治的技术要求、针对周边环境的污染防治要求等内容。</w:t>
            </w:r>
          </w:p>
          <w:p w14:paraId="314D91EE">
            <w:pPr>
              <w:spacing w:line="360" w:lineRule="auto"/>
              <w:ind w:firstLine="420" w:firstLineChars="200"/>
              <w:rPr>
                <w:rFonts w:hint="eastAsia"/>
                <w:color w:val="auto"/>
              </w:rPr>
            </w:pPr>
            <w:r>
              <w:rPr>
                <w:rFonts w:hint="eastAsia"/>
                <w:color w:val="auto"/>
              </w:rPr>
              <w:t>b、建设单位拆除活动应当严格按照有关规定实施残留物料和污染物、污染设备和设施的安全处理处置，并做好拆除活动相关记录，防范拆除活动污染土壤和地下水。拆除活动相关记录应当长期保存。</w:t>
            </w:r>
          </w:p>
          <w:p w14:paraId="51A1C679">
            <w:pPr>
              <w:spacing w:line="360" w:lineRule="auto"/>
              <w:ind w:firstLine="420" w:firstLineChars="200"/>
              <w:rPr>
                <w:rFonts w:hint="eastAsia"/>
                <w:color w:val="auto"/>
              </w:rPr>
            </w:pPr>
            <w:r>
              <w:rPr>
                <w:rFonts w:hint="eastAsia"/>
                <w:color w:val="auto"/>
              </w:rPr>
              <w:t>c、建设单位搬迁项目用地应当符合国家或者地方有关建设用地土壤污染风险管控标准。土地使用权人或者污染责任人应当参照土壤环境管理有关规定开展隐患排查等活动必要时自行或者委托第三方定期开展土壤和地下水监测。</w:t>
            </w:r>
          </w:p>
          <w:p w14:paraId="391BE87A">
            <w:pPr>
              <w:spacing w:line="360" w:lineRule="auto"/>
              <w:ind w:firstLine="420" w:firstLineChars="200"/>
              <w:rPr>
                <w:rFonts w:hint="eastAsia" w:eastAsia="宋体"/>
                <w:color w:val="auto"/>
                <w:lang w:eastAsia="zh-CN"/>
              </w:rPr>
            </w:pPr>
            <w:r>
              <w:rPr>
                <w:rFonts w:hint="eastAsia"/>
                <w:color w:val="auto"/>
              </w:rPr>
              <w:t>通过以上要求和措施，原有项目厂址拆除后对周边环境影响较小</w:t>
            </w:r>
            <w:r>
              <w:rPr>
                <w:rFonts w:hint="eastAsia"/>
                <w:color w:val="auto"/>
                <w:lang w:eastAsia="zh-CN"/>
              </w:rPr>
              <w:t>。</w:t>
            </w:r>
          </w:p>
          <w:p w14:paraId="22E2DEEE">
            <w:pPr>
              <w:pStyle w:val="6"/>
              <w:adjustRightInd w:val="0"/>
              <w:snapToGrid w:val="0"/>
              <w:spacing w:line="360" w:lineRule="auto"/>
              <w:ind w:firstLine="422"/>
              <w:rPr>
                <w:b/>
                <w:bCs/>
                <w:color w:val="auto"/>
                <w:szCs w:val="21"/>
              </w:rPr>
            </w:pPr>
            <w:r>
              <w:rPr>
                <w:rFonts w:hint="eastAsia"/>
                <w:b/>
                <w:bCs/>
                <w:color w:val="auto"/>
                <w:szCs w:val="21"/>
              </w:rPr>
              <w:t>2、搬迁后所在厂址原有环境问题</w:t>
            </w:r>
          </w:p>
          <w:p w14:paraId="0927782A">
            <w:pPr>
              <w:pStyle w:val="6"/>
              <w:adjustRightInd w:val="0"/>
              <w:snapToGrid w:val="0"/>
              <w:spacing w:line="360" w:lineRule="auto"/>
              <w:ind w:firstLine="420"/>
              <w:rPr>
                <w:color w:val="auto"/>
                <w:szCs w:val="21"/>
              </w:rPr>
            </w:pPr>
            <w:r>
              <w:rPr>
                <w:rFonts w:hint="eastAsia"/>
                <w:bCs/>
                <w:color w:val="auto"/>
                <w:szCs w:val="21"/>
                <w:lang w:val="en-US" w:eastAsia="zh-CN"/>
              </w:rPr>
              <w:t>本项目</w:t>
            </w:r>
            <w:r>
              <w:rPr>
                <w:rFonts w:hint="eastAsia"/>
                <w:bCs/>
                <w:color w:val="auto"/>
                <w:szCs w:val="21"/>
              </w:rPr>
              <w:t>租赁</w:t>
            </w:r>
            <w:r>
              <w:rPr>
                <w:rFonts w:hint="eastAsia" w:eastAsia="宋体"/>
                <w:b w:val="0"/>
                <w:bCs/>
                <w:color w:val="auto"/>
                <w:sz w:val="21"/>
                <w:szCs w:val="21"/>
                <w:lang w:eastAsia="zh-CN"/>
              </w:rPr>
              <w:t>常州市金坛区欣阳服饰有限公司</w:t>
            </w:r>
            <w:r>
              <w:rPr>
                <w:rFonts w:hint="eastAsia"/>
                <w:bCs/>
                <w:color w:val="auto"/>
                <w:szCs w:val="21"/>
              </w:rPr>
              <w:t>内已建</w:t>
            </w:r>
            <w:r>
              <w:rPr>
                <w:bCs/>
                <w:color w:val="auto"/>
                <w:szCs w:val="21"/>
              </w:rPr>
              <w:t>空置</w:t>
            </w:r>
            <w:r>
              <w:rPr>
                <w:rFonts w:hint="eastAsia"/>
                <w:bCs/>
                <w:color w:val="auto"/>
                <w:szCs w:val="21"/>
              </w:rPr>
              <w:t>标准化厂房进行生产</w:t>
            </w:r>
            <w:r>
              <w:rPr>
                <w:rFonts w:hint="eastAsia"/>
                <w:color w:val="auto"/>
                <w:szCs w:val="21"/>
              </w:rPr>
              <w:t>，该厂房</w:t>
            </w:r>
            <w:r>
              <w:rPr>
                <w:rFonts w:hint="eastAsia"/>
                <w:color w:val="auto"/>
                <w:szCs w:val="21"/>
                <w:lang w:val="en-US" w:eastAsia="zh-CN"/>
              </w:rPr>
              <w:t>原为</w:t>
            </w:r>
            <w:r>
              <w:rPr>
                <w:rFonts w:hint="eastAsia" w:eastAsia="宋体"/>
                <w:b w:val="0"/>
                <w:bCs/>
                <w:color w:val="auto"/>
                <w:sz w:val="21"/>
                <w:szCs w:val="21"/>
                <w:lang w:eastAsia="zh-CN"/>
              </w:rPr>
              <w:t>欣阳</w:t>
            </w:r>
            <w:r>
              <w:rPr>
                <w:rFonts w:hint="eastAsia"/>
                <w:color w:val="auto"/>
                <w:szCs w:val="21"/>
                <w:lang w:val="en-US" w:eastAsia="zh-CN"/>
              </w:rPr>
              <w:t>公司作为服装缝纫所用，目前已全部清空。</w:t>
            </w:r>
            <w:r>
              <w:rPr>
                <w:rFonts w:hint="eastAsia"/>
                <w:bCs/>
                <w:color w:val="auto"/>
                <w:szCs w:val="21"/>
              </w:rPr>
              <w:t>因此，</w:t>
            </w:r>
            <w:r>
              <w:rPr>
                <w:rFonts w:hint="eastAsia"/>
                <w:color w:val="auto"/>
                <w:szCs w:val="21"/>
              </w:rPr>
              <w:t>项目用地不存在原有污染源和遗留环境问题。</w:t>
            </w:r>
          </w:p>
          <w:p w14:paraId="36B46D39">
            <w:pPr>
              <w:pStyle w:val="6"/>
              <w:adjustRightInd w:val="0"/>
              <w:snapToGrid w:val="0"/>
              <w:spacing w:line="360" w:lineRule="auto"/>
              <w:ind w:firstLine="420"/>
              <w:rPr>
                <w:color w:val="auto"/>
                <w:szCs w:val="21"/>
              </w:rPr>
            </w:pPr>
            <w:r>
              <w:rPr>
                <w:color w:val="auto"/>
                <w:szCs w:val="21"/>
              </w:rPr>
              <w:t>本项目依托</w:t>
            </w:r>
            <w:r>
              <w:rPr>
                <w:rFonts w:hint="eastAsia" w:eastAsia="宋体"/>
                <w:b w:val="0"/>
                <w:bCs/>
                <w:color w:val="auto"/>
                <w:sz w:val="21"/>
                <w:szCs w:val="21"/>
                <w:lang w:eastAsia="zh-CN"/>
              </w:rPr>
              <w:t>常州市金坛区欣阳服饰有限公司</w:t>
            </w:r>
            <w:r>
              <w:rPr>
                <w:color w:val="auto"/>
                <w:szCs w:val="21"/>
              </w:rPr>
              <w:t>内已建的供水管网、供电线路、雨水管网及</w:t>
            </w:r>
            <w:r>
              <w:rPr>
                <w:rFonts w:hint="eastAsia"/>
                <w:color w:val="auto"/>
                <w:szCs w:val="21"/>
              </w:rPr>
              <w:t>雨水</w:t>
            </w:r>
            <w:r>
              <w:rPr>
                <w:color w:val="auto"/>
                <w:szCs w:val="21"/>
              </w:rPr>
              <w:t>排口</w:t>
            </w:r>
            <w:r>
              <w:rPr>
                <w:rFonts w:hint="eastAsia"/>
                <w:color w:val="auto"/>
                <w:szCs w:val="21"/>
                <w:lang w:eastAsia="zh-CN"/>
              </w:rPr>
              <w:t>（</w:t>
            </w:r>
            <w:r>
              <w:rPr>
                <w:rFonts w:hint="eastAsia"/>
                <w:color w:val="auto"/>
                <w:szCs w:val="21"/>
                <w:lang w:val="en-US" w:eastAsia="zh-CN"/>
              </w:rPr>
              <w:t>1个</w:t>
            </w:r>
            <w:r>
              <w:rPr>
                <w:rFonts w:hint="eastAsia"/>
                <w:color w:val="auto"/>
                <w:szCs w:val="21"/>
                <w:lang w:eastAsia="zh-CN"/>
              </w:rPr>
              <w:t>）</w:t>
            </w:r>
            <w:r>
              <w:rPr>
                <w:rFonts w:hint="eastAsia"/>
                <w:color w:val="auto"/>
                <w:szCs w:val="21"/>
              </w:rPr>
              <w:t>、污水管网及污水排口</w:t>
            </w:r>
            <w:r>
              <w:rPr>
                <w:rFonts w:hint="eastAsia"/>
                <w:color w:val="auto"/>
                <w:szCs w:val="21"/>
                <w:lang w:eastAsia="zh-CN"/>
              </w:rPr>
              <w:t>（</w:t>
            </w:r>
            <w:r>
              <w:rPr>
                <w:rFonts w:hint="eastAsia"/>
                <w:color w:val="auto"/>
                <w:szCs w:val="21"/>
                <w:lang w:val="en-US" w:eastAsia="zh-CN"/>
              </w:rPr>
              <w:t>1个</w:t>
            </w:r>
            <w:r>
              <w:rPr>
                <w:rFonts w:hint="eastAsia"/>
                <w:color w:val="auto"/>
                <w:szCs w:val="21"/>
                <w:lang w:eastAsia="zh-CN"/>
              </w:rPr>
              <w:t>）</w:t>
            </w:r>
            <w:r>
              <w:rPr>
                <w:rFonts w:hint="eastAsia" w:ascii="Times New Roman" w:hAnsi="Times New Roman" w:eastAsia="宋体" w:cs="Times New Roman"/>
                <w:color w:val="auto"/>
                <w:szCs w:val="21"/>
                <w:lang w:val="en-US" w:eastAsia="zh-CN"/>
              </w:rPr>
              <w:t>。若雨水排放口及污水排放口出现超标排放情况，由常州市金坛区欣阳服饰有限公司承担相应的环保责任。常州和瑞新材料科技有限公司不得向污水管网、雨水管网内排放生产</w:t>
            </w:r>
            <w:r>
              <w:rPr>
                <w:color w:val="auto"/>
                <w:szCs w:val="21"/>
              </w:rPr>
              <w:t>废水、废液等。</w:t>
            </w:r>
          </w:p>
          <w:p w14:paraId="7889A070">
            <w:pPr>
              <w:spacing w:line="360" w:lineRule="auto"/>
              <w:ind w:firstLine="420" w:firstLineChars="200"/>
              <w:rPr>
                <w:color w:val="auto"/>
              </w:rPr>
            </w:pPr>
            <w:r>
              <w:rPr>
                <w:rFonts w:hint="eastAsia" w:ascii="Times New Roman" w:hAnsi="Times New Roman" w:eastAsia="宋体" w:cs="Times New Roman"/>
                <w:color w:val="auto"/>
                <w:szCs w:val="21"/>
                <w:lang w:eastAsia="zh-CN"/>
              </w:rPr>
              <w:t>常州和瑞新材料科技有限公司</w:t>
            </w:r>
            <w:r>
              <w:rPr>
                <w:rFonts w:ascii="Times New Roman" w:hAnsi="Times New Roman" w:eastAsia="宋体" w:cs="Times New Roman"/>
                <w:color w:val="auto"/>
                <w:szCs w:val="21"/>
              </w:rPr>
              <w:t>自建废气处理设备、固废仓库等环保设施，若废气、噪声等出现超标排放或者固体废物未按照要求暂存处置，由</w:t>
            </w:r>
            <w:r>
              <w:rPr>
                <w:rFonts w:hint="eastAsia" w:ascii="Times New Roman" w:hAnsi="Times New Roman" w:eastAsia="宋体" w:cs="Times New Roman"/>
                <w:color w:val="auto"/>
                <w:szCs w:val="21"/>
                <w:lang w:eastAsia="zh-CN"/>
              </w:rPr>
              <w:t>常州和瑞新材料科技有限公司</w:t>
            </w:r>
            <w:r>
              <w:rPr>
                <w:rFonts w:ascii="Times New Roman" w:hAnsi="Times New Roman" w:eastAsia="宋体" w:cs="Times New Roman"/>
                <w:color w:val="auto"/>
                <w:szCs w:val="21"/>
              </w:rPr>
              <w:t>承</w:t>
            </w:r>
            <w:r>
              <w:rPr>
                <w:color w:val="auto"/>
                <w:szCs w:val="21"/>
              </w:rPr>
              <w:t>担相应的环保责任。</w:t>
            </w:r>
          </w:p>
          <w:p w14:paraId="495CB204">
            <w:pPr>
              <w:spacing w:line="360" w:lineRule="auto"/>
              <w:ind w:firstLine="420" w:firstLineChars="200"/>
              <w:rPr>
                <w:color w:val="auto"/>
              </w:rPr>
            </w:pPr>
          </w:p>
          <w:p w14:paraId="454ECA24">
            <w:pPr>
              <w:spacing w:line="360" w:lineRule="auto"/>
              <w:ind w:firstLine="420" w:firstLineChars="200"/>
              <w:rPr>
                <w:color w:val="auto"/>
              </w:rPr>
            </w:pPr>
          </w:p>
          <w:p w14:paraId="2EF16E3A">
            <w:pPr>
              <w:spacing w:line="360" w:lineRule="auto"/>
              <w:ind w:firstLine="420" w:firstLineChars="200"/>
              <w:rPr>
                <w:rFonts w:hint="default" w:ascii="Times New Roman" w:hAnsi="Times New Roman" w:eastAsia="宋体" w:cs="Times New Roman"/>
                <w:color w:val="auto"/>
                <w:sz w:val="21"/>
                <w:szCs w:val="21"/>
                <w:lang w:val="en-US" w:eastAsia="zh-CN"/>
              </w:rPr>
            </w:pPr>
          </w:p>
          <w:p w14:paraId="14DE0CBD">
            <w:pPr>
              <w:spacing w:line="360" w:lineRule="auto"/>
              <w:ind w:firstLine="420" w:firstLineChars="200"/>
              <w:rPr>
                <w:rFonts w:hint="default" w:ascii="Times New Roman" w:hAnsi="Times New Roman" w:eastAsia="宋体" w:cs="Times New Roman"/>
                <w:b w:val="0"/>
                <w:bCs w:val="0"/>
                <w:color w:val="auto"/>
                <w:szCs w:val="21"/>
                <w:lang w:val="en-US" w:eastAsia="zh-CN"/>
              </w:rPr>
            </w:pPr>
          </w:p>
          <w:p w14:paraId="06D99ACC">
            <w:pPr>
              <w:pStyle w:val="2"/>
              <w:rPr>
                <w:rFonts w:hint="default" w:ascii="Times New Roman" w:hAnsi="Times New Roman" w:eastAsia="宋体" w:cs="Times New Roman"/>
                <w:b w:val="0"/>
                <w:bCs w:val="0"/>
                <w:color w:val="auto"/>
                <w:szCs w:val="21"/>
                <w:lang w:val="en-US" w:eastAsia="zh-CN"/>
              </w:rPr>
            </w:pPr>
          </w:p>
          <w:p w14:paraId="2063191A">
            <w:pPr>
              <w:pStyle w:val="17"/>
              <w:widowControl w:val="0"/>
              <w:numPr>
                <w:ilvl w:val="0"/>
                <w:numId w:val="0"/>
              </w:numPr>
              <w:jc w:val="both"/>
              <w:rPr>
                <w:rFonts w:hint="default" w:ascii="Times New Roman" w:hAnsi="Times New Roman" w:eastAsia="宋体" w:cs="Times New Roman"/>
                <w:b w:val="0"/>
                <w:bCs w:val="0"/>
                <w:color w:val="auto"/>
                <w:szCs w:val="21"/>
                <w:lang w:val="en-US" w:eastAsia="zh-CN"/>
              </w:rPr>
            </w:pPr>
          </w:p>
          <w:p w14:paraId="535142F0">
            <w:pPr>
              <w:pStyle w:val="17"/>
              <w:widowControl w:val="0"/>
              <w:numPr>
                <w:ilvl w:val="0"/>
                <w:numId w:val="0"/>
              </w:numPr>
              <w:jc w:val="both"/>
              <w:rPr>
                <w:rFonts w:hint="default" w:ascii="Times New Roman" w:hAnsi="Times New Roman" w:eastAsia="宋体" w:cs="Times New Roman"/>
                <w:b w:val="0"/>
                <w:bCs w:val="0"/>
                <w:color w:val="auto"/>
                <w:szCs w:val="21"/>
                <w:lang w:val="en-US" w:eastAsia="zh-CN"/>
              </w:rPr>
            </w:pPr>
          </w:p>
          <w:p w14:paraId="796816E4">
            <w:pPr>
              <w:pStyle w:val="17"/>
              <w:widowControl w:val="0"/>
              <w:numPr>
                <w:ilvl w:val="0"/>
                <w:numId w:val="0"/>
              </w:numPr>
              <w:jc w:val="both"/>
              <w:rPr>
                <w:rFonts w:hint="default" w:ascii="Times New Roman" w:hAnsi="Times New Roman" w:eastAsia="宋体" w:cs="Times New Roman"/>
                <w:b w:val="0"/>
                <w:bCs w:val="0"/>
                <w:color w:val="auto"/>
                <w:szCs w:val="21"/>
                <w:lang w:val="en-US" w:eastAsia="zh-CN"/>
              </w:rPr>
            </w:pPr>
          </w:p>
          <w:p w14:paraId="2FD55644">
            <w:pPr>
              <w:pStyle w:val="17"/>
              <w:widowControl w:val="0"/>
              <w:numPr>
                <w:ilvl w:val="0"/>
                <w:numId w:val="0"/>
              </w:numPr>
              <w:jc w:val="both"/>
              <w:rPr>
                <w:rFonts w:hint="default" w:ascii="Times New Roman" w:hAnsi="Times New Roman" w:eastAsia="宋体" w:cs="Times New Roman"/>
                <w:b w:val="0"/>
                <w:bCs w:val="0"/>
                <w:color w:val="auto"/>
                <w:szCs w:val="21"/>
                <w:lang w:val="en-US" w:eastAsia="zh-CN"/>
              </w:rPr>
            </w:pPr>
          </w:p>
          <w:p w14:paraId="64128868">
            <w:pPr>
              <w:pStyle w:val="17"/>
              <w:numPr>
                <w:ilvl w:val="0"/>
                <w:numId w:val="0"/>
              </w:numPr>
              <w:rPr>
                <w:rFonts w:hint="default" w:ascii="Times New Roman" w:hAnsi="Times New Roman" w:eastAsia="宋体" w:cs="Times New Roman"/>
                <w:color w:val="auto"/>
                <w:szCs w:val="21"/>
              </w:rPr>
            </w:pPr>
          </w:p>
          <w:p w14:paraId="49010F41">
            <w:pPr>
              <w:pStyle w:val="17"/>
              <w:numPr>
                <w:ilvl w:val="0"/>
                <w:numId w:val="0"/>
              </w:numPr>
              <w:rPr>
                <w:rFonts w:hint="default" w:ascii="Times New Roman" w:hAnsi="Times New Roman" w:eastAsia="宋体" w:cs="Times New Roman"/>
                <w:color w:val="auto"/>
                <w:szCs w:val="21"/>
              </w:rPr>
            </w:pPr>
          </w:p>
          <w:p w14:paraId="3171AC76">
            <w:pPr>
              <w:pStyle w:val="17"/>
              <w:numPr>
                <w:ilvl w:val="0"/>
                <w:numId w:val="0"/>
              </w:numPr>
              <w:rPr>
                <w:rFonts w:hint="default" w:ascii="Times New Roman" w:hAnsi="Times New Roman" w:eastAsia="宋体" w:cs="Times New Roman"/>
                <w:color w:val="auto"/>
                <w:szCs w:val="21"/>
              </w:rPr>
            </w:pPr>
          </w:p>
          <w:p w14:paraId="4A0580EA">
            <w:pPr>
              <w:pStyle w:val="17"/>
              <w:numPr>
                <w:ilvl w:val="0"/>
                <w:numId w:val="0"/>
              </w:numPr>
              <w:rPr>
                <w:rFonts w:hint="default" w:ascii="Times New Roman" w:hAnsi="Times New Roman" w:eastAsia="宋体" w:cs="Times New Roman"/>
                <w:color w:val="auto"/>
                <w:szCs w:val="21"/>
              </w:rPr>
            </w:pPr>
          </w:p>
          <w:p w14:paraId="51305E8F">
            <w:pPr>
              <w:pStyle w:val="17"/>
              <w:numPr>
                <w:ilvl w:val="0"/>
                <w:numId w:val="0"/>
              </w:numPr>
              <w:rPr>
                <w:rFonts w:hint="default" w:ascii="Times New Roman" w:hAnsi="Times New Roman" w:eastAsia="宋体" w:cs="Times New Roman"/>
                <w:color w:val="auto"/>
                <w:szCs w:val="21"/>
              </w:rPr>
            </w:pPr>
          </w:p>
          <w:p w14:paraId="71C8814A">
            <w:pPr>
              <w:pStyle w:val="17"/>
              <w:numPr>
                <w:ilvl w:val="0"/>
                <w:numId w:val="0"/>
              </w:numPr>
              <w:rPr>
                <w:rFonts w:hint="default" w:ascii="Times New Roman" w:hAnsi="Times New Roman" w:eastAsia="宋体" w:cs="Times New Roman"/>
                <w:color w:val="auto"/>
                <w:szCs w:val="21"/>
              </w:rPr>
            </w:pPr>
          </w:p>
          <w:p w14:paraId="0972B01A">
            <w:pPr>
              <w:pStyle w:val="17"/>
              <w:numPr>
                <w:ilvl w:val="0"/>
                <w:numId w:val="0"/>
              </w:numPr>
              <w:rPr>
                <w:rFonts w:hint="default" w:ascii="Times New Roman" w:hAnsi="Times New Roman" w:eastAsia="宋体" w:cs="Times New Roman"/>
                <w:color w:val="auto"/>
                <w:szCs w:val="21"/>
              </w:rPr>
            </w:pPr>
          </w:p>
          <w:p w14:paraId="4B45E340">
            <w:pPr>
              <w:pStyle w:val="6"/>
              <w:ind w:firstLine="0" w:firstLineChars="0"/>
              <w:rPr>
                <w:rFonts w:hint="default" w:ascii="Times New Roman" w:hAnsi="Times New Roman" w:eastAsia="宋体" w:cs="Times New Roman"/>
                <w:color w:val="auto"/>
                <w:szCs w:val="21"/>
              </w:rPr>
            </w:pPr>
          </w:p>
        </w:tc>
      </w:tr>
    </w:tbl>
    <w:p w14:paraId="28D88AF4">
      <w:pPr>
        <w:pStyle w:val="25"/>
        <w:jc w:val="center"/>
        <w:rPr>
          <w:rFonts w:ascii="Times New Roman" w:hAnsi="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CEEB990">
      <w:pPr>
        <w:pStyle w:val="25"/>
        <w:adjustRightInd w:val="0"/>
        <w:snapToGrid w:val="0"/>
        <w:spacing w:before="0" w:beforeAutospacing="0" w:after="0" w:afterAutospacing="0"/>
        <w:outlineLvl w:val="0"/>
        <w:rPr>
          <w:rFonts w:ascii="Times New Roman" w:hAnsi="Times New Roman"/>
          <w:b/>
          <w:bCs/>
          <w:snapToGrid w:val="0"/>
          <w:color w:val="auto"/>
          <w:sz w:val="28"/>
          <w:szCs w:val="28"/>
        </w:rPr>
      </w:pPr>
      <w:bookmarkStart w:id="6" w:name="_Toc28743"/>
      <w:r>
        <w:rPr>
          <w:rFonts w:ascii="Times New Roman" w:hAnsi="Times New Roman"/>
          <w:b/>
          <w:bCs/>
          <w:snapToGrid w:val="0"/>
          <w:color w:val="auto"/>
          <w:sz w:val="28"/>
          <w:szCs w:val="28"/>
        </w:rPr>
        <w:t>三、区域环境质量现状、环境保护目标及评价标准</w:t>
      </w:r>
      <w:bookmarkEnd w:id="6"/>
    </w:p>
    <w:tbl>
      <w:tblPr>
        <w:tblStyle w:val="28"/>
        <w:tblW w:w="89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2"/>
        <w:gridCol w:w="8438"/>
      </w:tblGrid>
      <w:tr w14:paraId="19A21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2" w:hRule="atLeast"/>
          <w:jc w:val="center"/>
        </w:trPr>
        <w:tc>
          <w:tcPr>
            <w:tcW w:w="522" w:type="dxa"/>
            <w:noWrap w:val="0"/>
            <w:tcMar>
              <w:top w:w="0" w:type="dxa"/>
              <w:left w:w="0" w:type="dxa"/>
              <w:bottom w:w="0" w:type="dxa"/>
              <w:right w:w="0" w:type="dxa"/>
            </w:tcMar>
            <w:vAlign w:val="center"/>
          </w:tcPr>
          <w:p w14:paraId="45B72090">
            <w:pPr>
              <w:adjustRightInd w:val="0"/>
              <w:snapToGrid w:val="0"/>
              <w:jc w:val="center"/>
              <w:rPr>
                <w:color w:val="auto"/>
                <w:kern w:val="0"/>
                <w:szCs w:val="21"/>
              </w:rPr>
            </w:pPr>
            <w:r>
              <w:rPr>
                <w:color w:val="auto"/>
                <w:kern w:val="0"/>
                <w:szCs w:val="21"/>
              </w:rPr>
              <w:t>区域环境质量现状</w:t>
            </w:r>
          </w:p>
        </w:tc>
        <w:tc>
          <w:tcPr>
            <w:tcW w:w="8438" w:type="dxa"/>
            <w:noWrap w:val="0"/>
            <w:vAlign w:val="center"/>
          </w:tcPr>
          <w:p w14:paraId="63636CA6">
            <w:pPr>
              <w:adjustRightInd w:val="0"/>
              <w:snapToGrid w:val="0"/>
              <w:spacing w:before="120" w:beforeLines="50" w:line="360" w:lineRule="auto"/>
              <w:ind w:firstLine="422" w:firstLineChars="200"/>
              <w:jc w:val="left"/>
              <w:rPr>
                <w:b/>
                <w:color w:val="auto"/>
                <w:szCs w:val="21"/>
              </w:rPr>
            </w:pPr>
            <w:r>
              <w:rPr>
                <w:rFonts w:hint="eastAsia"/>
                <w:b/>
                <w:color w:val="auto"/>
                <w:szCs w:val="21"/>
              </w:rPr>
              <w:t>一</w:t>
            </w:r>
            <w:r>
              <w:rPr>
                <w:b/>
                <w:color w:val="auto"/>
                <w:szCs w:val="21"/>
              </w:rPr>
              <w:t>、大气环境质量现状</w:t>
            </w:r>
          </w:p>
          <w:p w14:paraId="00E1AF05">
            <w:pPr>
              <w:adjustRightInd w:val="0"/>
              <w:snapToGrid w:val="0"/>
              <w:spacing w:line="360" w:lineRule="auto"/>
              <w:ind w:firstLine="420" w:firstLineChars="200"/>
              <w:jc w:val="left"/>
              <w:rPr>
                <w:bCs/>
                <w:color w:val="auto"/>
                <w:szCs w:val="21"/>
              </w:rPr>
            </w:pPr>
            <w:r>
              <w:rPr>
                <w:rFonts w:hint="eastAsia"/>
                <w:bCs/>
                <w:color w:val="auto"/>
                <w:szCs w:val="21"/>
              </w:rPr>
              <w:t>1、</w:t>
            </w:r>
            <w:r>
              <w:rPr>
                <w:bCs/>
                <w:color w:val="auto"/>
                <w:szCs w:val="21"/>
              </w:rPr>
              <w:t>项目所在区域达标判定</w:t>
            </w:r>
          </w:p>
          <w:p w14:paraId="60995BAE">
            <w:pPr>
              <w:widowControl/>
              <w:spacing w:line="360" w:lineRule="auto"/>
              <w:ind w:firstLine="420" w:firstLineChars="200"/>
              <w:rPr>
                <w:color w:val="auto"/>
                <w:szCs w:val="21"/>
              </w:rPr>
            </w:pPr>
            <w:r>
              <w:rPr>
                <w:color w:val="auto"/>
                <w:szCs w:val="21"/>
              </w:rPr>
              <w:t>为了解项目所在地区的环境质量现状，本项目引用《202</w:t>
            </w:r>
            <w:r>
              <w:rPr>
                <w:rFonts w:hint="eastAsia"/>
                <w:color w:val="auto"/>
                <w:szCs w:val="21"/>
                <w:lang w:val="en-US" w:eastAsia="zh-CN"/>
              </w:rPr>
              <w:t>4</w:t>
            </w:r>
            <w:r>
              <w:rPr>
                <w:color w:val="auto"/>
                <w:szCs w:val="21"/>
              </w:rPr>
              <w:t>年常州市生态环境状况公报》中环境空气质量数据。本次评价选取202</w:t>
            </w:r>
            <w:r>
              <w:rPr>
                <w:rFonts w:hint="eastAsia"/>
                <w:color w:val="auto"/>
                <w:szCs w:val="21"/>
                <w:lang w:val="en-US" w:eastAsia="zh-CN"/>
              </w:rPr>
              <w:t>4</w:t>
            </w:r>
            <w:r>
              <w:rPr>
                <w:color w:val="auto"/>
                <w:szCs w:val="21"/>
              </w:rPr>
              <w:t>年作为评价基准年，根据《</w:t>
            </w:r>
            <w:r>
              <w:rPr>
                <w:rFonts w:hint="eastAsia"/>
                <w:color w:val="auto"/>
                <w:szCs w:val="21"/>
              </w:rPr>
              <w:t>202</w:t>
            </w:r>
            <w:r>
              <w:rPr>
                <w:rFonts w:hint="eastAsia"/>
                <w:color w:val="auto"/>
                <w:szCs w:val="21"/>
                <w:lang w:val="en-US" w:eastAsia="zh-CN"/>
              </w:rPr>
              <w:t>4</w:t>
            </w:r>
            <w:r>
              <w:rPr>
                <w:color w:val="auto"/>
                <w:szCs w:val="21"/>
              </w:rPr>
              <w:t>年常州市生态环境状况公报》，项目所在区域常州市各评价因子数据见下表。</w:t>
            </w:r>
          </w:p>
          <w:p w14:paraId="252AA0FD">
            <w:pPr>
              <w:adjustRightInd w:val="0"/>
              <w:snapToGrid w:val="0"/>
              <w:jc w:val="center"/>
              <w:rPr>
                <w:b/>
                <w:bCs/>
                <w:color w:val="auto"/>
                <w:szCs w:val="21"/>
              </w:rPr>
            </w:pPr>
            <w:r>
              <w:rPr>
                <w:b/>
                <w:bCs/>
                <w:color w:val="auto"/>
                <w:szCs w:val="21"/>
              </w:rPr>
              <w:t>表3-1 区域空气质量现状评价表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21"/>
              <w:gridCol w:w="2167"/>
              <w:gridCol w:w="1357"/>
              <w:gridCol w:w="1617"/>
              <w:gridCol w:w="994"/>
              <w:gridCol w:w="1166"/>
            </w:tblGrid>
            <w:tr w14:paraId="1F9B8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tcBorders>
                    <w:tl2br w:val="nil"/>
                    <w:tr2bl w:val="nil"/>
                  </w:tcBorders>
                  <w:noWrap w:val="0"/>
                  <w:vAlign w:val="center"/>
                </w:tcPr>
                <w:p w14:paraId="5D6A9381">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1317" w:type="pct"/>
                  <w:tcBorders>
                    <w:tl2br w:val="nil"/>
                    <w:tr2bl w:val="nil"/>
                  </w:tcBorders>
                  <w:noWrap w:val="0"/>
                  <w:vAlign w:val="center"/>
                </w:tcPr>
                <w:p w14:paraId="4B8A8304">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年平均指标</w:t>
                  </w:r>
                </w:p>
              </w:tc>
              <w:tc>
                <w:tcPr>
                  <w:tcW w:w="825" w:type="pct"/>
                  <w:tcBorders>
                    <w:tl2br w:val="nil"/>
                    <w:tr2bl w:val="nil"/>
                  </w:tcBorders>
                  <w:noWrap w:val="0"/>
                  <w:vAlign w:val="center"/>
                </w:tcPr>
                <w:p w14:paraId="28E0839E">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现状浓度μg/m</w:t>
                  </w:r>
                  <w:r>
                    <w:rPr>
                      <w:rFonts w:hint="default" w:ascii="Times New Roman" w:hAnsi="Times New Roman" w:eastAsia="宋体" w:cs="Times New Roman"/>
                      <w:b/>
                      <w:color w:val="auto"/>
                      <w:sz w:val="21"/>
                      <w:szCs w:val="21"/>
                      <w:highlight w:val="none"/>
                      <w:vertAlign w:val="superscript"/>
                    </w:rPr>
                    <w:t>3</w:t>
                  </w:r>
                </w:p>
              </w:tc>
              <w:tc>
                <w:tcPr>
                  <w:tcW w:w="983" w:type="pct"/>
                  <w:tcBorders>
                    <w:tl2br w:val="nil"/>
                    <w:tr2bl w:val="nil"/>
                  </w:tcBorders>
                  <w:noWrap w:val="0"/>
                  <w:vAlign w:val="center"/>
                </w:tcPr>
                <w:p w14:paraId="41573809">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标准限值μg/m</w:t>
                  </w:r>
                  <w:r>
                    <w:rPr>
                      <w:rFonts w:hint="default" w:ascii="Times New Roman" w:hAnsi="Times New Roman" w:eastAsia="宋体" w:cs="Times New Roman"/>
                      <w:b/>
                      <w:color w:val="auto"/>
                      <w:sz w:val="21"/>
                      <w:szCs w:val="21"/>
                      <w:highlight w:val="none"/>
                      <w:vertAlign w:val="superscript"/>
                    </w:rPr>
                    <w:t>3</w:t>
                  </w:r>
                </w:p>
              </w:tc>
              <w:tc>
                <w:tcPr>
                  <w:tcW w:w="604" w:type="pct"/>
                  <w:tcBorders>
                    <w:tl2br w:val="nil"/>
                    <w:tr2bl w:val="nil"/>
                  </w:tcBorders>
                  <w:noWrap w:val="0"/>
                  <w:vAlign w:val="center"/>
                </w:tcPr>
                <w:p w14:paraId="4B4F4A63">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达标率</w:t>
                  </w:r>
                  <w:r>
                    <w:rPr>
                      <w:rFonts w:hint="default" w:ascii="Times New Roman" w:hAnsi="Times New Roman" w:eastAsia="宋体" w:cs="Times New Roman"/>
                      <w:b/>
                      <w:color w:val="auto"/>
                      <w:kern w:val="0"/>
                      <w:sz w:val="21"/>
                      <w:szCs w:val="21"/>
                      <w:highlight w:val="none"/>
                    </w:rPr>
                    <w:t>%</w:t>
                  </w:r>
                </w:p>
              </w:tc>
              <w:tc>
                <w:tcPr>
                  <w:tcW w:w="709" w:type="pct"/>
                  <w:tcBorders>
                    <w:tl2br w:val="nil"/>
                    <w:tr2bl w:val="nil"/>
                  </w:tcBorders>
                  <w:noWrap w:val="0"/>
                  <w:vAlign w:val="center"/>
                </w:tcPr>
                <w:p w14:paraId="20507997">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3EAE15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0ECC605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317" w:type="pct"/>
                  <w:tcBorders>
                    <w:tl2br w:val="nil"/>
                    <w:tr2bl w:val="nil"/>
                  </w:tcBorders>
                  <w:noWrap w:val="0"/>
                  <w:vAlign w:val="center"/>
                </w:tcPr>
                <w:p w14:paraId="010AFD9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1B52AA24">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32</w:t>
                  </w:r>
                </w:p>
              </w:tc>
              <w:tc>
                <w:tcPr>
                  <w:tcW w:w="983" w:type="pct"/>
                  <w:tcBorders>
                    <w:tl2br w:val="nil"/>
                    <w:tr2bl w:val="nil"/>
                  </w:tcBorders>
                  <w:noWrap w:val="0"/>
                  <w:vAlign w:val="center"/>
                </w:tcPr>
                <w:p w14:paraId="1708416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30</w:t>
                  </w:r>
                </w:p>
              </w:tc>
              <w:tc>
                <w:tcPr>
                  <w:tcW w:w="604" w:type="pct"/>
                  <w:tcBorders>
                    <w:tl2br w:val="nil"/>
                    <w:tr2bl w:val="nil"/>
                  </w:tcBorders>
                  <w:noWrap w:val="0"/>
                  <w:vAlign w:val="center"/>
                </w:tcPr>
                <w:p w14:paraId="5126E033">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9" w:type="pct"/>
                  <w:vMerge w:val="restart"/>
                  <w:tcBorders>
                    <w:tl2br w:val="nil"/>
                    <w:tr2bl w:val="nil"/>
                  </w:tcBorders>
                  <w:noWrap w:val="0"/>
                  <w:vAlign w:val="center"/>
                </w:tcPr>
                <w:p w14:paraId="6444F9C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5877B7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28F373A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09CBA73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50493D7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5-157</w:t>
                  </w:r>
                </w:p>
              </w:tc>
              <w:tc>
                <w:tcPr>
                  <w:tcW w:w="983" w:type="pct"/>
                  <w:tcBorders>
                    <w:tl2br w:val="nil"/>
                    <w:tr2bl w:val="nil"/>
                  </w:tcBorders>
                  <w:noWrap w:val="0"/>
                  <w:vAlign w:val="center"/>
                </w:tcPr>
                <w:p w14:paraId="4D63E54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60</w:t>
                  </w:r>
                </w:p>
              </w:tc>
              <w:tc>
                <w:tcPr>
                  <w:tcW w:w="604" w:type="pct"/>
                  <w:tcBorders>
                    <w:tl2br w:val="nil"/>
                    <w:tr2bl w:val="nil"/>
                  </w:tcBorders>
                  <w:noWrap w:val="0"/>
                  <w:vAlign w:val="center"/>
                </w:tcPr>
                <w:p w14:paraId="7F67823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sz w:val="21"/>
                      <w:szCs w:val="21"/>
                      <w:highlight w:val="none"/>
                      <w:lang w:val="en-US" w:eastAsia="zh-CN"/>
                    </w:rPr>
                    <w:t>/</w:t>
                  </w:r>
                </w:p>
              </w:tc>
              <w:tc>
                <w:tcPr>
                  <w:tcW w:w="709" w:type="pct"/>
                  <w:vMerge w:val="continue"/>
                  <w:tcBorders>
                    <w:tl2br w:val="nil"/>
                    <w:tr2bl w:val="nil"/>
                  </w:tcBorders>
                  <w:noWrap w:val="0"/>
                  <w:vAlign w:val="center"/>
                </w:tcPr>
                <w:p w14:paraId="00CCCDA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08CE7C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6624FE9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317" w:type="pct"/>
                  <w:tcBorders>
                    <w:tl2br w:val="nil"/>
                    <w:tr2bl w:val="nil"/>
                  </w:tcBorders>
                  <w:noWrap w:val="0"/>
                  <w:vAlign w:val="center"/>
                </w:tcPr>
                <w:p w14:paraId="04FCF2E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3CD7412">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52</w:t>
                  </w:r>
                </w:p>
              </w:tc>
              <w:tc>
                <w:tcPr>
                  <w:tcW w:w="983" w:type="pct"/>
                  <w:tcBorders>
                    <w:tl2br w:val="nil"/>
                    <w:tr2bl w:val="nil"/>
                  </w:tcBorders>
                  <w:noWrap w:val="0"/>
                  <w:vAlign w:val="center"/>
                </w:tcPr>
                <w:p w14:paraId="06C1BB3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60</w:t>
                  </w:r>
                </w:p>
              </w:tc>
              <w:tc>
                <w:tcPr>
                  <w:tcW w:w="604" w:type="pct"/>
                  <w:tcBorders>
                    <w:tl2br w:val="nil"/>
                    <w:tr2bl w:val="nil"/>
                  </w:tcBorders>
                  <w:noWrap w:val="0"/>
                  <w:vAlign w:val="center"/>
                </w:tcPr>
                <w:p w14:paraId="6B47090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9" w:type="pct"/>
                  <w:vMerge w:val="restart"/>
                  <w:tcBorders>
                    <w:tl2br w:val="nil"/>
                    <w:tr2bl w:val="nil"/>
                  </w:tcBorders>
                  <w:noWrap w:val="0"/>
                  <w:vAlign w:val="center"/>
                </w:tcPr>
                <w:p w14:paraId="754E043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543777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6B3F73C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E45EC6B">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40B7F97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9-206</w:t>
                  </w:r>
                </w:p>
              </w:tc>
              <w:tc>
                <w:tcPr>
                  <w:tcW w:w="983" w:type="pct"/>
                  <w:tcBorders>
                    <w:tl2br w:val="nil"/>
                    <w:tr2bl w:val="nil"/>
                  </w:tcBorders>
                  <w:noWrap w:val="0"/>
                  <w:vAlign w:val="center"/>
                </w:tcPr>
                <w:p w14:paraId="12AF315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100</w:t>
                  </w:r>
                </w:p>
              </w:tc>
              <w:tc>
                <w:tcPr>
                  <w:tcW w:w="604" w:type="pct"/>
                  <w:tcBorders>
                    <w:tl2br w:val="nil"/>
                    <w:tr2bl w:val="nil"/>
                  </w:tcBorders>
                  <w:noWrap w:val="0"/>
                  <w:vAlign w:val="center"/>
                </w:tcPr>
                <w:p w14:paraId="732D3C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sz w:val="21"/>
                      <w:szCs w:val="21"/>
                      <w:highlight w:val="none"/>
                      <w:lang w:val="en-US" w:eastAsia="zh-CN"/>
                    </w:rPr>
                    <w:t>/</w:t>
                  </w:r>
                </w:p>
              </w:tc>
              <w:tc>
                <w:tcPr>
                  <w:tcW w:w="709" w:type="pct"/>
                  <w:vMerge w:val="continue"/>
                  <w:tcBorders>
                    <w:tl2br w:val="nil"/>
                    <w:tr2bl w:val="nil"/>
                  </w:tcBorders>
                  <w:noWrap w:val="0"/>
                  <w:vAlign w:val="center"/>
                </w:tcPr>
                <w:p w14:paraId="293C236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0ED829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1DFA85B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430C30C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08F7A79E">
                  <w:pPr>
                    <w:adjustRightInd w:val="0"/>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8</w:t>
                  </w:r>
                </w:p>
              </w:tc>
              <w:tc>
                <w:tcPr>
                  <w:tcW w:w="983" w:type="pct"/>
                  <w:tcBorders>
                    <w:tl2br w:val="nil"/>
                    <w:tr2bl w:val="nil"/>
                  </w:tcBorders>
                  <w:noWrap w:val="0"/>
                  <w:vAlign w:val="center"/>
                </w:tcPr>
                <w:p w14:paraId="6577BDC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604" w:type="pct"/>
                  <w:tcBorders>
                    <w:tl2br w:val="nil"/>
                    <w:tr2bl w:val="nil"/>
                  </w:tcBorders>
                  <w:noWrap w:val="0"/>
                  <w:vAlign w:val="center"/>
                </w:tcPr>
                <w:p w14:paraId="2993E38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9" w:type="pct"/>
                  <w:vMerge w:val="restart"/>
                  <w:tcBorders>
                    <w:tl2br w:val="nil"/>
                    <w:tr2bl w:val="nil"/>
                  </w:tcBorders>
                  <w:noWrap w:val="0"/>
                  <w:vAlign w:val="center"/>
                </w:tcPr>
                <w:p w14:paraId="6186344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211A6A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152CDF7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5C811F96">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4A0EEC2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5-15</w:t>
                  </w:r>
                </w:p>
              </w:tc>
              <w:tc>
                <w:tcPr>
                  <w:tcW w:w="983" w:type="pct"/>
                  <w:tcBorders>
                    <w:tl2br w:val="nil"/>
                    <w:tr2bl w:val="nil"/>
                  </w:tcBorders>
                  <w:noWrap w:val="0"/>
                  <w:vAlign w:val="center"/>
                </w:tcPr>
                <w:p w14:paraId="0F27B34A">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7C06E08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w:t>
                  </w:r>
                </w:p>
              </w:tc>
              <w:tc>
                <w:tcPr>
                  <w:tcW w:w="709" w:type="pct"/>
                  <w:vMerge w:val="continue"/>
                  <w:tcBorders>
                    <w:tl2br w:val="nil"/>
                    <w:tr2bl w:val="nil"/>
                  </w:tcBorders>
                  <w:noWrap w:val="0"/>
                  <w:vAlign w:val="center"/>
                </w:tcPr>
                <w:p w14:paraId="7409B7D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032A6D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77194EE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1295971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6D1AB9E7">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26</w:t>
                  </w:r>
                </w:p>
              </w:tc>
              <w:tc>
                <w:tcPr>
                  <w:tcW w:w="983" w:type="pct"/>
                  <w:tcBorders>
                    <w:tl2br w:val="nil"/>
                    <w:tr2bl w:val="nil"/>
                  </w:tcBorders>
                  <w:noWrap w:val="0"/>
                  <w:vAlign w:val="center"/>
                </w:tcPr>
                <w:p w14:paraId="506DDD5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604" w:type="pct"/>
                  <w:tcBorders>
                    <w:tl2br w:val="nil"/>
                    <w:tr2bl w:val="nil"/>
                  </w:tcBorders>
                  <w:noWrap w:val="0"/>
                  <w:vAlign w:val="center"/>
                </w:tcPr>
                <w:p w14:paraId="5A6AC9AB">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9" w:type="pct"/>
                  <w:vMerge w:val="restart"/>
                  <w:tcBorders>
                    <w:tl2br w:val="nil"/>
                    <w:tr2bl w:val="nil"/>
                  </w:tcBorders>
                  <w:noWrap w:val="0"/>
                  <w:vAlign w:val="center"/>
                </w:tcPr>
                <w:p w14:paraId="5B47A70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53BF9E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51C946B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492A12E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230CCC6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5-92</w:t>
                  </w:r>
                </w:p>
              </w:tc>
              <w:tc>
                <w:tcPr>
                  <w:tcW w:w="983" w:type="pct"/>
                  <w:tcBorders>
                    <w:tl2br w:val="nil"/>
                    <w:tr2bl w:val="nil"/>
                  </w:tcBorders>
                  <w:noWrap w:val="0"/>
                  <w:vAlign w:val="center"/>
                </w:tcPr>
                <w:p w14:paraId="2D0219D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80</w:t>
                  </w:r>
                </w:p>
              </w:tc>
              <w:tc>
                <w:tcPr>
                  <w:tcW w:w="604" w:type="pct"/>
                  <w:tcBorders>
                    <w:tl2br w:val="nil"/>
                    <w:tr2bl w:val="nil"/>
                  </w:tcBorders>
                  <w:noWrap w:val="0"/>
                  <w:vAlign w:val="center"/>
                </w:tcPr>
                <w:p w14:paraId="54F9722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99.2</w:t>
                  </w:r>
                </w:p>
              </w:tc>
              <w:tc>
                <w:tcPr>
                  <w:tcW w:w="709" w:type="pct"/>
                  <w:vMerge w:val="continue"/>
                  <w:tcBorders>
                    <w:tl2br w:val="nil"/>
                    <w:tr2bl w:val="nil"/>
                  </w:tcBorders>
                  <w:noWrap w:val="0"/>
                  <w:vAlign w:val="center"/>
                </w:tcPr>
                <w:p w14:paraId="364E3A7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277ADA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7E6C5B4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317" w:type="pct"/>
                  <w:tcBorders>
                    <w:tl2br w:val="nil"/>
                    <w:tr2bl w:val="nil"/>
                  </w:tcBorders>
                  <w:noWrap w:val="0"/>
                  <w:vAlign w:val="center"/>
                </w:tcPr>
                <w:p w14:paraId="4C46556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日均值的第95百分位数</w:t>
                  </w:r>
                </w:p>
              </w:tc>
              <w:tc>
                <w:tcPr>
                  <w:tcW w:w="825" w:type="pct"/>
                  <w:tcBorders>
                    <w:tl2br w:val="nil"/>
                    <w:tr2bl w:val="nil"/>
                  </w:tcBorders>
                  <w:noWrap w:val="0"/>
                  <w:vAlign w:val="center"/>
                </w:tcPr>
                <w:p w14:paraId="767E77D4">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1100</w:t>
                  </w:r>
                </w:p>
              </w:tc>
              <w:tc>
                <w:tcPr>
                  <w:tcW w:w="983" w:type="pct"/>
                  <w:tcBorders>
                    <w:tl2br w:val="nil"/>
                    <w:tr2bl w:val="nil"/>
                  </w:tcBorders>
                  <w:noWrap w:val="0"/>
                  <w:vAlign w:val="center"/>
                </w:tcPr>
                <w:p w14:paraId="58EC197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38A9C1C9">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9" w:type="pct"/>
                  <w:vMerge w:val="restart"/>
                  <w:tcBorders>
                    <w:tl2br w:val="nil"/>
                    <w:tr2bl w:val="nil"/>
                  </w:tcBorders>
                  <w:noWrap w:val="0"/>
                  <w:vAlign w:val="center"/>
                </w:tcPr>
                <w:p w14:paraId="61286B4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2656C0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65D64E7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69099BA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eastAsia"/>
                      <w:color w:val="auto"/>
                      <w:kern w:val="0"/>
                      <w:szCs w:val="21"/>
                    </w:rPr>
                    <w:t>日平均质量浓度范围</w:t>
                  </w:r>
                </w:p>
              </w:tc>
              <w:tc>
                <w:tcPr>
                  <w:tcW w:w="825" w:type="pct"/>
                  <w:tcBorders>
                    <w:tl2br w:val="nil"/>
                    <w:tr2bl w:val="nil"/>
                  </w:tcBorders>
                  <w:noWrap w:val="0"/>
                  <w:vAlign w:val="center"/>
                </w:tcPr>
                <w:p w14:paraId="76EE564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400-1500</w:t>
                  </w:r>
                </w:p>
              </w:tc>
              <w:tc>
                <w:tcPr>
                  <w:tcW w:w="983" w:type="pct"/>
                  <w:tcBorders>
                    <w:tl2br w:val="nil"/>
                    <w:tr2bl w:val="nil"/>
                  </w:tcBorders>
                  <w:noWrap w:val="0"/>
                  <w:vAlign w:val="center"/>
                </w:tcPr>
                <w:p w14:paraId="3A72F16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5616B61A">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100</w:t>
                  </w:r>
                </w:p>
              </w:tc>
              <w:tc>
                <w:tcPr>
                  <w:tcW w:w="709" w:type="pct"/>
                  <w:vMerge w:val="continue"/>
                  <w:tcBorders>
                    <w:tl2br w:val="nil"/>
                    <w:tr2bl w:val="nil"/>
                  </w:tcBorders>
                  <w:noWrap w:val="0"/>
                  <w:vAlign w:val="center"/>
                </w:tcPr>
                <w:p w14:paraId="742A79F5">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p>
              </w:tc>
            </w:tr>
            <w:tr w14:paraId="6C6C6A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54C75E0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317" w:type="pct"/>
                  <w:tcBorders>
                    <w:tl2br w:val="nil"/>
                    <w:tr2bl w:val="nil"/>
                  </w:tcBorders>
                  <w:noWrap w:val="0"/>
                  <w:vAlign w:val="center"/>
                </w:tcPr>
                <w:p w14:paraId="3C0C2EF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日最大8小时滑动平均值的第90百分位数</w:t>
                  </w:r>
                </w:p>
              </w:tc>
              <w:tc>
                <w:tcPr>
                  <w:tcW w:w="825" w:type="pct"/>
                  <w:tcBorders>
                    <w:tl2br w:val="nil"/>
                    <w:tr2bl w:val="nil"/>
                  </w:tcBorders>
                  <w:noWrap w:val="0"/>
                  <w:vAlign w:val="center"/>
                </w:tcPr>
                <w:p w14:paraId="0016997D">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168</w:t>
                  </w:r>
                </w:p>
              </w:tc>
              <w:tc>
                <w:tcPr>
                  <w:tcW w:w="983" w:type="pct"/>
                  <w:tcBorders>
                    <w:tl2br w:val="nil"/>
                    <w:tr2bl w:val="nil"/>
                  </w:tcBorders>
                  <w:noWrap w:val="0"/>
                  <w:vAlign w:val="center"/>
                </w:tcPr>
                <w:p w14:paraId="4B4DA57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604" w:type="pct"/>
                  <w:tcBorders>
                    <w:tl2br w:val="nil"/>
                    <w:tr2bl w:val="nil"/>
                  </w:tcBorders>
                  <w:noWrap w:val="0"/>
                  <w:vAlign w:val="center"/>
                </w:tcPr>
                <w:p w14:paraId="4EF9265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95.2</w:t>
                  </w:r>
                </w:p>
              </w:tc>
              <w:tc>
                <w:tcPr>
                  <w:tcW w:w="709" w:type="pct"/>
                  <w:vMerge w:val="restart"/>
                  <w:tcBorders>
                    <w:tl2br w:val="nil"/>
                    <w:tr2bl w:val="nil"/>
                  </w:tcBorders>
                  <w:noWrap w:val="0"/>
                  <w:vAlign w:val="center"/>
                </w:tcPr>
                <w:p w14:paraId="672C235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w:t>
                  </w:r>
                </w:p>
              </w:tc>
            </w:tr>
            <w:tr w14:paraId="7FD9E6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242596D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670CC3B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eastAsia"/>
                      <w:color w:val="auto"/>
                      <w:kern w:val="0"/>
                      <w:szCs w:val="21"/>
                    </w:rPr>
                    <w:t>日平均质量浓度范围</w:t>
                  </w:r>
                </w:p>
              </w:tc>
              <w:tc>
                <w:tcPr>
                  <w:tcW w:w="825" w:type="pct"/>
                  <w:tcBorders>
                    <w:tl2br w:val="nil"/>
                    <w:tr2bl w:val="nil"/>
                  </w:tcBorders>
                  <w:noWrap w:val="0"/>
                  <w:vAlign w:val="center"/>
                </w:tcPr>
                <w:p w14:paraId="385E39A8">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17-253</w:t>
                  </w:r>
                </w:p>
              </w:tc>
              <w:tc>
                <w:tcPr>
                  <w:tcW w:w="983" w:type="pct"/>
                  <w:tcBorders>
                    <w:tl2br w:val="nil"/>
                    <w:tr2bl w:val="nil"/>
                  </w:tcBorders>
                  <w:noWrap w:val="0"/>
                  <w:vAlign w:val="center"/>
                </w:tcPr>
                <w:p w14:paraId="1B622456">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160</w:t>
                  </w:r>
                </w:p>
              </w:tc>
              <w:tc>
                <w:tcPr>
                  <w:tcW w:w="604" w:type="pct"/>
                  <w:tcBorders>
                    <w:tl2br w:val="nil"/>
                    <w:tr2bl w:val="nil"/>
                  </w:tcBorders>
                  <w:noWrap w:val="0"/>
                  <w:vAlign w:val="center"/>
                </w:tcPr>
                <w:p w14:paraId="17CAC16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86.3</w:t>
                  </w:r>
                </w:p>
              </w:tc>
              <w:tc>
                <w:tcPr>
                  <w:tcW w:w="709" w:type="pct"/>
                  <w:vMerge w:val="continue"/>
                  <w:tcBorders>
                    <w:tl2br w:val="nil"/>
                    <w:tr2bl w:val="nil"/>
                  </w:tcBorders>
                  <w:noWrap w:val="0"/>
                  <w:vAlign w:val="center"/>
                </w:tcPr>
                <w:p w14:paraId="4107F96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bl>
          <w:p w14:paraId="5923E7E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color w:val="auto"/>
                <w:szCs w:val="21"/>
              </w:rPr>
            </w:pPr>
            <w:r>
              <w:rPr>
                <w:bCs/>
                <w:color w:val="auto"/>
                <w:szCs w:val="21"/>
              </w:rPr>
              <w:t>由上表可知，</w:t>
            </w:r>
            <w:r>
              <w:rPr>
                <w:rFonts w:hint="eastAsia"/>
                <w:color w:val="auto"/>
                <w:szCs w:val="21"/>
                <w:lang w:val="en-US" w:eastAsia="zh-CN"/>
              </w:rPr>
              <w:t>2024</w:t>
            </w:r>
            <w:r>
              <w:rPr>
                <w:color w:val="auto"/>
                <w:szCs w:val="21"/>
              </w:rPr>
              <w:t>年常州市环境空气中SO</w:t>
            </w:r>
            <w:r>
              <w:rPr>
                <w:color w:val="auto"/>
                <w:szCs w:val="21"/>
                <w:vertAlign w:val="subscript"/>
              </w:rPr>
              <w:t>2</w:t>
            </w:r>
            <w:r>
              <w:rPr>
                <w:color w:val="auto"/>
                <w:szCs w:val="21"/>
              </w:rPr>
              <w:t>、NO</w:t>
            </w:r>
            <w:r>
              <w:rPr>
                <w:color w:val="auto"/>
                <w:szCs w:val="21"/>
                <w:vertAlign w:val="subscript"/>
              </w:rPr>
              <w:t>2</w:t>
            </w:r>
            <w:r>
              <w:rPr>
                <w:rFonts w:hint="eastAsia"/>
                <w:color w:val="auto"/>
                <w:szCs w:val="21"/>
              </w:rPr>
              <w:t>年平均值及日平均值均</w:t>
            </w:r>
            <w:r>
              <w:rPr>
                <w:color w:val="auto"/>
                <w:szCs w:val="21"/>
              </w:rPr>
              <w:t>满足《环境空气质量标准》（GB3095-20</w:t>
            </w:r>
            <w:r>
              <w:rPr>
                <w:rFonts w:hint="eastAsia"/>
                <w:color w:val="auto"/>
                <w:szCs w:val="21"/>
                <w:lang w:val="en-US" w:eastAsia="zh-CN"/>
              </w:rPr>
              <w:t>26</w:t>
            </w:r>
            <w:r>
              <w:rPr>
                <w:color w:val="auto"/>
                <w:szCs w:val="21"/>
              </w:rPr>
              <w:t>）中二级标准</w:t>
            </w:r>
            <w:r>
              <w:rPr>
                <w:rFonts w:hint="eastAsia"/>
                <w:color w:val="auto"/>
                <w:szCs w:val="21"/>
                <w:lang w:val="en-US" w:eastAsia="zh-CN"/>
              </w:rPr>
              <w:t>；</w:t>
            </w:r>
            <w:r>
              <w:rPr>
                <w:color w:val="auto"/>
                <w:szCs w:val="21"/>
              </w:rPr>
              <w:t>CO的日均值的第95百分位数</w:t>
            </w:r>
            <w:r>
              <w:rPr>
                <w:rFonts w:hint="eastAsia"/>
                <w:color w:val="auto"/>
                <w:szCs w:val="21"/>
              </w:rPr>
              <w:t>及日平均值浓度范围满足</w:t>
            </w:r>
            <w:r>
              <w:rPr>
                <w:color w:val="auto"/>
                <w:szCs w:val="21"/>
              </w:rPr>
              <w:t>《环境空气质量标准》（GB3095-20</w:t>
            </w:r>
            <w:r>
              <w:rPr>
                <w:rFonts w:hint="eastAsia"/>
                <w:color w:val="auto"/>
                <w:szCs w:val="21"/>
                <w:lang w:val="en-US" w:eastAsia="zh-CN"/>
              </w:rPr>
              <w:t>26</w:t>
            </w:r>
            <w:r>
              <w:rPr>
                <w:color w:val="auto"/>
                <w:szCs w:val="21"/>
              </w:rPr>
              <w:t>）中二级标准</w:t>
            </w:r>
            <w:r>
              <w:rPr>
                <w:rFonts w:hint="eastAsia"/>
                <w:color w:val="auto"/>
                <w:szCs w:val="21"/>
              </w:rPr>
              <w:t>，PM</w:t>
            </w:r>
            <w:r>
              <w:rPr>
                <w:rFonts w:hint="eastAsia"/>
                <w:color w:val="auto"/>
                <w:szCs w:val="21"/>
                <w:vertAlign w:val="subscript"/>
              </w:rPr>
              <w:t>2.5</w:t>
            </w:r>
            <w:r>
              <w:rPr>
                <w:color w:val="auto"/>
                <w:szCs w:val="21"/>
              </w:rPr>
              <w:t>、</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eastAsia"/>
                <w:color w:val="auto"/>
                <w:szCs w:val="21"/>
              </w:rPr>
              <w:t>年平均值</w:t>
            </w:r>
            <w:r>
              <w:rPr>
                <w:rFonts w:hint="eastAsia"/>
                <w:color w:val="auto"/>
                <w:szCs w:val="21"/>
                <w:lang w:val="en-US" w:eastAsia="zh-CN"/>
              </w:rPr>
              <w:t>及</w:t>
            </w:r>
            <w:r>
              <w:rPr>
                <w:rFonts w:hint="eastAsia"/>
                <w:color w:val="auto"/>
                <w:szCs w:val="21"/>
              </w:rPr>
              <w:t>日均值</w:t>
            </w:r>
            <w:r>
              <w:rPr>
                <w:rFonts w:hint="eastAsia"/>
                <w:color w:val="auto"/>
                <w:szCs w:val="21"/>
                <w:lang w:eastAsia="zh-CN"/>
              </w:rPr>
              <w:t>、</w:t>
            </w:r>
            <w:r>
              <w:rPr>
                <w:color w:val="auto"/>
                <w:szCs w:val="21"/>
              </w:rPr>
              <w:t>O</w:t>
            </w:r>
            <w:r>
              <w:rPr>
                <w:color w:val="auto"/>
                <w:szCs w:val="21"/>
                <w:vertAlign w:val="subscript"/>
              </w:rPr>
              <w:t>3</w:t>
            </w:r>
            <w:r>
              <w:rPr>
                <w:color w:val="auto"/>
                <w:szCs w:val="21"/>
              </w:rPr>
              <w:t>日最大8小时滑动平均值的第90百分位数</w:t>
            </w:r>
            <w:r>
              <w:rPr>
                <w:rFonts w:hint="eastAsia"/>
                <w:color w:val="auto"/>
                <w:szCs w:val="21"/>
                <w:lang w:val="en-US" w:eastAsia="zh-CN"/>
              </w:rPr>
              <w:t>及日平均值浓度范围</w:t>
            </w:r>
            <w:r>
              <w:rPr>
                <w:color w:val="auto"/>
                <w:szCs w:val="21"/>
              </w:rPr>
              <w:t>超过《环境空气质量标准》（GB3095-</w:t>
            </w:r>
            <w:r>
              <w:rPr>
                <w:rFonts w:hint="eastAsia"/>
                <w:color w:val="auto"/>
                <w:szCs w:val="21"/>
                <w:lang w:val="en-US" w:eastAsia="zh-CN"/>
              </w:rPr>
              <w:t>2026</w:t>
            </w:r>
            <w:r>
              <w:rPr>
                <w:color w:val="auto"/>
                <w:szCs w:val="21"/>
              </w:rPr>
              <w:t>）中二级标准，因此判定为非达标区域。</w:t>
            </w:r>
          </w:p>
          <w:p w14:paraId="618F1CF6">
            <w:pPr>
              <w:widowControl/>
              <w:spacing w:line="360" w:lineRule="auto"/>
              <w:ind w:firstLine="48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补充监测（</w:t>
            </w:r>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、TSP</w:t>
            </w:r>
            <w:r>
              <w:rPr>
                <w:rFonts w:hint="default" w:ascii="Times New Roman" w:hAnsi="Times New Roman" w:eastAsia="宋体" w:cs="Times New Roman"/>
                <w:color w:val="auto"/>
                <w:sz w:val="21"/>
                <w:szCs w:val="21"/>
              </w:rPr>
              <w:t>）</w:t>
            </w:r>
          </w:p>
          <w:p w14:paraId="4535F724">
            <w:pPr>
              <w:widowControl/>
              <w:spacing w:line="36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w:t>
            </w:r>
            <w:r>
              <w:rPr>
                <w:rFonts w:hint="eastAsia" w:cs="Times New Roman"/>
                <w:color w:val="auto"/>
                <w:sz w:val="21"/>
                <w:szCs w:val="21"/>
                <w:lang w:eastAsia="zh-CN"/>
              </w:rPr>
              <w:t>特斯特（江苏）检测科技有限公司</w:t>
            </w:r>
            <w:r>
              <w:rPr>
                <w:rFonts w:hint="default" w:ascii="Times New Roman" w:hAnsi="Times New Roman" w:eastAsia="宋体" w:cs="Times New Roman"/>
                <w:color w:val="auto"/>
                <w:sz w:val="21"/>
                <w:szCs w:val="21"/>
              </w:rPr>
              <w:t>提供的检测报告（</w:t>
            </w:r>
            <w:r>
              <w:rPr>
                <w:rFonts w:hint="eastAsia" w:cs="Times New Roman"/>
                <w:color w:val="auto"/>
                <w:sz w:val="21"/>
                <w:szCs w:val="21"/>
                <w:lang w:val="en-US" w:eastAsia="zh-CN"/>
              </w:rPr>
              <w:t>TST202512043</w:t>
            </w:r>
            <w:r>
              <w:rPr>
                <w:rFonts w:hint="default" w:ascii="Times New Roman" w:hAnsi="Times New Roman" w:eastAsia="宋体" w:cs="Times New Roman"/>
                <w:color w:val="auto"/>
                <w:sz w:val="21"/>
                <w:szCs w:val="21"/>
              </w:rPr>
              <w:t>)，</w:t>
            </w:r>
            <w:bookmarkStart w:id="7" w:name="_Hlk46740040"/>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数据引自《</w:t>
            </w:r>
            <w:r>
              <w:rPr>
                <w:rFonts w:hint="eastAsia" w:cs="Times New Roman"/>
                <w:color w:val="auto"/>
                <w:sz w:val="21"/>
                <w:szCs w:val="21"/>
                <w:lang w:eastAsia="zh-CN"/>
              </w:rPr>
              <w:t>常州市金坛区金东环保工程有限公司</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cs="Times New Roman"/>
                <w:color w:val="auto"/>
                <w:sz w:val="21"/>
                <w:szCs w:val="21"/>
                <w:lang w:val="en-US" w:eastAsia="zh-CN"/>
              </w:rPr>
              <w:t>TST202411058</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中环境空气项目所在地点</w:t>
            </w:r>
            <w:r>
              <w:rPr>
                <w:rFonts w:hint="eastAsia" w:cs="Times New Roman"/>
                <w:color w:val="auto"/>
                <w:sz w:val="21"/>
                <w:szCs w:val="21"/>
                <w:lang w:val="en-US" w:eastAsia="zh-CN"/>
              </w:rPr>
              <w:t xml:space="preserve">东侧O2 </w:t>
            </w:r>
            <w:r>
              <w:rPr>
                <w:rFonts w:hint="default" w:ascii="Times New Roman" w:hAnsi="Times New Roman" w:eastAsia="宋体" w:cs="Times New Roman"/>
                <w:color w:val="auto"/>
                <w:sz w:val="21"/>
                <w:szCs w:val="21"/>
              </w:rPr>
              <w:t>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rPr>
              <w:t>月</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rPr>
              <w:t>日～</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rPr>
              <w:t>日连续</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天检测数据</w:t>
            </w:r>
            <w:bookmarkEnd w:id="7"/>
            <w:r>
              <w:rPr>
                <w:rFonts w:hint="eastAsia" w:cs="Times New Roman"/>
                <w:color w:val="auto"/>
                <w:sz w:val="21"/>
                <w:szCs w:val="21"/>
                <w:lang w:eastAsia="zh-CN"/>
              </w:rPr>
              <w:t>；</w:t>
            </w:r>
            <w:r>
              <w:rPr>
                <w:rFonts w:hint="eastAsia" w:cs="Times New Roman"/>
                <w:color w:val="auto"/>
                <w:sz w:val="21"/>
                <w:szCs w:val="21"/>
                <w:lang w:val="en-US" w:eastAsia="zh-CN"/>
              </w:rPr>
              <w:t>TSP数据引自《</w:t>
            </w:r>
            <w:r>
              <w:rPr>
                <w:rFonts w:hint="eastAsia" w:cs="Times New Roman"/>
                <w:color w:val="auto"/>
                <w:sz w:val="21"/>
                <w:szCs w:val="21"/>
                <w:lang w:eastAsia="zh-CN"/>
              </w:rPr>
              <w:t>常州市金坛区金东环保工程有限公司</w:t>
            </w:r>
            <w:r>
              <w:rPr>
                <w:rFonts w:hint="eastAsia" w:cs="Times New Roman"/>
                <w:color w:val="auto"/>
                <w:sz w:val="21"/>
                <w:szCs w:val="21"/>
                <w:lang w:val="en-US" w:eastAsia="zh-CN"/>
              </w:rPr>
              <w:t>》</w:t>
            </w:r>
            <w:r>
              <w:rPr>
                <w:rFonts w:hint="eastAsia" w:cs="Times New Roman"/>
                <w:color w:val="auto"/>
                <w:sz w:val="21"/>
                <w:szCs w:val="21"/>
                <w:lang w:eastAsia="zh-CN"/>
              </w:rPr>
              <w:t>（</w:t>
            </w:r>
            <w:r>
              <w:rPr>
                <w:rFonts w:hint="eastAsia" w:cs="Times New Roman"/>
                <w:color w:val="auto"/>
                <w:sz w:val="21"/>
                <w:szCs w:val="21"/>
                <w:lang w:val="en-US" w:eastAsia="zh-CN"/>
              </w:rPr>
              <w:t>TST202510128</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中环境空气项目所在地点</w:t>
            </w:r>
            <w:r>
              <w:rPr>
                <w:rFonts w:hint="eastAsia" w:cs="Times New Roman"/>
                <w:color w:val="auto"/>
                <w:sz w:val="21"/>
                <w:szCs w:val="21"/>
                <w:lang w:val="en-US" w:eastAsia="zh-CN"/>
              </w:rPr>
              <w:t xml:space="preserve">中兴路与华兴路交叉口西北方向约62mG1 </w:t>
            </w:r>
            <w:r>
              <w:rPr>
                <w:rFonts w:hint="default"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月</w:t>
            </w: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rPr>
              <w:t>日～</w:t>
            </w:r>
            <w:r>
              <w:rPr>
                <w:rFonts w:hint="eastAsia" w:cs="Times New Roman"/>
                <w:color w:val="auto"/>
                <w:sz w:val="21"/>
                <w:szCs w:val="21"/>
                <w:lang w:val="en-US" w:eastAsia="zh-CN"/>
              </w:rPr>
              <w:t>26</w:t>
            </w:r>
            <w:r>
              <w:rPr>
                <w:rFonts w:hint="default" w:ascii="Times New Roman" w:hAnsi="Times New Roman" w:eastAsia="宋体" w:cs="Times New Roman"/>
                <w:color w:val="auto"/>
                <w:sz w:val="21"/>
                <w:szCs w:val="21"/>
              </w:rPr>
              <w:t>日连续</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天检测数据。具体统计结果见下表。</w:t>
            </w:r>
          </w:p>
          <w:p w14:paraId="1BABE0FA">
            <w:pPr>
              <w:widowControl/>
              <w:ind w:left="431"/>
              <w:jc w:val="center"/>
              <w:rPr>
                <w:rFonts w:hint="default" w:ascii="Times New Roman" w:hAnsi="Times New Roman" w:eastAsia="宋体" w:cs="Times New Roman"/>
                <w:b/>
                <w:color w:val="auto"/>
                <w:sz w:val="21"/>
                <w:szCs w:val="21"/>
              </w:rPr>
            </w:pPr>
          </w:p>
          <w:p w14:paraId="3A3FEEC0">
            <w:pPr>
              <w:widowControl/>
              <w:ind w:left="431"/>
              <w:jc w:val="center"/>
              <w:rPr>
                <w:rFonts w:hint="default" w:ascii="Times New Roman" w:hAnsi="Times New Roman" w:eastAsia="宋体" w:cs="Times New Roman"/>
                <w:b/>
                <w:color w:val="auto"/>
                <w:sz w:val="21"/>
                <w:szCs w:val="21"/>
              </w:rPr>
            </w:pPr>
          </w:p>
          <w:p w14:paraId="4FB1717F">
            <w:pPr>
              <w:widowControl/>
              <w:ind w:left="43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表3-2 其他污染物补充监测点位基本信息</w:t>
            </w:r>
          </w:p>
          <w:tbl>
            <w:tblPr>
              <w:tblStyle w:val="28"/>
              <w:tblpPr w:leftFromText="180" w:rightFromText="180" w:vertAnchor="text" w:tblpXSpec="center" w:tblpY="1"/>
              <w:tblOverlap w:val="never"/>
              <w:tblW w:w="83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7"/>
              <w:gridCol w:w="786"/>
              <w:gridCol w:w="693"/>
              <w:gridCol w:w="689"/>
              <w:gridCol w:w="675"/>
              <w:gridCol w:w="611"/>
              <w:gridCol w:w="750"/>
              <w:gridCol w:w="1007"/>
              <w:gridCol w:w="1026"/>
              <w:gridCol w:w="637"/>
              <w:gridCol w:w="502"/>
              <w:gridCol w:w="444"/>
            </w:tblGrid>
            <w:tr w14:paraId="57A0A6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77" w:type="dxa"/>
                  <w:vMerge w:val="restart"/>
                  <w:noWrap w:val="0"/>
                  <w:tcMar>
                    <w:top w:w="0" w:type="dxa"/>
                    <w:left w:w="0" w:type="dxa"/>
                    <w:bottom w:w="0" w:type="dxa"/>
                    <w:right w:w="0" w:type="dxa"/>
                  </w:tcMar>
                  <w:vAlign w:val="center"/>
                </w:tcPr>
                <w:p w14:paraId="5CC6EEE4">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479" w:type="dxa"/>
                  <w:gridSpan w:val="2"/>
                  <w:noWrap w:val="0"/>
                  <w:tcMar>
                    <w:top w:w="0" w:type="dxa"/>
                    <w:left w:w="0" w:type="dxa"/>
                    <w:bottom w:w="0" w:type="dxa"/>
                    <w:right w:w="0" w:type="dxa"/>
                  </w:tcMar>
                  <w:vAlign w:val="center"/>
                </w:tcPr>
                <w:p w14:paraId="71D24EB3">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监测点坐标</w:t>
                  </w:r>
                </w:p>
              </w:tc>
              <w:tc>
                <w:tcPr>
                  <w:tcW w:w="689" w:type="dxa"/>
                  <w:vMerge w:val="restart"/>
                  <w:noWrap w:val="0"/>
                  <w:tcMar>
                    <w:top w:w="0" w:type="dxa"/>
                    <w:left w:w="0" w:type="dxa"/>
                    <w:bottom w:w="0" w:type="dxa"/>
                    <w:right w:w="0" w:type="dxa"/>
                  </w:tcMar>
                  <w:vAlign w:val="center"/>
                </w:tcPr>
                <w:p w14:paraId="11087138">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75" w:type="dxa"/>
                  <w:vMerge w:val="restart"/>
                  <w:noWrap w:val="0"/>
                  <w:tcMar>
                    <w:top w:w="0" w:type="dxa"/>
                    <w:left w:w="0" w:type="dxa"/>
                    <w:bottom w:w="0" w:type="dxa"/>
                    <w:right w:w="0" w:type="dxa"/>
                  </w:tcMar>
                  <w:vAlign w:val="center"/>
                </w:tcPr>
                <w:p w14:paraId="710180A5">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监测时段</w:t>
                  </w:r>
                </w:p>
              </w:tc>
              <w:tc>
                <w:tcPr>
                  <w:tcW w:w="611" w:type="dxa"/>
                  <w:vMerge w:val="restart"/>
                  <w:noWrap w:val="0"/>
                  <w:tcMar>
                    <w:top w:w="0" w:type="dxa"/>
                    <w:left w:w="0" w:type="dxa"/>
                    <w:bottom w:w="0" w:type="dxa"/>
                    <w:right w:w="0" w:type="dxa"/>
                  </w:tcMar>
                  <w:vAlign w:val="center"/>
                </w:tcPr>
                <w:p w14:paraId="2804B01D">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平均时间</w:t>
                  </w:r>
                </w:p>
              </w:tc>
              <w:tc>
                <w:tcPr>
                  <w:tcW w:w="750" w:type="dxa"/>
                  <w:vMerge w:val="restart"/>
                  <w:noWrap w:val="0"/>
                  <w:tcMar>
                    <w:top w:w="0" w:type="dxa"/>
                    <w:left w:w="0" w:type="dxa"/>
                    <w:bottom w:w="0" w:type="dxa"/>
                    <w:right w:w="0" w:type="dxa"/>
                  </w:tcMar>
                  <w:vAlign w:val="center"/>
                </w:tcPr>
                <w:p w14:paraId="190C40F8">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w:t>
                  </w:r>
                  <w:r>
                    <w:rPr>
                      <w:rFonts w:hint="eastAsia"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c>
              <w:tc>
                <w:tcPr>
                  <w:tcW w:w="1007" w:type="dxa"/>
                  <w:vMerge w:val="restart"/>
                  <w:noWrap w:val="0"/>
                  <w:tcMar>
                    <w:top w:w="0" w:type="dxa"/>
                    <w:left w:w="0" w:type="dxa"/>
                    <w:bottom w:w="0" w:type="dxa"/>
                    <w:right w:w="0" w:type="dxa"/>
                  </w:tcMar>
                  <w:vAlign w:val="center"/>
                </w:tcPr>
                <w:p w14:paraId="38C5ADE1">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监测浓度范围</w:t>
                  </w:r>
                  <w:r>
                    <w:rPr>
                      <w:rFonts w:hint="eastAsia"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c>
              <w:tc>
                <w:tcPr>
                  <w:tcW w:w="1026" w:type="dxa"/>
                  <w:vMerge w:val="restart"/>
                  <w:noWrap w:val="0"/>
                  <w:tcMar>
                    <w:top w:w="0" w:type="dxa"/>
                    <w:left w:w="0" w:type="dxa"/>
                    <w:bottom w:w="0" w:type="dxa"/>
                    <w:right w:w="0" w:type="dxa"/>
                  </w:tcMar>
                  <w:vAlign w:val="center"/>
                </w:tcPr>
                <w:p w14:paraId="33FA58D1">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最大浓度占标率%</w:t>
                  </w:r>
                </w:p>
              </w:tc>
              <w:tc>
                <w:tcPr>
                  <w:tcW w:w="637" w:type="dxa"/>
                  <w:vMerge w:val="restart"/>
                  <w:noWrap w:val="0"/>
                  <w:tcMar>
                    <w:top w:w="0" w:type="dxa"/>
                    <w:left w:w="0" w:type="dxa"/>
                    <w:bottom w:w="0" w:type="dxa"/>
                    <w:right w:w="0" w:type="dxa"/>
                  </w:tcMar>
                  <w:vAlign w:val="center"/>
                </w:tcPr>
                <w:p w14:paraId="5C02C986">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超标率%</w:t>
                  </w:r>
                </w:p>
              </w:tc>
              <w:tc>
                <w:tcPr>
                  <w:tcW w:w="502" w:type="dxa"/>
                  <w:vMerge w:val="restart"/>
                  <w:tcBorders>
                    <w:right w:val="single" w:color="auto" w:sz="4" w:space="0"/>
                  </w:tcBorders>
                  <w:noWrap w:val="0"/>
                  <w:tcMar>
                    <w:top w:w="0" w:type="dxa"/>
                    <w:left w:w="0" w:type="dxa"/>
                    <w:bottom w:w="0" w:type="dxa"/>
                    <w:right w:w="0" w:type="dxa"/>
                  </w:tcMar>
                  <w:vAlign w:val="center"/>
                </w:tcPr>
                <w:p w14:paraId="153FC7CE">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c>
                <w:tcPr>
                  <w:tcW w:w="444" w:type="dxa"/>
                  <w:vMerge w:val="restart"/>
                  <w:tcBorders>
                    <w:left w:val="single" w:color="auto" w:sz="4" w:space="0"/>
                  </w:tcBorders>
                  <w:noWrap w:val="0"/>
                  <w:tcMar>
                    <w:top w:w="0" w:type="dxa"/>
                    <w:left w:w="0" w:type="dxa"/>
                    <w:bottom w:w="0" w:type="dxa"/>
                    <w:right w:w="0" w:type="dxa"/>
                  </w:tcMar>
                  <w:vAlign w:val="center"/>
                </w:tcPr>
                <w:p w14:paraId="659A8C18">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数据来源</w:t>
                  </w:r>
                </w:p>
              </w:tc>
            </w:tr>
            <w:tr w14:paraId="5A655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577" w:type="dxa"/>
                  <w:vMerge w:val="continue"/>
                  <w:noWrap w:val="0"/>
                  <w:tcMar>
                    <w:top w:w="0" w:type="dxa"/>
                    <w:left w:w="0" w:type="dxa"/>
                    <w:bottom w:w="0" w:type="dxa"/>
                    <w:right w:w="0" w:type="dxa"/>
                  </w:tcMar>
                  <w:vAlign w:val="center"/>
                </w:tcPr>
                <w:p w14:paraId="4A5DE529">
                  <w:pPr>
                    <w:widowControl/>
                    <w:spacing w:line="240" w:lineRule="exact"/>
                    <w:jc w:val="center"/>
                    <w:rPr>
                      <w:rFonts w:hint="default" w:ascii="Times New Roman" w:hAnsi="Times New Roman" w:eastAsia="宋体" w:cs="Times New Roman"/>
                      <w:b/>
                      <w:bCs/>
                      <w:color w:val="auto"/>
                      <w:sz w:val="21"/>
                      <w:szCs w:val="21"/>
                    </w:rPr>
                  </w:pPr>
                </w:p>
              </w:tc>
              <w:tc>
                <w:tcPr>
                  <w:tcW w:w="786" w:type="dxa"/>
                  <w:noWrap w:val="0"/>
                  <w:tcMar>
                    <w:top w:w="0" w:type="dxa"/>
                    <w:left w:w="0" w:type="dxa"/>
                    <w:bottom w:w="0" w:type="dxa"/>
                    <w:right w:w="0" w:type="dxa"/>
                  </w:tcMar>
                  <w:vAlign w:val="center"/>
                </w:tcPr>
                <w:p w14:paraId="704270AD">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t>
                  </w:r>
                </w:p>
              </w:tc>
              <w:tc>
                <w:tcPr>
                  <w:tcW w:w="693" w:type="dxa"/>
                  <w:noWrap w:val="0"/>
                  <w:tcMar>
                    <w:top w:w="0" w:type="dxa"/>
                    <w:left w:w="0" w:type="dxa"/>
                    <w:bottom w:w="0" w:type="dxa"/>
                    <w:right w:w="0" w:type="dxa"/>
                  </w:tcMar>
                  <w:vAlign w:val="center"/>
                </w:tcPr>
                <w:p w14:paraId="7EE8CDE1">
                  <w:pPr>
                    <w:widowControl/>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w:t>
                  </w:r>
                </w:p>
              </w:tc>
              <w:tc>
                <w:tcPr>
                  <w:tcW w:w="689" w:type="dxa"/>
                  <w:vMerge w:val="continue"/>
                  <w:noWrap w:val="0"/>
                  <w:tcMar>
                    <w:top w:w="0" w:type="dxa"/>
                    <w:left w:w="0" w:type="dxa"/>
                    <w:bottom w:w="0" w:type="dxa"/>
                    <w:right w:w="0" w:type="dxa"/>
                  </w:tcMar>
                  <w:vAlign w:val="center"/>
                </w:tcPr>
                <w:p w14:paraId="7C637997">
                  <w:pPr>
                    <w:widowControl/>
                    <w:spacing w:line="240" w:lineRule="exact"/>
                    <w:jc w:val="center"/>
                    <w:rPr>
                      <w:rFonts w:hint="default" w:ascii="Times New Roman" w:hAnsi="Times New Roman" w:eastAsia="宋体" w:cs="Times New Roman"/>
                      <w:b/>
                      <w:bCs/>
                      <w:color w:val="auto"/>
                      <w:sz w:val="21"/>
                      <w:szCs w:val="21"/>
                    </w:rPr>
                  </w:pPr>
                </w:p>
              </w:tc>
              <w:tc>
                <w:tcPr>
                  <w:tcW w:w="675" w:type="dxa"/>
                  <w:vMerge w:val="continue"/>
                  <w:noWrap w:val="0"/>
                  <w:tcMar>
                    <w:top w:w="0" w:type="dxa"/>
                    <w:left w:w="0" w:type="dxa"/>
                    <w:bottom w:w="0" w:type="dxa"/>
                    <w:right w:w="0" w:type="dxa"/>
                  </w:tcMar>
                  <w:vAlign w:val="center"/>
                </w:tcPr>
                <w:p w14:paraId="1AD0E554">
                  <w:pPr>
                    <w:widowControl/>
                    <w:spacing w:line="240" w:lineRule="exact"/>
                    <w:jc w:val="center"/>
                    <w:rPr>
                      <w:rFonts w:hint="default" w:ascii="Times New Roman" w:hAnsi="Times New Roman" w:eastAsia="宋体" w:cs="Times New Roman"/>
                      <w:b/>
                      <w:bCs/>
                      <w:color w:val="auto"/>
                      <w:sz w:val="21"/>
                      <w:szCs w:val="21"/>
                    </w:rPr>
                  </w:pPr>
                </w:p>
              </w:tc>
              <w:tc>
                <w:tcPr>
                  <w:tcW w:w="611" w:type="dxa"/>
                  <w:vMerge w:val="continue"/>
                  <w:noWrap w:val="0"/>
                  <w:tcMar>
                    <w:top w:w="0" w:type="dxa"/>
                    <w:left w:w="0" w:type="dxa"/>
                    <w:bottom w:w="0" w:type="dxa"/>
                    <w:right w:w="0" w:type="dxa"/>
                  </w:tcMar>
                  <w:vAlign w:val="center"/>
                </w:tcPr>
                <w:p w14:paraId="005EC373">
                  <w:pPr>
                    <w:widowControl/>
                    <w:spacing w:line="240" w:lineRule="exact"/>
                    <w:jc w:val="center"/>
                    <w:rPr>
                      <w:rFonts w:hint="default" w:ascii="Times New Roman" w:hAnsi="Times New Roman" w:eastAsia="宋体" w:cs="Times New Roman"/>
                      <w:b/>
                      <w:bCs/>
                      <w:color w:val="auto"/>
                      <w:sz w:val="21"/>
                      <w:szCs w:val="21"/>
                    </w:rPr>
                  </w:pPr>
                </w:p>
              </w:tc>
              <w:tc>
                <w:tcPr>
                  <w:tcW w:w="750" w:type="dxa"/>
                  <w:vMerge w:val="continue"/>
                  <w:noWrap w:val="0"/>
                  <w:tcMar>
                    <w:top w:w="0" w:type="dxa"/>
                    <w:left w:w="0" w:type="dxa"/>
                    <w:bottom w:w="0" w:type="dxa"/>
                    <w:right w:w="0" w:type="dxa"/>
                  </w:tcMar>
                  <w:vAlign w:val="center"/>
                </w:tcPr>
                <w:p w14:paraId="55C8CC1A">
                  <w:pPr>
                    <w:widowControl/>
                    <w:spacing w:line="240" w:lineRule="exact"/>
                    <w:jc w:val="center"/>
                    <w:rPr>
                      <w:rFonts w:hint="default" w:ascii="Times New Roman" w:hAnsi="Times New Roman" w:eastAsia="宋体" w:cs="Times New Roman"/>
                      <w:b/>
                      <w:bCs/>
                      <w:color w:val="auto"/>
                      <w:sz w:val="21"/>
                      <w:szCs w:val="21"/>
                    </w:rPr>
                  </w:pPr>
                </w:p>
              </w:tc>
              <w:tc>
                <w:tcPr>
                  <w:tcW w:w="1007" w:type="dxa"/>
                  <w:vMerge w:val="continue"/>
                  <w:noWrap w:val="0"/>
                  <w:tcMar>
                    <w:top w:w="0" w:type="dxa"/>
                    <w:left w:w="0" w:type="dxa"/>
                    <w:bottom w:w="0" w:type="dxa"/>
                    <w:right w:w="0" w:type="dxa"/>
                  </w:tcMar>
                  <w:vAlign w:val="center"/>
                </w:tcPr>
                <w:p w14:paraId="2E196C37">
                  <w:pPr>
                    <w:widowControl/>
                    <w:spacing w:line="240" w:lineRule="exact"/>
                    <w:jc w:val="center"/>
                    <w:rPr>
                      <w:rFonts w:hint="default" w:ascii="Times New Roman" w:hAnsi="Times New Roman" w:eastAsia="宋体" w:cs="Times New Roman"/>
                      <w:b/>
                      <w:bCs/>
                      <w:color w:val="auto"/>
                      <w:sz w:val="21"/>
                      <w:szCs w:val="21"/>
                    </w:rPr>
                  </w:pPr>
                </w:p>
              </w:tc>
              <w:tc>
                <w:tcPr>
                  <w:tcW w:w="1026" w:type="dxa"/>
                  <w:vMerge w:val="continue"/>
                  <w:noWrap w:val="0"/>
                  <w:tcMar>
                    <w:top w:w="0" w:type="dxa"/>
                    <w:left w:w="0" w:type="dxa"/>
                    <w:bottom w:w="0" w:type="dxa"/>
                    <w:right w:w="0" w:type="dxa"/>
                  </w:tcMar>
                  <w:vAlign w:val="center"/>
                </w:tcPr>
                <w:p w14:paraId="2A0AD3E7">
                  <w:pPr>
                    <w:widowControl/>
                    <w:spacing w:line="240" w:lineRule="exact"/>
                    <w:jc w:val="center"/>
                    <w:rPr>
                      <w:rFonts w:hint="default" w:ascii="Times New Roman" w:hAnsi="Times New Roman" w:eastAsia="宋体" w:cs="Times New Roman"/>
                      <w:b/>
                      <w:bCs/>
                      <w:color w:val="auto"/>
                      <w:sz w:val="21"/>
                      <w:szCs w:val="21"/>
                    </w:rPr>
                  </w:pPr>
                </w:p>
              </w:tc>
              <w:tc>
                <w:tcPr>
                  <w:tcW w:w="637" w:type="dxa"/>
                  <w:vMerge w:val="continue"/>
                  <w:noWrap w:val="0"/>
                  <w:tcMar>
                    <w:top w:w="0" w:type="dxa"/>
                    <w:left w:w="0" w:type="dxa"/>
                    <w:bottom w:w="0" w:type="dxa"/>
                    <w:right w:w="0" w:type="dxa"/>
                  </w:tcMar>
                  <w:vAlign w:val="center"/>
                </w:tcPr>
                <w:p w14:paraId="39993D0D">
                  <w:pPr>
                    <w:widowControl/>
                    <w:spacing w:line="240" w:lineRule="exact"/>
                    <w:jc w:val="center"/>
                    <w:rPr>
                      <w:rFonts w:hint="default" w:ascii="Times New Roman" w:hAnsi="Times New Roman" w:eastAsia="宋体" w:cs="Times New Roman"/>
                      <w:b/>
                      <w:bCs/>
                      <w:color w:val="auto"/>
                      <w:sz w:val="21"/>
                      <w:szCs w:val="21"/>
                    </w:rPr>
                  </w:pPr>
                </w:p>
              </w:tc>
              <w:tc>
                <w:tcPr>
                  <w:tcW w:w="502" w:type="dxa"/>
                  <w:vMerge w:val="continue"/>
                  <w:tcBorders>
                    <w:right w:val="single" w:color="auto" w:sz="4" w:space="0"/>
                  </w:tcBorders>
                  <w:noWrap w:val="0"/>
                  <w:tcMar>
                    <w:top w:w="0" w:type="dxa"/>
                    <w:left w:w="0" w:type="dxa"/>
                    <w:bottom w:w="0" w:type="dxa"/>
                    <w:right w:w="0" w:type="dxa"/>
                  </w:tcMar>
                  <w:vAlign w:val="center"/>
                </w:tcPr>
                <w:p w14:paraId="3FC8CE15">
                  <w:pPr>
                    <w:widowControl/>
                    <w:spacing w:line="240" w:lineRule="exact"/>
                    <w:jc w:val="center"/>
                    <w:rPr>
                      <w:rFonts w:hint="default" w:ascii="Times New Roman" w:hAnsi="Times New Roman" w:eastAsia="宋体" w:cs="Times New Roman"/>
                      <w:b/>
                      <w:bCs/>
                      <w:color w:val="auto"/>
                      <w:sz w:val="21"/>
                      <w:szCs w:val="21"/>
                    </w:rPr>
                  </w:pPr>
                </w:p>
              </w:tc>
              <w:tc>
                <w:tcPr>
                  <w:tcW w:w="444" w:type="dxa"/>
                  <w:vMerge w:val="continue"/>
                  <w:tcBorders>
                    <w:left w:val="single" w:color="auto" w:sz="4" w:space="0"/>
                  </w:tcBorders>
                  <w:noWrap w:val="0"/>
                  <w:tcMar>
                    <w:top w:w="0" w:type="dxa"/>
                    <w:left w:w="0" w:type="dxa"/>
                    <w:bottom w:w="0" w:type="dxa"/>
                    <w:right w:w="0" w:type="dxa"/>
                  </w:tcMar>
                  <w:vAlign w:val="center"/>
                </w:tcPr>
                <w:p w14:paraId="6764ACEC">
                  <w:pPr>
                    <w:widowControl/>
                    <w:spacing w:line="240" w:lineRule="exact"/>
                    <w:jc w:val="center"/>
                    <w:rPr>
                      <w:rFonts w:hint="default" w:ascii="Times New Roman" w:hAnsi="Times New Roman" w:eastAsia="宋体" w:cs="Times New Roman"/>
                      <w:b/>
                      <w:bCs/>
                      <w:color w:val="auto"/>
                      <w:sz w:val="21"/>
                      <w:szCs w:val="21"/>
                    </w:rPr>
                  </w:pPr>
                </w:p>
              </w:tc>
            </w:tr>
            <w:tr w14:paraId="2F3C3C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577" w:type="dxa"/>
                  <w:noWrap w:val="0"/>
                  <w:tcMar>
                    <w:top w:w="0" w:type="dxa"/>
                    <w:left w:w="0" w:type="dxa"/>
                    <w:bottom w:w="0" w:type="dxa"/>
                    <w:right w:w="0" w:type="dxa"/>
                  </w:tcMar>
                  <w:vAlign w:val="center"/>
                </w:tcPr>
                <w:p w14:paraId="04E95AB5">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O2</w:t>
                  </w:r>
                </w:p>
              </w:tc>
              <w:tc>
                <w:tcPr>
                  <w:tcW w:w="786" w:type="dxa"/>
                  <w:noWrap w:val="0"/>
                  <w:tcMar>
                    <w:top w:w="0" w:type="dxa"/>
                    <w:left w:w="0" w:type="dxa"/>
                    <w:bottom w:w="0" w:type="dxa"/>
                    <w:right w:w="0" w:type="dxa"/>
                  </w:tcMar>
                  <w:vAlign w:val="center"/>
                </w:tcPr>
                <w:p w14:paraId="3A6B5D9A">
                  <w:pPr>
                    <w:widowControl/>
                    <w:spacing w:line="240" w:lineRule="exact"/>
                    <w:jc w:val="center"/>
                    <w:rPr>
                      <w:rFonts w:hint="default" w:ascii="Times New Roman" w:hAnsi="Times New Roman" w:eastAsia="宋体" w:cs="Times New Roman"/>
                      <w:color w:val="auto"/>
                      <w:sz w:val="21"/>
                      <w:szCs w:val="21"/>
                    </w:rPr>
                  </w:pPr>
                  <w:r>
                    <w:rPr>
                      <w:rFonts w:hint="eastAsia"/>
                      <w:color w:val="auto"/>
                    </w:rPr>
                    <w:t>119.622943</w:t>
                  </w:r>
                </w:p>
              </w:tc>
              <w:tc>
                <w:tcPr>
                  <w:tcW w:w="693" w:type="dxa"/>
                  <w:noWrap w:val="0"/>
                  <w:tcMar>
                    <w:top w:w="0" w:type="dxa"/>
                    <w:left w:w="0" w:type="dxa"/>
                    <w:bottom w:w="0" w:type="dxa"/>
                    <w:right w:w="0" w:type="dxa"/>
                  </w:tcMar>
                  <w:vAlign w:val="center"/>
                </w:tcPr>
                <w:p w14:paraId="7780DED7">
                  <w:pPr>
                    <w:widowControl/>
                    <w:spacing w:line="240" w:lineRule="exact"/>
                    <w:jc w:val="center"/>
                    <w:rPr>
                      <w:rFonts w:hint="default" w:ascii="Times New Roman" w:hAnsi="Times New Roman" w:eastAsia="宋体" w:cs="Times New Roman"/>
                      <w:color w:val="auto"/>
                      <w:sz w:val="21"/>
                      <w:szCs w:val="21"/>
                    </w:rPr>
                  </w:pPr>
                  <w:r>
                    <w:rPr>
                      <w:rFonts w:hint="eastAsia"/>
                      <w:color w:val="auto"/>
                    </w:rPr>
                    <w:t>31.753332</w:t>
                  </w:r>
                </w:p>
              </w:tc>
              <w:tc>
                <w:tcPr>
                  <w:tcW w:w="689" w:type="dxa"/>
                  <w:noWrap w:val="0"/>
                  <w:tcMar>
                    <w:top w:w="0" w:type="dxa"/>
                    <w:left w:w="0" w:type="dxa"/>
                    <w:bottom w:w="0" w:type="dxa"/>
                    <w:right w:w="0" w:type="dxa"/>
                  </w:tcMar>
                  <w:vAlign w:val="center"/>
                </w:tcPr>
                <w:p w14:paraId="667F1445">
                  <w:pPr>
                    <w:widowControl/>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75" w:type="dxa"/>
                  <w:noWrap w:val="0"/>
                  <w:tcMar>
                    <w:top w:w="0" w:type="dxa"/>
                    <w:left w:w="0" w:type="dxa"/>
                    <w:bottom w:w="0" w:type="dxa"/>
                    <w:right w:w="0" w:type="dxa"/>
                  </w:tcMar>
                  <w:vAlign w:val="center"/>
                </w:tcPr>
                <w:p w14:paraId="63762375">
                  <w:pPr>
                    <w:widowControl/>
                    <w:spacing w:line="24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24.11.11</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17</w:t>
                  </w:r>
                </w:p>
              </w:tc>
              <w:tc>
                <w:tcPr>
                  <w:tcW w:w="611" w:type="dxa"/>
                  <w:noWrap w:val="0"/>
                  <w:tcMar>
                    <w:top w:w="0" w:type="dxa"/>
                    <w:left w:w="0" w:type="dxa"/>
                    <w:bottom w:w="0" w:type="dxa"/>
                    <w:right w:w="0" w:type="dxa"/>
                  </w:tcMar>
                  <w:vAlign w:val="center"/>
                </w:tcPr>
                <w:p w14:paraId="2F4FBCF5">
                  <w:pPr>
                    <w:widowControl/>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小时值</w:t>
                  </w:r>
                </w:p>
              </w:tc>
              <w:tc>
                <w:tcPr>
                  <w:tcW w:w="750" w:type="dxa"/>
                  <w:noWrap w:val="0"/>
                  <w:tcMar>
                    <w:top w:w="0" w:type="dxa"/>
                    <w:left w:w="0" w:type="dxa"/>
                    <w:bottom w:w="0" w:type="dxa"/>
                    <w:right w:w="0" w:type="dxa"/>
                  </w:tcMar>
                  <w:vAlign w:val="center"/>
                </w:tcPr>
                <w:p w14:paraId="4357F3F6">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007" w:type="dxa"/>
                  <w:noWrap w:val="0"/>
                  <w:tcMar>
                    <w:top w:w="0" w:type="dxa"/>
                    <w:left w:w="0" w:type="dxa"/>
                    <w:bottom w:w="0" w:type="dxa"/>
                    <w:right w:w="0" w:type="dxa"/>
                  </w:tcMar>
                  <w:vAlign w:val="center"/>
                </w:tcPr>
                <w:p w14:paraId="23432D5A">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0.11-0.63</w:t>
                  </w:r>
                </w:p>
              </w:tc>
              <w:tc>
                <w:tcPr>
                  <w:tcW w:w="1026" w:type="dxa"/>
                  <w:noWrap w:val="0"/>
                  <w:tcMar>
                    <w:top w:w="0" w:type="dxa"/>
                    <w:left w:w="0" w:type="dxa"/>
                    <w:bottom w:w="0" w:type="dxa"/>
                    <w:right w:w="0" w:type="dxa"/>
                  </w:tcMar>
                  <w:vAlign w:val="center"/>
                </w:tcPr>
                <w:p w14:paraId="273F7FBB">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31.5</w:t>
                  </w:r>
                </w:p>
              </w:tc>
              <w:tc>
                <w:tcPr>
                  <w:tcW w:w="637" w:type="dxa"/>
                  <w:noWrap w:val="0"/>
                  <w:tcMar>
                    <w:top w:w="0" w:type="dxa"/>
                    <w:left w:w="0" w:type="dxa"/>
                    <w:bottom w:w="0" w:type="dxa"/>
                    <w:right w:w="0" w:type="dxa"/>
                  </w:tcMar>
                  <w:vAlign w:val="center"/>
                </w:tcPr>
                <w:p w14:paraId="610198D2">
                  <w:pPr>
                    <w:widowControl/>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02" w:type="dxa"/>
                  <w:tcBorders>
                    <w:right w:val="single" w:color="auto" w:sz="4" w:space="0"/>
                  </w:tcBorders>
                  <w:noWrap w:val="0"/>
                  <w:tcMar>
                    <w:top w:w="0" w:type="dxa"/>
                    <w:left w:w="0" w:type="dxa"/>
                    <w:bottom w:w="0" w:type="dxa"/>
                    <w:right w:w="0" w:type="dxa"/>
                  </w:tcMar>
                  <w:vAlign w:val="center"/>
                </w:tcPr>
                <w:p w14:paraId="067FFABA">
                  <w:pPr>
                    <w:widowControl/>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444" w:type="dxa"/>
                  <w:tcBorders>
                    <w:left w:val="single" w:color="auto" w:sz="4" w:space="0"/>
                  </w:tcBorders>
                  <w:noWrap w:val="0"/>
                  <w:tcMar>
                    <w:top w:w="0" w:type="dxa"/>
                    <w:left w:w="0" w:type="dxa"/>
                    <w:bottom w:w="0" w:type="dxa"/>
                    <w:right w:w="0" w:type="dxa"/>
                  </w:tcMar>
                  <w:vAlign w:val="center"/>
                </w:tcPr>
                <w:p w14:paraId="44A4FE1E">
                  <w:pPr>
                    <w:widowControl/>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引用</w:t>
                  </w:r>
                </w:p>
              </w:tc>
            </w:tr>
            <w:tr w14:paraId="0F9A8B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577" w:type="dxa"/>
                  <w:noWrap w:val="0"/>
                  <w:tcMar>
                    <w:top w:w="0" w:type="dxa"/>
                    <w:left w:w="0" w:type="dxa"/>
                    <w:bottom w:w="0" w:type="dxa"/>
                    <w:right w:w="0" w:type="dxa"/>
                  </w:tcMar>
                  <w:vAlign w:val="center"/>
                </w:tcPr>
                <w:p w14:paraId="1EAF9682">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G1</w:t>
                  </w:r>
                </w:p>
              </w:tc>
              <w:tc>
                <w:tcPr>
                  <w:tcW w:w="786" w:type="dxa"/>
                  <w:noWrap w:val="0"/>
                  <w:tcMar>
                    <w:top w:w="0" w:type="dxa"/>
                    <w:left w:w="0" w:type="dxa"/>
                    <w:bottom w:w="0" w:type="dxa"/>
                    <w:right w:w="0" w:type="dxa"/>
                  </w:tcMar>
                  <w:vAlign w:val="center"/>
                </w:tcPr>
                <w:p w14:paraId="7889079D">
                  <w:pPr>
                    <w:widowControl/>
                    <w:spacing w:line="240" w:lineRule="exact"/>
                    <w:jc w:val="center"/>
                    <w:rPr>
                      <w:rFonts w:hint="eastAsia"/>
                      <w:color w:val="auto"/>
                    </w:rPr>
                  </w:pPr>
                  <w:r>
                    <w:rPr>
                      <w:rFonts w:hint="eastAsia"/>
                      <w:color w:val="auto"/>
                    </w:rPr>
                    <w:t>119.622943</w:t>
                  </w:r>
                </w:p>
              </w:tc>
              <w:tc>
                <w:tcPr>
                  <w:tcW w:w="693" w:type="dxa"/>
                  <w:noWrap w:val="0"/>
                  <w:tcMar>
                    <w:top w:w="0" w:type="dxa"/>
                    <w:left w:w="0" w:type="dxa"/>
                    <w:bottom w:w="0" w:type="dxa"/>
                    <w:right w:w="0" w:type="dxa"/>
                  </w:tcMar>
                  <w:vAlign w:val="center"/>
                </w:tcPr>
                <w:p w14:paraId="33187CD5">
                  <w:pPr>
                    <w:widowControl/>
                    <w:spacing w:line="240" w:lineRule="exact"/>
                    <w:jc w:val="center"/>
                    <w:rPr>
                      <w:rFonts w:hint="eastAsia"/>
                      <w:color w:val="auto"/>
                    </w:rPr>
                  </w:pPr>
                  <w:r>
                    <w:rPr>
                      <w:rFonts w:hint="eastAsia"/>
                      <w:color w:val="auto"/>
                    </w:rPr>
                    <w:t>31.753332</w:t>
                  </w:r>
                </w:p>
              </w:tc>
              <w:tc>
                <w:tcPr>
                  <w:tcW w:w="689" w:type="dxa"/>
                  <w:noWrap w:val="0"/>
                  <w:tcMar>
                    <w:top w:w="0" w:type="dxa"/>
                    <w:left w:w="0" w:type="dxa"/>
                    <w:bottom w:w="0" w:type="dxa"/>
                    <w:right w:w="0" w:type="dxa"/>
                  </w:tcMar>
                  <w:vAlign w:val="center"/>
                </w:tcPr>
                <w:p w14:paraId="0A1438B7">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TSP</w:t>
                  </w:r>
                </w:p>
              </w:tc>
              <w:tc>
                <w:tcPr>
                  <w:tcW w:w="675" w:type="dxa"/>
                  <w:noWrap w:val="0"/>
                  <w:tcMar>
                    <w:top w:w="0" w:type="dxa"/>
                    <w:left w:w="0" w:type="dxa"/>
                    <w:bottom w:w="0" w:type="dxa"/>
                    <w:right w:w="0" w:type="dxa"/>
                  </w:tcMar>
                  <w:vAlign w:val="center"/>
                </w:tcPr>
                <w:p w14:paraId="04302915">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2025.10.23~26</w:t>
                  </w:r>
                </w:p>
              </w:tc>
              <w:tc>
                <w:tcPr>
                  <w:tcW w:w="611" w:type="dxa"/>
                  <w:noWrap w:val="0"/>
                  <w:tcMar>
                    <w:top w:w="0" w:type="dxa"/>
                    <w:left w:w="0" w:type="dxa"/>
                    <w:bottom w:w="0" w:type="dxa"/>
                    <w:right w:w="0" w:type="dxa"/>
                  </w:tcMar>
                  <w:vAlign w:val="center"/>
                </w:tcPr>
                <w:p w14:paraId="1C7D3AC7">
                  <w:pPr>
                    <w:widowControl/>
                    <w:spacing w:line="2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日均值</w:t>
                  </w:r>
                </w:p>
              </w:tc>
              <w:tc>
                <w:tcPr>
                  <w:tcW w:w="750" w:type="dxa"/>
                  <w:noWrap w:val="0"/>
                  <w:tcMar>
                    <w:top w:w="0" w:type="dxa"/>
                    <w:left w:w="0" w:type="dxa"/>
                    <w:bottom w:w="0" w:type="dxa"/>
                    <w:right w:w="0" w:type="dxa"/>
                  </w:tcMar>
                  <w:vAlign w:val="center"/>
                </w:tcPr>
                <w:p w14:paraId="70BFC28B">
                  <w:pPr>
                    <w:widowControl/>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0.3</w:t>
                  </w:r>
                </w:p>
              </w:tc>
              <w:tc>
                <w:tcPr>
                  <w:tcW w:w="1007" w:type="dxa"/>
                  <w:noWrap w:val="0"/>
                  <w:tcMar>
                    <w:top w:w="0" w:type="dxa"/>
                    <w:left w:w="0" w:type="dxa"/>
                    <w:bottom w:w="0" w:type="dxa"/>
                    <w:right w:w="0" w:type="dxa"/>
                  </w:tcMar>
                  <w:vAlign w:val="center"/>
                </w:tcPr>
                <w:p w14:paraId="6B9DAEBC">
                  <w:pPr>
                    <w:widowControl/>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0.105-0.107</w:t>
                  </w:r>
                </w:p>
              </w:tc>
              <w:tc>
                <w:tcPr>
                  <w:tcW w:w="1026" w:type="dxa"/>
                  <w:noWrap w:val="0"/>
                  <w:tcMar>
                    <w:top w:w="0" w:type="dxa"/>
                    <w:left w:w="0" w:type="dxa"/>
                    <w:bottom w:w="0" w:type="dxa"/>
                    <w:right w:w="0" w:type="dxa"/>
                  </w:tcMar>
                  <w:vAlign w:val="center"/>
                </w:tcPr>
                <w:p w14:paraId="754397FA">
                  <w:pPr>
                    <w:widowControl/>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35.7</w:t>
                  </w:r>
                </w:p>
              </w:tc>
              <w:tc>
                <w:tcPr>
                  <w:tcW w:w="637" w:type="dxa"/>
                  <w:shd w:val="clear" w:color="auto" w:fill="auto"/>
                  <w:noWrap w:val="0"/>
                  <w:tcMar>
                    <w:top w:w="0" w:type="dxa"/>
                    <w:left w:w="0" w:type="dxa"/>
                    <w:bottom w:w="0" w:type="dxa"/>
                    <w:right w:w="0" w:type="dxa"/>
                  </w:tcMar>
                  <w:vAlign w:val="center"/>
                </w:tcPr>
                <w:p w14:paraId="34D60010">
                  <w:pPr>
                    <w:widowControl/>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502" w:type="dxa"/>
                  <w:tcBorders>
                    <w:right w:val="single" w:color="auto" w:sz="4" w:space="0"/>
                  </w:tcBorders>
                  <w:shd w:val="clear" w:color="auto" w:fill="auto"/>
                  <w:noWrap w:val="0"/>
                  <w:tcMar>
                    <w:top w:w="0" w:type="dxa"/>
                    <w:left w:w="0" w:type="dxa"/>
                    <w:bottom w:w="0" w:type="dxa"/>
                    <w:right w:w="0" w:type="dxa"/>
                  </w:tcMar>
                  <w:vAlign w:val="center"/>
                </w:tcPr>
                <w:p w14:paraId="46AD4C5E">
                  <w:pPr>
                    <w:widowControl/>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c>
                <w:tcPr>
                  <w:tcW w:w="444" w:type="dxa"/>
                  <w:tcBorders>
                    <w:left w:val="single" w:color="auto" w:sz="4" w:space="0"/>
                  </w:tcBorders>
                  <w:shd w:val="clear" w:color="auto" w:fill="auto"/>
                  <w:noWrap w:val="0"/>
                  <w:tcMar>
                    <w:top w:w="0" w:type="dxa"/>
                    <w:left w:w="0" w:type="dxa"/>
                    <w:bottom w:w="0" w:type="dxa"/>
                    <w:right w:w="0" w:type="dxa"/>
                  </w:tcMar>
                  <w:vAlign w:val="center"/>
                </w:tcPr>
                <w:p w14:paraId="457C0F7E">
                  <w:pPr>
                    <w:widowControl/>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引用</w:t>
                  </w:r>
                </w:p>
              </w:tc>
            </w:tr>
          </w:tbl>
          <w:p w14:paraId="421CABCE">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22"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引用点位数据可行性分析：</w:t>
            </w:r>
            <w:r>
              <w:rPr>
                <w:rFonts w:hint="default" w:ascii="Times New Roman" w:hAnsi="Times New Roman" w:eastAsia="宋体" w:cs="Times New Roman"/>
                <w:color w:val="auto"/>
                <w:sz w:val="21"/>
                <w:szCs w:val="21"/>
              </w:rPr>
              <w:t>大气补充监测点位</w:t>
            </w:r>
            <w:r>
              <w:rPr>
                <w:rFonts w:hint="eastAsia" w:cs="Times New Roman"/>
                <w:color w:val="auto"/>
                <w:sz w:val="21"/>
                <w:szCs w:val="21"/>
                <w:lang w:val="en-US" w:eastAsia="zh-CN"/>
              </w:rPr>
              <w:t>O2、G1</w:t>
            </w:r>
            <w:r>
              <w:rPr>
                <w:rFonts w:hint="default" w:ascii="Times New Roman" w:hAnsi="Times New Roman" w:eastAsia="宋体" w:cs="Times New Roman"/>
                <w:color w:val="auto"/>
                <w:sz w:val="21"/>
                <w:szCs w:val="21"/>
              </w:rPr>
              <w:t>与本项目直线距离为</w:t>
            </w:r>
            <w:r>
              <w:rPr>
                <w:rFonts w:hint="eastAsia"/>
                <w:color w:val="auto"/>
                <w:szCs w:val="21"/>
                <w:lang w:val="en-US" w:eastAsia="zh-CN"/>
              </w:rPr>
              <w:t>14</w:t>
            </w:r>
            <w:r>
              <w:rPr>
                <w:rFonts w:hint="eastAsia" w:ascii="Times New Roman" w:hAnsi="Times New Roman" w:eastAsia="宋体"/>
                <w:color w:val="auto"/>
                <w:szCs w:val="21"/>
                <w:lang w:val="en-US" w:eastAsia="zh-CN"/>
              </w:rPr>
              <w:t>00</w:t>
            </w:r>
            <w:r>
              <w:rPr>
                <w:rFonts w:hint="default" w:ascii="Times New Roman" w:hAnsi="Times New Roman" w:eastAsia="宋体" w:cs="Times New Roman"/>
                <w:color w:val="auto"/>
                <w:sz w:val="21"/>
                <w:szCs w:val="21"/>
              </w:rPr>
              <w:t>m（位于本项目</w:t>
            </w:r>
            <w:r>
              <w:rPr>
                <w:rFonts w:hint="eastAsia"/>
                <w:color w:val="auto"/>
                <w:szCs w:val="21"/>
                <w:lang w:val="en-US" w:eastAsia="zh-CN"/>
              </w:rPr>
              <w:t>西北</w:t>
            </w:r>
            <w:r>
              <w:rPr>
                <w:rFonts w:hint="default" w:ascii="Times New Roman" w:hAnsi="Times New Roman" w:eastAsia="宋体" w:cs="Times New Roman"/>
                <w:color w:val="auto"/>
                <w:sz w:val="21"/>
                <w:szCs w:val="21"/>
              </w:rPr>
              <w:t>方向），特征因子</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的引用数据时间为202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rPr>
              <w:t>月</w:t>
            </w:r>
            <w:r>
              <w:rPr>
                <w:rFonts w:hint="eastAsia" w:cs="Times New Roman"/>
                <w:color w:val="auto"/>
                <w:sz w:val="21"/>
                <w:szCs w:val="21"/>
                <w:lang w:eastAsia="zh-CN"/>
              </w:rPr>
              <w:t>、</w:t>
            </w:r>
            <w:r>
              <w:rPr>
                <w:rFonts w:hint="eastAsia" w:cs="Times New Roman"/>
                <w:color w:val="auto"/>
                <w:sz w:val="21"/>
                <w:szCs w:val="21"/>
                <w:lang w:val="en-US" w:eastAsia="zh-CN"/>
              </w:rPr>
              <w:t>TSP的引用数据时间为2025年10月</w:t>
            </w:r>
            <w:r>
              <w:rPr>
                <w:rFonts w:hint="default" w:ascii="Times New Roman" w:hAnsi="Times New Roman" w:eastAsia="宋体" w:cs="Times New Roman"/>
                <w:color w:val="auto"/>
                <w:sz w:val="21"/>
                <w:szCs w:val="21"/>
              </w:rPr>
              <w:t>，根据《建设项目环境影响报告表编制技术指南（污染影响类）》，“排放国家、地方环境空气质量标准中有标准限值要求的特征污染物时，引用建设项目周边5千米范围内近3年的现有监测数据”，因此，本项目引用的非甲烷总烃</w:t>
            </w:r>
            <w:r>
              <w:rPr>
                <w:rFonts w:hint="eastAsia" w:cs="Times New Roman"/>
                <w:color w:val="auto"/>
                <w:sz w:val="21"/>
                <w:szCs w:val="21"/>
                <w:lang w:eastAsia="zh-CN"/>
              </w:rPr>
              <w:t>、</w:t>
            </w:r>
            <w:r>
              <w:rPr>
                <w:rFonts w:hint="eastAsia" w:cs="Times New Roman"/>
                <w:color w:val="auto"/>
                <w:sz w:val="21"/>
                <w:szCs w:val="21"/>
                <w:lang w:val="en-US" w:eastAsia="zh-CN"/>
              </w:rPr>
              <w:t>TSP</w:t>
            </w:r>
            <w:r>
              <w:rPr>
                <w:rFonts w:hint="default" w:ascii="Times New Roman" w:hAnsi="Times New Roman" w:eastAsia="宋体" w:cs="Times New Roman"/>
                <w:color w:val="auto"/>
                <w:sz w:val="21"/>
                <w:szCs w:val="21"/>
              </w:rPr>
              <w:t>历史监测数据可行。</w:t>
            </w:r>
          </w:p>
          <w:p w14:paraId="6087D978">
            <w:pPr>
              <w:keepNext w:val="0"/>
              <w:keepLines w:val="0"/>
              <w:pageBreakBefore w:val="0"/>
              <w:widowControl/>
              <w:kinsoku/>
              <w:wordWrap/>
              <w:overflowPunct/>
              <w:topLinePunct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从上表数据可以得出，项目所在区域环境空气</w:t>
            </w:r>
            <w:r>
              <w:rPr>
                <w:rFonts w:hint="default" w:ascii="Times New Roman" w:hAnsi="Times New Roman" w:eastAsia="宋体" w:cs="Times New Roman"/>
                <w:color w:val="auto"/>
                <w:sz w:val="21"/>
                <w:szCs w:val="21"/>
                <w:lang w:val="en-US" w:eastAsia="zh-CN"/>
              </w:rPr>
              <w:t>中非甲烷总烃</w:t>
            </w:r>
            <w:r>
              <w:rPr>
                <w:rFonts w:hint="default" w:ascii="Times New Roman" w:hAnsi="Times New Roman" w:eastAsia="宋体" w:cs="Times New Roman"/>
                <w:color w:val="auto"/>
                <w:sz w:val="21"/>
                <w:szCs w:val="21"/>
              </w:rPr>
              <w:t>检测浓度符合《大气污染物综合排放标准详解》标准</w:t>
            </w:r>
            <w:r>
              <w:rPr>
                <w:rFonts w:hint="eastAsia" w:cs="Times New Roman"/>
                <w:color w:val="auto"/>
                <w:sz w:val="21"/>
                <w:szCs w:val="21"/>
                <w:lang w:eastAsia="zh-CN"/>
              </w:rPr>
              <w:t>，</w:t>
            </w:r>
            <w:r>
              <w:rPr>
                <w:rFonts w:hint="eastAsia" w:cs="Times New Roman"/>
                <w:color w:val="auto"/>
                <w:sz w:val="21"/>
                <w:szCs w:val="21"/>
                <w:lang w:val="en-US" w:eastAsia="zh-CN"/>
              </w:rPr>
              <w:t>TSP检测浓度符合《环境空气质量标准》限值</w:t>
            </w:r>
            <w:r>
              <w:rPr>
                <w:rFonts w:hint="eastAsia" w:ascii="Times New Roman" w:hAnsi="Times New Roman" w:eastAsia="宋体" w:cs="Times New Roman"/>
                <w:color w:val="auto"/>
                <w:sz w:val="21"/>
                <w:szCs w:val="21"/>
                <w:lang w:eastAsia="zh-CN"/>
              </w:rPr>
              <w:t>。</w:t>
            </w:r>
          </w:p>
          <w:p w14:paraId="0D82E8CA">
            <w:pPr>
              <w:keepNext w:val="0"/>
              <w:keepLines w:val="0"/>
              <w:pageBreakBefore w:val="0"/>
              <w:widowControl/>
              <w:kinsoku/>
              <w:wordWrap/>
              <w:overflowPunct/>
              <w:topLinePunct w:val="0"/>
              <w:bidi w:val="0"/>
              <w:adjustRightInd w:val="0"/>
              <w:snapToGrid w:val="0"/>
              <w:spacing w:line="360" w:lineRule="auto"/>
              <w:ind w:firstLine="420" w:firstLineChars="200"/>
              <w:jc w:val="both"/>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大气环境质量改善方案</w:t>
            </w:r>
          </w:p>
          <w:p w14:paraId="7B3CF2CC">
            <w:pPr>
              <w:adjustRightInd w:val="0"/>
              <w:snapToGrid w:val="0"/>
              <w:spacing w:line="360" w:lineRule="auto"/>
              <w:ind w:firstLine="420" w:firstLineChars="200"/>
              <w:rPr>
                <w:bCs/>
                <w:color w:val="auto"/>
                <w:szCs w:val="21"/>
              </w:rPr>
            </w:pPr>
            <w:r>
              <w:rPr>
                <w:bCs/>
                <w:color w:val="auto"/>
                <w:szCs w:val="21"/>
              </w:rPr>
              <w:t>常州市目前尚未制定大气环境质量限期达标规划，为深入打好蓝天保卫战，持续改善全市环境空气质量，依据《中共江苏省委江苏省人民政府关于深入打好污染防治攻坚战的实施意见》《关于打造长三角生态中轴建设人与自然和谐共生的现代化常州的实施意见》《常州市生态文明建设十大专项行动方案》以及省下达的《</w:t>
            </w:r>
            <w:r>
              <w:rPr>
                <w:rFonts w:hint="eastAsia"/>
                <w:bCs/>
                <w:color w:val="auto"/>
                <w:szCs w:val="21"/>
              </w:rPr>
              <w:t>常州市2024年深入打好污染防治攻坚战目标任务书</w:t>
            </w:r>
            <w:r>
              <w:rPr>
                <w:bCs/>
                <w:color w:val="auto"/>
                <w:szCs w:val="21"/>
              </w:rPr>
              <w:t>》等文件，常州市制定了《</w:t>
            </w:r>
            <w:r>
              <w:rPr>
                <w:rFonts w:hint="eastAsia"/>
                <w:color w:val="auto"/>
              </w:rPr>
              <w:t>常州市空气质量持续改善行动计划实施方案</w:t>
            </w:r>
            <w:r>
              <w:rPr>
                <w:bCs/>
                <w:color w:val="auto"/>
                <w:szCs w:val="21"/>
              </w:rPr>
              <w:t>》</w:t>
            </w:r>
            <w:r>
              <w:rPr>
                <w:rFonts w:hint="eastAsia"/>
                <w:bCs/>
                <w:color w:val="auto"/>
                <w:szCs w:val="21"/>
                <w:lang w:eastAsia="zh-CN"/>
              </w:rPr>
              <w:t>，</w:t>
            </w:r>
            <w:r>
              <w:rPr>
                <w:rFonts w:hint="eastAsia"/>
                <w:bCs/>
                <w:color w:val="auto"/>
                <w:szCs w:val="21"/>
              </w:rPr>
              <w:t>目标指标根据国家、省下达的指标要求，到2025年，全市PM</w:t>
            </w:r>
            <w:r>
              <w:rPr>
                <w:rFonts w:hint="eastAsia"/>
                <w:bCs/>
                <w:color w:val="auto"/>
                <w:szCs w:val="21"/>
                <w:vertAlign w:val="subscript"/>
                <w:lang w:val="en-US" w:eastAsia="zh-CN"/>
              </w:rPr>
              <w:t>2.5</w:t>
            </w:r>
            <w:r>
              <w:rPr>
                <w:rFonts w:hint="eastAsia"/>
                <w:bCs/>
                <w:color w:val="auto"/>
                <w:szCs w:val="21"/>
              </w:rPr>
              <w:t>浓度总体达标，PM</w:t>
            </w:r>
            <w:r>
              <w:rPr>
                <w:rFonts w:hint="eastAsia"/>
                <w:bCs/>
                <w:color w:val="auto"/>
                <w:szCs w:val="21"/>
                <w:vertAlign w:val="subscript"/>
                <w:lang w:val="en-US" w:eastAsia="zh-CN"/>
              </w:rPr>
              <w:t>2.5</w:t>
            </w:r>
            <w:r>
              <w:rPr>
                <w:rFonts w:hint="eastAsia"/>
                <w:bCs/>
                <w:color w:val="auto"/>
                <w:szCs w:val="21"/>
              </w:rPr>
              <w:t>浓度比2020年下降10%，基本消除重度及以上污染天气，空气质量持续改善</w:t>
            </w:r>
            <w:r>
              <w:rPr>
                <w:rFonts w:hint="eastAsia"/>
                <w:bCs/>
                <w:color w:val="auto"/>
                <w:szCs w:val="21"/>
                <w:lang w:eastAsia="zh-CN"/>
              </w:rPr>
              <w:t>；</w:t>
            </w:r>
            <w:r>
              <w:rPr>
                <w:rFonts w:hint="eastAsia"/>
                <w:bCs/>
                <w:color w:val="auto"/>
                <w:szCs w:val="21"/>
              </w:rPr>
              <w:t>氮氧化物和VOCs排放总量比2020年分别下降10%以上，完成省下达的减排目标</w:t>
            </w:r>
            <w:r>
              <w:rPr>
                <w:bCs/>
                <w:color w:val="auto"/>
                <w:szCs w:val="21"/>
              </w:rPr>
              <w:t>。</w:t>
            </w:r>
          </w:p>
          <w:p w14:paraId="4A7D7F68">
            <w:pPr>
              <w:adjustRightInd w:val="0"/>
              <w:snapToGrid w:val="0"/>
              <w:spacing w:line="360" w:lineRule="auto"/>
              <w:ind w:firstLine="420" w:firstLineChars="200"/>
              <w:rPr>
                <w:bCs/>
                <w:color w:val="auto"/>
                <w:szCs w:val="21"/>
              </w:rPr>
            </w:pPr>
            <w:r>
              <w:rPr>
                <w:bCs/>
                <w:color w:val="auto"/>
                <w:szCs w:val="21"/>
              </w:rPr>
              <w:t>重点任务如下：</w:t>
            </w:r>
          </w:p>
          <w:p w14:paraId="4BC37B6A">
            <w:pPr>
              <w:adjustRightInd w:val="0"/>
              <w:snapToGrid w:val="0"/>
              <w:spacing w:line="360" w:lineRule="auto"/>
              <w:ind w:firstLine="420" w:firstLineChars="200"/>
              <w:rPr>
                <w:bCs/>
                <w:color w:val="auto"/>
                <w:szCs w:val="21"/>
              </w:rPr>
            </w:pPr>
            <w:r>
              <w:rPr>
                <w:bCs/>
                <w:color w:val="auto"/>
                <w:szCs w:val="21"/>
              </w:rPr>
              <w:t>①</w:t>
            </w:r>
            <w:r>
              <w:rPr>
                <w:rFonts w:hint="eastAsia"/>
                <w:bCs/>
                <w:color w:val="auto"/>
                <w:szCs w:val="21"/>
              </w:rPr>
              <w:t>调整优化产业结构推进产业绿色低碳发展</w:t>
            </w:r>
          </w:p>
          <w:p w14:paraId="3D8D2D61">
            <w:pPr>
              <w:adjustRightInd w:val="0"/>
              <w:snapToGrid w:val="0"/>
              <w:spacing w:line="360" w:lineRule="auto"/>
              <w:ind w:firstLine="420" w:firstLineChars="200"/>
              <w:rPr>
                <w:bCs/>
                <w:color w:val="auto"/>
                <w:szCs w:val="21"/>
              </w:rPr>
            </w:pPr>
            <w:r>
              <w:rPr>
                <w:rFonts w:hint="eastAsia"/>
                <w:bCs/>
                <w:color w:val="auto"/>
                <w:szCs w:val="21"/>
              </w:rPr>
              <w:t>坚决遏制“两高”项目盲目发展，加快退出重点行业落后产能，推进产业集群、园区绿色转型升级，优化含VOCs原辅材料和产品结构</w:t>
            </w:r>
            <w:r>
              <w:rPr>
                <w:bCs/>
                <w:color w:val="auto"/>
                <w:szCs w:val="21"/>
              </w:rPr>
              <w:t>。</w:t>
            </w:r>
          </w:p>
          <w:p w14:paraId="6436F036">
            <w:pPr>
              <w:adjustRightInd w:val="0"/>
              <w:snapToGrid w:val="0"/>
              <w:spacing w:line="360" w:lineRule="auto"/>
              <w:ind w:firstLine="420" w:firstLineChars="200"/>
              <w:rPr>
                <w:bCs/>
                <w:color w:val="auto"/>
                <w:szCs w:val="21"/>
              </w:rPr>
            </w:pPr>
            <w:r>
              <w:rPr>
                <w:bCs/>
                <w:color w:val="auto"/>
                <w:szCs w:val="21"/>
              </w:rPr>
              <w:t>②</w:t>
            </w:r>
            <w:r>
              <w:rPr>
                <w:rFonts w:hint="eastAsia"/>
                <w:bCs/>
                <w:color w:val="auto"/>
                <w:szCs w:val="21"/>
              </w:rPr>
              <w:t>推进能源高效利用加快能源清洁低碳转型</w:t>
            </w:r>
          </w:p>
          <w:p w14:paraId="406C6367">
            <w:pPr>
              <w:adjustRightInd w:val="0"/>
              <w:snapToGrid w:val="0"/>
              <w:spacing w:line="360" w:lineRule="auto"/>
              <w:ind w:firstLine="420" w:firstLineChars="200"/>
              <w:rPr>
                <w:bCs/>
                <w:color w:val="auto"/>
                <w:szCs w:val="21"/>
              </w:rPr>
            </w:pPr>
            <w:r>
              <w:rPr>
                <w:rFonts w:hint="eastAsia"/>
                <w:bCs/>
                <w:color w:val="auto"/>
                <w:szCs w:val="21"/>
              </w:rPr>
              <w:t>大力发展新能源和清洁能源，严格合理控制煤炭消费总量，推进燃煤锅炉关停整合和工业炉窑清洁能源替代，推进近零碳园区和近零碳工厂试点建设</w:t>
            </w:r>
            <w:r>
              <w:rPr>
                <w:bCs/>
                <w:color w:val="auto"/>
                <w:szCs w:val="21"/>
              </w:rPr>
              <w:t>。</w:t>
            </w:r>
          </w:p>
          <w:p w14:paraId="52482C5A">
            <w:pPr>
              <w:adjustRightInd w:val="0"/>
              <w:snapToGrid w:val="0"/>
              <w:spacing w:line="360" w:lineRule="auto"/>
              <w:ind w:firstLine="420" w:firstLineChars="200"/>
              <w:rPr>
                <w:bCs/>
                <w:color w:val="auto"/>
                <w:szCs w:val="21"/>
              </w:rPr>
            </w:pPr>
            <w:r>
              <w:rPr>
                <w:bCs/>
                <w:color w:val="auto"/>
                <w:szCs w:val="21"/>
              </w:rPr>
              <w:t>③</w:t>
            </w:r>
            <w:r>
              <w:rPr>
                <w:rFonts w:hint="eastAsia"/>
                <w:bCs/>
                <w:color w:val="auto"/>
                <w:szCs w:val="21"/>
              </w:rPr>
              <w:t>优化调整交通结构大力发展绿色运输体系</w:t>
            </w:r>
          </w:p>
          <w:p w14:paraId="69BBB23D">
            <w:pPr>
              <w:adjustRightInd w:val="0"/>
              <w:snapToGrid w:val="0"/>
              <w:spacing w:line="360" w:lineRule="auto"/>
              <w:ind w:firstLine="420" w:firstLineChars="200"/>
              <w:rPr>
                <w:bCs/>
                <w:color w:val="auto"/>
                <w:szCs w:val="21"/>
              </w:rPr>
            </w:pPr>
            <w:r>
              <w:rPr>
                <w:rFonts w:hint="eastAsia"/>
                <w:bCs/>
                <w:color w:val="auto"/>
                <w:szCs w:val="21"/>
              </w:rPr>
              <w:t>持续优化货物运输结构，实施绿色车轮计划，强化非道路移动源综合治理</w:t>
            </w:r>
            <w:r>
              <w:rPr>
                <w:bCs/>
                <w:color w:val="auto"/>
                <w:szCs w:val="21"/>
              </w:rPr>
              <w:t>。</w:t>
            </w:r>
          </w:p>
          <w:p w14:paraId="12238FB2">
            <w:pPr>
              <w:adjustRightInd w:val="0"/>
              <w:snapToGrid w:val="0"/>
              <w:spacing w:line="360" w:lineRule="auto"/>
              <w:ind w:firstLine="420" w:firstLineChars="200"/>
              <w:rPr>
                <w:bCs/>
                <w:color w:val="auto"/>
                <w:szCs w:val="21"/>
              </w:rPr>
            </w:pPr>
            <w:r>
              <w:rPr>
                <w:bCs/>
                <w:color w:val="auto"/>
                <w:szCs w:val="21"/>
              </w:rPr>
              <w:t>④</w:t>
            </w:r>
            <w:r>
              <w:rPr>
                <w:rFonts w:hint="eastAsia"/>
                <w:bCs/>
                <w:color w:val="auto"/>
                <w:szCs w:val="21"/>
              </w:rPr>
              <w:t>加强面源污染治理提高精细化管理水平</w:t>
            </w:r>
          </w:p>
          <w:p w14:paraId="3FB8EC3D">
            <w:pPr>
              <w:adjustRightInd w:val="0"/>
              <w:snapToGrid w:val="0"/>
              <w:spacing w:line="360" w:lineRule="auto"/>
              <w:ind w:firstLine="420" w:firstLineChars="200"/>
              <w:rPr>
                <w:bCs/>
                <w:color w:val="auto"/>
                <w:szCs w:val="21"/>
              </w:rPr>
            </w:pPr>
            <w:r>
              <w:rPr>
                <w:rFonts w:hint="eastAsia"/>
                <w:bCs/>
                <w:color w:val="auto"/>
                <w:szCs w:val="21"/>
              </w:rPr>
              <w:t>实施扬尘精细化治理，推进矿山生态环境综合整治，加强秸秆禁烧和综合利用</w:t>
            </w:r>
            <w:r>
              <w:rPr>
                <w:bCs/>
                <w:color w:val="auto"/>
                <w:szCs w:val="21"/>
              </w:rPr>
              <w:t>。</w:t>
            </w:r>
          </w:p>
          <w:p w14:paraId="454AB443">
            <w:pPr>
              <w:adjustRightInd w:val="0"/>
              <w:snapToGrid w:val="0"/>
              <w:spacing w:line="360" w:lineRule="auto"/>
              <w:ind w:firstLine="420" w:firstLineChars="200"/>
              <w:rPr>
                <w:bCs/>
                <w:color w:val="auto"/>
                <w:szCs w:val="21"/>
              </w:rPr>
            </w:pPr>
            <w:r>
              <w:rPr>
                <w:bCs/>
                <w:color w:val="auto"/>
                <w:szCs w:val="21"/>
              </w:rPr>
              <w:t>⑤</w:t>
            </w:r>
            <w:r>
              <w:rPr>
                <w:rFonts w:hint="eastAsia"/>
                <w:bCs/>
                <w:color w:val="auto"/>
                <w:szCs w:val="21"/>
              </w:rPr>
              <w:t>强化协同减排切实降低污染物排放强度</w:t>
            </w:r>
          </w:p>
          <w:p w14:paraId="6B25AA4C">
            <w:pPr>
              <w:adjustRightInd w:val="0"/>
              <w:snapToGrid w:val="0"/>
              <w:spacing w:line="360" w:lineRule="auto"/>
              <w:ind w:firstLine="420" w:firstLineChars="200"/>
              <w:rPr>
                <w:bCs/>
                <w:color w:val="auto"/>
                <w:szCs w:val="21"/>
              </w:rPr>
            </w:pPr>
            <w:r>
              <w:rPr>
                <w:rFonts w:hint="eastAsia"/>
                <w:bCs/>
                <w:color w:val="auto"/>
                <w:szCs w:val="21"/>
              </w:rPr>
              <w:t>强化VOCs全流程、全环节综合治理推进重点行业超低排放与深度治理，推进餐饮油烟、恶臭异味专项整治，推动大气氨污染防控。</w:t>
            </w:r>
          </w:p>
          <w:p w14:paraId="6ECCD451">
            <w:pPr>
              <w:adjustRightInd w:val="0"/>
              <w:snapToGrid w:val="0"/>
              <w:spacing w:line="360" w:lineRule="auto"/>
              <w:ind w:firstLine="420" w:firstLineChars="200"/>
              <w:rPr>
                <w:rFonts w:hint="eastAsia" w:eastAsia="宋体"/>
                <w:bCs/>
                <w:color w:val="auto"/>
                <w:szCs w:val="21"/>
                <w:lang w:val="en-US" w:eastAsia="zh-CN"/>
              </w:rPr>
            </w:pPr>
            <w:r>
              <w:rPr>
                <w:rFonts w:hint="eastAsia"/>
                <w:bCs/>
                <w:color w:val="auto"/>
                <w:szCs w:val="21"/>
                <w:lang w:val="en-US" w:eastAsia="zh-CN"/>
              </w:rPr>
              <w:t>⑥完善工作机制健全大气环境管理体系</w:t>
            </w:r>
          </w:p>
          <w:p w14:paraId="512338A2">
            <w:pPr>
              <w:adjustRightInd w:val="0"/>
              <w:snapToGrid w:val="0"/>
              <w:spacing w:line="360" w:lineRule="auto"/>
              <w:ind w:firstLine="420" w:firstLineChars="200"/>
              <w:rPr>
                <w:bCs/>
                <w:color w:val="auto"/>
                <w:szCs w:val="21"/>
              </w:rPr>
            </w:pPr>
            <w:r>
              <w:rPr>
                <w:rFonts w:hint="eastAsia"/>
                <w:bCs/>
                <w:color w:val="auto"/>
                <w:szCs w:val="21"/>
              </w:rPr>
              <w:t>开展区域联防联控和城市空气质量达标管理，提升重污染天气应对能力。</w:t>
            </w:r>
          </w:p>
          <w:p w14:paraId="1A380138">
            <w:pPr>
              <w:adjustRightInd w:val="0"/>
              <w:snapToGrid w:val="0"/>
              <w:spacing w:line="360" w:lineRule="auto"/>
              <w:ind w:firstLine="420" w:firstLineChars="200"/>
              <w:rPr>
                <w:rFonts w:hint="eastAsia" w:ascii="Times New Roman" w:hAnsi="Times New Roman" w:eastAsia="宋体" w:cs="Times New Roman"/>
                <w:bCs/>
                <w:color w:val="auto"/>
                <w:szCs w:val="21"/>
                <w:lang w:val="en-US" w:eastAsia="zh-CN"/>
              </w:rPr>
            </w:pPr>
            <w:r>
              <w:rPr>
                <w:rFonts w:hint="eastAsia"/>
                <w:bCs/>
                <w:color w:val="auto"/>
                <w:szCs w:val="21"/>
                <w:lang w:val="en-US" w:eastAsia="zh-CN"/>
              </w:rPr>
              <w:t>⑦加</w:t>
            </w:r>
            <w:r>
              <w:rPr>
                <w:rFonts w:hint="eastAsia" w:ascii="Times New Roman" w:hAnsi="Times New Roman" w:eastAsia="宋体" w:cs="Times New Roman"/>
                <w:bCs/>
                <w:color w:val="auto"/>
                <w:szCs w:val="21"/>
                <w:lang w:val="en-US" w:eastAsia="zh-CN"/>
              </w:rPr>
              <w:t>强能力建设提升生态环境治理体系和治理能力现代化水平</w:t>
            </w:r>
          </w:p>
          <w:p w14:paraId="3B345A87">
            <w:pPr>
              <w:adjustRightInd w:val="0"/>
              <w:snapToGrid w:val="0"/>
              <w:spacing w:line="360"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强化大气监测和执法监管，实施多部门联合执法，加强决策科技支撑，加大技术攻关支持力度。</w:t>
            </w:r>
          </w:p>
          <w:p w14:paraId="0927B5F2">
            <w:pPr>
              <w:adjustRightInd w:val="0"/>
              <w:snapToGrid w:val="0"/>
              <w:spacing w:line="360"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⑧健全标准规范体系完善生态环境经济政策</w:t>
            </w:r>
          </w:p>
          <w:p w14:paraId="26FB5483">
            <w:pPr>
              <w:adjustRightInd w:val="0"/>
              <w:snapToGrid w:val="0"/>
              <w:spacing w:line="360" w:lineRule="auto"/>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强化标准引领，完善生态环境资金投入机制，积极发挥财政金融引导作用</w:t>
            </w:r>
            <w:r>
              <w:rPr>
                <w:rFonts w:hint="eastAsia" w:ascii="Times New Roman" w:hAnsi="Times New Roman" w:eastAsia="宋体" w:cs="Times New Roman"/>
                <w:bCs/>
                <w:color w:val="auto"/>
                <w:szCs w:val="21"/>
                <w:lang w:eastAsia="zh-CN"/>
              </w:rPr>
              <w:t>。</w:t>
            </w:r>
          </w:p>
          <w:p w14:paraId="4E92CFA5">
            <w:pPr>
              <w:adjustRightInd w:val="0"/>
              <w:snapToGrid w:val="0"/>
              <w:spacing w:line="360"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⑨落实各方责任构建全民行动格局</w:t>
            </w:r>
          </w:p>
          <w:p w14:paraId="3EBA21F0">
            <w:pPr>
              <w:adjustRightInd w:val="0"/>
              <w:snapToGrid w:val="0"/>
              <w:spacing w:line="360"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加强组织领导，严格监督考核，落实各方责任，推进全民行动，构建全社会共同参与的环境治理体系。</w:t>
            </w:r>
          </w:p>
          <w:p w14:paraId="59B9A505">
            <w:pPr>
              <w:keepNext w:val="0"/>
              <w:keepLines w:val="0"/>
              <w:pageBreakBefore w:val="0"/>
              <w:kinsoku/>
              <w:wordWrap/>
              <w:overflowPunct/>
              <w:topLinePunct w:val="0"/>
              <w:bidi w:val="0"/>
              <w:adjustRightInd w:val="0"/>
              <w:snapToGrid w:val="0"/>
              <w:spacing w:line="360" w:lineRule="auto"/>
              <w:ind w:firstLine="420" w:firstLineChars="200"/>
              <w:jc w:val="both"/>
              <w:textAlignment w:val="auto"/>
              <w:rPr>
                <w:bCs/>
                <w:color w:val="auto"/>
                <w:szCs w:val="21"/>
              </w:rPr>
            </w:pPr>
            <w:r>
              <w:rPr>
                <w:bCs/>
                <w:color w:val="auto"/>
                <w:szCs w:val="21"/>
              </w:rPr>
              <w:t>采取以上措施后，常州市环境空气质量将得到持续改善。</w:t>
            </w:r>
          </w:p>
          <w:p w14:paraId="3E6BFE33">
            <w:pPr>
              <w:keepNext w:val="0"/>
              <w:keepLines w:val="0"/>
              <w:pageBreakBefore w:val="0"/>
              <w:kinsoku/>
              <w:wordWrap/>
              <w:overflowPunct/>
              <w:topLinePunct w:val="0"/>
              <w:bidi w:val="0"/>
              <w:adjustRightInd w:val="0"/>
              <w:snapToGrid w:val="0"/>
              <w:spacing w:line="360" w:lineRule="auto"/>
              <w:ind w:firstLine="420" w:firstLineChars="200"/>
              <w:jc w:val="both"/>
              <w:textAlignment w:val="auto"/>
              <w:rPr>
                <w:color w:val="auto"/>
                <w:szCs w:val="21"/>
              </w:rPr>
            </w:pPr>
            <w:r>
              <w:rPr>
                <w:bCs/>
                <w:color w:val="auto"/>
                <w:szCs w:val="21"/>
              </w:rPr>
              <w:t>因此，通过上述工作的不断推进实施，常州市与金坛区环境空气质量将得到持续改善</w:t>
            </w:r>
            <w:r>
              <w:rPr>
                <w:color w:val="auto"/>
                <w:szCs w:val="21"/>
              </w:rPr>
              <w:t>。</w:t>
            </w:r>
          </w:p>
          <w:p w14:paraId="02F6A2E4">
            <w:pPr>
              <w:keepNext w:val="0"/>
              <w:keepLines w:val="0"/>
              <w:pageBreakBefore w:val="0"/>
              <w:kinsoku/>
              <w:wordWrap/>
              <w:overflowPunct/>
              <w:topLinePunct w:val="0"/>
              <w:bidi w:val="0"/>
              <w:adjustRightInd w:val="0"/>
              <w:snapToGrid w:val="0"/>
              <w:spacing w:line="360" w:lineRule="auto"/>
              <w:ind w:firstLine="422" w:firstLineChars="200"/>
              <w:jc w:val="both"/>
              <w:textAlignment w:val="auto"/>
              <w:rPr>
                <w:b/>
                <w:color w:val="auto"/>
                <w:szCs w:val="21"/>
              </w:rPr>
            </w:pPr>
            <w:r>
              <w:rPr>
                <w:rFonts w:hint="eastAsia"/>
                <w:b/>
                <w:color w:val="auto"/>
                <w:szCs w:val="21"/>
              </w:rPr>
              <w:t>二</w:t>
            </w:r>
            <w:r>
              <w:rPr>
                <w:b/>
                <w:color w:val="auto"/>
                <w:szCs w:val="21"/>
              </w:rPr>
              <w:t>、地表水环境质量现状</w:t>
            </w:r>
          </w:p>
          <w:p w14:paraId="135B8D3E">
            <w:pPr>
              <w:keepNext w:val="0"/>
              <w:keepLines w:val="0"/>
              <w:pageBreakBefore w:val="0"/>
              <w:kinsoku/>
              <w:wordWrap/>
              <w:overflowPunct/>
              <w:topLinePunct w:val="0"/>
              <w:bidi w:val="0"/>
              <w:adjustRightInd w:val="0"/>
              <w:snapToGrid w:val="0"/>
              <w:spacing w:line="360" w:lineRule="auto"/>
              <w:ind w:firstLine="420" w:firstLineChars="200"/>
              <w:jc w:val="both"/>
              <w:textAlignment w:val="auto"/>
              <w:rPr>
                <w:bCs/>
                <w:color w:val="auto"/>
                <w:szCs w:val="21"/>
              </w:rPr>
            </w:pPr>
            <w:r>
              <w:rPr>
                <w:rFonts w:hint="eastAsia"/>
                <w:bCs/>
                <w:color w:val="auto"/>
                <w:szCs w:val="21"/>
              </w:rPr>
              <w:t>1、</w:t>
            </w:r>
            <w:r>
              <w:rPr>
                <w:bCs/>
                <w:color w:val="auto"/>
                <w:szCs w:val="21"/>
              </w:rPr>
              <w:t>区域水环境状况</w:t>
            </w:r>
          </w:p>
          <w:p w14:paraId="6E60B5D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lang w:val="zh-TW"/>
              </w:rPr>
            </w:pPr>
            <w:r>
              <w:rPr>
                <w:rFonts w:hint="default" w:ascii="Times New Roman" w:hAnsi="Times New Roman" w:eastAsia="宋体" w:cs="Times New Roman"/>
                <w:color w:val="auto"/>
                <w:sz w:val="21"/>
                <w:szCs w:val="21"/>
                <w:lang w:val="zh-TW"/>
              </w:rPr>
              <w:t>根据《202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zh-TW"/>
              </w:rPr>
              <w:t>年常州市生态环境状况公报》，国考、省考断面水质达到或好于Ⅲ类比例完成省定考核要求，太湖水质自2007年蓝藻事件以来首次达、重回</w:t>
            </w:r>
            <w:r>
              <w:rPr>
                <w:rFonts w:hint="eastAsia" w:ascii="Times New Roman" w:hAnsi="Times New Roman" w:eastAsia="宋体" w:cs="Times New Roman"/>
                <w:color w:val="auto"/>
                <w:sz w:val="21"/>
                <w:szCs w:val="21"/>
                <w:lang w:val="zh-TW" w:eastAsia="zh-CN"/>
              </w:rPr>
              <w:t>“</w:t>
            </w:r>
            <w:r>
              <w:rPr>
                <w:rFonts w:hint="default" w:ascii="Times New Roman" w:hAnsi="Times New Roman" w:eastAsia="宋体" w:cs="Times New Roman"/>
                <w:color w:val="auto"/>
                <w:sz w:val="21"/>
                <w:szCs w:val="21"/>
                <w:lang w:val="zh-TW"/>
              </w:rPr>
              <w:t>良好</w:t>
            </w:r>
            <w:r>
              <w:rPr>
                <w:rFonts w:hint="eastAsia" w:ascii="Times New Roman" w:hAnsi="Times New Roman" w:eastAsia="宋体" w:cs="Times New Roman"/>
                <w:color w:val="auto"/>
                <w:sz w:val="21"/>
                <w:szCs w:val="21"/>
                <w:lang w:val="zh-TW" w:eastAsia="zh-CN"/>
              </w:rPr>
              <w:t>”</w:t>
            </w:r>
            <w:r>
              <w:rPr>
                <w:rFonts w:hint="default" w:ascii="Times New Roman" w:hAnsi="Times New Roman" w:eastAsia="宋体" w:cs="Times New Roman"/>
                <w:color w:val="auto"/>
                <w:sz w:val="21"/>
                <w:szCs w:val="21"/>
                <w:lang w:val="zh-TW"/>
              </w:rPr>
              <w:t>湖泊，连续17年实现安全度夏。长江干流</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zh-TW"/>
              </w:rPr>
              <w:t>常州段</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zh-TW"/>
              </w:rPr>
              <w:t>水质连续8年稳定Ⅱ类水平</w:t>
            </w:r>
            <w:r>
              <w:rPr>
                <w:rFonts w:hint="eastAsia" w:ascii="Times New Roman" w:hAnsi="Times New Roman" w:eastAsia="宋体" w:cs="Times New Roman"/>
                <w:color w:val="auto"/>
                <w:sz w:val="21"/>
                <w:szCs w:val="21"/>
                <w:lang w:val="zh-TW" w:eastAsia="zh-CN"/>
              </w:rPr>
              <w:t>，</w:t>
            </w:r>
            <w:r>
              <w:rPr>
                <w:rFonts w:hint="default" w:ascii="Times New Roman" w:hAnsi="Times New Roman" w:eastAsia="宋体" w:cs="Times New Roman"/>
                <w:color w:val="auto"/>
                <w:sz w:val="21"/>
                <w:szCs w:val="21"/>
                <w:lang w:val="zh-TW"/>
              </w:rPr>
              <w:t>主要入湖河道、集中式饮用水源地水质稳定达到省定考核目标。</w:t>
            </w:r>
          </w:p>
          <w:p w14:paraId="4A8269B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饮用水水源地：常州市城市饮用水以集中供水为主，2024年全市5个县级及以上城市集中式饮用水水源地（含备用），取水总量为5.23亿吨，全年每月监测均达标。</w:t>
            </w:r>
          </w:p>
          <w:p w14:paraId="5C4D0B7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国省考断面：2024年，常州市纳入“十四五”国家地表水环境质量考核的20个断面，年均水质达到或好于《地表水环境质量标准》（GB3838-2002）</w:t>
            </w:r>
            <w:r>
              <w:rPr>
                <w:rFonts w:hint="default" w:ascii="Times New Roman" w:hAnsi="Times New Roman" w:eastAsia="宋体" w:cs="Times New Roman"/>
                <w:color w:val="auto"/>
                <w:sz w:val="21"/>
                <w:szCs w:val="21"/>
                <w:lang w:val="zh-TW"/>
              </w:rPr>
              <w:t>Ⅲ</w:t>
            </w:r>
            <w:r>
              <w:rPr>
                <w:rFonts w:hint="eastAsia" w:ascii="Times New Roman" w:hAnsi="Times New Roman" w:eastAsia="宋体" w:cs="Times New Roman"/>
                <w:color w:val="auto"/>
                <w:sz w:val="21"/>
                <w:szCs w:val="21"/>
                <w:lang w:val="en-US" w:eastAsia="zh-CN"/>
              </w:rPr>
              <w:t>类标准的断面比例为85%，无劣V类断面。纳入江苏省“十四五”水环境质量目标考核的51个断面，年均水质达到或好于</w:t>
            </w:r>
            <w:r>
              <w:rPr>
                <w:rFonts w:hint="default" w:ascii="Times New Roman" w:hAnsi="Times New Roman" w:eastAsia="宋体" w:cs="Times New Roman"/>
                <w:color w:val="auto"/>
                <w:sz w:val="21"/>
                <w:szCs w:val="21"/>
                <w:lang w:val="zh-TW"/>
              </w:rPr>
              <w:t>Ⅲ</w:t>
            </w:r>
            <w:r>
              <w:rPr>
                <w:rFonts w:hint="eastAsia" w:ascii="Times New Roman" w:hAnsi="Times New Roman" w:eastAsia="宋体" w:cs="Times New Roman"/>
                <w:color w:val="auto"/>
                <w:sz w:val="21"/>
                <w:szCs w:val="21"/>
                <w:lang w:val="en-US" w:eastAsia="zh-CN"/>
              </w:rPr>
              <w:t>类的比例为94.1%，无劣V类断面。</w:t>
            </w:r>
          </w:p>
          <w:p w14:paraId="0D4E8EC2">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太湖及入太河流：2024年，太湖水质自2007年蓝藻事件以来首次达川、重回“良好”湖泊，其中我市椒山点位首次达到</w:t>
            </w:r>
            <w:r>
              <w:rPr>
                <w:rFonts w:hint="default" w:ascii="Times New Roman" w:hAnsi="Times New Roman" w:eastAsia="宋体" w:cs="Times New Roman"/>
                <w:color w:val="auto"/>
                <w:sz w:val="21"/>
                <w:szCs w:val="21"/>
                <w:lang w:val="zh-TW"/>
              </w:rPr>
              <w:t>Ⅲ</w:t>
            </w:r>
            <w:r>
              <w:rPr>
                <w:rFonts w:hint="eastAsia" w:ascii="Times New Roman" w:hAnsi="Times New Roman" w:eastAsia="宋体" w:cs="Times New Roman"/>
                <w:color w:val="auto"/>
                <w:sz w:val="21"/>
                <w:szCs w:val="21"/>
                <w:lang w:val="en-US" w:eastAsia="zh-CN"/>
              </w:rPr>
              <w:t>类，太湖常州水域总磷同比改善24%，对全湖总磷改善幅度贡献率达182%，位列环湖城市第一，太湖入湖河道通量最大的百渎港总磷同比下降17.6%。</w:t>
            </w:r>
          </w:p>
          <w:p w14:paraId="22A469FB">
            <w:pPr>
              <w:keepNext w:val="0"/>
              <w:keepLines w:val="0"/>
              <w:pageBreakBefore w:val="0"/>
              <w:tabs>
                <w:tab w:val="left" w:pos="1728"/>
              </w:tabs>
              <w:kinsoku/>
              <w:wordWrap/>
              <w:overflowPunct/>
              <w:topLinePunct w:val="0"/>
              <w:bidi w:val="0"/>
              <w:adjustRightInd w:val="0"/>
              <w:snapToGrid w:val="0"/>
              <w:spacing w:line="360" w:lineRule="auto"/>
              <w:ind w:firstLine="420" w:firstLineChars="200"/>
              <w:jc w:val="both"/>
              <w:textAlignment w:val="auto"/>
              <w:rPr>
                <w:color w:val="auto"/>
                <w:szCs w:val="21"/>
              </w:rPr>
            </w:pPr>
            <w:r>
              <w:rPr>
                <w:rFonts w:hint="default" w:ascii="Times New Roman" w:hAnsi="Times New Roman" w:eastAsia="宋体" w:cs="Times New Roman"/>
                <w:color w:val="auto"/>
                <w:sz w:val="21"/>
                <w:szCs w:val="21"/>
              </w:rPr>
              <w:t>长江干流(常州段)及主要通江支流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2024年，长江干流魏村</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右岸</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断面水质连续八年达到川类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新孟河、德胜河、澡港河等3条主要通江支流上5个国省考断面年均水质均达到或优于类</w:t>
            </w:r>
            <w:r>
              <w:rPr>
                <w:color w:val="auto"/>
                <w:szCs w:val="21"/>
              </w:rPr>
              <w:t>。</w:t>
            </w:r>
          </w:p>
          <w:p w14:paraId="238FF7A9">
            <w:pPr>
              <w:keepNext w:val="0"/>
              <w:keepLines w:val="0"/>
              <w:pageBreakBefore w:val="0"/>
              <w:kinsoku/>
              <w:wordWrap/>
              <w:overflowPunct/>
              <w:topLinePunct w:val="0"/>
              <w:bidi w:val="0"/>
              <w:adjustRightInd w:val="0"/>
              <w:snapToGrid w:val="0"/>
              <w:spacing w:line="360" w:lineRule="auto"/>
              <w:ind w:firstLine="420" w:firstLineChars="200"/>
              <w:jc w:val="both"/>
              <w:textAlignment w:val="auto"/>
              <w:rPr>
                <w:bCs/>
                <w:color w:val="auto"/>
                <w:szCs w:val="21"/>
              </w:rPr>
            </w:pPr>
            <w:r>
              <w:rPr>
                <w:rFonts w:hint="eastAsia"/>
                <w:bCs/>
                <w:color w:val="auto"/>
                <w:szCs w:val="21"/>
              </w:rPr>
              <w:t>2、</w:t>
            </w:r>
            <w:r>
              <w:rPr>
                <w:bCs/>
                <w:color w:val="auto"/>
                <w:szCs w:val="21"/>
              </w:rPr>
              <w:t>地表水环境质量现状引用结果及评价</w:t>
            </w:r>
          </w:p>
          <w:p w14:paraId="4CCBA168">
            <w:pPr>
              <w:keepNext w:val="0"/>
              <w:keepLines w:val="0"/>
              <w:pageBreakBefore w:val="0"/>
              <w:kinsoku/>
              <w:wordWrap/>
              <w:overflowPunct/>
              <w:topLinePunct w:val="0"/>
              <w:autoSpaceDE w:val="0"/>
              <w:autoSpaceDN w:val="0"/>
              <w:bidi w:val="0"/>
              <w:adjustRightInd w:val="0"/>
              <w:snapToGrid w:val="0"/>
              <w:spacing w:line="360" w:lineRule="auto"/>
              <w:ind w:firstLine="420" w:firstLineChars="200"/>
              <w:jc w:val="both"/>
              <w:textAlignment w:val="auto"/>
              <w:rPr>
                <w:bCs/>
                <w:color w:val="auto"/>
                <w:szCs w:val="21"/>
              </w:rPr>
            </w:pPr>
            <w:r>
              <w:rPr>
                <w:color w:val="auto"/>
                <w:szCs w:val="21"/>
              </w:rPr>
              <w:t>本项目纳污水体为尧塘河，根据《江苏省地表水（环境）功能区划（2021-2030年）》，尧塘河水质执行《地表水环境质量标准》（GB3838-2002）中的III类水质标准。</w:t>
            </w:r>
          </w:p>
          <w:p w14:paraId="3284129A">
            <w:pPr>
              <w:keepNext w:val="0"/>
              <w:keepLines w:val="0"/>
              <w:pageBreakBefore w:val="0"/>
              <w:kinsoku/>
              <w:wordWrap/>
              <w:overflowPunct/>
              <w:topLinePunct w:val="0"/>
              <w:bidi w:val="0"/>
              <w:adjustRightInd w:val="0"/>
              <w:snapToGrid w:val="0"/>
              <w:spacing w:line="360" w:lineRule="auto"/>
              <w:ind w:firstLine="411" w:firstLineChars="196"/>
              <w:jc w:val="both"/>
              <w:textAlignment w:val="auto"/>
              <w:rPr>
                <w:color w:val="auto"/>
                <w:szCs w:val="21"/>
              </w:rPr>
            </w:pPr>
            <w:r>
              <w:rPr>
                <w:rFonts w:hint="eastAsia"/>
                <w:color w:val="auto"/>
                <w:szCs w:val="21"/>
              </w:rPr>
              <w:t>根据</w:t>
            </w:r>
            <w:r>
              <w:rPr>
                <w:rFonts w:hint="eastAsia"/>
                <w:color w:val="auto"/>
                <w:szCs w:val="21"/>
                <w:lang w:eastAsia="zh-CN"/>
              </w:rPr>
              <w:t>特斯特（江苏）检测科技有限公司</w:t>
            </w:r>
            <w:r>
              <w:rPr>
                <w:rFonts w:hint="eastAsia"/>
                <w:color w:val="auto"/>
                <w:szCs w:val="21"/>
              </w:rPr>
              <w:t>在尧塘河金坛第二污厂排污口上游500米处和下游2000米处pH值、化学需氧量、氨氮、总磷进行检测，采样时间为2025.1.</w:t>
            </w:r>
            <w:r>
              <w:rPr>
                <w:rFonts w:hint="eastAsia"/>
                <w:color w:val="auto"/>
                <w:szCs w:val="21"/>
                <w:lang w:val="en-US" w:eastAsia="zh-CN"/>
              </w:rPr>
              <w:t>6</w:t>
            </w:r>
            <w:r>
              <w:rPr>
                <w:rFonts w:hint="eastAsia"/>
                <w:color w:val="auto"/>
                <w:szCs w:val="21"/>
              </w:rPr>
              <w:t>~2025.1.</w:t>
            </w:r>
            <w:r>
              <w:rPr>
                <w:rFonts w:hint="eastAsia"/>
                <w:color w:val="auto"/>
                <w:szCs w:val="21"/>
                <w:lang w:val="en-US" w:eastAsia="zh-CN"/>
              </w:rPr>
              <w:t>8</w:t>
            </w:r>
            <w:r>
              <w:rPr>
                <w:rFonts w:hint="eastAsia"/>
                <w:color w:val="auto"/>
                <w:szCs w:val="21"/>
              </w:rPr>
              <w:t>，检测报告编号“</w:t>
            </w:r>
            <w:r>
              <w:rPr>
                <w:rFonts w:hint="eastAsia"/>
                <w:color w:val="auto"/>
                <w:szCs w:val="21"/>
                <w:lang w:val="en-US" w:eastAsia="zh-CN"/>
              </w:rPr>
              <w:t>TST202501015</w:t>
            </w:r>
            <w:r>
              <w:rPr>
                <w:rFonts w:hint="eastAsia"/>
                <w:color w:val="auto"/>
                <w:szCs w:val="21"/>
              </w:rPr>
              <w:t>”</w:t>
            </w:r>
            <w:r>
              <w:rPr>
                <w:color w:val="auto"/>
                <w:szCs w:val="21"/>
              </w:rPr>
              <w:t>，监测数据详见</w:t>
            </w:r>
            <w:r>
              <w:rPr>
                <w:rFonts w:hint="eastAsia"/>
                <w:color w:val="auto"/>
                <w:szCs w:val="21"/>
                <w:lang w:val="en-US" w:eastAsia="zh-CN"/>
              </w:rPr>
              <w:t>下表</w:t>
            </w:r>
            <w:r>
              <w:rPr>
                <w:color w:val="auto"/>
                <w:szCs w:val="21"/>
              </w:rPr>
              <w:t>。</w:t>
            </w:r>
          </w:p>
          <w:p w14:paraId="1C5FBA06">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rPr>
            </w:pPr>
            <w:r>
              <w:rPr>
                <w:b/>
                <w:bCs/>
                <w:color w:val="auto"/>
                <w:szCs w:val="21"/>
              </w:rPr>
              <w:t>表3-</w:t>
            </w:r>
            <w:r>
              <w:rPr>
                <w:rFonts w:hint="eastAsia"/>
                <w:b/>
                <w:bCs/>
                <w:color w:val="auto"/>
                <w:szCs w:val="21"/>
                <w:lang w:val="en-US" w:eastAsia="zh-CN"/>
              </w:rPr>
              <w:t>3</w:t>
            </w:r>
            <w:r>
              <w:rPr>
                <w:b/>
                <w:bCs/>
                <w:color w:val="auto"/>
                <w:szCs w:val="21"/>
              </w:rPr>
              <w:t xml:space="preserve"> 水质监测结果  单位：mg/L，pH无量纲</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346"/>
              <w:gridCol w:w="1154"/>
              <w:gridCol w:w="881"/>
              <w:gridCol w:w="744"/>
              <w:gridCol w:w="839"/>
              <w:gridCol w:w="672"/>
              <w:gridCol w:w="766"/>
              <w:gridCol w:w="777"/>
              <w:gridCol w:w="525"/>
              <w:gridCol w:w="518"/>
            </w:tblGrid>
            <w:tr w14:paraId="39CBA1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restart"/>
                  <w:tcBorders>
                    <w:tl2br w:val="nil"/>
                    <w:tr2bl w:val="nil"/>
                  </w:tcBorders>
                  <w:noWrap w:val="0"/>
                  <w:tcMar>
                    <w:top w:w="0" w:type="dxa"/>
                    <w:left w:w="0" w:type="dxa"/>
                    <w:bottom w:w="0" w:type="dxa"/>
                    <w:right w:w="0" w:type="dxa"/>
                  </w:tcMar>
                  <w:vAlign w:val="center"/>
                </w:tcPr>
                <w:p w14:paraId="6AA6269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采样地点</w:t>
                  </w:r>
                </w:p>
              </w:tc>
              <w:tc>
                <w:tcPr>
                  <w:tcW w:w="1154" w:type="dxa"/>
                  <w:vMerge w:val="restart"/>
                  <w:tcBorders>
                    <w:tl2br w:val="nil"/>
                    <w:tr2bl w:val="nil"/>
                  </w:tcBorders>
                  <w:noWrap w:val="0"/>
                  <w:tcMar>
                    <w:top w:w="0" w:type="dxa"/>
                    <w:left w:w="0" w:type="dxa"/>
                    <w:bottom w:w="0" w:type="dxa"/>
                    <w:right w:w="0" w:type="dxa"/>
                  </w:tcMar>
                  <w:vAlign w:val="center"/>
                </w:tcPr>
                <w:p w14:paraId="13E74F8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4679" w:type="dxa"/>
                  <w:gridSpan w:val="6"/>
                  <w:tcBorders>
                    <w:tl2br w:val="nil"/>
                    <w:tr2bl w:val="nil"/>
                  </w:tcBorders>
                  <w:noWrap w:val="0"/>
                  <w:tcMar>
                    <w:top w:w="0" w:type="dxa"/>
                    <w:left w:w="0" w:type="dxa"/>
                    <w:bottom w:w="0" w:type="dxa"/>
                    <w:right w:w="0" w:type="dxa"/>
                  </w:tcMar>
                  <w:vAlign w:val="center"/>
                </w:tcPr>
                <w:p w14:paraId="3CEE203C">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检测结果（mg/L）</w:t>
                  </w:r>
                </w:p>
              </w:tc>
              <w:tc>
                <w:tcPr>
                  <w:tcW w:w="525" w:type="dxa"/>
                  <w:vMerge w:val="restart"/>
                  <w:tcBorders>
                    <w:tl2br w:val="nil"/>
                    <w:tr2bl w:val="nil"/>
                  </w:tcBorders>
                  <w:noWrap w:val="0"/>
                  <w:tcMar>
                    <w:top w:w="0" w:type="dxa"/>
                    <w:left w:w="0" w:type="dxa"/>
                    <w:bottom w:w="0" w:type="dxa"/>
                    <w:right w:w="0" w:type="dxa"/>
                  </w:tcMar>
                  <w:vAlign w:val="center"/>
                </w:tcPr>
                <w:p w14:paraId="55BDA43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518" w:type="dxa"/>
                  <w:vMerge w:val="restart"/>
                  <w:tcBorders>
                    <w:tl2br w:val="nil"/>
                    <w:tr2bl w:val="nil"/>
                  </w:tcBorders>
                  <w:noWrap w:val="0"/>
                  <w:tcMar>
                    <w:top w:w="0" w:type="dxa"/>
                    <w:left w:w="0" w:type="dxa"/>
                    <w:bottom w:w="0" w:type="dxa"/>
                    <w:right w:w="0" w:type="dxa"/>
                  </w:tcMar>
                  <w:vAlign w:val="center"/>
                </w:tcPr>
                <w:p w14:paraId="766477E8">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是否达标</w:t>
                  </w:r>
                </w:p>
              </w:tc>
            </w:tr>
            <w:tr w14:paraId="52F0F5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continue"/>
                  <w:tcBorders>
                    <w:tl2br w:val="nil"/>
                    <w:tr2bl w:val="nil"/>
                  </w:tcBorders>
                  <w:noWrap w:val="0"/>
                  <w:tcMar>
                    <w:top w:w="0" w:type="dxa"/>
                    <w:left w:w="0" w:type="dxa"/>
                    <w:bottom w:w="0" w:type="dxa"/>
                    <w:right w:w="0" w:type="dxa"/>
                  </w:tcMar>
                  <w:vAlign w:val="center"/>
                </w:tcPr>
                <w:p w14:paraId="26BBC1CF">
                  <w:pPr>
                    <w:adjustRightInd w:val="0"/>
                    <w:snapToGrid w:val="0"/>
                    <w:jc w:val="center"/>
                    <w:rPr>
                      <w:rFonts w:hint="default" w:ascii="Times New Roman" w:hAnsi="Times New Roman" w:eastAsia="宋体" w:cs="Times New Roman"/>
                      <w:b/>
                      <w:color w:val="auto"/>
                      <w:sz w:val="21"/>
                      <w:szCs w:val="21"/>
                    </w:rPr>
                  </w:pPr>
                </w:p>
              </w:tc>
              <w:tc>
                <w:tcPr>
                  <w:tcW w:w="1154" w:type="dxa"/>
                  <w:vMerge w:val="continue"/>
                  <w:tcBorders>
                    <w:tl2br w:val="nil"/>
                    <w:tr2bl w:val="nil"/>
                  </w:tcBorders>
                  <w:noWrap w:val="0"/>
                  <w:tcMar>
                    <w:top w:w="0" w:type="dxa"/>
                    <w:left w:w="0" w:type="dxa"/>
                    <w:bottom w:w="0" w:type="dxa"/>
                    <w:right w:w="0" w:type="dxa"/>
                  </w:tcMar>
                  <w:vAlign w:val="center"/>
                </w:tcPr>
                <w:p w14:paraId="0E112294">
                  <w:pPr>
                    <w:adjustRightInd w:val="0"/>
                    <w:snapToGrid w:val="0"/>
                    <w:jc w:val="center"/>
                    <w:rPr>
                      <w:rFonts w:hint="default" w:ascii="Times New Roman" w:hAnsi="Times New Roman" w:eastAsia="宋体" w:cs="Times New Roman"/>
                      <w:b/>
                      <w:color w:val="auto"/>
                      <w:sz w:val="21"/>
                      <w:szCs w:val="21"/>
                    </w:rPr>
                  </w:pPr>
                </w:p>
              </w:tc>
              <w:tc>
                <w:tcPr>
                  <w:tcW w:w="1625" w:type="dxa"/>
                  <w:gridSpan w:val="2"/>
                  <w:tcBorders>
                    <w:tl2br w:val="nil"/>
                    <w:tr2bl w:val="nil"/>
                  </w:tcBorders>
                  <w:noWrap w:val="0"/>
                  <w:tcMar>
                    <w:top w:w="0" w:type="dxa"/>
                    <w:left w:w="0" w:type="dxa"/>
                    <w:bottom w:w="0" w:type="dxa"/>
                    <w:right w:w="0" w:type="dxa"/>
                  </w:tcMar>
                  <w:vAlign w:val="center"/>
                </w:tcPr>
                <w:p w14:paraId="38D8A650">
                  <w:pPr>
                    <w:adjustRightInd w:val="0"/>
                    <w:snapToGrid w:val="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2025.1.</w:t>
                  </w:r>
                  <w:r>
                    <w:rPr>
                      <w:rFonts w:hint="eastAsia" w:cs="Times New Roman"/>
                      <w:b/>
                      <w:bCs/>
                      <w:color w:val="auto"/>
                      <w:sz w:val="21"/>
                      <w:szCs w:val="21"/>
                      <w:lang w:val="en-US" w:eastAsia="zh-CN"/>
                    </w:rPr>
                    <w:t>6</w:t>
                  </w:r>
                </w:p>
              </w:tc>
              <w:tc>
                <w:tcPr>
                  <w:tcW w:w="1511" w:type="dxa"/>
                  <w:gridSpan w:val="2"/>
                  <w:tcBorders>
                    <w:tl2br w:val="nil"/>
                    <w:tr2bl w:val="nil"/>
                  </w:tcBorders>
                  <w:noWrap w:val="0"/>
                  <w:tcMar>
                    <w:top w:w="0" w:type="dxa"/>
                    <w:left w:w="0" w:type="dxa"/>
                    <w:bottom w:w="0" w:type="dxa"/>
                    <w:right w:w="0" w:type="dxa"/>
                  </w:tcMar>
                  <w:vAlign w:val="center"/>
                </w:tcPr>
                <w:p w14:paraId="55DE4842">
                  <w:pPr>
                    <w:adjustRightInd w:val="0"/>
                    <w:snapToGrid w:val="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2025.1.</w:t>
                  </w:r>
                  <w:r>
                    <w:rPr>
                      <w:rFonts w:hint="eastAsia" w:cs="Times New Roman"/>
                      <w:b/>
                      <w:bCs/>
                      <w:color w:val="auto"/>
                      <w:sz w:val="21"/>
                      <w:szCs w:val="21"/>
                      <w:lang w:val="en-US" w:eastAsia="zh-CN"/>
                    </w:rPr>
                    <w:t>7</w:t>
                  </w:r>
                </w:p>
              </w:tc>
              <w:tc>
                <w:tcPr>
                  <w:tcW w:w="1543" w:type="dxa"/>
                  <w:gridSpan w:val="2"/>
                  <w:tcBorders>
                    <w:tl2br w:val="nil"/>
                    <w:tr2bl w:val="nil"/>
                  </w:tcBorders>
                  <w:noWrap w:val="0"/>
                  <w:tcMar>
                    <w:top w:w="0" w:type="dxa"/>
                    <w:left w:w="0" w:type="dxa"/>
                    <w:bottom w:w="0" w:type="dxa"/>
                    <w:right w:w="0" w:type="dxa"/>
                  </w:tcMar>
                  <w:vAlign w:val="center"/>
                </w:tcPr>
                <w:p w14:paraId="32E2C08B">
                  <w:pPr>
                    <w:adjustRightInd w:val="0"/>
                    <w:snapToGrid w:val="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2025.1.</w:t>
                  </w:r>
                  <w:r>
                    <w:rPr>
                      <w:rFonts w:hint="eastAsia" w:ascii="Times New Roman" w:hAnsi="Times New Roman" w:eastAsia="宋体" w:cs="Times New Roman"/>
                      <w:b/>
                      <w:bCs/>
                      <w:color w:val="auto"/>
                      <w:sz w:val="21"/>
                      <w:szCs w:val="21"/>
                      <w:lang w:val="en-US" w:eastAsia="zh-CN"/>
                    </w:rPr>
                    <w:t>8</w:t>
                  </w:r>
                </w:p>
              </w:tc>
              <w:tc>
                <w:tcPr>
                  <w:tcW w:w="525" w:type="dxa"/>
                  <w:vMerge w:val="continue"/>
                  <w:tcBorders>
                    <w:tl2br w:val="nil"/>
                    <w:tr2bl w:val="nil"/>
                  </w:tcBorders>
                  <w:noWrap w:val="0"/>
                  <w:tcMar>
                    <w:top w:w="0" w:type="dxa"/>
                    <w:left w:w="0" w:type="dxa"/>
                    <w:bottom w:w="0" w:type="dxa"/>
                    <w:right w:w="0" w:type="dxa"/>
                  </w:tcMar>
                  <w:vAlign w:val="center"/>
                </w:tcPr>
                <w:p w14:paraId="13B97220">
                  <w:pPr>
                    <w:adjustRightInd w:val="0"/>
                    <w:snapToGrid w:val="0"/>
                    <w:jc w:val="center"/>
                    <w:rPr>
                      <w:rFonts w:hint="default" w:ascii="Times New Roman" w:hAnsi="Times New Roman" w:eastAsia="宋体" w:cs="Times New Roman"/>
                      <w:b/>
                      <w:color w:val="auto"/>
                      <w:sz w:val="21"/>
                      <w:szCs w:val="21"/>
                    </w:rPr>
                  </w:pPr>
                </w:p>
              </w:tc>
              <w:tc>
                <w:tcPr>
                  <w:tcW w:w="518" w:type="dxa"/>
                  <w:vMerge w:val="continue"/>
                  <w:tcBorders>
                    <w:tl2br w:val="nil"/>
                    <w:tr2bl w:val="nil"/>
                  </w:tcBorders>
                  <w:noWrap w:val="0"/>
                  <w:tcMar>
                    <w:top w:w="0" w:type="dxa"/>
                    <w:left w:w="0" w:type="dxa"/>
                    <w:bottom w:w="0" w:type="dxa"/>
                    <w:right w:w="0" w:type="dxa"/>
                  </w:tcMar>
                  <w:vAlign w:val="center"/>
                </w:tcPr>
                <w:p w14:paraId="3415F97E">
                  <w:pPr>
                    <w:adjustRightInd w:val="0"/>
                    <w:snapToGrid w:val="0"/>
                    <w:jc w:val="center"/>
                    <w:rPr>
                      <w:rFonts w:hint="default" w:ascii="Times New Roman" w:hAnsi="Times New Roman" w:eastAsia="宋体" w:cs="Times New Roman"/>
                      <w:b/>
                      <w:color w:val="auto"/>
                      <w:sz w:val="21"/>
                      <w:szCs w:val="21"/>
                    </w:rPr>
                  </w:pPr>
                </w:p>
              </w:tc>
            </w:tr>
            <w:tr w14:paraId="058198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continue"/>
                  <w:tcBorders>
                    <w:tl2br w:val="nil"/>
                    <w:tr2bl w:val="nil"/>
                  </w:tcBorders>
                  <w:noWrap w:val="0"/>
                  <w:tcMar>
                    <w:top w:w="0" w:type="dxa"/>
                    <w:left w:w="0" w:type="dxa"/>
                    <w:bottom w:w="0" w:type="dxa"/>
                    <w:right w:w="0" w:type="dxa"/>
                  </w:tcMar>
                  <w:vAlign w:val="center"/>
                </w:tcPr>
                <w:p w14:paraId="7BBBB1FB">
                  <w:pPr>
                    <w:adjustRightInd w:val="0"/>
                    <w:snapToGrid w:val="0"/>
                    <w:jc w:val="center"/>
                    <w:rPr>
                      <w:rFonts w:hint="default" w:ascii="Times New Roman" w:hAnsi="Times New Roman" w:eastAsia="宋体" w:cs="Times New Roman"/>
                      <w:b/>
                      <w:color w:val="auto"/>
                      <w:sz w:val="21"/>
                      <w:szCs w:val="21"/>
                    </w:rPr>
                  </w:pPr>
                </w:p>
              </w:tc>
              <w:tc>
                <w:tcPr>
                  <w:tcW w:w="1154" w:type="dxa"/>
                  <w:vMerge w:val="continue"/>
                  <w:tcBorders>
                    <w:tl2br w:val="nil"/>
                    <w:tr2bl w:val="nil"/>
                  </w:tcBorders>
                  <w:noWrap w:val="0"/>
                  <w:tcMar>
                    <w:top w:w="0" w:type="dxa"/>
                    <w:left w:w="0" w:type="dxa"/>
                    <w:bottom w:w="0" w:type="dxa"/>
                    <w:right w:w="0" w:type="dxa"/>
                  </w:tcMar>
                  <w:vAlign w:val="center"/>
                </w:tcPr>
                <w:p w14:paraId="03817CCB">
                  <w:pPr>
                    <w:adjustRightInd w:val="0"/>
                    <w:snapToGrid w:val="0"/>
                    <w:jc w:val="center"/>
                    <w:rPr>
                      <w:rFonts w:hint="default" w:ascii="Times New Roman" w:hAnsi="Times New Roman" w:eastAsia="宋体" w:cs="Times New Roman"/>
                      <w:b/>
                      <w:color w:val="auto"/>
                      <w:sz w:val="21"/>
                      <w:szCs w:val="21"/>
                    </w:rPr>
                  </w:pPr>
                </w:p>
              </w:tc>
              <w:tc>
                <w:tcPr>
                  <w:tcW w:w="881" w:type="dxa"/>
                  <w:tcBorders>
                    <w:tl2br w:val="nil"/>
                    <w:tr2bl w:val="nil"/>
                  </w:tcBorders>
                  <w:noWrap w:val="0"/>
                  <w:tcMar>
                    <w:top w:w="0" w:type="dxa"/>
                    <w:left w:w="0" w:type="dxa"/>
                    <w:bottom w:w="0" w:type="dxa"/>
                    <w:right w:w="0" w:type="dxa"/>
                  </w:tcMar>
                  <w:vAlign w:val="center"/>
                </w:tcPr>
                <w:p w14:paraId="7EC05944">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第一次</w:t>
                  </w:r>
                </w:p>
              </w:tc>
              <w:tc>
                <w:tcPr>
                  <w:tcW w:w="744" w:type="dxa"/>
                  <w:tcBorders>
                    <w:tl2br w:val="nil"/>
                    <w:tr2bl w:val="nil"/>
                  </w:tcBorders>
                  <w:noWrap w:val="0"/>
                  <w:tcMar>
                    <w:top w:w="0" w:type="dxa"/>
                    <w:left w:w="0" w:type="dxa"/>
                    <w:bottom w:w="0" w:type="dxa"/>
                    <w:right w:w="0" w:type="dxa"/>
                  </w:tcMar>
                  <w:vAlign w:val="center"/>
                </w:tcPr>
                <w:p w14:paraId="6C1F7CF6">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第二次</w:t>
                  </w:r>
                </w:p>
              </w:tc>
              <w:tc>
                <w:tcPr>
                  <w:tcW w:w="839" w:type="dxa"/>
                  <w:tcBorders>
                    <w:tl2br w:val="nil"/>
                    <w:tr2bl w:val="nil"/>
                  </w:tcBorders>
                  <w:noWrap w:val="0"/>
                  <w:tcMar>
                    <w:top w:w="0" w:type="dxa"/>
                    <w:left w:w="0" w:type="dxa"/>
                    <w:bottom w:w="0" w:type="dxa"/>
                    <w:right w:w="0" w:type="dxa"/>
                  </w:tcMar>
                  <w:vAlign w:val="center"/>
                </w:tcPr>
                <w:p w14:paraId="461C2F1C">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第一次</w:t>
                  </w:r>
                </w:p>
              </w:tc>
              <w:tc>
                <w:tcPr>
                  <w:tcW w:w="672" w:type="dxa"/>
                  <w:tcBorders>
                    <w:tl2br w:val="nil"/>
                    <w:tr2bl w:val="nil"/>
                  </w:tcBorders>
                  <w:noWrap w:val="0"/>
                  <w:tcMar>
                    <w:top w:w="0" w:type="dxa"/>
                    <w:left w:w="0" w:type="dxa"/>
                    <w:bottom w:w="0" w:type="dxa"/>
                    <w:right w:w="0" w:type="dxa"/>
                  </w:tcMar>
                  <w:vAlign w:val="center"/>
                </w:tcPr>
                <w:p w14:paraId="2F03816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第二次</w:t>
                  </w:r>
                </w:p>
              </w:tc>
              <w:tc>
                <w:tcPr>
                  <w:tcW w:w="766" w:type="dxa"/>
                  <w:tcBorders>
                    <w:tl2br w:val="nil"/>
                    <w:tr2bl w:val="nil"/>
                  </w:tcBorders>
                  <w:noWrap w:val="0"/>
                  <w:tcMar>
                    <w:top w:w="0" w:type="dxa"/>
                    <w:left w:w="0" w:type="dxa"/>
                    <w:bottom w:w="0" w:type="dxa"/>
                    <w:right w:w="0" w:type="dxa"/>
                  </w:tcMar>
                  <w:vAlign w:val="center"/>
                </w:tcPr>
                <w:p w14:paraId="7003A168">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第一次</w:t>
                  </w:r>
                </w:p>
              </w:tc>
              <w:tc>
                <w:tcPr>
                  <w:tcW w:w="777" w:type="dxa"/>
                  <w:tcBorders>
                    <w:tl2br w:val="nil"/>
                    <w:tr2bl w:val="nil"/>
                  </w:tcBorders>
                  <w:noWrap w:val="0"/>
                  <w:tcMar>
                    <w:top w:w="0" w:type="dxa"/>
                    <w:left w:w="0" w:type="dxa"/>
                    <w:bottom w:w="0" w:type="dxa"/>
                    <w:right w:w="0" w:type="dxa"/>
                  </w:tcMar>
                  <w:vAlign w:val="center"/>
                </w:tcPr>
                <w:p w14:paraId="7BA6D8D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第二次</w:t>
                  </w:r>
                </w:p>
              </w:tc>
              <w:tc>
                <w:tcPr>
                  <w:tcW w:w="525" w:type="dxa"/>
                  <w:vMerge w:val="continue"/>
                  <w:tcBorders>
                    <w:tl2br w:val="nil"/>
                    <w:tr2bl w:val="nil"/>
                  </w:tcBorders>
                  <w:noWrap w:val="0"/>
                  <w:tcMar>
                    <w:top w:w="0" w:type="dxa"/>
                    <w:left w:w="0" w:type="dxa"/>
                    <w:bottom w:w="0" w:type="dxa"/>
                    <w:right w:w="0" w:type="dxa"/>
                  </w:tcMar>
                  <w:vAlign w:val="center"/>
                </w:tcPr>
                <w:p w14:paraId="47D5A5F8">
                  <w:pPr>
                    <w:adjustRightInd w:val="0"/>
                    <w:snapToGrid w:val="0"/>
                    <w:jc w:val="center"/>
                    <w:rPr>
                      <w:rFonts w:hint="default" w:ascii="Times New Roman" w:hAnsi="Times New Roman" w:eastAsia="宋体" w:cs="Times New Roman"/>
                      <w:b/>
                      <w:color w:val="auto"/>
                      <w:sz w:val="21"/>
                      <w:szCs w:val="21"/>
                    </w:rPr>
                  </w:pPr>
                </w:p>
              </w:tc>
              <w:tc>
                <w:tcPr>
                  <w:tcW w:w="518" w:type="dxa"/>
                  <w:vMerge w:val="continue"/>
                  <w:tcBorders>
                    <w:tl2br w:val="nil"/>
                    <w:tr2bl w:val="nil"/>
                  </w:tcBorders>
                  <w:noWrap w:val="0"/>
                  <w:tcMar>
                    <w:top w:w="0" w:type="dxa"/>
                    <w:left w:w="0" w:type="dxa"/>
                    <w:bottom w:w="0" w:type="dxa"/>
                    <w:right w:w="0" w:type="dxa"/>
                  </w:tcMar>
                  <w:vAlign w:val="center"/>
                </w:tcPr>
                <w:p w14:paraId="36757706">
                  <w:pPr>
                    <w:adjustRightInd w:val="0"/>
                    <w:snapToGrid w:val="0"/>
                    <w:jc w:val="center"/>
                    <w:rPr>
                      <w:rFonts w:hint="default" w:ascii="Times New Roman" w:hAnsi="Times New Roman" w:eastAsia="宋体" w:cs="Times New Roman"/>
                      <w:b/>
                      <w:color w:val="auto"/>
                      <w:sz w:val="21"/>
                      <w:szCs w:val="21"/>
                    </w:rPr>
                  </w:pPr>
                </w:p>
              </w:tc>
            </w:tr>
            <w:tr w14:paraId="27E35B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restart"/>
                  <w:tcBorders>
                    <w:tl2br w:val="nil"/>
                    <w:tr2bl w:val="nil"/>
                  </w:tcBorders>
                  <w:noWrap w:val="0"/>
                  <w:tcMar>
                    <w:top w:w="0" w:type="dxa"/>
                    <w:left w:w="0" w:type="dxa"/>
                    <w:bottom w:w="0" w:type="dxa"/>
                    <w:right w:w="0" w:type="dxa"/>
                  </w:tcMar>
                  <w:vAlign w:val="center"/>
                </w:tcPr>
                <w:p w14:paraId="54E68A3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尧塘河W1</w:t>
                  </w:r>
                  <w:r>
                    <w:rPr>
                      <w:rFonts w:hint="default" w:ascii="Times New Roman" w:hAnsi="Times New Roman" w:eastAsia="宋体" w:cs="Times New Roman"/>
                      <w:color w:val="auto"/>
                      <w:sz w:val="21"/>
                      <w:szCs w:val="21"/>
                      <w:lang w:eastAsia="zh-CN"/>
                    </w:rPr>
                    <w:t>常州金坛区第二污水处理有限公司</w:t>
                  </w:r>
                  <w:r>
                    <w:rPr>
                      <w:rFonts w:hint="default" w:ascii="Times New Roman" w:hAnsi="Times New Roman" w:eastAsia="宋体" w:cs="Times New Roman"/>
                      <w:color w:val="auto"/>
                      <w:sz w:val="21"/>
                      <w:szCs w:val="21"/>
                    </w:rPr>
                    <w:t>排口上游500m</w:t>
                  </w:r>
                </w:p>
              </w:tc>
              <w:tc>
                <w:tcPr>
                  <w:tcW w:w="1154" w:type="dxa"/>
                  <w:tcBorders>
                    <w:tl2br w:val="nil"/>
                    <w:tr2bl w:val="nil"/>
                  </w:tcBorders>
                  <w:noWrap w:val="0"/>
                  <w:tcMar>
                    <w:top w:w="0" w:type="dxa"/>
                    <w:left w:w="0" w:type="dxa"/>
                    <w:bottom w:w="0" w:type="dxa"/>
                    <w:right w:w="0" w:type="dxa"/>
                  </w:tcMar>
                  <w:vAlign w:val="center"/>
                </w:tcPr>
                <w:p w14:paraId="4EBF515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pH值</w:t>
                  </w:r>
                </w:p>
              </w:tc>
              <w:tc>
                <w:tcPr>
                  <w:tcW w:w="881" w:type="dxa"/>
                  <w:tcBorders>
                    <w:tl2br w:val="nil"/>
                    <w:tr2bl w:val="nil"/>
                  </w:tcBorders>
                  <w:noWrap w:val="0"/>
                  <w:tcMar>
                    <w:top w:w="0" w:type="dxa"/>
                    <w:left w:w="0" w:type="dxa"/>
                    <w:bottom w:w="0" w:type="dxa"/>
                    <w:right w:w="0" w:type="dxa"/>
                  </w:tcMar>
                  <w:vAlign w:val="center"/>
                </w:tcPr>
                <w:p w14:paraId="4C16605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8.0</w:t>
                  </w:r>
                </w:p>
              </w:tc>
              <w:tc>
                <w:tcPr>
                  <w:tcW w:w="744" w:type="dxa"/>
                  <w:tcBorders>
                    <w:tl2br w:val="nil"/>
                    <w:tr2bl w:val="nil"/>
                  </w:tcBorders>
                  <w:noWrap w:val="0"/>
                  <w:tcMar>
                    <w:top w:w="0" w:type="dxa"/>
                    <w:left w:w="0" w:type="dxa"/>
                    <w:bottom w:w="0" w:type="dxa"/>
                    <w:right w:w="0" w:type="dxa"/>
                  </w:tcMar>
                  <w:vAlign w:val="center"/>
                </w:tcPr>
                <w:p w14:paraId="03BDF34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7.9</w:t>
                  </w:r>
                </w:p>
              </w:tc>
              <w:tc>
                <w:tcPr>
                  <w:tcW w:w="839" w:type="dxa"/>
                  <w:tcBorders>
                    <w:tl2br w:val="nil"/>
                    <w:tr2bl w:val="nil"/>
                  </w:tcBorders>
                  <w:noWrap w:val="0"/>
                  <w:tcMar>
                    <w:top w:w="0" w:type="dxa"/>
                    <w:left w:w="0" w:type="dxa"/>
                    <w:bottom w:w="0" w:type="dxa"/>
                    <w:right w:w="0" w:type="dxa"/>
                  </w:tcMar>
                  <w:vAlign w:val="center"/>
                </w:tcPr>
                <w:p w14:paraId="2837FE0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8.1</w:t>
                  </w:r>
                </w:p>
              </w:tc>
              <w:tc>
                <w:tcPr>
                  <w:tcW w:w="672" w:type="dxa"/>
                  <w:tcBorders>
                    <w:tl2br w:val="nil"/>
                    <w:tr2bl w:val="nil"/>
                  </w:tcBorders>
                  <w:noWrap w:val="0"/>
                  <w:tcMar>
                    <w:top w:w="0" w:type="dxa"/>
                    <w:left w:w="0" w:type="dxa"/>
                    <w:bottom w:w="0" w:type="dxa"/>
                    <w:right w:w="0" w:type="dxa"/>
                  </w:tcMar>
                  <w:vAlign w:val="center"/>
                </w:tcPr>
                <w:p w14:paraId="43B3554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7.9</w:t>
                  </w:r>
                </w:p>
              </w:tc>
              <w:tc>
                <w:tcPr>
                  <w:tcW w:w="766" w:type="dxa"/>
                  <w:tcBorders>
                    <w:tl2br w:val="nil"/>
                    <w:tr2bl w:val="nil"/>
                  </w:tcBorders>
                  <w:noWrap w:val="0"/>
                  <w:tcMar>
                    <w:top w:w="0" w:type="dxa"/>
                    <w:left w:w="0" w:type="dxa"/>
                    <w:bottom w:w="0" w:type="dxa"/>
                    <w:right w:w="0" w:type="dxa"/>
                  </w:tcMar>
                  <w:vAlign w:val="center"/>
                </w:tcPr>
                <w:p w14:paraId="715366C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8.1</w:t>
                  </w:r>
                </w:p>
              </w:tc>
              <w:tc>
                <w:tcPr>
                  <w:tcW w:w="777" w:type="dxa"/>
                  <w:tcBorders>
                    <w:tl2br w:val="nil"/>
                    <w:tr2bl w:val="nil"/>
                  </w:tcBorders>
                  <w:noWrap w:val="0"/>
                  <w:tcMar>
                    <w:top w:w="0" w:type="dxa"/>
                    <w:left w:w="0" w:type="dxa"/>
                    <w:bottom w:w="0" w:type="dxa"/>
                    <w:right w:w="0" w:type="dxa"/>
                  </w:tcMar>
                  <w:vAlign w:val="center"/>
                </w:tcPr>
                <w:p w14:paraId="68EFFFC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7.8</w:t>
                  </w:r>
                </w:p>
              </w:tc>
              <w:tc>
                <w:tcPr>
                  <w:tcW w:w="525" w:type="dxa"/>
                  <w:tcBorders>
                    <w:tl2br w:val="nil"/>
                    <w:tr2bl w:val="nil"/>
                  </w:tcBorders>
                  <w:noWrap w:val="0"/>
                  <w:tcMar>
                    <w:top w:w="0" w:type="dxa"/>
                    <w:left w:w="0" w:type="dxa"/>
                    <w:bottom w:w="0" w:type="dxa"/>
                    <w:right w:w="0" w:type="dxa"/>
                  </w:tcMar>
                  <w:vAlign w:val="center"/>
                </w:tcPr>
                <w:p w14:paraId="3811F08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6~9</w:t>
                  </w:r>
                </w:p>
              </w:tc>
              <w:tc>
                <w:tcPr>
                  <w:tcW w:w="518" w:type="dxa"/>
                  <w:tcBorders>
                    <w:tl2br w:val="nil"/>
                    <w:tr2bl w:val="nil"/>
                  </w:tcBorders>
                  <w:noWrap w:val="0"/>
                  <w:tcMar>
                    <w:top w:w="0" w:type="dxa"/>
                    <w:left w:w="0" w:type="dxa"/>
                    <w:bottom w:w="0" w:type="dxa"/>
                    <w:right w:w="0" w:type="dxa"/>
                  </w:tcMar>
                  <w:vAlign w:val="center"/>
                </w:tcPr>
                <w:p w14:paraId="44F0951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774CDB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continue"/>
                  <w:tcBorders>
                    <w:tl2br w:val="nil"/>
                    <w:tr2bl w:val="nil"/>
                  </w:tcBorders>
                  <w:noWrap w:val="0"/>
                  <w:tcMar>
                    <w:top w:w="0" w:type="dxa"/>
                    <w:left w:w="0" w:type="dxa"/>
                    <w:bottom w:w="0" w:type="dxa"/>
                    <w:right w:w="0" w:type="dxa"/>
                  </w:tcMar>
                  <w:vAlign w:val="center"/>
                </w:tcPr>
                <w:p w14:paraId="54AFDE0D">
                  <w:pPr>
                    <w:adjustRightInd w:val="0"/>
                    <w:snapToGrid w:val="0"/>
                    <w:jc w:val="center"/>
                    <w:rPr>
                      <w:rFonts w:hint="default" w:ascii="Times New Roman" w:hAnsi="Times New Roman" w:eastAsia="宋体" w:cs="Times New Roman"/>
                      <w:color w:val="auto"/>
                      <w:sz w:val="21"/>
                      <w:szCs w:val="21"/>
                    </w:rPr>
                  </w:pPr>
                </w:p>
              </w:tc>
              <w:tc>
                <w:tcPr>
                  <w:tcW w:w="1154" w:type="dxa"/>
                  <w:tcBorders>
                    <w:tl2br w:val="nil"/>
                    <w:tr2bl w:val="nil"/>
                  </w:tcBorders>
                  <w:noWrap w:val="0"/>
                  <w:tcMar>
                    <w:top w:w="0" w:type="dxa"/>
                    <w:left w:w="0" w:type="dxa"/>
                    <w:bottom w:w="0" w:type="dxa"/>
                    <w:right w:w="0" w:type="dxa"/>
                  </w:tcMar>
                  <w:vAlign w:val="center"/>
                </w:tcPr>
                <w:p w14:paraId="2283F27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化学需氧量</w:t>
                  </w:r>
                </w:p>
              </w:tc>
              <w:tc>
                <w:tcPr>
                  <w:tcW w:w="881" w:type="dxa"/>
                  <w:tcBorders>
                    <w:tl2br w:val="nil"/>
                    <w:tr2bl w:val="nil"/>
                  </w:tcBorders>
                  <w:noWrap w:val="0"/>
                  <w:tcMar>
                    <w:top w:w="0" w:type="dxa"/>
                    <w:left w:w="0" w:type="dxa"/>
                    <w:bottom w:w="0" w:type="dxa"/>
                    <w:right w:w="0" w:type="dxa"/>
                  </w:tcMar>
                  <w:vAlign w:val="center"/>
                </w:tcPr>
                <w:p w14:paraId="259035C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744" w:type="dxa"/>
                  <w:tcBorders>
                    <w:tl2br w:val="nil"/>
                    <w:tr2bl w:val="nil"/>
                  </w:tcBorders>
                  <w:noWrap w:val="0"/>
                  <w:tcMar>
                    <w:top w:w="0" w:type="dxa"/>
                    <w:left w:w="0" w:type="dxa"/>
                    <w:bottom w:w="0" w:type="dxa"/>
                    <w:right w:w="0" w:type="dxa"/>
                  </w:tcMar>
                  <w:vAlign w:val="center"/>
                </w:tcPr>
                <w:p w14:paraId="57D3045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839" w:type="dxa"/>
                  <w:tcBorders>
                    <w:tl2br w:val="nil"/>
                    <w:tr2bl w:val="nil"/>
                  </w:tcBorders>
                  <w:noWrap w:val="0"/>
                  <w:tcMar>
                    <w:top w:w="0" w:type="dxa"/>
                    <w:left w:w="0" w:type="dxa"/>
                    <w:bottom w:w="0" w:type="dxa"/>
                    <w:right w:w="0" w:type="dxa"/>
                  </w:tcMar>
                  <w:vAlign w:val="center"/>
                </w:tcPr>
                <w:p w14:paraId="06DE97A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w:t>
                  </w:r>
                </w:p>
              </w:tc>
              <w:tc>
                <w:tcPr>
                  <w:tcW w:w="672" w:type="dxa"/>
                  <w:tcBorders>
                    <w:tl2br w:val="nil"/>
                    <w:tr2bl w:val="nil"/>
                  </w:tcBorders>
                  <w:noWrap w:val="0"/>
                  <w:tcMar>
                    <w:top w:w="0" w:type="dxa"/>
                    <w:left w:w="0" w:type="dxa"/>
                    <w:bottom w:w="0" w:type="dxa"/>
                    <w:right w:w="0" w:type="dxa"/>
                  </w:tcMar>
                  <w:vAlign w:val="center"/>
                </w:tcPr>
                <w:p w14:paraId="6E87D66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766" w:type="dxa"/>
                  <w:tcBorders>
                    <w:tl2br w:val="nil"/>
                    <w:tr2bl w:val="nil"/>
                  </w:tcBorders>
                  <w:noWrap w:val="0"/>
                  <w:tcMar>
                    <w:top w:w="0" w:type="dxa"/>
                    <w:left w:w="0" w:type="dxa"/>
                    <w:bottom w:w="0" w:type="dxa"/>
                    <w:right w:w="0" w:type="dxa"/>
                  </w:tcMar>
                  <w:vAlign w:val="center"/>
                </w:tcPr>
                <w:p w14:paraId="5566B05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777" w:type="dxa"/>
                  <w:tcBorders>
                    <w:tl2br w:val="nil"/>
                    <w:tr2bl w:val="nil"/>
                  </w:tcBorders>
                  <w:noWrap w:val="0"/>
                  <w:tcMar>
                    <w:top w:w="0" w:type="dxa"/>
                    <w:left w:w="0" w:type="dxa"/>
                    <w:bottom w:w="0" w:type="dxa"/>
                    <w:right w:w="0" w:type="dxa"/>
                  </w:tcMar>
                  <w:vAlign w:val="center"/>
                </w:tcPr>
                <w:p w14:paraId="53ECAD1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525" w:type="dxa"/>
                  <w:tcBorders>
                    <w:tl2br w:val="nil"/>
                    <w:tr2bl w:val="nil"/>
                  </w:tcBorders>
                  <w:noWrap w:val="0"/>
                  <w:tcMar>
                    <w:top w:w="0" w:type="dxa"/>
                    <w:left w:w="0" w:type="dxa"/>
                    <w:bottom w:w="0" w:type="dxa"/>
                    <w:right w:w="0" w:type="dxa"/>
                  </w:tcMar>
                  <w:vAlign w:val="center"/>
                </w:tcPr>
                <w:p w14:paraId="706DE64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c>
                <w:tcPr>
                  <w:tcW w:w="518" w:type="dxa"/>
                  <w:tcBorders>
                    <w:tl2br w:val="nil"/>
                    <w:tr2bl w:val="nil"/>
                  </w:tcBorders>
                  <w:noWrap w:val="0"/>
                  <w:tcMar>
                    <w:top w:w="0" w:type="dxa"/>
                    <w:left w:w="0" w:type="dxa"/>
                    <w:bottom w:w="0" w:type="dxa"/>
                    <w:right w:w="0" w:type="dxa"/>
                  </w:tcMar>
                  <w:vAlign w:val="center"/>
                </w:tcPr>
                <w:p w14:paraId="589DB7D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3F71D0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continue"/>
                  <w:tcBorders>
                    <w:tl2br w:val="nil"/>
                    <w:tr2bl w:val="nil"/>
                  </w:tcBorders>
                  <w:noWrap w:val="0"/>
                  <w:tcMar>
                    <w:top w:w="0" w:type="dxa"/>
                    <w:left w:w="0" w:type="dxa"/>
                    <w:bottom w:w="0" w:type="dxa"/>
                    <w:right w:w="0" w:type="dxa"/>
                  </w:tcMar>
                  <w:vAlign w:val="center"/>
                </w:tcPr>
                <w:p w14:paraId="09BCA90D">
                  <w:pPr>
                    <w:adjustRightInd w:val="0"/>
                    <w:snapToGrid w:val="0"/>
                    <w:jc w:val="center"/>
                    <w:rPr>
                      <w:rFonts w:hint="default" w:ascii="Times New Roman" w:hAnsi="Times New Roman" w:eastAsia="宋体" w:cs="Times New Roman"/>
                      <w:color w:val="auto"/>
                      <w:sz w:val="21"/>
                      <w:szCs w:val="21"/>
                    </w:rPr>
                  </w:pPr>
                </w:p>
              </w:tc>
              <w:tc>
                <w:tcPr>
                  <w:tcW w:w="1154" w:type="dxa"/>
                  <w:tcBorders>
                    <w:tl2br w:val="nil"/>
                    <w:tr2bl w:val="nil"/>
                  </w:tcBorders>
                  <w:noWrap w:val="0"/>
                  <w:tcMar>
                    <w:top w:w="0" w:type="dxa"/>
                    <w:left w:w="0" w:type="dxa"/>
                    <w:bottom w:w="0" w:type="dxa"/>
                    <w:right w:w="0" w:type="dxa"/>
                  </w:tcMar>
                  <w:vAlign w:val="center"/>
                </w:tcPr>
                <w:p w14:paraId="103EFA1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881" w:type="dxa"/>
                  <w:tcBorders>
                    <w:tl2br w:val="nil"/>
                    <w:tr2bl w:val="nil"/>
                  </w:tcBorders>
                  <w:noWrap w:val="0"/>
                  <w:tcMar>
                    <w:top w:w="0" w:type="dxa"/>
                    <w:left w:w="0" w:type="dxa"/>
                    <w:bottom w:w="0" w:type="dxa"/>
                    <w:right w:w="0" w:type="dxa"/>
                  </w:tcMar>
                  <w:vAlign w:val="center"/>
                </w:tcPr>
                <w:p w14:paraId="05D023C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0.35</w:t>
                  </w:r>
                </w:p>
              </w:tc>
              <w:tc>
                <w:tcPr>
                  <w:tcW w:w="744" w:type="dxa"/>
                  <w:tcBorders>
                    <w:tl2br w:val="nil"/>
                    <w:tr2bl w:val="nil"/>
                  </w:tcBorders>
                  <w:noWrap w:val="0"/>
                  <w:tcMar>
                    <w:top w:w="0" w:type="dxa"/>
                    <w:left w:w="0" w:type="dxa"/>
                    <w:bottom w:w="0" w:type="dxa"/>
                    <w:right w:w="0" w:type="dxa"/>
                  </w:tcMar>
                  <w:vAlign w:val="center"/>
                </w:tcPr>
                <w:p w14:paraId="5360AF5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0.149</w:t>
                  </w:r>
                </w:p>
              </w:tc>
              <w:tc>
                <w:tcPr>
                  <w:tcW w:w="839" w:type="dxa"/>
                  <w:tcBorders>
                    <w:tl2br w:val="nil"/>
                    <w:tr2bl w:val="nil"/>
                  </w:tcBorders>
                  <w:noWrap w:val="0"/>
                  <w:tcMar>
                    <w:top w:w="0" w:type="dxa"/>
                    <w:left w:w="0" w:type="dxa"/>
                    <w:bottom w:w="0" w:type="dxa"/>
                    <w:right w:w="0" w:type="dxa"/>
                  </w:tcMar>
                  <w:vAlign w:val="center"/>
                </w:tcPr>
                <w:p w14:paraId="78277FF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0.263</w:t>
                  </w:r>
                </w:p>
              </w:tc>
              <w:tc>
                <w:tcPr>
                  <w:tcW w:w="672" w:type="dxa"/>
                  <w:tcBorders>
                    <w:tl2br w:val="nil"/>
                    <w:tr2bl w:val="nil"/>
                  </w:tcBorders>
                  <w:noWrap w:val="0"/>
                  <w:tcMar>
                    <w:top w:w="0" w:type="dxa"/>
                    <w:left w:w="0" w:type="dxa"/>
                    <w:bottom w:w="0" w:type="dxa"/>
                    <w:right w:w="0" w:type="dxa"/>
                  </w:tcMar>
                  <w:vAlign w:val="center"/>
                </w:tcPr>
                <w:p w14:paraId="23ED53C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0.291</w:t>
                  </w:r>
                </w:p>
              </w:tc>
              <w:tc>
                <w:tcPr>
                  <w:tcW w:w="766" w:type="dxa"/>
                  <w:tcBorders>
                    <w:tl2br w:val="nil"/>
                    <w:tr2bl w:val="nil"/>
                  </w:tcBorders>
                  <w:noWrap w:val="0"/>
                  <w:tcMar>
                    <w:top w:w="0" w:type="dxa"/>
                    <w:left w:w="0" w:type="dxa"/>
                    <w:bottom w:w="0" w:type="dxa"/>
                    <w:right w:w="0" w:type="dxa"/>
                  </w:tcMar>
                  <w:vAlign w:val="center"/>
                </w:tcPr>
                <w:p w14:paraId="3E4AA73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0.163</w:t>
                  </w:r>
                </w:p>
              </w:tc>
              <w:tc>
                <w:tcPr>
                  <w:tcW w:w="777" w:type="dxa"/>
                  <w:tcBorders>
                    <w:tl2br w:val="nil"/>
                    <w:tr2bl w:val="nil"/>
                  </w:tcBorders>
                  <w:noWrap w:val="0"/>
                  <w:tcMar>
                    <w:top w:w="0" w:type="dxa"/>
                    <w:left w:w="0" w:type="dxa"/>
                    <w:bottom w:w="0" w:type="dxa"/>
                    <w:right w:w="0" w:type="dxa"/>
                  </w:tcMar>
                  <w:vAlign w:val="center"/>
                </w:tcPr>
                <w:p w14:paraId="77DD613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0.257</w:t>
                  </w:r>
                </w:p>
              </w:tc>
              <w:tc>
                <w:tcPr>
                  <w:tcW w:w="525" w:type="dxa"/>
                  <w:tcBorders>
                    <w:tl2br w:val="nil"/>
                    <w:tr2bl w:val="nil"/>
                  </w:tcBorders>
                  <w:noWrap w:val="0"/>
                  <w:tcMar>
                    <w:top w:w="0" w:type="dxa"/>
                    <w:left w:w="0" w:type="dxa"/>
                    <w:bottom w:w="0" w:type="dxa"/>
                    <w:right w:w="0" w:type="dxa"/>
                  </w:tcMar>
                  <w:vAlign w:val="center"/>
                </w:tcPr>
                <w:p w14:paraId="1EA7D8C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518" w:type="dxa"/>
                  <w:tcBorders>
                    <w:tl2br w:val="nil"/>
                    <w:tr2bl w:val="nil"/>
                  </w:tcBorders>
                  <w:noWrap w:val="0"/>
                  <w:tcMar>
                    <w:top w:w="0" w:type="dxa"/>
                    <w:left w:w="0" w:type="dxa"/>
                    <w:bottom w:w="0" w:type="dxa"/>
                    <w:right w:w="0" w:type="dxa"/>
                  </w:tcMar>
                  <w:vAlign w:val="center"/>
                </w:tcPr>
                <w:p w14:paraId="01C917E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7F6DAA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continue"/>
                  <w:tcBorders>
                    <w:tl2br w:val="nil"/>
                    <w:tr2bl w:val="nil"/>
                  </w:tcBorders>
                  <w:noWrap w:val="0"/>
                  <w:tcMar>
                    <w:top w:w="0" w:type="dxa"/>
                    <w:left w:w="0" w:type="dxa"/>
                    <w:bottom w:w="0" w:type="dxa"/>
                    <w:right w:w="0" w:type="dxa"/>
                  </w:tcMar>
                  <w:vAlign w:val="center"/>
                </w:tcPr>
                <w:p w14:paraId="2AC9625A">
                  <w:pPr>
                    <w:adjustRightInd w:val="0"/>
                    <w:snapToGrid w:val="0"/>
                    <w:jc w:val="center"/>
                    <w:rPr>
                      <w:rFonts w:hint="default" w:ascii="Times New Roman" w:hAnsi="Times New Roman" w:eastAsia="宋体" w:cs="Times New Roman"/>
                      <w:color w:val="auto"/>
                      <w:sz w:val="21"/>
                      <w:szCs w:val="21"/>
                    </w:rPr>
                  </w:pPr>
                </w:p>
              </w:tc>
              <w:tc>
                <w:tcPr>
                  <w:tcW w:w="1154" w:type="dxa"/>
                  <w:tcBorders>
                    <w:tl2br w:val="nil"/>
                    <w:tr2bl w:val="nil"/>
                  </w:tcBorders>
                  <w:noWrap w:val="0"/>
                  <w:tcMar>
                    <w:top w:w="0" w:type="dxa"/>
                    <w:left w:w="0" w:type="dxa"/>
                    <w:bottom w:w="0" w:type="dxa"/>
                    <w:right w:w="0" w:type="dxa"/>
                  </w:tcMar>
                  <w:vAlign w:val="center"/>
                </w:tcPr>
                <w:p w14:paraId="57F8110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总磷</w:t>
                  </w:r>
                </w:p>
              </w:tc>
              <w:tc>
                <w:tcPr>
                  <w:tcW w:w="881" w:type="dxa"/>
                  <w:tcBorders>
                    <w:tl2br w:val="nil"/>
                    <w:tr2bl w:val="nil"/>
                  </w:tcBorders>
                  <w:noWrap w:val="0"/>
                  <w:tcMar>
                    <w:top w:w="0" w:type="dxa"/>
                    <w:left w:w="0" w:type="dxa"/>
                    <w:bottom w:w="0" w:type="dxa"/>
                    <w:right w:w="0" w:type="dxa"/>
                  </w:tcMar>
                  <w:vAlign w:val="center"/>
                </w:tcPr>
                <w:p w14:paraId="03057E7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744" w:type="dxa"/>
                  <w:tcBorders>
                    <w:tl2br w:val="nil"/>
                    <w:tr2bl w:val="nil"/>
                  </w:tcBorders>
                  <w:noWrap w:val="0"/>
                  <w:tcMar>
                    <w:top w:w="0" w:type="dxa"/>
                    <w:left w:w="0" w:type="dxa"/>
                    <w:bottom w:w="0" w:type="dxa"/>
                    <w:right w:w="0" w:type="dxa"/>
                  </w:tcMar>
                  <w:vAlign w:val="center"/>
                </w:tcPr>
                <w:p w14:paraId="49B3FD4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839" w:type="dxa"/>
                  <w:tcBorders>
                    <w:tl2br w:val="nil"/>
                    <w:tr2bl w:val="nil"/>
                  </w:tcBorders>
                  <w:noWrap w:val="0"/>
                  <w:tcMar>
                    <w:top w:w="0" w:type="dxa"/>
                    <w:left w:w="0" w:type="dxa"/>
                    <w:bottom w:w="0" w:type="dxa"/>
                    <w:right w:w="0" w:type="dxa"/>
                  </w:tcMar>
                  <w:vAlign w:val="center"/>
                </w:tcPr>
                <w:p w14:paraId="3EE9AA3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672" w:type="dxa"/>
                  <w:tcBorders>
                    <w:tl2br w:val="nil"/>
                    <w:tr2bl w:val="nil"/>
                  </w:tcBorders>
                  <w:noWrap w:val="0"/>
                  <w:tcMar>
                    <w:top w:w="0" w:type="dxa"/>
                    <w:left w:w="0" w:type="dxa"/>
                    <w:bottom w:w="0" w:type="dxa"/>
                    <w:right w:w="0" w:type="dxa"/>
                  </w:tcMar>
                  <w:vAlign w:val="center"/>
                </w:tcPr>
                <w:p w14:paraId="43F717B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w:t>
                  </w:r>
                </w:p>
              </w:tc>
              <w:tc>
                <w:tcPr>
                  <w:tcW w:w="766" w:type="dxa"/>
                  <w:tcBorders>
                    <w:tl2br w:val="nil"/>
                    <w:tr2bl w:val="nil"/>
                  </w:tcBorders>
                  <w:noWrap w:val="0"/>
                  <w:tcMar>
                    <w:top w:w="0" w:type="dxa"/>
                    <w:left w:w="0" w:type="dxa"/>
                    <w:bottom w:w="0" w:type="dxa"/>
                    <w:right w:w="0" w:type="dxa"/>
                  </w:tcMar>
                  <w:vAlign w:val="center"/>
                </w:tcPr>
                <w:p w14:paraId="2569FA7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w:t>
                  </w:r>
                </w:p>
              </w:tc>
              <w:tc>
                <w:tcPr>
                  <w:tcW w:w="777" w:type="dxa"/>
                  <w:tcBorders>
                    <w:tl2br w:val="nil"/>
                    <w:tr2bl w:val="nil"/>
                  </w:tcBorders>
                  <w:noWrap w:val="0"/>
                  <w:tcMar>
                    <w:top w:w="0" w:type="dxa"/>
                    <w:left w:w="0" w:type="dxa"/>
                    <w:bottom w:w="0" w:type="dxa"/>
                    <w:right w:w="0" w:type="dxa"/>
                  </w:tcMar>
                  <w:vAlign w:val="center"/>
                </w:tcPr>
                <w:p w14:paraId="4DAEE04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w:t>
                  </w:r>
                </w:p>
              </w:tc>
              <w:tc>
                <w:tcPr>
                  <w:tcW w:w="525" w:type="dxa"/>
                  <w:tcBorders>
                    <w:tl2br w:val="nil"/>
                    <w:tr2bl w:val="nil"/>
                  </w:tcBorders>
                  <w:noWrap w:val="0"/>
                  <w:tcMar>
                    <w:top w:w="0" w:type="dxa"/>
                    <w:left w:w="0" w:type="dxa"/>
                    <w:bottom w:w="0" w:type="dxa"/>
                    <w:right w:w="0" w:type="dxa"/>
                  </w:tcMar>
                  <w:vAlign w:val="center"/>
                </w:tcPr>
                <w:p w14:paraId="2C17804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0.2</w:t>
                  </w:r>
                </w:p>
              </w:tc>
              <w:tc>
                <w:tcPr>
                  <w:tcW w:w="518" w:type="dxa"/>
                  <w:tcBorders>
                    <w:tl2br w:val="nil"/>
                    <w:tr2bl w:val="nil"/>
                  </w:tcBorders>
                  <w:noWrap w:val="0"/>
                  <w:tcMar>
                    <w:top w:w="0" w:type="dxa"/>
                    <w:left w:w="0" w:type="dxa"/>
                    <w:bottom w:w="0" w:type="dxa"/>
                    <w:right w:w="0" w:type="dxa"/>
                  </w:tcMar>
                  <w:vAlign w:val="center"/>
                </w:tcPr>
                <w:p w14:paraId="63CDC50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6648AA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restart"/>
                  <w:tcBorders>
                    <w:tl2br w:val="nil"/>
                    <w:tr2bl w:val="nil"/>
                  </w:tcBorders>
                  <w:noWrap w:val="0"/>
                  <w:tcMar>
                    <w:top w:w="0" w:type="dxa"/>
                    <w:left w:w="0" w:type="dxa"/>
                    <w:bottom w:w="0" w:type="dxa"/>
                    <w:right w:w="0" w:type="dxa"/>
                  </w:tcMar>
                  <w:vAlign w:val="center"/>
                </w:tcPr>
                <w:p w14:paraId="45DB83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尧塘河W2</w:t>
                  </w:r>
                  <w:r>
                    <w:rPr>
                      <w:rFonts w:hint="default" w:ascii="Times New Roman" w:hAnsi="Times New Roman" w:eastAsia="宋体" w:cs="Times New Roman"/>
                      <w:color w:val="auto"/>
                      <w:sz w:val="21"/>
                      <w:szCs w:val="21"/>
                      <w:lang w:eastAsia="zh-CN"/>
                    </w:rPr>
                    <w:t>常州金坛区第二污水处理有限公司</w:t>
                  </w:r>
                  <w:r>
                    <w:rPr>
                      <w:rFonts w:hint="default" w:ascii="Times New Roman" w:hAnsi="Times New Roman" w:eastAsia="宋体" w:cs="Times New Roman"/>
                      <w:color w:val="auto"/>
                      <w:sz w:val="21"/>
                      <w:szCs w:val="21"/>
                    </w:rPr>
                    <w:t>排口下游2000m</w:t>
                  </w:r>
                </w:p>
              </w:tc>
              <w:tc>
                <w:tcPr>
                  <w:tcW w:w="1154" w:type="dxa"/>
                  <w:tcBorders>
                    <w:tl2br w:val="nil"/>
                    <w:tr2bl w:val="nil"/>
                  </w:tcBorders>
                  <w:noWrap w:val="0"/>
                  <w:tcMar>
                    <w:top w:w="0" w:type="dxa"/>
                    <w:left w:w="0" w:type="dxa"/>
                    <w:bottom w:w="0" w:type="dxa"/>
                    <w:right w:w="0" w:type="dxa"/>
                  </w:tcMar>
                  <w:vAlign w:val="center"/>
                </w:tcPr>
                <w:p w14:paraId="5CFB76E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pH值</w:t>
                  </w:r>
                </w:p>
              </w:tc>
              <w:tc>
                <w:tcPr>
                  <w:tcW w:w="881" w:type="dxa"/>
                  <w:tcBorders>
                    <w:tl2br w:val="nil"/>
                    <w:tr2bl w:val="nil"/>
                  </w:tcBorders>
                  <w:noWrap w:val="0"/>
                  <w:tcMar>
                    <w:top w:w="0" w:type="dxa"/>
                    <w:left w:w="0" w:type="dxa"/>
                    <w:bottom w:w="0" w:type="dxa"/>
                    <w:right w:w="0" w:type="dxa"/>
                  </w:tcMar>
                  <w:vAlign w:val="center"/>
                </w:tcPr>
                <w:p w14:paraId="03746B6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7.8</w:t>
                  </w:r>
                </w:p>
              </w:tc>
              <w:tc>
                <w:tcPr>
                  <w:tcW w:w="744" w:type="dxa"/>
                  <w:tcBorders>
                    <w:tl2br w:val="nil"/>
                    <w:tr2bl w:val="nil"/>
                  </w:tcBorders>
                  <w:noWrap w:val="0"/>
                  <w:tcMar>
                    <w:top w:w="0" w:type="dxa"/>
                    <w:left w:w="0" w:type="dxa"/>
                    <w:bottom w:w="0" w:type="dxa"/>
                    <w:right w:w="0" w:type="dxa"/>
                  </w:tcMar>
                  <w:vAlign w:val="center"/>
                </w:tcPr>
                <w:p w14:paraId="0E11B1E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p>
              </w:tc>
              <w:tc>
                <w:tcPr>
                  <w:tcW w:w="839" w:type="dxa"/>
                  <w:tcBorders>
                    <w:tl2br w:val="nil"/>
                    <w:tr2bl w:val="nil"/>
                  </w:tcBorders>
                  <w:noWrap w:val="0"/>
                  <w:tcMar>
                    <w:top w:w="0" w:type="dxa"/>
                    <w:left w:w="0" w:type="dxa"/>
                    <w:bottom w:w="0" w:type="dxa"/>
                    <w:right w:w="0" w:type="dxa"/>
                  </w:tcMar>
                  <w:vAlign w:val="center"/>
                </w:tcPr>
                <w:p w14:paraId="2995BBC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p>
              </w:tc>
              <w:tc>
                <w:tcPr>
                  <w:tcW w:w="672" w:type="dxa"/>
                  <w:tcBorders>
                    <w:tl2br w:val="nil"/>
                    <w:tr2bl w:val="nil"/>
                  </w:tcBorders>
                  <w:noWrap w:val="0"/>
                  <w:tcMar>
                    <w:top w:w="0" w:type="dxa"/>
                    <w:left w:w="0" w:type="dxa"/>
                    <w:bottom w:w="0" w:type="dxa"/>
                    <w:right w:w="0" w:type="dxa"/>
                  </w:tcMar>
                  <w:vAlign w:val="center"/>
                </w:tcPr>
                <w:p w14:paraId="408A63D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7.8</w:t>
                  </w:r>
                </w:p>
              </w:tc>
              <w:tc>
                <w:tcPr>
                  <w:tcW w:w="766" w:type="dxa"/>
                  <w:tcBorders>
                    <w:tl2br w:val="nil"/>
                    <w:tr2bl w:val="nil"/>
                  </w:tcBorders>
                  <w:noWrap w:val="0"/>
                  <w:tcMar>
                    <w:top w:w="0" w:type="dxa"/>
                    <w:left w:w="0" w:type="dxa"/>
                    <w:bottom w:w="0" w:type="dxa"/>
                    <w:right w:w="0" w:type="dxa"/>
                  </w:tcMar>
                  <w:vAlign w:val="center"/>
                </w:tcPr>
                <w:p w14:paraId="56F5B5B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7.8</w:t>
                  </w:r>
                </w:p>
              </w:tc>
              <w:tc>
                <w:tcPr>
                  <w:tcW w:w="777" w:type="dxa"/>
                  <w:tcBorders>
                    <w:tl2br w:val="nil"/>
                    <w:tr2bl w:val="nil"/>
                  </w:tcBorders>
                  <w:noWrap w:val="0"/>
                  <w:tcMar>
                    <w:top w:w="0" w:type="dxa"/>
                    <w:left w:w="0" w:type="dxa"/>
                    <w:bottom w:w="0" w:type="dxa"/>
                    <w:right w:w="0" w:type="dxa"/>
                  </w:tcMar>
                  <w:vAlign w:val="center"/>
                </w:tcPr>
                <w:p w14:paraId="22262EB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8.0</w:t>
                  </w:r>
                </w:p>
              </w:tc>
              <w:tc>
                <w:tcPr>
                  <w:tcW w:w="525" w:type="dxa"/>
                  <w:tcBorders>
                    <w:tl2br w:val="nil"/>
                    <w:tr2bl w:val="nil"/>
                  </w:tcBorders>
                  <w:noWrap w:val="0"/>
                  <w:tcMar>
                    <w:top w:w="0" w:type="dxa"/>
                    <w:left w:w="0" w:type="dxa"/>
                    <w:bottom w:w="0" w:type="dxa"/>
                    <w:right w:w="0" w:type="dxa"/>
                  </w:tcMar>
                  <w:vAlign w:val="center"/>
                </w:tcPr>
                <w:p w14:paraId="368CA2E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6~9</w:t>
                  </w:r>
                </w:p>
              </w:tc>
              <w:tc>
                <w:tcPr>
                  <w:tcW w:w="518" w:type="dxa"/>
                  <w:tcBorders>
                    <w:tl2br w:val="nil"/>
                    <w:tr2bl w:val="nil"/>
                  </w:tcBorders>
                  <w:noWrap w:val="0"/>
                  <w:tcMar>
                    <w:top w:w="0" w:type="dxa"/>
                    <w:left w:w="0" w:type="dxa"/>
                    <w:bottom w:w="0" w:type="dxa"/>
                    <w:right w:w="0" w:type="dxa"/>
                  </w:tcMar>
                  <w:vAlign w:val="center"/>
                </w:tcPr>
                <w:p w14:paraId="1EB2688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0022EE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continue"/>
                  <w:tcBorders>
                    <w:tl2br w:val="nil"/>
                    <w:tr2bl w:val="nil"/>
                  </w:tcBorders>
                  <w:noWrap w:val="0"/>
                  <w:tcMar>
                    <w:top w:w="0" w:type="dxa"/>
                    <w:left w:w="0" w:type="dxa"/>
                    <w:bottom w:w="0" w:type="dxa"/>
                    <w:right w:w="0" w:type="dxa"/>
                  </w:tcMar>
                  <w:vAlign w:val="center"/>
                </w:tcPr>
                <w:p w14:paraId="01FC0322">
                  <w:pPr>
                    <w:adjustRightInd w:val="0"/>
                    <w:snapToGrid w:val="0"/>
                    <w:jc w:val="center"/>
                    <w:rPr>
                      <w:rFonts w:hint="default" w:ascii="Times New Roman" w:hAnsi="Times New Roman" w:eastAsia="宋体" w:cs="Times New Roman"/>
                      <w:color w:val="auto"/>
                      <w:sz w:val="21"/>
                      <w:szCs w:val="21"/>
                    </w:rPr>
                  </w:pPr>
                </w:p>
              </w:tc>
              <w:tc>
                <w:tcPr>
                  <w:tcW w:w="1154" w:type="dxa"/>
                  <w:tcBorders>
                    <w:tl2br w:val="nil"/>
                    <w:tr2bl w:val="nil"/>
                  </w:tcBorders>
                  <w:noWrap w:val="0"/>
                  <w:tcMar>
                    <w:top w:w="0" w:type="dxa"/>
                    <w:left w:w="0" w:type="dxa"/>
                    <w:bottom w:w="0" w:type="dxa"/>
                    <w:right w:w="0" w:type="dxa"/>
                  </w:tcMar>
                  <w:vAlign w:val="center"/>
                </w:tcPr>
                <w:p w14:paraId="669D9EB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化学需氧量</w:t>
                  </w:r>
                </w:p>
              </w:tc>
              <w:tc>
                <w:tcPr>
                  <w:tcW w:w="881" w:type="dxa"/>
                  <w:tcBorders>
                    <w:tl2br w:val="nil"/>
                    <w:tr2bl w:val="nil"/>
                  </w:tcBorders>
                  <w:noWrap w:val="0"/>
                  <w:tcMar>
                    <w:top w:w="0" w:type="dxa"/>
                    <w:left w:w="0" w:type="dxa"/>
                    <w:bottom w:w="0" w:type="dxa"/>
                    <w:right w:w="0" w:type="dxa"/>
                  </w:tcMar>
                  <w:vAlign w:val="center"/>
                </w:tcPr>
                <w:p w14:paraId="7947184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744" w:type="dxa"/>
                  <w:tcBorders>
                    <w:tl2br w:val="nil"/>
                    <w:tr2bl w:val="nil"/>
                  </w:tcBorders>
                  <w:noWrap w:val="0"/>
                  <w:tcMar>
                    <w:top w:w="0" w:type="dxa"/>
                    <w:left w:w="0" w:type="dxa"/>
                    <w:bottom w:w="0" w:type="dxa"/>
                    <w:right w:w="0" w:type="dxa"/>
                  </w:tcMar>
                  <w:vAlign w:val="center"/>
                </w:tcPr>
                <w:p w14:paraId="3497BC8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839" w:type="dxa"/>
                  <w:tcBorders>
                    <w:tl2br w:val="nil"/>
                    <w:tr2bl w:val="nil"/>
                  </w:tcBorders>
                  <w:noWrap w:val="0"/>
                  <w:tcMar>
                    <w:top w:w="0" w:type="dxa"/>
                    <w:left w:w="0" w:type="dxa"/>
                    <w:bottom w:w="0" w:type="dxa"/>
                    <w:right w:w="0" w:type="dxa"/>
                  </w:tcMar>
                  <w:vAlign w:val="center"/>
                </w:tcPr>
                <w:p w14:paraId="10CD532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672" w:type="dxa"/>
                  <w:tcBorders>
                    <w:tl2br w:val="nil"/>
                    <w:tr2bl w:val="nil"/>
                  </w:tcBorders>
                  <w:noWrap w:val="0"/>
                  <w:tcMar>
                    <w:top w:w="0" w:type="dxa"/>
                    <w:left w:w="0" w:type="dxa"/>
                    <w:bottom w:w="0" w:type="dxa"/>
                    <w:right w:w="0" w:type="dxa"/>
                  </w:tcMar>
                  <w:vAlign w:val="center"/>
                </w:tcPr>
                <w:p w14:paraId="6343A12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w:t>
                  </w:r>
                </w:p>
              </w:tc>
              <w:tc>
                <w:tcPr>
                  <w:tcW w:w="766" w:type="dxa"/>
                  <w:tcBorders>
                    <w:tl2br w:val="nil"/>
                    <w:tr2bl w:val="nil"/>
                  </w:tcBorders>
                  <w:noWrap w:val="0"/>
                  <w:tcMar>
                    <w:top w:w="0" w:type="dxa"/>
                    <w:left w:w="0" w:type="dxa"/>
                    <w:bottom w:w="0" w:type="dxa"/>
                    <w:right w:w="0" w:type="dxa"/>
                  </w:tcMar>
                  <w:vAlign w:val="center"/>
                </w:tcPr>
                <w:p w14:paraId="124B562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w:t>
                  </w:r>
                </w:p>
              </w:tc>
              <w:tc>
                <w:tcPr>
                  <w:tcW w:w="777" w:type="dxa"/>
                  <w:tcBorders>
                    <w:tl2br w:val="nil"/>
                    <w:tr2bl w:val="nil"/>
                  </w:tcBorders>
                  <w:noWrap w:val="0"/>
                  <w:tcMar>
                    <w:top w:w="0" w:type="dxa"/>
                    <w:left w:w="0" w:type="dxa"/>
                    <w:bottom w:w="0" w:type="dxa"/>
                    <w:right w:w="0" w:type="dxa"/>
                  </w:tcMar>
                  <w:vAlign w:val="center"/>
                </w:tcPr>
                <w:p w14:paraId="21DA2AC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525" w:type="dxa"/>
                  <w:tcBorders>
                    <w:tl2br w:val="nil"/>
                    <w:tr2bl w:val="nil"/>
                  </w:tcBorders>
                  <w:noWrap w:val="0"/>
                  <w:tcMar>
                    <w:top w:w="0" w:type="dxa"/>
                    <w:left w:w="0" w:type="dxa"/>
                    <w:bottom w:w="0" w:type="dxa"/>
                    <w:right w:w="0" w:type="dxa"/>
                  </w:tcMar>
                  <w:vAlign w:val="center"/>
                </w:tcPr>
                <w:p w14:paraId="799A849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c>
                <w:tcPr>
                  <w:tcW w:w="518" w:type="dxa"/>
                  <w:tcBorders>
                    <w:tl2br w:val="nil"/>
                    <w:tr2bl w:val="nil"/>
                  </w:tcBorders>
                  <w:noWrap w:val="0"/>
                  <w:tcMar>
                    <w:top w:w="0" w:type="dxa"/>
                    <w:left w:w="0" w:type="dxa"/>
                    <w:bottom w:w="0" w:type="dxa"/>
                    <w:right w:w="0" w:type="dxa"/>
                  </w:tcMar>
                  <w:vAlign w:val="center"/>
                </w:tcPr>
                <w:p w14:paraId="6FFDC61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3D35A5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continue"/>
                  <w:tcBorders>
                    <w:tl2br w:val="nil"/>
                    <w:tr2bl w:val="nil"/>
                  </w:tcBorders>
                  <w:noWrap w:val="0"/>
                  <w:tcMar>
                    <w:top w:w="0" w:type="dxa"/>
                    <w:left w:w="0" w:type="dxa"/>
                    <w:bottom w:w="0" w:type="dxa"/>
                    <w:right w:w="0" w:type="dxa"/>
                  </w:tcMar>
                  <w:vAlign w:val="center"/>
                </w:tcPr>
                <w:p w14:paraId="73DDB681">
                  <w:pPr>
                    <w:adjustRightInd w:val="0"/>
                    <w:snapToGrid w:val="0"/>
                    <w:jc w:val="center"/>
                    <w:rPr>
                      <w:rFonts w:hint="default" w:ascii="Times New Roman" w:hAnsi="Times New Roman" w:eastAsia="宋体" w:cs="Times New Roman"/>
                      <w:color w:val="auto"/>
                      <w:sz w:val="21"/>
                      <w:szCs w:val="21"/>
                    </w:rPr>
                  </w:pPr>
                </w:p>
              </w:tc>
              <w:tc>
                <w:tcPr>
                  <w:tcW w:w="1154" w:type="dxa"/>
                  <w:tcBorders>
                    <w:tl2br w:val="nil"/>
                    <w:tr2bl w:val="nil"/>
                  </w:tcBorders>
                  <w:noWrap w:val="0"/>
                  <w:tcMar>
                    <w:top w:w="0" w:type="dxa"/>
                    <w:left w:w="0" w:type="dxa"/>
                    <w:bottom w:w="0" w:type="dxa"/>
                    <w:right w:w="0" w:type="dxa"/>
                  </w:tcMar>
                  <w:vAlign w:val="center"/>
                </w:tcPr>
                <w:p w14:paraId="4B7074D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881" w:type="dxa"/>
                  <w:tcBorders>
                    <w:tl2br w:val="nil"/>
                    <w:tr2bl w:val="nil"/>
                  </w:tcBorders>
                  <w:noWrap w:val="0"/>
                  <w:tcMar>
                    <w:top w:w="0" w:type="dxa"/>
                    <w:left w:w="0" w:type="dxa"/>
                    <w:bottom w:w="0" w:type="dxa"/>
                    <w:right w:w="0" w:type="dxa"/>
                  </w:tcMar>
                  <w:vAlign w:val="center"/>
                </w:tcPr>
                <w:p w14:paraId="0A4E5BD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0.317</w:t>
                  </w:r>
                </w:p>
              </w:tc>
              <w:tc>
                <w:tcPr>
                  <w:tcW w:w="744" w:type="dxa"/>
                  <w:tcBorders>
                    <w:tl2br w:val="nil"/>
                    <w:tr2bl w:val="nil"/>
                  </w:tcBorders>
                  <w:noWrap w:val="0"/>
                  <w:tcMar>
                    <w:top w:w="0" w:type="dxa"/>
                    <w:left w:w="0" w:type="dxa"/>
                    <w:bottom w:w="0" w:type="dxa"/>
                    <w:right w:w="0" w:type="dxa"/>
                  </w:tcMar>
                  <w:vAlign w:val="center"/>
                </w:tcPr>
                <w:p w14:paraId="78AF0CA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0.251</w:t>
                  </w:r>
                </w:p>
              </w:tc>
              <w:tc>
                <w:tcPr>
                  <w:tcW w:w="839" w:type="dxa"/>
                  <w:tcBorders>
                    <w:tl2br w:val="nil"/>
                    <w:tr2bl w:val="nil"/>
                  </w:tcBorders>
                  <w:noWrap w:val="0"/>
                  <w:tcMar>
                    <w:top w:w="0" w:type="dxa"/>
                    <w:left w:w="0" w:type="dxa"/>
                    <w:bottom w:w="0" w:type="dxa"/>
                    <w:right w:w="0" w:type="dxa"/>
                  </w:tcMar>
                  <w:vAlign w:val="center"/>
                </w:tcPr>
                <w:p w14:paraId="360A4C4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0.294</w:t>
                  </w:r>
                </w:p>
              </w:tc>
              <w:tc>
                <w:tcPr>
                  <w:tcW w:w="672" w:type="dxa"/>
                  <w:tcBorders>
                    <w:tl2br w:val="nil"/>
                    <w:tr2bl w:val="nil"/>
                  </w:tcBorders>
                  <w:noWrap w:val="0"/>
                  <w:tcMar>
                    <w:top w:w="0" w:type="dxa"/>
                    <w:left w:w="0" w:type="dxa"/>
                    <w:bottom w:w="0" w:type="dxa"/>
                    <w:right w:w="0" w:type="dxa"/>
                  </w:tcMar>
                  <w:vAlign w:val="center"/>
                </w:tcPr>
                <w:p w14:paraId="2E7D525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0.309</w:t>
                  </w:r>
                </w:p>
              </w:tc>
              <w:tc>
                <w:tcPr>
                  <w:tcW w:w="766" w:type="dxa"/>
                  <w:tcBorders>
                    <w:tl2br w:val="nil"/>
                    <w:tr2bl w:val="nil"/>
                  </w:tcBorders>
                  <w:noWrap w:val="0"/>
                  <w:tcMar>
                    <w:top w:w="0" w:type="dxa"/>
                    <w:left w:w="0" w:type="dxa"/>
                    <w:bottom w:w="0" w:type="dxa"/>
                    <w:right w:w="0" w:type="dxa"/>
                  </w:tcMar>
                  <w:vAlign w:val="center"/>
                </w:tcPr>
                <w:p w14:paraId="6B74502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0.331</w:t>
                  </w:r>
                </w:p>
              </w:tc>
              <w:tc>
                <w:tcPr>
                  <w:tcW w:w="777" w:type="dxa"/>
                  <w:tcBorders>
                    <w:tl2br w:val="nil"/>
                    <w:tr2bl w:val="nil"/>
                  </w:tcBorders>
                  <w:noWrap w:val="0"/>
                  <w:tcMar>
                    <w:top w:w="0" w:type="dxa"/>
                    <w:left w:w="0" w:type="dxa"/>
                    <w:bottom w:w="0" w:type="dxa"/>
                    <w:right w:w="0" w:type="dxa"/>
                  </w:tcMar>
                  <w:vAlign w:val="center"/>
                </w:tcPr>
                <w:p w14:paraId="5FC8961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0.274</w:t>
                  </w:r>
                </w:p>
              </w:tc>
              <w:tc>
                <w:tcPr>
                  <w:tcW w:w="525" w:type="dxa"/>
                  <w:tcBorders>
                    <w:tl2br w:val="nil"/>
                    <w:tr2bl w:val="nil"/>
                  </w:tcBorders>
                  <w:noWrap w:val="0"/>
                  <w:tcMar>
                    <w:top w:w="0" w:type="dxa"/>
                    <w:left w:w="0" w:type="dxa"/>
                    <w:bottom w:w="0" w:type="dxa"/>
                    <w:right w:w="0" w:type="dxa"/>
                  </w:tcMar>
                  <w:vAlign w:val="center"/>
                </w:tcPr>
                <w:p w14:paraId="7B86ED5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518" w:type="dxa"/>
                  <w:tcBorders>
                    <w:tl2br w:val="nil"/>
                    <w:tr2bl w:val="nil"/>
                  </w:tcBorders>
                  <w:noWrap w:val="0"/>
                  <w:tcMar>
                    <w:top w:w="0" w:type="dxa"/>
                    <w:left w:w="0" w:type="dxa"/>
                    <w:bottom w:w="0" w:type="dxa"/>
                    <w:right w:w="0" w:type="dxa"/>
                  </w:tcMar>
                  <w:vAlign w:val="center"/>
                </w:tcPr>
                <w:p w14:paraId="199FDE3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4E6B31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46" w:type="dxa"/>
                  <w:vMerge w:val="continue"/>
                  <w:tcBorders>
                    <w:tl2br w:val="nil"/>
                    <w:tr2bl w:val="nil"/>
                  </w:tcBorders>
                  <w:noWrap w:val="0"/>
                  <w:tcMar>
                    <w:top w:w="0" w:type="dxa"/>
                    <w:left w:w="0" w:type="dxa"/>
                    <w:bottom w:w="0" w:type="dxa"/>
                    <w:right w:w="0" w:type="dxa"/>
                  </w:tcMar>
                  <w:vAlign w:val="center"/>
                </w:tcPr>
                <w:p w14:paraId="5BE11682">
                  <w:pPr>
                    <w:adjustRightInd w:val="0"/>
                    <w:snapToGrid w:val="0"/>
                    <w:jc w:val="center"/>
                    <w:rPr>
                      <w:rFonts w:hint="default" w:ascii="Times New Roman" w:hAnsi="Times New Roman" w:eastAsia="宋体" w:cs="Times New Roman"/>
                      <w:color w:val="auto"/>
                      <w:sz w:val="21"/>
                      <w:szCs w:val="21"/>
                    </w:rPr>
                  </w:pPr>
                </w:p>
              </w:tc>
              <w:tc>
                <w:tcPr>
                  <w:tcW w:w="1154" w:type="dxa"/>
                  <w:tcBorders>
                    <w:tl2br w:val="nil"/>
                    <w:tr2bl w:val="nil"/>
                  </w:tcBorders>
                  <w:noWrap w:val="0"/>
                  <w:tcMar>
                    <w:top w:w="0" w:type="dxa"/>
                    <w:left w:w="0" w:type="dxa"/>
                    <w:bottom w:w="0" w:type="dxa"/>
                    <w:right w:w="0" w:type="dxa"/>
                  </w:tcMar>
                  <w:vAlign w:val="center"/>
                </w:tcPr>
                <w:p w14:paraId="228C820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总磷</w:t>
                  </w:r>
                </w:p>
              </w:tc>
              <w:tc>
                <w:tcPr>
                  <w:tcW w:w="881" w:type="dxa"/>
                  <w:tcBorders>
                    <w:tl2br w:val="nil"/>
                    <w:tr2bl w:val="nil"/>
                  </w:tcBorders>
                  <w:noWrap w:val="0"/>
                  <w:tcMar>
                    <w:top w:w="0" w:type="dxa"/>
                    <w:left w:w="0" w:type="dxa"/>
                    <w:bottom w:w="0" w:type="dxa"/>
                    <w:right w:w="0" w:type="dxa"/>
                  </w:tcMar>
                  <w:vAlign w:val="center"/>
                </w:tcPr>
                <w:p w14:paraId="07736B6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744" w:type="dxa"/>
                  <w:tcBorders>
                    <w:tl2br w:val="nil"/>
                    <w:tr2bl w:val="nil"/>
                  </w:tcBorders>
                  <w:noWrap w:val="0"/>
                  <w:tcMar>
                    <w:top w:w="0" w:type="dxa"/>
                    <w:left w:w="0" w:type="dxa"/>
                    <w:bottom w:w="0" w:type="dxa"/>
                    <w:right w:w="0" w:type="dxa"/>
                  </w:tcMar>
                  <w:vAlign w:val="center"/>
                </w:tcPr>
                <w:p w14:paraId="4A05605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839" w:type="dxa"/>
                  <w:tcBorders>
                    <w:tl2br w:val="nil"/>
                    <w:tr2bl w:val="nil"/>
                  </w:tcBorders>
                  <w:noWrap w:val="0"/>
                  <w:tcMar>
                    <w:top w:w="0" w:type="dxa"/>
                    <w:left w:w="0" w:type="dxa"/>
                    <w:bottom w:w="0" w:type="dxa"/>
                    <w:right w:w="0" w:type="dxa"/>
                  </w:tcMar>
                  <w:vAlign w:val="center"/>
                </w:tcPr>
                <w:p w14:paraId="7B5A671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w:t>
                  </w:r>
                </w:p>
              </w:tc>
              <w:tc>
                <w:tcPr>
                  <w:tcW w:w="672" w:type="dxa"/>
                  <w:tcBorders>
                    <w:tl2br w:val="nil"/>
                    <w:tr2bl w:val="nil"/>
                  </w:tcBorders>
                  <w:noWrap w:val="0"/>
                  <w:tcMar>
                    <w:top w:w="0" w:type="dxa"/>
                    <w:left w:w="0" w:type="dxa"/>
                    <w:bottom w:w="0" w:type="dxa"/>
                    <w:right w:w="0" w:type="dxa"/>
                  </w:tcMar>
                  <w:vAlign w:val="center"/>
                </w:tcPr>
                <w:p w14:paraId="1650E27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0.09</w:t>
                  </w:r>
                </w:p>
              </w:tc>
              <w:tc>
                <w:tcPr>
                  <w:tcW w:w="766" w:type="dxa"/>
                  <w:tcBorders>
                    <w:tl2br w:val="nil"/>
                    <w:tr2bl w:val="nil"/>
                  </w:tcBorders>
                  <w:noWrap w:val="0"/>
                  <w:tcMar>
                    <w:top w:w="0" w:type="dxa"/>
                    <w:left w:w="0" w:type="dxa"/>
                    <w:bottom w:w="0" w:type="dxa"/>
                    <w:right w:w="0" w:type="dxa"/>
                  </w:tcMar>
                  <w:vAlign w:val="center"/>
                </w:tcPr>
                <w:p w14:paraId="14B5E11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777" w:type="dxa"/>
                  <w:tcBorders>
                    <w:tl2br w:val="nil"/>
                    <w:tr2bl w:val="nil"/>
                  </w:tcBorders>
                  <w:noWrap w:val="0"/>
                  <w:tcMar>
                    <w:top w:w="0" w:type="dxa"/>
                    <w:left w:w="0" w:type="dxa"/>
                    <w:bottom w:w="0" w:type="dxa"/>
                    <w:right w:w="0" w:type="dxa"/>
                  </w:tcMar>
                  <w:vAlign w:val="center"/>
                </w:tcPr>
                <w:p w14:paraId="2526949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0.08</w:t>
                  </w:r>
                </w:p>
              </w:tc>
              <w:tc>
                <w:tcPr>
                  <w:tcW w:w="525" w:type="dxa"/>
                  <w:tcBorders>
                    <w:tl2br w:val="nil"/>
                    <w:tr2bl w:val="nil"/>
                  </w:tcBorders>
                  <w:noWrap w:val="0"/>
                  <w:tcMar>
                    <w:top w:w="0" w:type="dxa"/>
                    <w:left w:w="0" w:type="dxa"/>
                    <w:bottom w:w="0" w:type="dxa"/>
                    <w:right w:w="0" w:type="dxa"/>
                  </w:tcMar>
                  <w:vAlign w:val="center"/>
                </w:tcPr>
                <w:p w14:paraId="1C3705B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0.2</w:t>
                  </w:r>
                </w:p>
              </w:tc>
              <w:tc>
                <w:tcPr>
                  <w:tcW w:w="518" w:type="dxa"/>
                  <w:tcBorders>
                    <w:tl2br w:val="nil"/>
                    <w:tr2bl w:val="nil"/>
                  </w:tcBorders>
                  <w:noWrap w:val="0"/>
                  <w:tcMar>
                    <w:top w:w="0" w:type="dxa"/>
                    <w:left w:w="0" w:type="dxa"/>
                    <w:bottom w:w="0" w:type="dxa"/>
                    <w:right w:w="0" w:type="dxa"/>
                  </w:tcMar>
                  <w:vAlign w:val="center"/>
                </w:tcPr>
                <w:p w14:paraId="74C7CF9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bl>
          <w:p w14:paraId="786A0C0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baseline"/>
              <w:rPr>
                <w:color w:val="auto"/>
                <w:szCs w:val="21"/>
              </w:rPr>
            </w:pPr>
            <w:r>
              <w:rPr>
                <w:color w:val="auto"/>
                <w:szCs w:val="21"/>
              </w:rPr>
              <w:t>监测数据表明，尧塘河现状监测因子均能满足《地表水环境质量标准》（GB3838-2002）中III类标准，项目地表水评价范围水环境水质良好。</w:t>
            </w:r>
          </w:p>
          <w:p w14:paraId="6DB5B4F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baseline"/>
              <w:rPr>
                <w:b/>
                <w:bCs/>
                <w:color w:val="auto"/>
                <w:szCs w:val="21"/>
              </w:rPr>
            </w:pPr>
            <w:r>
              <w:rPr>
                <w:rFonts w:hint="eastAsia"/>
                <w:b/>
                <w:bCs/>
                <w:color w:val="auto"/>
                <w:szCs w:val="21"/>
              </w:rPr>
              <w:t>三、</w:t>
            </w:r>
            <w:r>
              <w:rPr>
                <w:b/>
                <w:bCs/>
                <w:color w:val="auto"/>
                <w:szCs w:val="21"/>
              </w:rPr>
              <w:t>噪声环境质量现状</w:t>
            </w:r>
          </w:p>
          <w:p w14:paraId="3799EA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本项目根据声环境功能区规划图可知，本项目所在区域声环境质量现状划分为《声环境质量标准》（GB3096-2008）中2类标准</w:t>
            </w:r>
            <w:r>
              <w:rPr>
                <w:rFonts w:ascii="Times New Roman" w:hAnsi="Times New Roman" w:eastAsia="宋体" w:cs="Times New Roman"/>
                <w:color w:val="auto"/>
                <w:szCs w:val="21"/>
              </w:rPr>
              <w:t>。</w:t>
            </w:r>
          </w:p>
          <w:p w14:paraId="68C30FE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45" w:firstLineChars="212"/>
              <w:textAlignment w:val="auto"/>
              <w:rPr>
                <w:color w:val="auto"/>
                <w:szCs w:val="21"/>
              </w:rPr>
            </w:pPr>
          </w:p>
          <w:p w14:paraId="64B951C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45" w:firstLineChars="212"/>
              <w:textAlignment w:val="auto"/>
              <w:rPr>
                <w:color w:val="auto"/>
                <w:szCs w:val="21"/>
              </w:rPr>
            </w:pPr>
          </w:p>
          <w:p w14:paraId="03B261B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45" w:firstLineChars="212"/>
              <w:textAlignment w:val="auto"/>
              <w:rPr>
                <w:color w:val="auto"/>
                <w:szCs w:val="21"/>
              </w:rPr>
            </w:pPr>
          </w:p>
          <w:p w14:paraId="24F324C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45" w:firstLineChars="212"/>
              <w:textAlignment w:val="auto"/>
              <w:rPr>
                <w:color w:val="auto"/>
                <w:szCs w:val="21"/>
              </w:rPr>
            </w:pPr>
          </w:p>
          <w:p w14:paraId="3DEF8BF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45" w:firstLineChars="212"/>
              <w:textAlignment w:val="auto"/>
              <w:rPr>
                <w:color w:val="auto"/>
                <w:szCs w:val="21"/>
              </w:rPr>
            </w:pPr>
          </w:p>
          <w:p w14:paraId="43CF013A">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color w:val="auto"/>
                <w:szCs w:val="21"/>
              </w:rPr>
            </w:pPr>
          </w:p>
        </w:tc>
      </w:tr>
      <w:tr w14:paraId="6E4FC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31" w:hRule="atLeast"/>
          <w:jc w:val="center"/>
        </w:trPr>
        <w:tc>
          <w:tcPr>
            <w:tcW w:w="522" w:type="dxa"/>
            <w:noWrap w:val="0"/>
            <w:tcMar>
              <w:top w:w="0" w:type="dxa"/>
              <w:left w:w="0" w:type="dxa"/>
              <w:bottom w:w="0" w:type="dxa"/>
              <w:right w:w="0" w:type="dxa"/>
            </w:tcMar>
            <w:vAlign w:val="center"/>
          </w:tcPr>
          <w:p w14:paraId="51E41FC9">
            <w:pPr>
              <w:adjustRightInd w:val="0"/>
              <w:snapToGrid w:val="0"/>
              <w:jc w:val="center"/>
              <w:rPr>
                <w:color w:val="auto"/>
                <w:kern w:val="0"/>
                <w:szCs w:val="21"/>
              </w:rPr>
            </w:pPr>
            <w:r>
              <w:rPr>
                <w:color w:val="auto"/>
                <w:kern w:val="0"/>
                <w:szCs w:val="21"/>
              </w:rPr>
              <w:t>环境保护目标</w:t>
            </w:r>
          </w:p>
        </w:tc>
        <w:tc>
          <w:tcPr>
            <w:tcW w:w="8438" w:type="dxa"/>
            <w:noWrap w:val="0"/>
            <w:vAlign w:val="center"/>
          </w:tcPr>
          <w:p w14:paraId="5A4AAEF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12" w:firstLineChars="200"/>
              <w:textAlignment w:val="baseline"/>
              <w:rPr>
                <w:color w:val="auto"/>
                <w:spacing w:val="-2"/>
                <w:kern w:val="28"/>
                <w:szCs w:val="21"/>
              </w:rPr>
            </w:pPr>
            <w:r>
              <w:rPr>
                <w:color w:val="auto"/>
                <w:spacing w:val="-2"/>
                <w:kern w:val="28"/>
                <w:szCs w:val="21"/>
              </w:rPr>
              <w:t>距离本项目最近的敏感目标是</w:t>
            </w:r>
            <w:r>
              <w:rPr>
                <w:rFonts w:hint="eastAsia"/>
                <w:color w:val="auto"/>
                <w:szCs w:val="21"/>
                <w:lang w:val="en-US" w:eastAsia="zh-CN"/>
              </w:rPr>
              <w:t>双墩村</w:t>
            </w:r>
            <w:r>
              <w:rPr>
                <w:color w:val="auto"/>
                <w:spacing w:val="-2"/>
                <w:kern w:val="28"/>
                <w:szCs w:val="21"/>
              </w:rPr>
              <w:t>（</w:t>
            </w:r>
            <w:r>
              <w:rPr>
                <w:rFonts w:hint="eastAsia"/>
                <w:color w:val="auto"/>
                <w:szCs w:val="21"/>
                <w:lang w:val="en-US" w:eastAsia="zh-CN"/>
              </w:rPr>
              <w:t>东南</w:t>
            </w:r>
            <w:r>
              <w:rPr>
                <w:color w:val="auto"/>
                <w:spacing w:val="-2"/>
                <w:kern w:val="28"/>
                <w:szCs w:val="21"/>
              </w:rPr>
              <w:t>，</w:t>
            </w:r>
            <w:r>
              <w:rPr>
                <w:rFonts w:hint="eastAsia"/>
                <w:color w:val="auto"/>
                <w:spacing w:val="-2"/>
                <w:kern w:val="28"/>
                <w:szCs w:val="21"/>
                <w:lang w:val="en-US" w:eastAsia="zh-CN"/>
              </w:rPr>
              <w:t>215</w:t>
            </w:r>
            <w:r>
              <w:rPr>
                <w:color w:val="auto"/>
                <w:spacing w:val="-2"/>
                <w:kern w:val="28"/>
                <w:szCs w:val="21"/>
              </w:rPr>
              <w:t>m），大气保护目标见表3-</w:t>
            </w:r>
            <w:r>
              <w:rPr>
                <w:rFonts w:hint="eastAsia"/>
                <w:color w:val="auto"/>
                <w:spacing w:val="-2"/>
                <w:kern w:val="28"/>
                <w:szCs w:val="21"/>
                <w:lang w:val="en-US" w:eastAsia="zh-CN"/>
              </w:rPr>
              <w:t>4</w:t>
            </w:r>
            <w:r>
              <w:rPr>
                <w:color w:val="auto"/>
                <w:spacing w:val="-2"/>
                <w:kern w:val="28"/>
                <w:szCs w:val="21"/>
              </w:rPr>
              <w:t>，建设项目其他环境保护目标见表3-</w:t>
            </w:r>
            <w:r>
              <w:rPr>
                <w:rFonts w:hint="eastAsia"/>
                <w:color w:val="auto"/>
                <w:spacing w:val="-2"/>
                <w:kern w:val="28"/>
                <w:szCs w:val="21"/>
                <w:lang w:val="en-US" w:eastAsia="zh-CN"/>
              </w:rPr>
              <w:t>5</w:t>
            </w:r>
            <w:r>
              <w:rPr>
                <w:color w:val="auto"/>
                <w:spacing w:val="-2"/>
                <w:kern w:val="28"/>
                <w:szCs w:val="21"/>
              </w:rPr>
              <w:t>。</w:t>
            </w:r>
          </w:p>
          <w:p w14:paraId="47042E18">
            <w:pPr>
              <w:jc w:val="center"/>
              <w:rPr>
                <w:b/>
                <w:bCs/>
                <w:color w:val="auto"/>
                <w:szCs w:val="21"/>
              </w:rPr>
            </w:pPr>
            <w:r>
              <w:rPr>
                <w:b/>
                <w:bCs/>
                <w:color w:val="auto"/>
                <w:szCs w:val="21"/>
              </w:rPr>
              <w:t>表3-</w:t>
            </w:r>
            <w:r>
              <w:rPr>
                <w:rFonts w:hint="eastAsia"/>
                <w:b/>
                <w:bCs/>
                <w:color w:val="auto"/>
                <w:szCs w:val="21"/>
                <w:lang w:val="en-US" w:eastAsia="zh-CN"/>
              </w:rPr>
              <w:t>4</w:t>
            </w:r>
            <w:r>
              <w:rPr>
                <w:b/>
                <w:bCs/>
                <w:color w:val="auto"/>
                <w:szCs w:val="21"/>
              </w:rPr>
              <w:t xml:space="preserve"> 大气保护目标一览表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073"/>
              <w:gridCol w:w="1028"/>
              <w:gridCol w:w="947"/>
              <w:gridCol w:w="1264"/>
              <w:gridCol w:w="837"/>
              <w:gridCol w:w="827"/>
              <w:gridCol w:w="894"/>
            </w:tblGrid>
            <w:tr w14:paraId="40654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pct"/>
                  <w:vMerge w:val="restart"/>
                  <w:noWrap w:val="0"/>
                  <w:tcMar>
                    <w:top w:w="0" w:type="dxa"/>
                    <w:left w:w="0" w:type="dxa"/>
                    <w:bottom w:w="0" w:type="dxa"/>
                    <w:right w:w="0" w:type="dxa"/>
                  </w:tcMar>
                  <w:vAlign w:val="center"/>
                </w:tcPr>
                <w:p w14:paraId="5F5D1659">
                  <w:pPr>
                    <w:adjustRightInd w:val="0"/>
                    <w:snapToGrid w:val="0"/>
                    <w:jc w:val="center"/>
                    <w:rPr>
                      <w:b/>
                      <w:color w:val="auto"/>
                      <w:szCs w:val="21"/>
                    </w:rPr>
                  </w:pPr>
                  <w:r>
                    <w:rPr>
                      <w:b/>
                      <w:color w:val="auto"/>
                      <w:szCs w:val="21"/>
                    </w:rPr>
                    <w:t>名称</w:t>
                  </w:r>
                </w:p>
              </w:tc>
              <w:tc>
                <w:tcPr>
                  <w:tcW w:w="1277" w:type="pct"/>
                  <w:gridSpan w:val="2"/>
                  <w:noWrap w:val="0"/>
                  <w:tcMar>
                    <w:top w:w="0" w:type="dxa"/>
                    <w:left w:w="0" w:type="dxa"/>
                    <w:bottom w:w="0" w:type="dxa"/>
                    <w:right w:w="0" w:type="dxa"/>
                  </w:tcMar>
                  <w:vAlign w:val="center"/>
                </w:tcPr>
                <w:p w14:paraId="32ACB2AE">
                  <w:pPr>
                    <w:adjustRightInd w:val="0"/>
                    <w:snapToGrid w:val="0"/>
                    <w:jc w:val="center"/>
                    <w:rPr>
                      <w:b/>
                      <w:color w:val="auto"/>
                      <w:szCs w:val="21"/>
                    </w:rPr>
                  </w:pPr>
                  <w:r>
                    <w:rPr>
                      <w:b/>
                      <w:color w:val="auto"/>
                      <w:szCs w:val="21"/>
                    </w:rPr>
                    <w:t>坐标/m</w:t>
                  </w:r>
                </w:p>
              </w:tc>
              <w:tc>
                <w:tcPr>
                  <w:tcW w:w="575" w:type="pct"/>
                  <w:vMerge w:val="restart"/>
                  <w:noWrap w:val="0"/>
                  <w:tcMar>
                    <w:top w:w="0" w:type="dxa"/>
                    <w:left w:w="0" w:type="dxa"/>
                    <w:bottom w:w="0" w:type="dxa"/>
                    <w:right w:w="0" w:type="dxa"/>
                  </w:tcMar>
                  <w:vAlign w:val="center"/>
                </w:tcPr>
                <w:p w14:paraId="18948C40">
                  <w:pPr>
                    <w:adjustRightInd w:val="0"/>
                    <w:snapToGrid w:val="0"/>
                    <w:jc w:val="center"/>
                    <w:rPr>
                      <w:b/>
                      <w:color w:val="auto"/>
                      <w:szCs w:val="21"/>
                    </w:rPr>
                  </w:pPr>
                  <w:r>
                    <w:rPr>
                      <w:b/>
                      <w:color w:val="auto"/>
                      <w:szCs w:val="21"/>
                    </w:rPr>
                    <w:t>保护对象</w:t>
                  </w:r>
                </w:p>
              </w:tc>
              <w:tc>
                <w:tcPr>
                  <w:tcW w:w="768" w:type="pct"/>
                  <w:vMerge w:val="restart"/>
                  <w:noWrap w:val="0"/>
                  <w:tcMar>
                    <w:top w:w="0" w:type="dxa"/>
                    <w:left w:w="0" w:type="dxa"/>
                    <w:bottom w:w="0" w:type="dxa"/>
                    <w:right w:w="0" w:type="dxa"/>
                  </w:tcMar>
                  <w:vAlign w:val="center"/>
                </w:tcPr>
                <w:p w14:paraId="740F62D0">
                  <w:pPr>
                    <w:adjustRightInd w:val="0"/>
                    <w:snapToGrid w:val="0"/>
                    <w:jc w:val="center"/>
                    <w:rPr>
                      <w:rFonts w:hint="eastAsia" w:eastAsia="宋体"/>
                      <w:b/>
                      <w:color w:val="auto"/>
                      <w:szCs w:val="21"/>
                      <w:lang w:eastAsia="zh-CN"/>
                    </w:rPr>
                  </w:pPr>
                  <w:r>
                    <w:rPr>
                      <w:b/>
                      <w:color w:val="auto"/>
                      <w:szCs w:val="21"/>
                    </w:rPr>
                    <w:t>保护内容</w:t>
                  </w:r>
                  <w:r>
                    <w:rPr>
                      <w:rFonts w:hint="eastAsia"/>
                      <w:b/>
                      <w:color w:val="auto"/>
                      <w:szCs w:val="21"/>
                      <w:lang w:eastAsia="zh-CN"/>
                    </w:rPr>
                    <w:t>（</w:t>
                  </w:r>
                  <w:r>
                    <w:rPr>
                      <w:rFonts w:hint="eastAsia"/>
                      <w:b/>
                      <w:color w:val="auto"/>
                      <w:szCs w:val="21"/>
                      <w:lang w:val="en-US" w:eastAsia="zh-CN"/>
                    </w:rPr>
                    <w:t>人</w:t>
                  </w:r>
                  <w:r>
                    <w:rPr>
                      <w:rFonts w:hint="eastAsia"/>
                      <w:b/>
                      <w:color w:val="auto"/>
                      <w:szCs w:val="21"/>
                      <w:lang w:eastAsia="zh-CN"/>
                    </w:rPr>
                    <w:t>）</w:t>
                  </w:r>
                </w:p>
              </w:tc>
              <w:tc>
                <w:tcPr>
                  <w:tcW w:w="509" w:type="pct"/>
                  <w:vMerge w:val="restart"/>
                  <w:noWrap w:val="0"/>
                  <w:tcMar>
                    <w:top w:w="0" w:type="dxa"/>
                    <w:left w:w="0" w:type="dxa"/>
                    <w:bottom w:w="0" w:type="dxa"/>
                    <w:right w:w="0" w:type="dxa"/>
                  </w:tcMar>
                  <w:vAlign w:val="center"/>
                </w:tcPr>
                <w:p w14:paraId="09D49E89">
                  <w:pPr>
                    <w:adjustRightInd w:val="0"/>
                    <w:snapToGrid w:val="0"/>
                    <w:jc w:val="center"/>
                    <w:rPr>
                      <w:b/>
                      <w:color w:val="auto"/>
                      <w:szCs w:val="21"/>
                    </w:rPr>
                  </w:pPr>
                  <w:r>
                    <w:rPr>
                      <w:b/>
                      <w:color w:val="auto"/>
                      <w:szCs w:val="21"/>
                    </w:rPr>
                    <w:t>环境功能区</w:t>
                  </w:r>
                </w:p>
              </w:tc>
              <w:tc>
                <w:tcPr>
                  <w:tcW w:w="502" w:type="pct"/>
                  <w:vMerge w:val="restart"/>
                  <w:noWrap w:val="0"/>
                  <w:tcMar>
                    <w:top w:w="0" w:type="dxa"/>
                    <w:left w:w="0" w:type="dxa"/>
                    <w:bottom w:w="0" w:type="dxa"/>
                    <w:right w:w="0" w:type="dxa"/>
                  </w:tcMar>
                  <w:vAlign w:val="center"/>
                </w:tcPr>
                <w:p w14:paraId="4DF58B89">
                  <w:pPr>
                    <w:adjustRightInd w:val="0"/>
                    <w:snapToGrid w:val="0"/>
                    <w:jc w:val="center"/>
                    <w:rPr>
                      <w:b/>
                      <w:color w:val="auto"/>
                      <w:szCs w:val="21"/>
                    </w:rPr>
                  </w:pPr>
                  <w:r>
                    <w:rPr>
                      <w:b/>
                      <w:color w:val="auto"/>
                      <w:szCs w:val="21"/>
                    </w:rPr>
                    <w:t>相对厂址方位</w:t>
                  </w:r>
                </w:p>
              </w:tc>
              <w:tc>
                <w:tcPr>
                  <w:tcW w:w="543" w:type="pct"/>
                  <w:vMerge w:val="restart"/>
                  <w:noWrap w:val="0"/>
                  <w:tcMar>
                    <w:top w:w="0" w:type="dxa"/>
                    <w:left w:w="0" w:type="dxa"/>
                    <w:bottom w:w="0" w:type="dxa"/>
                    <w:right w:w="0" w:type="dxa"/>
                  </w:tcMar>
                  <w:vAlign w:val="center"/>
                </w:tcPr>
                <w:p w14:paraId="397F238F">
                  <w:pPr>
                    <w:adjustRightInd w:val="0"/>
                    <w:snapToGrid w:val="0"/>
                    <w:jc w:val="center"/>
                    <w:rPr>
                      <w:b/>
                      <w:color w:val="auto"/>
                      <w:szCs w:val="21"/>
                    </w:rPr>
                  </w:pPr>
                  <w:r>
                    <w:rPr>
                      <w:b/>
                      <w:color w:val="auto"/>
                      <w:szCs w:val="21"/>
                    </w:rPr>
                    <w:t>相对厂界距离/m</w:t>
                  </w:r>
                </w:p>
              </w:tc>
            </w:tr>
            <w:tr w14:paraId="57308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pct"/>
                  <w:vMerge w:val="continue"/>
                  <w:noWrap w:val="0"/>
                  <w:tcMar>
                    <w:top w:w="0" w:type="dxa"/>
                    <w:left w:w="0" w:type="dxa"/>
                    <w:bottom w:w="0" w:type="dxa"/>
                    <w:right w:w="0" w:type="dxa"/>
                  </w:tcMar>
                  <w:vAlign w:val="center"/>
                </w:tcPr>
                <w:p w14:paraId="41B0B8BE">
                  <w:pPr>
                    <w:adjustRightInd w:val="0"/>
                    <w:snapToGrid w:val="0"/>
                    <w:jc w:val="center"/>
                    <w:rPr>
                      <w:color w:val="auto"/>
                      <w:szCs w:val="21"/>
                    </w:rPr>
                  </w:pPr>
                </w:p>
              </w:tc>
              <w:tc>
                <w:tcPr>
                  <w:tcW w:w="652" w:type="pct"/>
                  <w:noWrap w:val="0"/>
                  <w:tcMar>
                    <w:top w:w="0" w:type="dxa"/>
                    <w:left w:w="0" w:type="dxa"/>
                    <w:bottom w:w="0" w:type="dxa"/>
                    <w:right w:w="0" w:type="dxa"/>
                  </w:tcMar>
                  <w:vAlign w:val="center"/>
                </w:tcPr>
                <w:p w14:paraId="00DFD314">
                  <w:pPr>
                    <w:adjustRightInd w:val="0"/>
                    <w:snapToGrid w:val="0"/>
                    <w:jc w:val="center"/>
                    <w:rPr>
                      <w:b/>
                      <w:color w:val="auto"/>
                      <w:szCs w:val="21"/>
                    </w:rPr>
                  </w:pPr>
                  <w:r>
                    <w:rPr>
                      <w:b/>
                      <w:color w:val="auto"/>
                      <w:szCs w:val="21"/>
                    </w:rPr>
                    <w:t>X</w:t>
                  </w:r>
                </w:p>
              </w:tc>
              <w:tc>
                <w:tcPr>
                  <w:tcW w:w="625" w:type="pct"/>
                  <w:noWrap w:val="0"/>
                  <w:tcMar>
                    <w:top w:w="0" w:type="dxa"/>
                    <w:left w:w="0" w:type="dxa"/>
                    <w:bottom w:w="0" w:type="dxa"/>
                    <w:right w:w="0" w:type="dxa"/>
                  </w:tcMar>
                  <w:vAlign w:val="center"/>
                </w:tcPr>
                <w:p w14:paraId="28FEDAA6">
                  <w:pPr>
                    <w:adjustRightInd w:val="0"/>
                    <w:snapToGrid w:val="0"/>
                    <w:jc w:val="center"/>
                    <w:rPr>
                      <w:b/>
                      <w:color w:val="auto"/>
                      <w:szCs w:val="21"/>
                    </w:rPr>
                  </w:pPr>
                  <w:r>
                    <w:rPr>
                      <w:b/>
                      <w:color w:val="auto"/>
                      <w:szCs w:val="21"/>
                    </w:rPr>
                    <w:t>Y</w:t>
                  </w:r>
                </w:p>
              </w:tc>
              <w:tc>
                <w:tcPr>
                  <w:tcW w:w="575" w:type="pct"/>
                  <w:vMerge w:val="continue"/>
                  <w:noWrap w:val="0"/>
                  <w:tcMar>
                    <w:top w:w="0" w:type="dxa"/>
                    <w:left w:w="0" w:type="dxa"/>
                    <w:bottom w:w="0" w:type="dxa"/>
                    <w:right w:w="0" w:type="dxa"/>
                  </w:tcMar>
                  <w:vAlign w:val="center"/>
                </w:tcPr>
                <w:p w14:paraId="7A586322">
                  <w:pPr>
                    <w:adjustRightInd w:val="0"/>
                    <w:snapToGrid w:val="0"/>
                    <w:jc w:val="center"/>
                    <w:rPr>
                      <w:color w:val="auto"/>
                      <w:szCs w:val="21"/>
                    </w:rPr>
                  </w:pPr>
                </w:p>
              </w:tc>
              <w:tc>
                <w:tcPr>
                  <w:tcW w:w="768" w:type="pct"/>
                  <w:vMerge w:val="continue"/>
                  <w:noWrap w:val="0"/>
                  <w:tcMar>
                    <w:top w:w="0" w:type="dxa"/>
                    <w:left w:w="0" w:type="dxa"/>
                    <w:bottom w:w="0" w:type="dxa"/>
                    <w:right w:w="0" w:type="dxa"/>
                  </w:tcMar>
                  <w:vAlign w:val="center"/>
                </w:tcPr>
                <w:p w14:paraId="73E52585">
                  <w:pPr>
                    <w:adjustRightInd w:val="0"/>
                    <w:snapToGrid w:val="0"/>
                    <w:jc w:val="center"/>
                    <w:rPr>
                      <w:color w:val="auto"/>
                      <w:szCs w:val="21"/>
                    </w:rPr>
                  </w:pPr>
                </w:p>
              </w:tc>
              <w:tc>
                <w:tcPr>
                  <w:tcW w:w="509" w:type="pct"/>
                  <w:vMerge w:val="continue"/>
                  <w:noWrap w:val="0"/>
                  <w:tcMar>
                    <w:top w:w="0" w:type="dxa"/>
                    <w:left w:w="0" w:type="dxa"/>
                    <w:bottom w:w="0" w:type="dxa"/>
                    <w:right w:w="0" w:type="dxa"/>
                  </w:tcMar>
                  <w:vAlign w:val="center"/>
                </w:tcPr>
                <w:p w14:paraId="0BC1646E">
                  <w:pPr>
                    <w:adjustRightInd w:val="0"/>
                    <w:snapToGrid w:val="0"/>
                    <w:jc w:val="center"/>
                    <w:rPr>
                      <w:color w:val="auto"/>
                      <w:szCs w:val="21"/>
                    </w:rPr>
                  </w:pPr>
                </w:p>
              </w:tc>
              <w:tc>
                <w:tcPr>
                  <w:tcW w:w="502" w:type="pct"/>
                  <w:vMerge w:val="continue"/>
                  <w:noWrap w:val="0"/>
                  <w:tcMar>
                    <w:top w:w="0" w:type="dxa"/>
                    <w:left w:w="0" w:type="dxa"/>
                    <w:bottom w:w="0" w:type="dxa"/>
                    <w:right w:w="0" w:type="dxa"/>
                  </w:tcMar>
                  <w:vAlign w:val="center"/>
                </w:tcPr>
                <w:p w14:paraId="42700CFD">
                  <w:pPr>
                    <w:adjustRightInd w:val="0"/>
                    <w:snapToGrid w:val="0"/>
                    <w:jc w:val="center"/>
                    <w:rPr>
                      <w:color w:val="auto"/>
                      <w:szCs w:val="21"/>
                    </w:rPr>
                  </w:pPr>
                </w:p>
              </w:tc>
              <w:tc>
                <w:tcPr>
                  <w:tcW w:w="543" w:type="pct"/>
                  <w:vMerge w:val="continue"/>
                  <w:noWrap w:val="0"/>
                  <w:tcMar>
                    <w:top w:w="0" w:type="dxa"/>
                    <w:left w:w="0" w:type="dxa"/>
                    <w:bottom w:w="0" w:type="dxa"/>
                    <w:right w:w="0" w:type="dxa"/>
                  </w:tcMar>
                  <w:vAlign w:val="center"/>
                </w:tcPr>
                <w:p w14:paraId="21BDE3DB">
                  <w:pPr>
                    <w:adjustRightInd w:val="0"/>
                    <w:snapToGrid w:val="0"/>
                    <w:jc w:val="center"/>
                    <w:rPr>
                      <w:color w:val="auto"/>
                      <w:szCs w:val="21"/>
                    </w:rPr>
                  </w:pPr>
                </w:p>
              </w:tc>
            </w:tr>
            <w:tr w14:paraId="589F0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22" w:type="pct"/>
                  <w:noWrap w:val="0"/>
                  <w:tcMar>
                    <w:top w:w="0" w:type="dxa"/>
                    <w:left w:w="0" w:type="dxa"/>
                    <w:bottom w:w="0" w:type="dxa"/>
                    <w:right w:w="0" w:type="dxa"/>
                  </w:tcMar>
                  <w:vAlign w:val="center"/>
                </w:tcPr>
                <w:p w14:paraId="220BEFB9">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东方一村</w:t>
                  </w:r>
                </w:p>
              </w:tc>
              <w:tc>
                <w:tcPr>
                  <w:tcW w:w="652" w:type="pct"/>
                  <w:noWrap w:val="0"/>
                  <w:tcMar>
                    <w:top w:w="0" w:type="dxa"/>
                    <w:left w:w="0" w:type="dxa"/>
                    <w:bottom w:w="0" w:type="dxa"/>
                    <w:right w:w="0" w:type="dxa"/>
                  </w:tcMar>
                  <w:vAlign w:val="center"/>
                </w:tcPr>
                <w:p w14:paraId="5440BB1D">
                  <w:pPr>
                    <w:adjustRightInd w:val="0"/>
                    <w:snapToGrid w:val="0"/>
                    <w:jc w:val="center"/>
                    <w:rPr>
                      <w:color w:val="auto"/>
                      <w:szCs w:val="21"/>
                    </w:rPr>
                  </w:pPr>
                  <w:r>
                    <w:rPr>
                      <w:rFonts w:hint="eastAsia"/>
                      <w:color w:val="auto"/>
                      <w:szCs w:val="21"/>
                    </w:rPr>
                    <w:t>119.605048</w:t>
                  </w:r>
                </w:p>
              </w:tc>
              <w:tc>
                <w:tcPr>
                  <w:tcW w:w="625" w:type="pct"/>
                  <w:noWrap w:val="0"/>
                  <w:tcMar>
                    <w:top w:w="0" w:type="dxa"/>
                    <w:left w:w="0" w:type="dxa"/>
                    <w:bottom w:w="0" w:type="dxa"/>
                    <w:right w:w="0" w:type="dxa"/>
                  </w:tcMar>
                  <w:vAlign w:val="center"/>
                </w:tcPr>
                <w:p w14:paraId="69BFD54D">
                  <w:pPr>
                    <w:adjustRightInd w:val="0"/>
                    <w:snapToGrid w:val="0"/>
                    <w:jc w:val="center"/>
                    <w:rPr>
                      <w:color w:val="auto"/>
                      <w:szCs w:val="21"/>
                    </w:rPr>
                  </w:pPr>
                  <w:r>
                    <w:rPr>
                      <w:rFonts w:hint="eastAsia"/>
                      <w:color w:val="auto"/>
                      <w:szCs w:val="21"/>
                    </w:rPr>
                    <w:t>31.761048</w:t>
                  </w:r>
                </w:p>
              </w:tc>
              <w:tc>
                <w:tcPr>
                  <w:tcW w:w="575" w:type="pct"/>
                  <w:noWrap w:val="0"/>
                  <w:tcMar>
                    <w:top w:w="0" w:type="dxa"/>
                    <w:left w:w="0" w:type="dxa"/>
                    <w:bottom w:w="0" w:type="dxa"/>
                    <w:right w:w="0" w:type="dxa"/>
                  </w:tcMar>
                  <w:vAlign w:val="center"/>
                </w:tcPr>
                <w:p w14:paraId="1984BEDC">
                  <w:pPr>
                    <w:pStyle w:val="47"/>
                    <w:spacing w:beforeLines="0" w:afterLines="0" w:line="240" w:lineRule="auto"/>
                    <w:ind w:firstLine="0" w:firstLineChars="0"/>
                    <w:textAlignment w:val="auto"/>
                    <w:rPr>
                      <w:rFonts w:hint="default" w:ascii="Times New Roman" w:hAnsi="Times New Roman" w:eastAsia="宋体"/>
                      <w:b w:val="0"/>
                      <w:color w:val="auto"/>
                      <w:sz w:val="21"/>
                      <w:szCs w:val="21"/>
                      <w:lang w:val="en-US" w:eastAsia="zh-CN"/>
                    </w:rPr>
                  </w:pPr>
                  <w:r>
                    <w:rPr>
                      <w:rFonts w:hint="eastAsia" w:ascii="Times New Roman" w:hAnsi="Times New Roman" w:eastAsia="宋体"/>
                      <w:b w:val="0"/>
                      <w:color w:val="auto"/>
                      <w:sz w:val="21"/>
                      <w:szCs w:val="21"/>
                      <w:lang w:val="en-US" w:eastAsia="zh-CN"/>
                    </w:rPr>
                    <w:t>居民</w:t>
                  </w:r>
                </w:p>
              </w:tc>
              <w:tc>
                <w:tcPr>
                  <w:tcW w:w="768" w:type="pct"/>
                  <w:noWrap w:val="0"/>
                  <w:tcMar>
                    <w:top w:w="0" w:type="dxa"/>
                    <w:left w:w="0" w:type="dxa"/>
                    <w:bottom w:w="0" w:type="dxa"/>
                    <w:right w:w="0" w:type="dxa"/>
                  </w:tcMar>
                  <w:vAlign w:val="center"/>
                </w:tcPr>
                <w:p w14:paraId="4C9D64DE">
                  <w:pPr>
                    <w:jc w:val="center"/>
                    <w:rPr>
                      <w:rFonts w:hint="default" w:eastAsia="宋体"/>
                      <w:color w:val="auto"/>
                      <w:szCs w:val="21"/>
                      <w:lang w:val="en-US" w:eastAsia="zh-CN"/>
                    </w:rPr>
                  </w:pPr>
                  <w:r>
                    <w:rPr>
                      <w:rFonts w:hint="eastAsia"/>
                      <w:color w:val="auto"/>
                      <w:szCs w:val="21"/>
                      <w:lang w:val="en-US" w:eastAsia="zh-CN"/>
                    </w:rPr>
                    <w:t>约180人</w:t>
                  </w:r>
                </w:p>
              </w:tc>
              <w:tc>
                <w:tcPr>
                  <w:tcW w:w="509" w:type="pct"/>
                  <w:noWrap w:val="0"/>
                  <w:tcMar>
                    <w:top w:w="0" w:type="dxa"/>
                    <w:left w:w="0" w:type="dxa"/>
                    <w:bottom w:w="0" w:type="dxa"/>
                    <w:right w:w="0" w:type="dxa"/>
                  </w:tcMar>
                  <w:vAlign w:val="center"/>
                </w:tcPr>
                <w:p w14:paraId="2E968B3F">
                  <w:pPr>
                    <w:pStyle w:val="47"/>
                    <w:spacing w:beforeLines="0" w:afterLines="0" w:line="240" w:lineRule="auto"/>
                    <w:ind w:firstLine="0" w:firstLineChars="0"/>
                    <w:textAlignment w:val="auto"/>
                    <w:rPr>
                      <w:rFonts w:ascii="Times New Roman" w:hAnsi="Times New Roman" w:eastAsia="宋体"/>
                      <w:b w:val="0"/>
                      <w:color w:val="auto"/>
                      <w:sz w:val="21"/>
                      <w:szCs w:val="21"/>
                    </w:rPr>
                  </w:pPr>
                  <w:r>
                    <w:rPr>
                      <w:rFonts w:ascii="Times New Roman" w:hAnsi="Times New Roman" w:eastAsia="宋体"/>
                      <w:b w:val="0"/>
                      <w:color w:val="auto"/>
                      <w:sz w:val="21"/>
                      <w:szCs w:val="21"/>
                    </w:rPr>
                    <w:t>二类区</w:t>
                  </w:r>
                </w:p>
              </w:tc>
              <w:tc>
                <w:tcPr>
                  <w:tcW w:w="502" w:type="pct"/>
                  <w:noWrap w:val="0"/>
                  <w:tcMar>
                    <w:top w:w="0" w:type="dxa"/>
                    <w:left w:w="0" w:type="dxa"/>
                    <w:bottom w:w="0" w:type="dxa"/>
                    <w:right w:w="0" w:type="dxa"/>
                  </w:tcMar>
                  <w:vAlign w:val="center"/>
                </w:tcPr>
                <w:p w14:paraId="382B831C">
                  <w:pPr>
                    <w:jc w:val="center"/>
                    <w:rPr>
                      <w:rFonts w:hint="eastAsia" w:eastAsia="宋体"/>
                      <w:color w:val="auto"/>
                      <w:szCs w:val="21"/>
                      <w:lang w:eastAsia="zh-CN"/>
                    </w:rPr>
                  </w:pPr>
                  <w:r>
                    <w:rPr>
                      <w:rFonts w:hint="eastAsia"/>
                      <w:color w:val="auto"/>
                      <w:szCs w:val="21"/>
                      <w:lang w:val="en-US" w:eastAsia="zh-CN"/>
                    </w:rPr>
                    <w:t>西北</w:t>
                  </w:r>
                </w:p>
              </w:tc>
              <w:tc>
                <w:tcPr>
                  <w:tcW w:w="543" w:type="pct"/>
                  <w:noWrap w:val="0"/>
                  <w:tcMar>
                    <w:top w:w="0" w:type="dxa"/>
                    <w:left w:w="0" w:type="dxa"/>
                    <w:bottom w:w="0" w:type="dxa"/>
                    <w:right w:w="0" w:type="dxa"/>
                  </w:tcMar>
                  <w:vAlign w:val="center"/>
                </w:tcPr>
                <w:p w14:paraId="4336AE4E">
                  <w:pPr>
                    <w:jc w:val="center"/>
                    <w:rPr>
                      <w:rFonts w:hint="default" w:eastAsia="宋体"/>
                      <w:color w:val="auto"/>
                      <w:szCs w:val="21"/>
                      <w:lang w:val="en-US" w:eastAsia="zh-CN"/>
                    </w:rPr>
                  </w:pPr>
                  <w:r>
                    <w:rPr>
                      <w:rFonts w:hint="eastAsia"/>
                      <w:color w:val="auto"/>
                      <w:szCs w:val="21"/>
                      <w:lang w:val="en-US" w:eastAsia="zh-CN"/>
                    </w:rPr>
                    <w:t>416</w:t>
                  </w:r>
                </w:p>
              </w:tc>
            </w:tr>
            <w:tr w14:paraId="18274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pct"/>
                  <w:noWrap w:val="0"/>
                  <w:tcMar>
                    <w:top w:w="0" w:type="dxa"/>
                    <w:left w:w="0" w:type="dxa"/>
                    <w:bottom w:w="0" w:type="dxa"/>
                    <w:right w:w="0" w:type="dxa"/>
                  </w:tcMar>
                  <w:vAlign w:val="center"/>
                </w:tcPr>
                <w:p w14:paraId="36A50B89">
                  <w:pPr>
                    <w:autoSpaceDE w:val="0"/>
                    <w:autoSpaceDN w:val="0"/>
                    <w:adjustRightInd w:val="0"/>
                    <w:jc w:val="center"/>
                    <w:rPr>
                      <w:rFonts w:hint="default"/>
                      <w:color w:val="auto"/>
                      <w:szCs w:val="21"/>
                      <w:lang w:val="en-US" w:eastAsia="zh-CN"/>
                    </w:rPr>
                  </w:pPr>
                  <w:r>
                    <w:rPr>
                      <w:rFonts w:hint="eastAsia"/>
                      <w:color w:val="auto"/>
                      <w:szCs w:val="21"/>
                      <w:lang w:val="en-US" w:eastAsia="zh-CN"/>
                    </w:rPr>
                    <w:t>东下塘</w:t>
                  </w:r>
                </w:p>
              </w:tc>
              <w:tc>
                <w:tcPr>
                  <w:tcW w:w="652" w:type="pct"/>
                  <w:noWrap w:val="0"/>
                  <w:tcMar>
                    <w:top w:w="0" w:type="dxa"/>
                    <w:left w:w="0" w:type="dxa"/>
                    <w:bottom w:w="0" w:type="dxa"/>
                    <w:right w:w="0" w:type="dxa"/>
                  </w:tcMar>
                  <w:vAlign w:val="center"/>
                </w:tcPr>
                <w:p w14:paraId="25AAF874">
                  <w:pPr>
                    <w:adjustRightInd w:val="0"/>
                    <w:snapToGrid w:val="0"/>
                    <w:jc w:val="center"/>
                    <w:rPr>
                      <w:rFonts w:hint="eastAsia"/>
                      <w:color w:val="auto"/>
                      <w:szCs w:val="21"/>
                    </w:rPr>
                  </w:pPr>
                  <w:r>
                    <w:rPr>
                      <w:rFonts w:hint="eastAsia"/>
                      <w:color w:val="auto"/>
                      <w:szCs w:val="21"/>
                    </w:rPr>
                    <w:t>119.605681</w:t>
                  </w:r>
                </w:p>
              </w:tc>
              <w:tc>
                <w:tcPr>
                  <w:tcW w:w="625" w:type="pct"/>
                  <w:noWrap w:val="0"/>
                  <w:tcMar>
                    <w:top w:w="0" w:type="dxa"/>
                    <w:left w:w="0" w:type="dxa"/>
                    <w:bottom w:w="0" w:type="dxa"/>
                    <w:right w:w="0" w:type="dxa"/>
                  </w:tcMar>
                  <w:vAlign w:val="center"/>
                </w:tcPr>
                <w:p w14:paraId="721861AA">
                  <w:pPr>
                    <w:adjustRightInd w:val="0"/>
                    <w:snapToGrid w:val="0"/>
                    <w:jc w:val="center"/>
                    <w:rPr>
                      <w:rFonts w:hint="eastAsia"/>
                      <w:color w:val="auto"/>
                      <w:szCs w:val="21"/>
                    </w:rPr>
                  </w:pPr>
                  <w:r>
                    <w:rPr>
                      <w:rFonts w:hint="eastAsia"/>
                      <w:color w:val="auto"/>
                      <w:szCs w:val="21"/>
                    </w:rPr>
                    <w:t>31.758848</w:t>
                  </w:r>
                </w:p>
              </w:tc>
              <w:tc>
                <w:tcPr>
                  <w:tcW w:w="575" w:type="pct"/>
                  <w:noWrap w:val="0"/>
                  <w:tcMar>
                    <w:top w:w="0" w:type="dxa"/>
                    <w:left w:w="0" w:type="dxa"/>
                    <w:bottom w:w="0" w:type="dxa"/>
                    <w:right w:w="0" w:type="dxa"/>
                  </w:tcMar>
                  <w:vAlign w:val="center"/>
                </w:tcPr>
                <w:p w14:paraId="43200FF1">
                  <w:pPr>
                    <w:pStyle w:val="47"/>
                    <w:spacing w:beforeLines="0" w:afterLines="0" w:line="240" w:lineRule="auto"/>
                    <w:ind w:firstLine="0" w:firstLineChars="0"/>
                    <w:textAlignment w:val="auto"/>
                    <w:rPr>
                      <w:rFonts w:hint="eastAsia" w:ascii="Times New Roman" w:hAnsi="Times New Roman" w:eastAsia="宋体"/>
                      <w:b w:val="0"/>
                      <w:color w:val="auto"/>
                      <w:sz w:val="21"/>
                      <w:szCs w:val="21"/>
                      <w:lang w:eastAsia="zh-CN"/>
                    </w:rPr>
                  </w:pPr>
                  <w:r>
                    <w:rPr>
                      <w:rFonts w:hint="eastAsia" w:ascii="Times New Roman" w:hAnsi="Times New Roman" w:eastAsia="宋体"/>
                      <w:b w:val="0"/>
                      <w:color w:val="auto"/>
                      <w:sz w:val="21"/>
                      <w:szCs w:val="21"/>
                      <w:lang w:val="en-US" w:eastAsia="zh-CN"/>
                    </w:rPr>
                    <w:t>居民</w:t>
                  </w:r>
                </w:p>
              </w:tc>
              <w:tc>
                <w:tcPr>
                  <w:tcW w:w="768" w:type="pct"/>
                  <w:noWrap w:val="0"/>
                  <w:tcMar>
                    <w:top w:w="0" w:type="dxa"/>
                    <w:left w:w="0" w:type="dxa"/>
                    <w:bottom w:w="0" w:type="dxa"/>
                    <w:right w:w="0" w:type="dxa"/>
                  </w:tcMar>
                  <w:vAlign w:val="center"/>
                </w:tcPr>
                <w:p w14:paraId="4C7C1064">
                  <w:pPr>
                    <w:jc w:val="center"/>
                    <w:rPr>
                      <w:rFonts w:hint="default"/>
                      <w:color w:val="auto"/>
                      <w:szCs w:val="21"/>
                      <w:lang w:val="en-US" w:eastAsia="zh-CN"/>
                    </w:rPr>
                  </w:pPr>
                  <w:r>
                    <w:rPr>
                      <w:rFonts w:hint="eastAsia"/>
                      <w:color w:val="auto"/>
                      <w:szCs w:val="21"/>
                      <w:lang w:val="en-US" w:eastAsia="zh-CN"/>
                    </w:rPr>
                    <w:t>约420人</w:t>
                  </w:r>
                </w:p>
              </w:tc>
              <w:tc>
                <w:tcPr>
                  <w:tcW w:w="509" w:type="pct"/>
                  <w:noWrap w:val="0"/>
                  <w:tcMar>
                    <w:top w:w="0" w:type="dxa"/>
                    <w:left w:w="0" w:type="dxa"/>
                    <w:bottom w:w="0" w:type="dxa"/>
                    <w:right w:w="0" w:type="dxa"/>
                  </w:tcMar>
                  <w:vAlign w:val="center"/>
                </w:tcPr>
                <w:p w14:paraId="058DE14D">
                  <w:pPr>
                    <w:pStyle w:val="47"/>
                    <w:spacing w:beforeLines="0" w:afterLines="0" w:line="240" w:lineRule="auto"/>
                    <w:ind w:firstLine="0" w:firstLineChars="0"/>
                    <w:textAlignment w:val="auto"/>
                    <w:rPr>
                      <w:rFonts w:ascii="Times New Roman" w:hAnsi="Times New Roman" w:eastAsia="宋体"/>
                      <w:b w:val="0"/>
                      <w:color w:val="auto"/>
                      <w:sz w:val="21"/>
                      <w:szCs w:val="21"/>
                    </w:rPr>
                  </w:pPr>
                  <w:r>
                    <w:rPr>
                      <w:rFonts w:ascii="Times New Roman" w:hAnsi="Times New Roman" w:eastAsia="宋体"/>
                      <w:b w:val="0"/>
                      <w:color w:val="auto"/>
                      <w:sz w:val="21"/>
                      <w:szCs w:val="21"/>
                    </w:rPr>
                    <w:t>二类区</w:t>
                  </w:r>
                </w:p>
              </w:tc>
              <w:tc>
                <w:tcPr>
                  <w:tcW w:w="502" w:type="pct"/>
                  <w:noWrap w:val="0"/>
                  <w:tcMar>
                    <w:top w:w="0" w:type="dxa"/>
                    <w:left w:w="0" w:type="dxa"/>
                    <w:bottom w:w="0" w:type="dxa"/>
                    <w:right w:w="0" w:type="dxa"/>
                  </w:tcMar>
                  <w:vAlign w:val="center"/>
                </w:tcPr>
                <w:p w14:paraId="764FFB2F">
                  <w:pPr>
                    <w:jc w:val="center"/>
                    <w:rPr>
                      <w:rFonts w:hint="default"/>
                      <w:color w:val="auto"/>
                      <w:szCs w:val="21"/>
                      <w:lang w:val="en-US" w:eastAsia="zh-CN"/>
                    </w:rPr>
                  </w:pPr>
                  <w:r>
                    <w:rPr>
                      <w:rFonts w:hint="eastAsia"/>
                      <w:color w:val="auto"/>
                      <w:szCs w:val="21"/>
                      <w:lang w:val="en-US" w:eastAsia="zh-CN"/>
                    </w:rPr>
                    <w:t>西</w:t>
                  </w:r>
                </w:p>
              </w:tc>
              <w:tc>
                <w:tcPr>
                  <w:tcW w:w="543" w:type="pct"/>
                  <w:noWrap w:val="0"/>
                  <w:tcMar>
                    <w:top w:w="0" w:type="dxa"/>
                    <w:left w:w="0" w:type="dxa"/>
                    <w:bottom w:w="0" w:type="dxa"/>
                    <w:right w:w="0" w:type="dxa"/>
                  </w:tcMar>
                  <w:vAlign w:val="center"/>
                </w:tcPr>
                <w:p w14:paraId="3B1502A0">
                  <w:pPr>
                    <w:jc w:val="center"/>
                    <w:rPr>
                      <w:rFonts w:hint="default"/>
                      <w:color w:val="auto"/>
                      <w:szCs w:val="21"/>
                      <w:lang w:val="en-US" w:eastAsia="zh-CN"/>
                    </w:rPr>
                  </w:pPr>
                  <w:r>
                    <w:rPr>
                      <w:rFonts w:hint="eastAsia"/>
                      <w:color w:val="auto"/>
                      <w:szCs w:val="21"/>
                      <w:lang w:val="en-US" w:eastAsia="zh-CN"/>
                    </w:rPr>
                    <w:t>320</w:t>
                  </w:r>
                </w:p>
              </w:tc>
            </w:tr>
            <w:tr w14:paraId="1E87A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pct"/>
                  <w:noWrap w:val="0"/>
                  <w:tcMar>
                    <w:top w:w="0" w:type="dxa"/>
                    <w:left w:w="0" w:type="dxa"/>
                    <w:bottom w:w="0" w:type="dxa"/>
                    <w:right w:w="0" w:type="dxa"/>
                  </w:tcMar>
                  <w:vAlign w:val="center"/>
                </w:tcPr>
                <w:p w14:paraId="78FC0F36">
                  <w:pPr>
                    <w:autoSpaceDE w:val="0"/>
                    <w:autoSpaceDN w:val="0"/>
                    <w:adjustRightInd w:val="0"/>
                    <w:jc w:val="center"/>
                    <w:rPr>
                      <w:rFonts w:hint="default"/>
                      <w:color w:val="auto"/>
                      <w:szCs w:val="21"/>
                      <w:lang w:val="en-US" w:eastAsia="zh-CN"/>
                    </w:rPr>
                  </w:pPr>
                  <w:r>
                    <w:rPr>
                      <w:rFonts w:hint="eastAsia"/>
                      <w:color w:val="auto"/>
                      <w:szCs w:val="21"/>
                      <w:lang w:val="en-US" w:eastAsia="zh-CN"/>
                    </w:rPr>
                    <w:t>双墩村</w:t>
                  </w:r>
                </w:p>
              </w:tc>
              <w:tc>
                <w:tcPr>
                  <w:tcW w:w="652" w:type="pct"/>
                  <w:noWrap w:val="0"/>
                  <w:tcMar>
                    <w:top w:w="0" w:type="dxa"/>
                    <w:left w:w="0" w:type="dxa"/>
                    <w:bottom w:w="0" w:type="dxa"/>
                    <w:right w:w="0" w:type="dxa"/>
                  </w:tcMar>
                  <w:vAlign w:val="center"/>
                </w:tcPr>
                <w:p w14:paraId="108E440F">
                  <w:pPr>
                    <w:adjustRightInd w:val="0"/>
                    <w:snapToGrid w:val="0"/>
                    <w:jc w:val="center"/>
                    <w:rPr>
                      <w:rFonts w:hint="eastAsia"/>
                      <w:color w:val="auto"/>
                      <w:szCs w:val="21"/>
                    </w:rPr>
                  </w:pPr>
                  <w:r>
                    <w:rPr>
                      <w:rFonts w:hint="eastAsia"/>
                      <w:color w:val="auto"/>
                      <w:szCs w:val="21"/>
                    </w:rPr>
                    <w:t>119.610188</w:t>
                  </w:r>
                </w:p>
              </w:tc>
              <w:tc>
                <w:tcPr>
                  <w:tcW w:w="625" w:type="pct"/>
                  <w:noWrap w:val="0"/>
                  <w:tcMar>
                    <w:top w:w="0" w:type="dxa"/>
                    <w:left w:w="0" w:type="dxa"/>
                    <w:bottom w:w="0" w:type="dxa"/>
                    <w:right w:w="0" w:type="dxa"/>
                  </w:tcMar>
                  <w:vAlign w:val="center"/>
                </w:tcPr>
                <w:p w14:paraId="187D3A3B">
                  <w:pPr>
                    <w:adjustRightInd w:val="0"/>
                    <w:snapToGrid w:val="0"/>
                    <w:jc w:val="center"/>
                    <w:rPr>
                      <w:rFonts w:hint="eastAsia"/>
                      <w:color w:val="auto"/>
                      <w:szCs w:val="21"/>
                    </w:rPr>
                  </w:pPr>
                  <w:r>
                    <w:rPr>
                      <w:rFonts w:hint="eastAsia"/>
                      <w:color w:val="auto"/>
                      <w:szCs w:val="21"/>
                    </w:rPr>
                    <w:t>31.756488</w:t>
                  </w:r>
                </w:p>
              </w:tc>
              <w:tc>
                <w:tcPr>
                  <w:tcW w:w="575" w:type="pct"/>
                  <w:noWrap w:val="0"/>
                  <w:tcMar>
                    <w:top w:w="0" w:type="dxa"/>
                    <w:left w:w="0" w:type="dxa"/>
                    <w:bottom w:w="0" w:type="dxa"/>
                    <w:right w:w="0" w:type="dxa"/>
                  </w:tcMar>
                  <w:vAlign w:val="center"/>
                </w:tcPr>
                <w:p w14:paraId="5268154D">
                  <w:pPr>
                    <w:pStyle w:val="47"/>
                    <w:spacing w:beforeLines="0" w:afterLines="0" w:line="240" w:lineRule="auto"/>
                    <w:ind w:firstLine="0" w:firstLineChars="0"/>
                    <w:textAlignment w:val="auto"/>
                    <w:rPr>
                      <w:rFonts w:hint="eastAsia" w:ascii="Times New Roman" w:hAnsi="Times New Roman" w:eastAsia="宋体"/>
                      <w:b w:val="0"/>
                      <w:color w:val="auto"/>
                      <w:sz w:val="21"/>
                      <w:szCs w:val="21"/>
                      <w:lang w:eastAsia="zh-CN"/>
                    </w:rPr>
                  </w:pPr>
                  <w:r>
                    <w:rPr>
                      <w:rFonts w:hint="eastAsia" w:ascii="Times New Roman" w:hAnsi="Times New Roman" w:eastAsia="宋体"/>
                      <w:b w:val="0"/>
                      <w:color w:val="auto"/>
                      <w:sz w:val="21"/>
                      <w:szCs w:val="21"/>
                      <w:lang w:val="en-US" w:eastAsia="zh-CN"/>
                    </w:rPr>
                    <w:t>居民</w:t>
                  </w:r>
                </w:p>
              </w:tc>
              <w:tc>
                <w:tcPr>
                  <w:tcW w:w="768" w:type="pct"/>
                  <w:noWrap w:val="0"/>
                  <w:tcMar>
                    <w:top w:w="0" w:type="dxa"/>
                    <w:left w:w="0" w:type="dxa"/>
                    <w:bottom w:w="0" w:type="dxa"/>
                    <w:right w:w="0" w:type="dxa"/>
                  </w:tcMar>
                  <w:vAlign w:val="center"/>
                </w:tcPr>
                <w:p w14:paraId="07DB0AE4">
                  <w:pPr>
                    <w:jc w:val="center"/>
                    <w:rPr>
                      <w:rFonts w:hint="default"/>
                      <w:color w:val="auto"/>
                      <w:szCs w:val="21"/>
                      <w:lang w:val="en-US" w:eastAsia="zh-CN"/>
                    </w:rPr>
                  </w:pPr>
                  <w:r>
                    <w:rPr>
                      <w:rFonts w:hint="eastAsia"/>
                      <w:color w:val="auto"/>
                      <w:szCs w:val="21"/>
                      <w:lang w:val="en-US" w:eastAsia="zh-CN"/>
                    </w:rPr>
                    <w:t>约70人</w:t>
                  </w:r>
                </w:p>
              </w:tc>
              <w:tc>
                <w:tcPr>
                  <w:tcW w:w="509" w:type="pct"/>
                  <w:noWrap w:val="0"/>
                  <w:tcMar>
                    <w:top w:w="0" w:type="dxa"/>
                    <w:left w:w="0" w:type="dxa"/>
                    <w:bottom w:w="0" w:type="dxa"/>
                    <w:right w:w="0" w:type="dxa"/>
                  </w:tcMar>
                  <w:vAlign w:val="center"/>
                </w:tcPr>
                <w:p w14:paraId="4FE786CA">
                  <w:pPr>
                    <w:pStyle w:val="47"/>
                    <w:spacing w:beforeLines="0" w:afterLines="0" w:line="240" w:lineRule="auto"/>
                    <w:ind w:firstLine="0" w:firstLineChars="0"/>
                    <w:textAlignment w:val="auto"/>
                    <w:rPr>
                      <w:rFonts w:ascii="Times New Roman" w:hAnsi="Times New Roman" w:eastAsia="宋体"/>
                      <w:b w:val="0"/>
                      <w:color w:val="auto"/>
                      <w:sz w:val="21"/>
                      <w:szCs w:val="21"/>
                    </w:rPr>
                  </w:pPr>
                  <w:r>
                    <w:rPr>
                      <w:rFonts w:ascii="Times New Roman" w:hAnsi="Times New Roman" w:eastAsia="宋体"/>
                      <w:b w:val="0"/>
                      <w:color w:val="auto"/>
                      <w:sz w:val="21"/>
                      <w:szCs w:val="21"/>
                    </w:rPr>
                    <w:t>二类区</w:t>
                  </w:r>
                </w:p>
              </w:tc>
              <w:tc>
                <w:tcPr>
                  <w:tcW w:w="502" w:type="pct"/>
                  <w:noWrap w:val="0"/>
                  <w:tcMar>
                    <w:top w:w="0" w:type="dxa"/>
                    <w:left w:w="0" w:type="dxa"/>
                    <w:bottom w:w="0" w:type="dxa"/>
                    <w:right w:w="0" w:type="dxa"/>
                  </w:tcMar>
                  <w:vAlign w:val="center"/>
                </w:tcPr>
                <w:p w14:paraId="0E500B50">
                  <w:pPr>
                    <w:jc w:val="center"/>
                    <w:rPr>
                      <w:rFonts w:hint="default"/>
                      <w:color w:val="auto"/>
                      <w:szCs w:val="21"/>
                      <w:lang w:val="en-US" w:eastAsia="zh-CN"/>
                    </w:rPr>
                  </w:pPr>
                  <w:r>
                    <w:rPr>
                      <w:rFonts w:hint="eastAsia"/>
                      <w:color w:val="auto"/>
                      <w:szCs w:val="21"/>
                      <w:lang w:val="en-US" w:eastAsia="zh-CN"/>
                    </w:rPr>
                    <w:t>东南</w:t>
                  </w:r>
                </w:p>
              </w:tc>
              <w:tc>
                <w:tcPr>
                  <w:tcW w:w="543" w:type="pct"/>
                  <w:noWrap w:val="0"/>
                  <w:tcMar>
                    <w:top w:w="0" w:type="dxa"/>
                    <w:left w:w="0" w:type="dxa"/>
                    <w:bottom w:w="0" w:type="dxa"/>
                    <w:right w:w="0" w:type="dxa"/>
                  </w:tcMar>
                  <w:vAlign w:val="center"/>
                </w:tcPr>
                <w:p w14:paraId="1ADC6AB0">
                  <w:pPr>
                    <w:jc w:val="center"/>
                    <w:rPr>
                      <w:rFonts w:hint="default"/>
                      <w:color w:val="auto"/>
                      <w:szCs w:val="21"/>
                      <w:lang w:val="en-US" w:eastAsia="zh-CN"/>
                    </w:rPr>
                  </w:pPr>
                  <w:r>
                    <w:rPr>
                      <w:rFonts w:hint="eastAsia"/>
                      <w:color w:val="auto"/>
                      <w:szCs w:val="21"/>
                      <w:lang w:val="en-US" w:eastAsia="zh-CN"/>
                    </w:rPr>
                    <w:t>215</w:t>
                  </w:r>
                </w:p>
              </w:tc>
            </w:tr>
            <w:tr w14:paraId="70836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2" w:type="pct"/>
                  <w:noWrap w:val="0"/>
                  <w:tcMar>
                    <w:top w:w="0" w:type="dxa"/>
                    <w:left w:w="0" w:type="dxa"/>
                    <w:bottom w:w="0" w:type="dxa"/>
                    <w:right w:w="0" w:type="dxa"/>
                  </w:tcMar>
                  <w:vAlign w:val="center"/>
                </w:tcPr>
                <w:p w14:paraId="1BC49E44">
                  <w:pPr>
                    <w:autoSpaceDE w:val="0"/>
                    <w:autoSpaceDN w:val="0"/>
                    <w:adjustRightInd w:val="0"/>
                    <w:jc w:val="center"/>
                    <w:rPr>
                      <w:rFonts w:hint="default"/>
                      <w:color w:val="auto"/>
                      <w:szCs w:val="21"/>
                      <w:lang w:val="en-US" w:eastAsia="zh-CN"/>
                    </w:rPr>
                  </w:pPr>
                  <w:r>
                    <w:rPr>
                      <w:rFonts w:hint="eastAsia"/>
                      <w:color w:val="auto"/>
                      <w:szCs w:val="21"/>
                      <w:lang w:val="en-US" w:eastAsia="zh-CN"/>
                    </w:rPr>
                    <w:t>东方新都</w:t>
                  </w:r>
                </w:p>
              </w:tc>
              <w:tc>
                <w:tcPr>
                  <w:tcW w:w="652" w:type="pct"/>
                  <w:noWrap w:val="0"/>
                  <w:tcMar>
                    <w:top w:w="0" w:type="dxa"/>
                    <w:left w:w="0" w:type="dxa"/>
                    <w:bottom w:w="0" w:type="dxa"/>
                    <w:right w:w="0" w:type="dxa"/>
                  </w:tcMar>
                  <w:vAlign w:val="center"/>
                </w:tcPr>
                <w:p w14:paraId="17C44BD5">
                  <w:pPr>
                    <w:adjustRightInd w:val="0"/>
                    <w:snapToGrid w:val="0"/>
                    <w:jc w:val="center"/>
                    <w:rPr>
                      <w:rFonts w:hint="eastAsia"/>
                      <w:color w:val="auto"/>
                      <w:szCs w:val="21"/>
                    </w:rPr>
                  </w:pPr>
                  <w:r>
                    <w:rPr>
                      <w:rFonts w:hint="eastAsia"/>
                      <w:color w:val="auto"/>
                      <w:szCs w:val="21"/>
                    </w:rPr>
                    <w:t>119.612580</w:t>
                  </w:r>
                </w:p>
              </w:tc>
              <w:tc>
                <w:tcPr>
                  <w:tcW w:w="625" w:type="pct"/>
                  <w:noWrap w:val="0"/>
                  <w:tcMar>
                    <w:top w:w="0" w:type="dxa"/>
                    <w:left w:w="0" w:type="dxa"/>
                    <w:bottom w:w="0" w:type="dxa"/>
                    <w:right w:w="0" w:type="dxa"/>
                  </w:tcMar>
                  <w:vAlign w:val="center"/>
                </w:tcPr>
                <w:p w14:paraId="1624045B">
                  <w:pPr>
                    <w:adjustRightInd w:val="0"/>
                    <w:snapToGrid w:val="0"/>
                    <w:jc w:val="center"/>
                    <w:rPr>
                      <w:rFonts w:hint="eastAsia"/>
                      <w:color w:val="auto"/>
                      <w:szCs w:val="21"/>
                    </w:rPr>
                  </w:pPr>
                  <w:r>
                    <w:rPr>
                      <w:rFonts w:hint="eastAsia"/>
                      <w:color w:val="auto"/>
                      <w:szCs w:val="21"/>
                    </w:rPr>
                    <w:t>31.758827</w:t>
                  </w:r>
                </w:p>
              </w:tc>
              <w:tc>
                <w:tcPr>
                  <w:tcW w:w="575" w:type="pct"/>
                  <w:noWrap w:val="0"/>
                  <w:tcMar>
                    <w:top w:w="0" w:type="dxa"/>
                    <w:left w:w="0" w:type="dxa"/>
                    <w:bottom w:w="0" w:type="dxa"/>
                    <w:right w:w="0" w:type="dxa"/>
                  </w:tcMar>
                  <w:vAlign w:val="center"/>
                </w:tcPr>
                <w:p w14:paraId="4C39A8C2">
                  <w:pPr>
                    <w:pStyle w:val="47"/>
                    <w:spacing w:beforeLines="0" w:afterLines="0" w:line="240" w:lineRule="auto"/>
                    <w:ind w:firstLine="0" w:firstLineChars="0"/>
                    <w:textAlignment w:val="auto"/>
                    <w:rPr>
                      <w:rFonts w:hint="eastAsia" w:ascii="Times New Roman" w:hAnsi="Times New Roman" w:eastAsia="宋体"/>
                      <w:b w:val="0"/>
                      <w:color w:val="auto"/>
                      <w:sz w:val="21"/>
                      <w:szCs w:val="21"/>
                      <w:lang w:eastAsia="zh-CN"/>
                    </w:rPr>
                  </w:pPr>
                  <w:r>
                    <w:rPr>
                      <w:rFonts w:hint="eastAsia" w:ascii="Times New Roman" w:hAnsi="Times New Roman" w:eastAsia="宋体"/>
                      <w:b w:val="0"/>
                      <w:color w:val="auto"/>
                      <w:sz w:val="21"/>
                      <w:szCs w:val="21"/>
                      <w:lang w:val="en-US" w:eastAsia="zh-CN"/>
                    </w:rPr>
                    <w:t>居民</w:t>
                  </w:r>
                </w:p>
              </w:tc>
              <w:tc>
                <w:tcPr>
                  <w:tcW w:w="768" w:type="pct"/>
                  <w:noWrap w:val="0"/>
                  <w:tcMar>
                    <w:top w:w="0" w:type="dxa"/>
                    <w:left w:w="0" w:type="dxa"/>
                    <w:bottom w:w="0" w:type="dxa"/>
                    <w:right w:w="0" w:type="dxa"/>
                  </w:tcMar>
                  <w:vAlign w:val="center"/>
                </w:tcPr>
                <w:p w14:paraId="573FAA67">
                  <w:pPr>
                    <w:jc w:val="center"/>
                    <w:rPr>
                      <w:rFonts w:hint="default"/>
                      <w:color w:val="auto"/>
                      <w:szCs w:val="21"/>
                      <w:lang w:val="en-US" w:eastAsia="zh-CN"/>
                    </w:rPr>
                  </w:pPr>
                  <w:r>
                    <w:rPr>
                      <w:rFonts w:hint="eastAsia"/>
                      <w:color w:val="auto"/>
                      <w:szCs w:val="21"/>
                      <w:lang w:val="en-US" w:eastAsia="zh-CN"/>
                    </w:rPr>
                    <w:t>约1500人</w:t>
                  </w:r>
                </w:p>
              </w:tc>
              <w:tc>
                <w:tcPr>
                  <w:tcW w:w="509" w:type="pct"/>
                  <w:noWrap w:val="0"/>
                  <w:tcMar>
                    <w:top w:w="0" w:type="dxa"/>
                    <w:left w:w="0" w:type="dxa"/>
                    <w:bottom w:w="0" w:type="dxa"/>
                    <w:right w:w="0" w:type="dxa"/>
                  </w:tcMar>
                  <w:vAlign w:val="center"/>
                </w:tcPr>
                <w:p w14:paraId="15232DBB">
                  <w:pPr>
                    <w:pStyle w:val="47"/>
                    <w:spacing w:beforeLines="0" w:afterLines="0" w:line="240" w:lineRule="auto"/>
                    <w:ind w:firstLine="0" w:firstLineChars="0"/>
                    <w:textAlignment w:val="auto"/>
                    <w:rPr>
                      <w:rFonts w:ascii="Times New Roman" w:hAnsi="Times New Roman" w:eastAsia="宋体"/>
                      <w:b w:val="0"/>
                      <w:color w:val="auto"/>
                      <w:sz w:val="21"/>
                      <w:szCs w:val="21"/>
                    </w:rPr>
                  </w:pPr>
                  <w:r>
                    <w:rPr>
                      <w:rFonts w:ascii="Times New Roman" w:hAnsi="Times New Roman" w:eastAsia="宋体"/>
                      <w:b w:val="0"/>
                      <w:color w:val="auto"/>
                      <w:sz w:val="21"/>
                      <w:szCs w:val="21"/>
                    </w:rPr>
                    <w:t>二类区</w:t>
                  </w:r>
                </w:p>
              </w:tc>
              <w:tc>
                <w:tcPr>
                  <w:tcW w:w="502" w:type="pct"/>
                  <w:noWrap w:val="0"/>
                  <w:tcMar>
                    <w:top w:w="0" w:type="dxa"/>
                    <w:left w:w="0" w:type="dxa"/>
                    <w:bottom w:w="0" w:type="dxa"/>
                    <w:right w:w="0" w:type="dxa"/>
                  </w:tcMar>
                  <w:vAlign w:val="center"/>
                </w:tcPr>
                <w:p w14:paraId="55C12CE3">
                  <w:pPr>
                    <w:jc w:val="center"/>
                    <w:rPr>
                      <w:rFonts w:hint="default"/>
                      <w:color w:val="auto"/>
                      <w:szCs w:val="21"/>
                      <w:lang w:val="en-US" w:eastAsia="zh-CN"/>
                    </w:rPr>
                  </w:pPr>
                  <w:r>
                    <w:rPr>
                      <w:rFonts w:hint="eastAsia"/>
                      <w:color w:val="auto"/>
                      <w:szCs w:val="21"/>
                      <w:lang w:val="en-US" w:eastAsia="zh-CN"/>
                    </w:rPr>
                    <w:t>东</w:t>
                  </w:r>
                </w:p>
              </w:tc>
              <w:tc>
                <w:tcPr>
                  <w:tcW w:w="543" w:type="pct"/>
                  <w:noWrap w:val="0"/>
                  <w:tcMar>
                    <w:top w:w="0" w:type="dxa"/>
                    <w:left w:w="0" w:type="dxa"/>
                    <w:bottom w:w="0" w:type="dxa"/>
                    <w:right w:w="0" w:type="dxa"/>
                  </w:tcMar>
                  <w:vAlign w:val="center"/>
                </w:tcPr>
                <w:p w14:paraId="6428AD8C">
                  <w:pPr>
                    <w:jc w:val="center"/>
                    <w:rPr>
                      <w:rFonts w:hint="default"/>
                      <w:color w:val="auto"/>
                      <w:szCs w:val="21"/>
                      <w:lang w:val="en-US" w:eastAsia="zh-CN"/>
                    </w:rPr>
                  </w:pPr>
                  <w:r>
                    <w:rPr>
                      <w:rFonts w:hint="eastAsia"/>
                      <w:color w:val="auto"/>
                      <w:szCs w:val="21"/>
                      <w:lang w:val="en-US" w:eastAsia="zh-CN"/>
                    </w:rPr>
                    <w:t>285</w:t>
                  </w:r>
                </w:p>
              </w:tc>
            </w:tr>
          </w:tbl>
          <w:p w14:paraId="636160CB">
            <w:pPr>
              <w:pStyle w:val="7"/>
              <w:keepNext/>
              <w:keepLines w:val="0"/>
              <w:pageBreakBefore w:val="0"/>
              <w:widowControl/>
              <w:kinsoku/>
              <w:wordWrap/>
              <w:overflowPunct/>
              <w:topLinePunct w:val="0"/>
              <w:autoSpaceDE/>
              <w:autoSpaceDN/>
              <w:bidi w:val="0"/>
              <w:adjustRightInd w:val="0"/>
              <w:snapToGrid w:val="0"/>
              <w:spacing w:before="157" w:beforeLines="50" w:line="240" w:lineRule="auto"/>
              <w:jc w:val="center"/>
              <w:textAlignment w:val="auto"/>
              <w:rPr>
                <w:color w:val="auto"/>
                <w:kern w:val="0"/>
                <w:szCs w:val="21"/>
              </w:rPr>
            </w:pPr>
            <w:r>
              <w:rPr>
                <w:rFonts w:ascii="Times New Roman" w:hAnsi="Times New Roman"/>
                <w:color w:val="auto"/>
                <w:sz w:val="21"/>
                <w:szCs w:val="21"/>
              </w:rPr>
              <w:t>表3-</w:t>
            </w:r>
            <w:r>
              <w:rPr>
                <w:rFonts w:hint="eastAsia" w:ascii="Times New Roman" w:hAnsi="Times New Roman"/>
                <w:color w:val="auto"/>
                <w:sz w:val="21"/>
                <w:szCs w:val="21"/>
                <w:lang w:val="en-US" w:eastAsia="zh-CN"/>
              </w:rPr>
              <w:t>5</w:t>
            </w:r>
            <w:r>
              <w:rPr>
                <w:rFonts w:ascii="Times New Roman" w:hAnsi="Times New Roman"/>
                <w:color w:val="auto"/>
                <w:sz w:val="21"/>
                <w:szCs w:val="21"/>
              </w:rPr>
              <w:t xml:space="preserve"> 其他环境要素保护目标一览表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417"/>
              <w:gridCol w:w="663"/>
              <w:gridCol w:w="809"/>
              <w:gridCol w:w="733"/>
              <w:gridCol w:w="3551"/>
            </w:tblGrid>
            <w:tr w14:paraId="65ACC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636" w:type="pct"/>
                  <w:noWrap w:val="0"/>
                  <w:tcMar>
                    <w:top w:w="0" w:type="dxa"/>
                    <w:left w:w="0" w:type="dxa"/>
                    <w:bottom w:w="0" w:type="dxa"/>
                    <w:right w:w="0" w:type="dxa"/>
                  </w:tcMar>
                  <w:vAlign w:val="center"/>
                </w:tcPr>
                <w:p w14:paraId="77D6EFD0">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环境要素</w:t>
                  </w:r>
                </w:p>
              </w:tc>
              <w:tc>
                <w:tcPr>
                  <w:tcW w:w="862" w:type="pct"/>
                  <w:noWrap w:val="0"/>
                  <w:tcMar>
                    <w:top w:w="0" w:type="dxa"/>
                    <w:left w:w="0" w:type="dxa"/>
                    <w:bottom w:w="0" w:type="dxa"/>
                    <w:right w:w="0" w:type="dxa"/>
                  </w:tcMar>
                  <w:vAlign w:val="center"/>
                </w:tcPr>
                <w:p w14:paraId="7A7633E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环境保护对象</w:t>
                  </w:r>
                </w:p>
              </w:tc>
              <w:tc>
                <w:tcPr>
                  <w:tcW w:w="403" w:type="pct"/>
                  <w:noWrap w:val="0"/>
                  <w:tcMar>
                    <w:top w:w="0" w:type="dxa"/>
                    <w:left w:w="0" w:type="dxa"/>
                    <w:bottom w:w="0" w:type="dxa"/>
                    <w:right w:w="0" w:type="dxa"/>
                  </w:tcMar>
                  <w:vAlign w:val="center"/>
                </w:tcPr>
                <w:p w14:paraId="03D0A5D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方位</w:t>
                  </w:r>
                </w:p>
              </w:tc>
              <w:tc>
                <w:tcPr>
                  <w:tcW w:w="492" w:type="pct"/>
                  <w:noWrap w:val="0"/>
                  <w:tcMar>
                    <w:top w:w="0" w:type="dxa"/>
                    <w:left w:w="0" w:type="dxa"/>
                    <w:bottom w:w="0" w:type="dxa"/>
                    <w:right w:w="0" w:type="dxa"/>
                  </w:tcMar>
                  <w:vAlign w:val="center"/>
                </w:tcPr>
                <w:p w14:paraId="7113FD79">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距离</w:t>
                  </w:r>
                </w:p>
              </w:tc>
              <w:tc>
                <w:tcPr>
                  <w:tcW w:w="445" w:type="pct"/>
                  <w:noWrap w:val="0"/>
                  <w:tcMar>
                    <w:top w:w="0" w:type="dxa"/>
                    <w:left w:w="0" w:type="dxa"/>
                    <w:bottom w:w="0" w:type="dxa"/>
                    <w:right w:w="0" w:type="dxa"/>
                  </w:tcMar>
                  <w:vAlign w:val="center"/>
                </w:tcPr>
                <w:p w14:paraId="54B7ED96">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规模</w:t>
                  </w:r>
                </w:p>
              </w:tc>
              <w:tc>
                <w:tcPr>
                  <w:tcW w:w="2160" w:type="pct"/>
                  <w:noWrap w:val="0"/>
                  <w:tcMar>
                    <w:top w:w="0" w:type="dxa"/>
                    <w:left w:w="0" w:type="dxa"/>
                    <w:bottom w:w="0" w:type="dxa"/>
                    <w:right w:w="0" w:type="dxa"/>
                  </w:tcMar>
                  <w:vAlign w:val="center"/>
                </w:tcPr>
                <w:p w14:paraId="532440D5">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环境功能</w:t>
                  </w:r>
                </w:p>
              </w:tc>
            </w:tr>
            <w:tr w14:paraId="367BD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6" w:type="pct"/>
                  <w:noWrap w:val="0"/>
                  <w:tcMar>
                    <w:top w:w="0" w:type="dxa"/>
                    <w:left w:w="0" w:type="dxa"/>
                    <w:bottom w:w="0" w:type="dxa"/>
                    <w:right w:w="0" w:type="dxa"/>
                  </w:tcMar>
                  <w:vAlign w:val="center"/>
                </w:tcPr>
                <w:p w14:paraId="3289DB5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862" w:type="pct"/>
                  <w:noWrap w:val="0"/>
                  <w:tcMar>
                    <w:top w:w="0" w:type="dxa"/>
                    <w:left w:w="0" w:type="dxa"/>
                    <w:bottom w:w="0" w:type="dxa"/>
                    <w:right w:w="0" w:type="dxa"/>
                  </w:tcMar>
                  <w:vAlign w:val="center"/>
                </w:tcPr>
                <w:p w14:paraId="54BEE85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尧塘河</w:t>
                  </w:r>
                </w:p>
              </w:tc>
              <w:tc>
                <w:tcPr>
                  <w:tcW w:w="403" w:type="pct"/>
                  <w:noWrap w:val="0"/>
                  <w:tcMar>
                    <w:top w:w="0" w:type="dxa"/>
                    <w:left w:w="0" w:type="dxa"/>
                    <w:bottom w:w="0" w:type="dxa"/>
                    <w:right w:w="0" w:type="dxa"/>
                  </w:tcMar>
                  <w:vAlign w:val="center"/>
                </w:tcPr>
                <w:p w14:paraId="5CFE33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rPr>
                  </w:pPr>
                  <w:r>
                    <w:rPr>
                      <w:rFonts w:hint="eastAsia"/>
                      <w:bCs/>
                      <w:color w:val="auto"/>
                      <w:szCs w:val="21"/>
                    </w:rPr>
                    <w:t>NE</w:t>
                  </w:r>
                </w:p>
              </w:tc>
              <w:tc>
                <w:tcPr>
                  <w:tcW w:w="492" w:type="pct"/>
                  <w:noWrap w:val="0"/>
                  <w:tcMar>
                    <w:top w:w="0" w:type="dxa"/>
                    <w:left w:w="0" w:type="dxa"/>
                    <w:bottom w:w="0" w:type="dxa"/>
                    <w:right w:w="0" w:type="dxa"/>
                  </w:tcMar>
                  <w:vAlign w:val="center"/>
                </w:tcPr>
                <w:p w14:paraId="13A74D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400</w:t>
                  </w:r>
                  <w:r>
                    <w:rPr>
                      <w:rFonts w:hint="default" w:ascii="Times New Roman" w:hAnsi="Times New Roman" w:eastAsia="宋体" w:cs="Times New Roman"/>
                      <w:color w:val="auto"/>
                      <w:sz w:val="21"/>
                      <w:szCs w:val="21"/>
                    </w:rPr>
                    <w:t>m</w:t>
                  </w:r>
                </w:p>
              </w:tc>
              <w:tc>
                <w:tcPr>
                  <w:tcW w:w="445" w:type="pct"/>
                  <w:noWrap w:val="0"/>
                  <w:tcMar>
                    <w:top w:w="0" w:type="dxa"/>
                    <w:left w:w="0" w:type="dxa"/>
                    <w:bottom w:w="0" w:type="dxa"/>
                    <w:right w:w="0" w:type="dxa"/>
                  </w:tcMar>
                  <w:vAlign w:val="center"/>
                </w:tcPr>
                <w:p w14:paraId="7922923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小型</w:t>
                  </w:r>
                </w:p>
              </w:tc>
              <w:tc>
                <w:tcPr>
                  <w:tcW w:w="2160" w:type="pct"/>
                  <w:noWrap w:val="0"/>
                  <w:tcMar>
                    <w:top w:w="0" w:type="dxa"/>
                    <w:left w:w="0" w:type="dxa"/>
                    <w:bottom w:w="0" w:type="dxa"/>
                    <w:right w:w="0" w:type="dxa"/>
                  </w:tcMar>
                  <w:vAlign w:val="center"/>
                </w:tcPr>
                <w:p w14:paraId="5973BD02">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《地表水环境质量标准》（GB3838-2002）中III类</w:t>
                  </w:r>
                </w:p>
              </w:tc>
            </w:tr>
            <w:tr w14:paraId="59C18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6" w:type="pct"/>
                  <w:vMerge w:val="restart"/>
                  <w:noWrap w:val="0"/>
                  <w:tcMar>
                    <w:top w:w="0" w:type="dxa"/>
                    <w:left w:w="0" w:type="dxa"/>
                    <w:bottom w:w="0" w:type="dxa"/>
                    <w:right w:w="0" w:type="dxa"/>
                  </w:tcMar>
                  <w:vAlign w:val="center"/>
                </w:tcPr>
                <w:p w14:paraId="41DFE98E">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862" w:type="pct"/>
                  <w:noWrap w:val="0"/>
                  <w:tcMar>
                    <w:top w:w="0" w:type="dxa"/>
                    <w:left w:w="0" w:type="dxa"/>
                    <w:bottom w:w="0" w:type="dxa"/>
                    <w:right w:w="0" w:type="dxa"/>
                  </w:tcMar>
                  <w:vAlign w:val="center"/>
                </w:tcPr>
                <w:p w14:paraId="73DD1112">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olor w:val="auto"/>
                      <w:szCs w:val="21"/>
                    </w:rPr>
                    <w:t>长荡湖（金坛区）重要湿地</w:t>
                  </w:r>
                </w:p>
              </w:tc>
              <w:tc>
                <w:tcPr>
                  <w:tcW w:w="403" w:type="pct"/>
                  <w:noWrap w:val="0"/>
                  <w:tcMar>
                    <w:top w:w="0" w:type="dxa"/>
                    <w:left w:w="0" w:type="dxa"/>
                    <w:bottom w:w="0" w:type="dxa"/>
                    <w:right w:w="0" w:type="dxa"/>
                  </w:tcMar>
                  <w:vAlign w:val="center"/>
                </w:tcPr>
                <w:p w14:paraId="1D0E25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w:t>
                  </w:r>
                </w:p>
              </w:tc>
              <w:tc>
                <w:tcPr>
                  <w:tcW w:w="492" w:type="pct"/>
                  <w:noWrap w:val="0"/>
                  <w:tcMar>
                    <w:top w:w="0" w:type="dxa"/>
                    <w:left w:w="0" w:type="dxa"/>
                    <w:bottom w:w="0" w:type="dxa"/>
                    <w:right w:w="0" w:type="dxa"/>
                  </w:tcMar>
                  <w:vAlign w:val="center"/>
                </w:tcPr>
                <w:p w14:paraId="688407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9.5</w:t>
                  </w:r>
                  <w:r>
                    <w:rPr>
                      <w:rFonts w:hint="default" w:ascii="Times New Roman" w:hAnsi="Times New Roman" w:eastAsia="宋体" w:cs="Times New Roman"/>
                      <w:color w:val="auto"/>
                      <w:sz w:val="21"/>
                      <w:szCs w:val="21"/>
                    </w:rPr>
                    <w:t>km</w:t>
                  </w:r>
                </w:p>
              </w:tc>
              <w:tc>
                <w:tcPr>
                  <w:tcW w:w="445" w:type="pct"/>
                  <w:noWrap w:val="0"/>
                  <w:tcMar>
                    <w:top w:w="0" w:type="dxa"/>
                    <w:left w:w="0" w:type="dxa"/>
                    <w:bottom w:w="0" w:type="dxa"/>
                    <w:right w:w="0" w:type="dxa"/>
                  </w:tcMar>
                  <w:vAlign w:val="center"/>
                </w:tcPr>
                <w:p w14:paraId="0009BEBE">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60" w:type="pct"/>
                  <w:noWrap w:val="0"/>
                  <w:tcMar>
                    <w:top w:w="0" w:type="dxa"/>
                    <w:left w:w="0" w:type="dxa"/>
                    <w:bottom w:w="0" w:type="dxa"/>
                    <w:right w:w="0" w:type="dxa"/>
                  </w:tcMar>
                  <w:vAlign w:val="center"/>
                </w:tcPr>
                <w:p w14:paraId="4DE4F11E">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color w:val="auto"/>
                      <w:szCs w:val="21"/>
                    </w:rPr>
                    <w:t>湿地生态系统保护</w:t>
                  </w:r>
                </w:p>
              </w:tc>
            </w:tr>
            <w:tr w14:paraId="66A97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6" w:type="pct"/>
                  <w:vMerge w:val="continue"/>
                  <w:noWrap w:val="0"/>
                  <w:tcMar>
                    <w:top w:w="0" w:type="dxa"/>
                    <w:left w:w="0" w:type="dxa"/>
                    <w:bottom w:w="0" w:type="dxa"/>
                    <w:right w:w="0" w:type="dxa"/>
                  </w:tcMar>
                  <w:vAlign w:val="center"/>
                </w:tcPr>
                <w:p w14:paraId="266F341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862" w:type="pct"/>
                  <w:noWrap w:val="0"/>
                  <w:tcMar>
                    <w:top w:w="0" w:type="dxa"/>
                    <w:left w:w="0" w:type="dxa"/>
                    <w:bottom w:w="0" w:type="dxa"/>
                    <w:right w:w="0" w:type="dxa"/>
                  </w:tcMar>
                  <w:vAlign w:val="center"/>
                </w:tcPr>
                <w:p w14:paraId="485982E2">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钱资湖湿地</w:t>
                  </w:r>
                </w:p>
              </w:tc>
              <w:tc>
                <w:tcPr>
                  <w:tcW w:w="403" w:type="pct"/>
                  <w:noWrap w:val="0"/>
                  <w:tcMar>
                    <w:top w:w="0" w:type="dxa"/>
                    <w:left w:w="0" w:type="dxa"/>
                    <w:bottom w:w="0" w:type="dxa"/>
                    <w:right w:w="0" w:type="dxa"/>
                  </w:tcMar>
                  <w:vAlign w:val="center"/>
                </w:tcPr>
                <w:p w14:paraId="35995B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w:t>
                  </w:r>
                </w:p>
              </w:tc>
              <w:tc>
                <w:tcPr>
                  <w:tcW w:w="492" w:type="pct"/>
                  <w:noWrap w:val="0"/>
                  <w:tcMar>
                    <w:top w:w="0" w:type="dxa"/>
                    <w:left w:w="0" w:type="dxa"/>
                    <w:bottom w:w="0" w:type="dxa"/>
                    <w:right w:w="0" w:type="dxa"/>
                  </w:tcMar>
                  <w:vAlign w:val="center"/>
                </w:tcPr>
                <w:p w14:paraId="003C9F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5.4</w:t>
                  </w:r>
                  <w:r>
                    <w:rPr>
                      <w:rFonts w:hint="default" w:ascii="Times New Roman" w:hAnsi="Times New Roman" w:eastAsia="宋体" w:cs="Times New Roman"/>
                      <w:bCs/>
                      <w:color w:val="auto"/>
                      <w:sz w:val="21"/>
                      <w:szCs w:val="21"/>
                    </w:rPr>
                    <w:t>km</w:t>
                  </w:r>
                </w:p>
              </w:tc>
              <w:tc>
                <w:tcPr>
                  <w:tcW w:w="445" w:type="pct"/>
                  <w:noWrap w:val="0"/>
                  <w:tcMar>
                    <w:top w:w="0" w:type="dxa"/>
                    <w:left w:w="0" w:type="dxa"/>
                    <w:bottom w:w="0" w:type="dxa"/>
                    <w:right w:w="0" w:type="dxa"/>
                  </w:tcMar>
                  <w:vAlign w:val="center"/>
                </w:tcPr>
                <w:p w14:paraId="64E67C7F">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60" w:type="pct"/>
                  <w:noWrap w:val="0"/>
                  <w:tcMar>
                    <w:top w:w="0" w:type="dxa"/>
                    <w:left w:w="0" w:type="dxa"/>
                    <w:bottom w:w="0" w:type="dxa"/>
                    <w:right w:w="0" w:type="dxa"/>
                  </w:tcMar>
                  <w:vAlign w:val="center"/>
                </w:tcPr>
                <w:p w14:paraId="10030A5F">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湿地生态系统保护</w:t>
                  </w:r>
                </w:p>
              </w:tc>
            </w:tr>
            <w:tr w14:paraId="434C3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6" w:type="pct"/>
                  <w:vMerge w:val="continue"/>
                  <w:noWrap w:val="0"/>
                  <w:tcMar>
                    <w:top w:w="0" w:type="dxa"/>
                    <w:left w:w="0" w:type="dxa"/>
                    <w:bottom w:w="0" w:type="dxa"/>
                    <w:right w:w="0" w:type="dxa"/>
                  </w:tcMar>
                  <w:vAlign w:val="center"/>
                </w:tcPr>
                <w:p w14:paraId="671F8EE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862" w:type="pct"/>
                  <w:noWrap w:val="0"/>
                  <w:tcMar>
                    <w:top w:w="0" w:type="dxa"/>
                    <w:left w:w="0" w:type="dxa"/>
                    <w:bottom w:w="0" w:type="dxa"/>
                    <w:right w:w="0" w:type="dxa"/>
                  </w:tcMar>
                  <w:vAlign w:val="center"/>
                </w:tcPr>
                <w:p w14:paraId="6646E389">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丹金溧漕河（金坛区）</w:t>
                  </w:r>
                </w:p>
              </w:tc>
              <w:tc>
                <w:tcPr>
                  <w:tcW w:w="403" w:type="pct"/>
                  <w:noWrap w:val="0"/>
                  <w:tcMar>
                    <w:top w:w="0" w:type="dxa"/>
                    <w:left w:w="0" w:type="dxa"/>
                    <w:bottom w:w="0" w:type="dxa"/>
                    <w:right w:w="0" w:type="dxa"/>
                  </w:tcMar>
                  <w:vAlign w:val="center"/>
                </w:tcPr>
                <w:p w14:paraId="33C4FE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w:t>
                  </w:r>
                </w:p>
              </w:tc>
              <w:tc>
                <w:tcPr>
                  <w:tcW w:w="492" w:type="pct"/>
                  <w:noWrap w:val="0"/>
                  <w:tcMar>
                    <w:top w:w="0" w:type="dxa"/>
                    <w:left w:w="0" w:type="dxa"/>
                    <w:bottom w:w="0" w:type="dxa"/>
                    <w:right w:w="0" w:type="dxa"/>
                  </w:tcMar>
                  <w:vAlign w:val="center"/>
                </w:tcPr>
                <w:p w14:paraId="429730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7.1</w:t>
                  </w:r>
                  <w:r>
                    <w:rPr>
                      <w:rFonts w:hint="default" w:ascii="Times New Roman" w:hAnsi="Times New Roman" w:eastAsia="宋体" w:cs="Times New Roman"/>
                      <w:bCs/>
                      <w:color w:val="auto"/>
                      <w:sz w:val="21"/>
                      <w:szCs w:val="21"/>
                    </w:rPr>
                    <w:t>km</w:t>
                  </w:r>
                </w:p>
              </w:tc>
              <w:tc>
                <w:tcPr>
                  <w:tcW w:w="445" w:type="pct"/>
                  <w:noWrap w:val="0"/>
                  <w:tcMar>
                    <w:top w:w="0" w:type="dxa"/>
                    <w:left w:w="0" w:type="dxa"/>
                    <w:bottom w:w="0" w:type="dxa"/>
                    <w:right w:w="0" w:type="dxa"/>
                  </w:tcMar>
                  <w:vAlign w:val="center"/>
                </w:tcPr>
                <w:p w14:paraId="5CBB31A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60" w:type="pct"/>
                  <w:noWrap w:val="0"/>
                  <w:tcMar>
                    <w:top w:w="0" w:type="dxa"/>
                    <w:left w:w="0" w:type="dxa"/>
                    <w:bottom w:w="0" w:type="dxa"/>
                    <w:right w:w="0" w:type="dxa"/>
                  </w:tcMar>
                  <w:vAlign w:val="center"/>
                </w:tcPr>
                <w:p w14:paraId="2FD510C6">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洪水调蓄区</w:t>
                  </w:r>
                </w:p>
              </w:tc>
            </w:tr>
            <w:tr w14:paraId="0D8D8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6" w:type="pct"/>
                  <w:noWrap w:val="0"/>
                  <w:tcMar>
                    <w:top w:w="0" w:type="dxa"/>
                    <w:left w:w="0" w:type="dxa"/>
                    <w:bottom w:w="0" w:type="dxa"/>
                    <w:right w:w="0" w:type="dxa"/>
                  </w:tcMar>
                  <w:vAlign w:val="center"/>
                </w:tcPr>
                <w:p w14:paraId="3CD3B304">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2203" w:type="pct"/>
                  <w:gridSpan w:val="4"/>
                  <w:noWrap w:val="0"/>
                  <w:tcMar>
                    <w:top w:w="0" w:type="dxa"/>
                    <w:left w:w="0" w:type="dxa"/>
                    <w:bottom w:w="0" w:type="dxa"/>
                    <w:right w:w="0" w:type="dxa"/>
                  </w:tcMar>
                  <w:vAlign w:val="center"/>
                </w:tcPr>
                <w:p w14:paraId="0466A720">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厂界50米</w:t>
                  </w:r>
                </w:p>
              </w:tc>
              <w:tc>
                <w:tcPr>
                  <w:tcW w:w="2160" w:type="pct"/>
                  <w:noWrap w:val="0"/>
                  <w:tcMar>
                    <w:top w:w="0" w:type="dxa"/>
                    <w:left w:w="0" w:type="dxa"/>
                    <w:bottom w:w="0" w:type="dxa"/>
                    <w:right w:w="0" w:type="dxa"/>
                  </w:tcMar>
                  <w:vAlign w:val="center"/>
                </w:tcPr>
                <w:p w14:paraId="0932344B">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《声环境质量标准》（GB3096-2008）中</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类区</w:t>
                  </w:r>
                </w:p>
              </w:tc>
            </w:tr>
            <w:tr w14:paraId="01F87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6" w:type="pct"/>
                  <w:noWrap w:val="0"/>
                  <w:tcMar>
                    <w:top w:w="0" w:type="dxa"/>
                    <w:left w:w="0" w:type="dxa"/>
                    <w:bottom w:w="0" w:type="dxa"/>
                    <w:right w:w="0" w:type="dxa"/>
                  </w:tcMar>
                  <w:vAlign w:val="center"/>
                </w:tcPr>
                <w:p w14:paraId="6B76A6E2">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363" w:type="pct"/>
                  <w:gridSpan w:val="5"/>
                  <w:noWrap w:val="0"/>
                  <w:tcMar>
                    <w:top w:w="0" w:type="dxa"/>
                    <w:left w:w="0" w:type="dxa"/>
                    <w:bottom w:w="0" w:type="dxa"/>
                    <w:right w:w="0" w:type="dxa"/>
                  </w:tcMar>
                  <w:vAlign w:val="center"/>
                </w:tcPr>
                <w:p w14:paraId="234CBD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本项目厂界外500米范围内无地下水集中式饮用水水源等特殊地下水资源</w:t>
                  </w:r>
                </w:p>
              </w:tc>
            </w:tr>
            <w:tr w14:paraId="50319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6" w:type="pct"/>
                  <w:noWrap w:val="0"/>
                  <w:tcMar>
                    <w:top w:w="0" w:type="dxa"/>
                    <w:left w:w="0" w:type="dxa"/>
                    <w:bottom w:w="0" w:type="dxa"/>
                    <w:right w:w="0" w:type="dxa"/>
                  </w:tcMar>
                  <w:vAlign w:val="center"/>
                </w:tcPr>
                <w:p w14:paraId="0E751D19">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w:t>
                  </w:r>
                </w:p>
              </w:tc>
              <w:tc>
                <w:tcPr>
                  <w:tcW w:w="2203" w:type="pct"/>
                  <w:gridSpan w:val="4"/>
                  <w:noWrap w:val="0"/>
                  <w:tcMar>
                    <w:top w:w="0" w:type="dxa"/>
                    <w:left w:w="0" w:type="dxa"/>
                    <w:bottom w:w="0" w:type="dxa"/>
                    <w:right w:w="0" w:type="dxa"/>
                  </w:tcMar>
                  <w:vAlign w:val="center"/>
                </w:tcPr>
                <w:p w14:paraId="319FE3A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项目所在地土壤</w:t>
                  </w:r>
                </w:p>
              </w:tc>
              <w:tc>
                <w:tcPr>
                  <w:tcW w:w="2160" w:type="pct"/>
                  <w:noWrap w:val="0"/>
                  <w:tcMar>
                    <w:top w:w="0" w:type="dxa"/>
                    <w:left w:w="0" w:type="dxa"/>
                    <w:bottom w:w="0" w:type="dxa"/>
                    <w:right w:w="0" w:type="dxa"/>
                  </w:tcMar>
                  <w:vAlign w:val="center"/>
                </w:tcPr>
                <w:p w14:paraId="4FF011F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《土壤环境质量</w:t>
                  </w:r>
                  <w:r>
                    <w:rPr>
                      <w:rFonts w:hint="eastAsia" w:cs="Times New Roman"/>
                      <w:color w:val="auto"/>
                      <w:sz w:val="21"/>
                      <w:szCs w:val="21"/>
                      <w:lang w:val="en-US" w:eastAsia="zh-CN" w:bidi="ar"/>
                    </w:rPr>
                    <w:t xml:space="preserve"> </w:t>
                  </w:r>
                  <w:r>
                    <w:rPr>
                      <w:rFonts w:hint="default" w:ascii="Times New Roman" w:hAnsi="Times New Roman" w:eastAsia="宋体" w:cs="Times New Roman"/>
                      <w:color w:val="auto"/>
                      <w:sz w:val="21"/>
                      <w:szCs w:val="21"/>
                      <w:lang w:bidi="ar"/>
                    </w:rPr>
                    <w:t>建设用地土壤污染风险管控标准》（GB36600-2018）基本项目第二类用地筛选值</w:t>
                  </w:r>
                </w:p>
              </w:tc>
            </w:tr>
          </w:tbl>
          <w:p w14:paraId="50E18044">
            <w:pPr>
              <w:pStyle w:val="7"/>
              <w:keepNext/>
              <w:keepLines w:val="0"/>
              <w:pageBreakBefore w:val="0"/>
              <w:widowControl/>
              <w:kinsoku/>
              <w:wordWrap/>
              <w:overflowPunct/>
              <w:topLinePunct w:val="0"/>
              <w:autoSpaceDE/>
              <w:autoSpaceDN/>
              <w:bidi w:val="0"/>
              <w:adjustRightInd w:val="0"/>
              <w:snapToGrid w:val="0"/>
              <w:spacing w:before="157" w:beforeLines="50" w:line="240" w:lineRule="auto"/>
              <w:jc w:val="center"/>
              <w:textAlignment w:val="auto"/>
              <w:rPr>
                <w:color w:val="auto"/>
                <w:kern w:val="0"/>
                <w:szCs w:val="21"/>
              </w:rPr>
            </w:pPr>
          </w:p>
          <w:p w14:paraId="23FEC425">
            <w:pPr>
              <w:rPr>
                <w:color w:val="auto"/>
                <w:kern w:val="0"/>
                <w:szCs w:val="21"/>
              </w:rPr>
            </w:pPr>
          </w:p>
          <w:p w14:paraId="7E1350B2">
            <w:pPr>
              <w:pStyle w:val="5"/>
              <w:rPr>
                <w:color w:val="auto"/>
                <w:kern w:val="0"/>
                <w:szCs w:val="21"/>
              </w:rPr>
            </w:pPr>
          </w:p>
          <w:p w14:paraId="17AB7E67">
            <w:pPr>
              <w:rPr>
                <w:color w:val="auto"/>
                <w:kern w:val="0"/>
                <w:szCs w:val="21"/>
              </w:rPr>
            </w:pPr>
          </w:p>
          <w:p w14:paraId="44A4CE56">
            <w:pPr>
              <w:pStyle w:val="5"/>
              <w:rPr>
                <w:color w:val="auto"/>
                <w:kern w:val="0"/>
                <w:szCs w:val="21"/>
              </w:rPr>
            </w:pPr>
          </w:p>
          <w:p w14:paraId="550C2055">
            <w:pPr>
              <w:rPr>
                <w:color w:val="auto"/>
                <w:kern w:val="0"/>
                <w:szCs w:val="21"/>
              </w:rPr>
            </w:pPr>
          </w:p>
          <w:p w14:paraId="5285986E">
            <w:pPr>
              <w:pStyle w:val="5"/>
              <w:rPr>
                <w:color w:val="auto"/>
                <w:kern w:val="0"/>
                <w:szCs w:val="21"/>
              </w:rPr>
            </w:pPr>
          </w:p>
          <w:p w14:paraId="25DCBE1F">
            <w:pPr>
              <w:rPr>
                <w:color w:val="auto"/>
                <w:kern w:val="0"/>
                <w:szCs w:val="21"/>
              </w:rPr>
            </w:pPr>
          </w:p>
          <w:p w14:paraId="1C782F7F">
            <w:pPr>
              <w:pStyle w:val="5"/>
              <w:rPr>
                <w:color w:val="auto"/>
                <w:kern w:val="0"/>
                <w:szCs w:val="21"/>
              </w:rPr>
            </w:pPr>
          </w:p>
          <w:p w14:paraId="324A61BE">
            <w:pPr>
              <w:pStyle w:val="5"/>
              <w:rPr>
                <w:color w:val="auto"/>
              </w:rPr>
            </w:pPr>
          </w:p>
        </w:tc>
      </w:tr>
      <w:tr w14:paraId="6F724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22" w:type="dxa"/>
            <w:noWrap w:val="0"/>
            <w:tcMar>
              <w:left w:w="0" w:type="dxa"/>
              <w:right w:w="0" w:type="dxa"/>
            </w:tcMar>
            <w:vAlign w:val="center"/>
          </w:tcPr>
          <w:p w14:paraId="23CDAB3E">
            <w:pPr>
              <w:adjustRightInd w:val="0"/>
              <w:snapToGrid w:val="0"/>
              <w:jc w:val="center"/>
              <w:rPr>
                <w:color w:val="auto"/>
                <w:kern w:val="0"/>
                <w:szCs w:val="21"/>
              </w:rPr>
            </w:pPr>
            <w:r>
              <w:rPr>
                <w:color w:val="auto"/>
                <w:kern w:val="0"/>
                <w:szCs w:val="21"/>
              </w:rPr>
              <w:t>污染物排放控制标准</w:t>
            </w:r>
          </w:p>
        </w:tc>
        <w:tc>
          <w:tcPr>
            <w:tcW w:w="8438" w:type="dxa"/>
            <w:noWrap w:val="0"/>
            <w:vAlign w:val="center"/>
          </w:tcPr>
          <w:p w14:paraId="6FED088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b/>
                <w:color w:val="auto"/>
                <w:szCs w:val="21"/>
              </w:rPr>
            </w:pPr>
            <w:r>
              <w:rPr>
                <w:rFonts w:hint="eastAsia"/>
                <w:b/>
                <w:color w:val="auto"/>
                <w:szCs w:val="21"/>
              </w:rPr>
              <w:t>一</w:t>
            </w:r>
            <w:r>
              <w:rPr>
                <w:b/>
                <w:color w:val="auto"/>
                <w:szCs w:val="21"/>
              </w:rPr>
              <w:t>、废气排放标准</w:t>
            </w:r>
          </w:p>
          <w:p w14:paraId="5654E6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Cs w:val="21"/>
              </w:rPr>
            </w:pPr>
            <w:r>
              <w:rPr>
                <w:color w:val="auto"/>
              </w:rPr>
              <w:t>本项目废气主要为</w:t>
            </w:r>
            <w:r>
              <w:rPr>
                <w:rFonts w:hint="eastAsia" w:cs="Times New Roman"/>
                <w:color w:val="auto"/>
                <w:sz w:val="21"/>
                <w:szCs w:val="21"/>
                <w:lang w:val="en-US" w:eastAsia="zh-CN"/>
              </w:rPr>
              <w:t>配料粉尘、</w:t>
            </w:r>
            <w:r>
              <w:rPr>
                <w:rFonts w:hint="eastAsia" w:ascii="Times New Roman" w:hAnsi="Times New Roman" w:eastAsia="宋体" w:cs="Times New Roman"/>
                <w:color w:val="auto"/>
                <w:sz w:val="21"/>
                <w:szCs w:val="21"/>
                <w:highlight w:val="none"/>
                <w:lang w:val="en-US" w:eastAsia="zh-CN"/>
              </w:rPr>
              <w:t>投料粉尘、</w:t>
            </w:r>
            <w:r>
              <w:rPr>
                <w:rFonts w:hint="eastAsia" w:ascii="Times New Roman" w:hAnsi="Times New Roman" w:eastAsia="宋体" w:cs="Times New Roman"/>
                <w:bCs/>
                <w:color w:val="auto"/>
                <w:kern w:val="2"/>
                <w:sz w:val="21"/>
                <w:szCs w:val="21"/>
                <w:lang w:val="en-US" w:eastAsia="zh-CN" w:bidi="ar-SA"/>
              </w:rPr>
              <w:t>挤出废气、烘干废气、测试废气、破碎粉尘，</w:t>
            </w:r>
            <w:r>
              <w:rPr>
                <w:rFonts w:hint="eastAsia" w:cs="Times New Roman"/>
                <w:color w:val="auto"/>
                <w:szCs w:val="21"/>
                <w:lang w:val="en-US" w:eastAsia="zh-CN"/>
              </w:rPr>
              <w:t>配料、投料粉尘集气罩</w:t>
            </w:r>
            <w:r>
              <w:rPr>
                <w:rFonts w:hint="eastAsia"/>
                <w:color w:val="auto"/>
                <w:kern w:val="2"/>
                <w:sz w:val="21"/>
                <w:szCs w:val="21"/>
                <w:lang w:val="en-US" w:eastAsia="zh-CN"/>
              </w:rPr>
              <w:t>收集</w:t>
            </w:r>
            <w:r>
              <w:rPr>
                <w:rFonts w:hint="eastAsia"/>
                <w:color w:val="auto"/>
                <w:szCs w:val="21"/>
                <w:lang w:val="en-US" w:eastAsia="zh-CN"/>
              </w:rPr>
              <w:t>至</w:t>
            </w:r>
            <w:r>
              <w:rPr>
                <w:rFonts w:hint="eastAsia"/>
                <w:color w:val="auto"/>
                <w:kern w:val="2"/>
                <w:sz w:val="21"/>
                <w:szCs w:val="21"/>
                <w:lang w:val="en-US" w:eastAsia="zh-CN"/>
              </w:rPr>
              <w:t>布袋除尘器处理后通过1根15米高排气筒DA001排放，挤出、烘干、</w:t>
            </w:r>
            <w:r>
              <w:rPr>
                <w:rFonts w:hint="eastAsia" w:ascii="Times New Roman" w:hAnsi="Times New Roman" w:eastAsia="宋体" w:cs="Times New Roman"/>
                <w:bCs/>
                <w:color w:val="auto"/>
                <w:kern w:val="2"/>
                <w:sz w:val="21"/>
                <w:szCs w:val="21"/>
                <w:lang w:val="en-US" w:eastAsia="zh-CN" w:bidi="ar-SA"/>
              </w:rPr>
              <w:t>测试</w:t>
            </w:r>
            <w:r>
              <w:rPr>
                <w:rFonts w:hint="eastAsia"/>
                <w:color w:val="auto"/>
                <w:kern w:val="2"/>
                <w:sz w:val="21"/>
                <w:szCs w:val="21"/>
                <w:lang w:val="en-US" w:eastAsia="zh-CN"/>
              </w:rPr>
              <w:t>废气</w:t>
            </w:r>
            <w:r>
              <w:rPr>
                <w:rFonts w:hint="eastAsia"/>
                <w:color w:val="auto"/>
                <w:szCs w:val="21"/>
                <w:lang w:val="en-US" w:eastAsia="zh-CN"/>
              </w:rPr>
              <w:t>半密闭收集至1套“水喷淋塔+除湿器+二级活性炭吸附装置”处理后通过1根15米高排气筒DA002排放，</w:t>
            </w:r>
            <w:r>
              <w:rPr>
                <w:rFonts w:hint="eastAsia" w:ascii="Times New Roman" w:hAnsi="Times New Roman" w:eastAsia="宋体" w:cs="Times New Roman"/>
                <w:color w:val="auto"/>
                <w:sz w:val="21"/>
                <w:szCs w:val="21"/>
                <w:lang w:val="en-US" w:eastAsia="zh-CN"/>
              </w:rPr>
              <w:t>破碎</w:t>
            </w:r>
            <w:r>
              <w:rPr>
                <w:rFonts w:hint="default" w:ascii="Times New Roman" w:hAnsi="Times New Roman" w:eastAsia="宋体" w:cs="Times New Roman"/>
                <w:color w:val="auto"/>
                <w:sz w:val="21"/>
                <w:szCs w:val="21"/>
                <w:lang w:val="en-US" w:eastAsia="zh-CN"/>
              </w:rPr>
              <w:t>过程密闭操作，产生的微量粉尘无组织排放</w:t>
            </w:r>
            <w:r>
              <w:rPr>
                <w:rFonts w:hint="eastAsia" w:ascii="Times New Roman" w:hAnsi="Times New Roman" w:eastAsia="宋体" w:cs="Times New Roman"/>
                <w:color w:val="auto"/>
                <w:szCs w:val="21"/>
              </w:rPr>
              <w:t>。</w:t>
            </w:r>
          </w:p>
          <w:p w14:paraId="4CEEEF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DA001颗粒物有组织排放执行《合成树脂工业污染物排放标准》（GB 31572-2015）及2024年修改单表5中的标准；DA002非甲烷总烃有组织排放执行《合成树脂工业污染物排放标准》（GB 31572-2015）及2024年修改单表5中的标准；</w:t>
            </w:r>
          </w:p>
          <w:p w14:paraId="5CFED0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未收集废气非甲烷总烃无组织排放执行《合成树脂工业污染物排放标准》（GB 31572-2015）及2024年修改单表9中的标准，颗粒物无组织排放执行《大气污染物综合排放标准》（DB32/4041-2021）表3标准；厂区内无组织排放的非甲烷总烃排放执行《大气污染物综合排放标准》（DB32/4041-2021）表3标准。</w:t>
            </w:r>
          </w:p>
          <w:p w14:paraId="5DDE5C34">
            <w:pPr>
              <w:jc w:val="center"/>
              <w:rPr>
                <w:b/>
                <w:color w:val="auto"/>
                <w:kern w:val="144"/>
                <w:szCs w:val="21"/>
              </w:rPr>
            </w:pPr>
            <w:r>
              <w:rPr>
                <w:b/>
                <w:color w:val="auto"/>
                <w:kern w:val="144"/>
                <w:szCs w:val="21"/>
              </w:rPr>
              <w:t>表3-</w:t>
            </w:r>
            <w:r>
              <w:rPr>
                <w:rFonts w:hint="eastAsia"/>
                <w:b/>
                <w:color w:val="auto"/>
                <w:kern w:val="144"/>
                <w:szCs w:val="21"/>
                <w:lang w:val="en-US" w:eastAsia="zh-CN"/>
              </w:rPr>
              <w:t>6</w:t>
            </w:r>
            <w:r>
              <w:rPr>
                <w:b/>
                <w:color w:val="auto"/>
                <w:kern w:val="144"/>
                <w:szCs w:val="21"/>
              </w:rPr>
              <w:t xml:space="preserve"> 大气污染物</w:t>
            </w:r>
            <w:r>
              <w:rPr>
                <w:rFonts w:hint="eastAsia"/>
                <w:b/>
                <w:color w:val="auto"/>
                <w:kern w:val="144"/>
                <w:szCs w:val="21"/>
              </w:rPr>
              <w:t>有组织</w:t>
            </w:r>
            <w:r>
              <w:rPr>
                <w:b/>
                <w:color w:val="auto"/>
                <w:kern w:val="144"/>
                <w:szCs w:val="21"/>
              </w:rPr>
              <w:t>排放标准  单位：mg/m</w:t>
            </w:r>
            <w:r>
              <w:rPr>
                <w:b/>
                <w:color w:val="auto"/>
                <w:kern w:val="144"/>
                <w:szCs w:val="21"/>
                <w:vertAlign w:val="superscript"/>
              </w:rPr>
              <w:t>3</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0" w:type="dxa"/>
                <w:bottom w:w="0" w:type="dxa"/>
                <w:right w:w="0" w:type="dxa"/>
              </w:tblCellMar>
            </w:tblPr>
            <w:tblGrid>
              <w:gridCol w:w="971"/>
              <w:gridCol w:w="1435"/>
              <w:gridCol w:w="999"/>
              <w:gridCol w:w="1287"/>
              <w:gridCol w:w="1106"/>
              <w:gridCol w:w="2420"/>
            </w:tblGrid>
            <w:tr w14:paraId="249B19A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cantSplit/>
                <w:trHeight w:val="340" w:hRule="atLeast"/>
                <w:jc w:val="center"/>
              </w:trPr>
              <w:tc>
                <w:tcPr>
                  <w:tcW w:w="590" w:type="pct"/>
                  <w:vMerge w:val="restart"/>
                  <w:noWrap w:val="0"/>
                  <w:vAlign w:val="center"/>
                </w:tcPr>
                <w:p w14:paraId="67DAB94E">
                  <w:pPr>
                    <w:jc w:val="center"/>
                    <w:rPr>
                      <w:b/>
                      <w:bCs/>
                      <w:color w:val="auto"/>
                      <w:szCs w:val="21"/>
                    </w:rPr>
                  </w:pPr>
                  <w:r>
                    <w:rPr>
                      <w:b/>
                      <w:bCs/>
                      <w:color w:val="auto"/>
                      <w:szCs w:val="21"/>
                    </w:rPr>
                    <w:t>排放源</w:t>
                  </w:r>
                </w:p>
              </w:tc>
              <w:tc>
                <w:tcPr>
                  <w:tcW w:w="873" w:type="pct"/>
                  <w:vMerge w:val="restart"/>
                  <w:noWrap w:val="0"/>
                  <w:vAlign w:val="center"/>
                </w:tcPr>
                <w:p w14:paraId="670E5127">
                  <w:pPr>
                    <w:jc w:val="center"/>
                    <w:rPr>
                      <w:b/>
                      <w:bCs/>
                      <w:color w:val="auto"/>
                      <w:szCs w:val="21"/>
                    </w:rPr>
                  </w:pPr>
                  <w:r>
                    <w:rPr>
                      <w:b/>
                      <w:bCs/>
                      <w:color w:val="auto"/>
                      <w:szCs w:val="21"/>
                    </w:rPr>
                    <w:t>污染物名称</w:t>
                  </w:r>
                </w:p>
              </w:tc>
              <w:tc>
                <w:tcPr>
                  <w:tcW w:w="607" w:type="pct"/>
                  <w:vMerge w:val="restart"/>
                  <w:noWrap w:val="0"/>
                  <w:vAlign w:val="center"/>
                </w:tcPr>
                <w:p w14:paraId="1DC91B46">
                  <w:pPr>
                    <w:jc w:val="center"/>
                    <w:rPr>
                      <w:b/>
                      <w:bCs/>
                      <w:color w:val="auto"/>
                      <w:szCs w:val="21"/>
                    </w:rPr>
                  </w:pPr>
                  <w:r>
                    <w:rPr>
                      <w:b/>
                      <w:bCs/>
                      <w:color w:val="auto"/>
                      <w:szCs w:val="21"/>
                    </w:rPr>
                    <w:t>最高允许排放浓度(mg/m</w:t>
                  </w:r>
                  <w:r>
                    <w:rPr>
                      <w:b/>
                      <w:bCs/>
                      <w:color w:val="auto"/>
                      <w:szCs w:val="21"/>
                      <w:vertAlign w:val="superscript"/>
                    </w:rPr>
                    <w:t>3</w:t>
                  </w:r>
                  <w:r>
                    <w:rPr>
                      <w:b/>
                      <w:bCs/>
                      <w:color w:val="auto"/>
                      <w:szCs w:val="21"/>
                    </w:rPr>
                    <w:t>)</w:t>
                  </w:r>
                </w:p>
              </w:tc>
              <w:tc>
                <w:tcPr>
                  <w:tcW w:w="1455" w:type="pct"/>
                  <w:gridSpan w:val="2"/>
                  <w:noWrap w:val="0"/>
                  <w:vAlign w:val="center"/>
                </w:tcPr>
                <w:p w14:paraId="4BDA81AF">
                  <w:pPr>
                    <w:jc w:val="center"/>
                    <w:rPr>
                      <w:b/>
                      <w:bCs/>
                      <w:color w:val="auto"/>
                      <w:szCs w:val="21"/>
                    </w:rPr>
                  </w:pPr>
                  <w:r>
                    <w:rPr>
                      <w:b/>
                      <w:bCs/>
                      <w:color w:val="auto"/>
                      <w:szCs w:val="21"/>
                    </w:rPr>
                    <w:t>最高允许排放速率</w:t>
                  </w:r>
                </w:p>
              </w:tc>
              <w:tc>
                <w:tcPr>
                  <w:tcW w:w="1472" w:type="pct"/>
                  <w:vMerge w:val="restart"/>
                  <w:noWrap w:val="0"/>
                  <w:vAlign w:val="center"/>
                </w:tcPr>
                <w:p w14:paraId="3C6D4755">
                  <w:pPr>
                    <w:jc w:val="center"/>
                    <w:rPr>
                      <w:b/>
                      <w:bCs/>
                      <w:color w:val="auto"/>
                      <w:szCs w:val="21"/>
                    </w:rPr>
                  </w:pPr>
                  <w:r>
                    <w:rPr>
                      <w:b/>
                      <w:bCs/>
                      <w:color w:val="auto"/>
                      <w:szCs w:val="21"/>
                    </w:rPr>
                    <w:t>标准来源</w:t>
                  </w:r>
                </w:p>
              </w:tc>
            </w:tr>
            <w:tr w14:paraId="30D0F3C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cantSplit/>
                <w:trHeight w:val="340" w:hRule="atLeast"/>
                <w:jc w:val="center"/>
              </w:trPr>
              <w:tc>
                <w:tcPr>
                  <w:tcW w:w="590" w:type="pct"/>
                  <w:vMerge w:val="continue"/>
                  <w:noWrap w:val="0"/>
                  <w:vAlign w:val="center"/>
                </w:tcPr>
                <w:p w14:paraId="4DC8C499">
                  <w:pPr>
                    <w:jc w:val="center"/>
                    <w:rPr>
                      <w:b/>
                      <w:bCs/>
                      <w:color w:val="auto"/>
                      <w:szCs w:val="21"/>
                    </w:rPr>
                  </w:pPr>
                </w:p>
              </w:tc>
              <w:tc>
                <w:tcPr>
                  <w:tcW w:w="873" w:type="pct"/>
                  <w:vMerge w:val="continue"/>
                  <w:noWrap w:val="0"/>
                  <w:vAlign w:val="center"/>
                </w:tcPr>
                <w:p w14:paraId="29EE24AA">
                  <w:pPr>
                    <w:jc w:val="center"/>
                    <w:rPr>
                      <w:b/>
                      <w:bCs/>
                      <w:color w:val="auto"/>
                      <w:szCs w:val="21"/>
                    </w:rPr>
                  </w:pPr>
                </w:p>
              </w:tc>
              <w:tc>
                <w:tcPr>
                  <w:tcW w:w="607" w:type="pct"/>
                  <w:vMerge w:val="continue"/>
                  <w:noWrap w:val="0"/>
                  <w:vAlign w:val="center"/>
                </w:tcPr>
                <w:p w14:paraId="14B35D33">
                  <w:pPr>
                    <w:jc w:val="center"/>
                    <w:rPr>
                      <w:b/>
                      <w:bCs/>
                      <w:color w:val="auto"/>
                      <w:szCs w:val="21"/>
                    </w:rPr>
                  </w:pPr>
                </w:p>
              </w:tc>
              <w:tc>
                <w:tcPr>
                  <w:tcW w:w="783" w:type="pct"/>
                  <w:noWrap w:val="0"/>
                  <w:vAlign w:val="center"/>
                </w:tcPr>
                <w:p w14:paraId="32DB6D2C">
                  <w:pPr>
                    <w:jc w:val="center"/>
                    <w:rPr>
                      <w:b/>
                      <w:bCs/>
                      <w:color w:val="auto"/>
                      <w:szCs w:val="21"/>
                    </w:rPr>
                  </w:pPr>
                  <w:r>
                    <w:rPr>
                      <w:b/>
                      <w:bCs/>
                      <w:color w:val="auto"/>
                      <w:szCs w:val="21"/>
                    </w:rPr>
                    <w:t>排气筒（m）</w:t>
                  </w:r>
                </w:p>
              </w:tc>
              <w:tc>
                <w:tcPr>
                  <w:tcW w:w="672" w:type="pct"/>
                  <w:noWrap w:val="0"/>
                  <w:vAlign w:val="center"/>
                </w:tcPr>
                <w:p w14:paraId="15283388">
                  <w:pPr>
                    <w:jc w:val="center"/>
                    <w:rPr>
                      <w:b/>
                      <w:bCs/>
                      <w:color w:val="auto"/>
                      <w:szCs w:val="21"/>
                    </w:rPr>
                  </w:pPr>
                  <w:r>
                    <w:rPr>
                      <w:b/>
                      <w:bCs/>
                      <w:color w:val="auto"/>
                      <w:szCs w:val="21"/>
                    </w:rPr>
                    <w:t>速率（kg/h）</w:t>
                  </w:r>
                </w:p>
              </w:tc>
              <w:tc>
                <w:tcPr>
                  <w:tcW w:w="1472" w:type="pct"/>
                  <w:vMerge w:val="continue"/>
                  <w:noWrap w:val="0"/>
                  <w:vAlign w:val="center"/>
                </w:tcPr>
                <w:p w14:paraId="0B1DA8B3">
                  <w:pPr>
                    <w:jc w:val="center"/>
                    <w:rPr>
                      <w:b/>
                      <w:bCs/>
                      <w:color w:val="auto"/>
                      <w:szCs w:val="21"/>
                    </w:rPr>
                  </w:pPr>
                </w:p>
              </w:tc>
            </w:tr>
            <w:tr w14:paraId="2F95BF6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cantSplit/>
                <w:trHeight w:val="340" w:hRule="atLeast"/>
                <w:jc w:val="center"/>
              </w:trPr>
              <w:tc>
                <w:tcPr>
                  <w:tcW w:w="590" w:type="pct"/>
                  <w:noWrap w:val="0"/>
                  <w:vAlign w:val="center"/>
                </w:tcPr>
                <w:p w14:paraId="6BC4FAE5">
                  <w:pPr>
                    <w:jc w:val="center"/>
                    <w:rPr>
                      <w:bCs/>
                      <w:color w:val="auto"/>
                      <w:szCs w:val="21"/>
                    </w:rPr>
                  </w:pPr>
                  <w:r>
                    <w:rPr>
                      <w:bCs/>
                      <w:color w:val="auto"/>
                      <w:szCs w:val="21"/>
                    </w:rPr>
                    <w:t>排气筒（DA001）</w:t>
                  </w:r>
                </w:p>
              </w:tc>
              <w:tc>
                <w:tcPr>
                  <w:tcW w:w="873" w:type="pct"/>
                  <w:noWrap w:val="0"/>
                  <w:vAlign w:val="center"/>
                </w:tcPr>
                <w:p w14:paraId="27B4F636">
                  <w:pPr>
                    <w:adjustRightInd w:val="0"/>
                    <w:snapToGrid w:val="0"/>
                    <w:spacing w:before="48" w:beforeLines="20" w:after="48" w:afterLines="20"/>
                    <w:jc w:val="center"/>
                    <w:rPr>
                      <w:rFonts w:hint="eastAsia" w:eastAsia="宋体"/>
                      <w:color w:val="auto"/>
                      <w:szCs w:val="21"/>
                      <w:lang w:val="en-US" w:eastAsia="zh-CN"/>
                    </w:rPr>
                  </w:pPr>
                  <w:r>
                    <w:rPr>
                      <w:rFonts w:hint="eastAsia"/>
                      <w:color w:val="auto"/>
                      <w:szCs w:val="21"/>
                      <w:lang w:val="en-US" w:eastAsia="zh-CN"/>
                    </w:rPr>
                    <w:t>颗粒物</w:t>
                  </w:r>
                </w:p>
              </w:tc>
              <w:tc>
                <w:tcPr>
                  <w:tcW w:w="607" w:type="pct"/>
                  <w:noWrap w:val="0"/>
                  <w:vAlign w:val="center"/>
                </w:tcPr>
                <w:p w14:paraId="069D5469">
                  <w:pPr>
                    <w:jc w:val="center"/>
                    <w:rPr>
                      <w:rFonts w:hint="default" w:eastAsia="宋体"/>
                      <w:bCs/>
                      <w:color w:val="auto"/>
                      <w:szCs w:val="21"/>
                      <w:lang w:val="en-US" w:eastAsia="zh-CN"/>
                    </w:rPr>
                  </w:pPr>
                  <w:r>
                    <w:rPr>
                      <w:rFonts w:hint="eastAsia" w:eastAsia="宋体"/>
                      <w:bCs/>
                      <w:color w:val="auto"/>
                      <w:szCs w:val="21"/>
                      <w:lang w:val="en-US" w:eastAsia="zh-CN"/>
                    </w:rPr>
                    <w:t>20</w:t>
                  </w:r>
                </w:p>
              </w:tc>
              <w:tc>
                <w:tcPr>
                  <w:tcW w:w="783" w:type="pct"/>
                  <w:shd w:val="clear" w:color="auto" w:fill="auto"/>
                  <w:noWrap w:val="0"/>
                  <w:vAlign w:val="center"/>
                </w:tcPr>
                <w:p w14:paraId="145DCDC6">
                  <w:pPr>
                    <w:jc w:val="center"/>
                    <w:rPr>
                      <w:rFonts w:ascii="Times New Roman" w:hAnsi="Times New Roman" w:eastAsia="宋体" w:cs="Times New Roman"/>
                      <w:color w:val="auto"/>
                      <w:kern w:val="2"/>
                      <w:sz w:val="21"/>
                      <w:szCs w:val="21"/>
                      <w:lang w:val="en-US" w:eastAsia="zh-CN" w:bidi="ar-SA"/>
                    </w:rPr>
                  </w:pPr>
                  <w:r>
                    <w:rPr>
                      <w:color w:val="auto"/>
                      <w:szCs w:val="21"/>
                    </w:rPr>
                    <w:t>15</w:t>
                  </w:r>
                </w:p>
              </w:tc>
              <w:tc>
                <w:tcPr>
                  <w:tcW w:w="672" w:type="pct"/>
                  <w:shd w:val="clear" w:color="auto" w:fill="auto"/>
                  <w:noWrap w:val="0"/>
                  <w:vAlign w:val="center"/>
                </w:tcPr>
                <w:p w14:paraId="0E74A848">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1472" w:type="pct"/>
                  <w:vMerge w:val="restart"/>
                  <w:noWrap w:val="0"/>
                  <w:vAlign w:val="center"/>
                </w:tcPr>
                <w:p w14:paraId="7484943A">
                  <w:pPr>
                    <w:jc w:val="center"/>
                    <w:rPr>
                      <w:rFonts w:hint="eastAsia"/>
                      <w:color w:val="auto"/>
                      <w:kern w:val="2"/>
                      <w:sz w:val="21"/>
                      <w:szCs w:val="21"/>
                      <w:lang w:val="en-US" w:eastAsia="zh-CN" w:bidi="ar-SA"/>
                    </w:rPr>
                  </w:pPr>
                  <w:r>
                    <w:rPr>
                      <w:rFonts w:hint="eastAsia"/>
                      <w:color w:val="auto"/>
                      <w:szCs w:val="21"/>
                      <w:lang w:eastAsia="zh-CN"/>
                    </w:rPr>
                    <w:t>《</w:t>
                  </w:r>
                  <w:r>
                    <w:rPr>
                      <w:rFonts w:hint="eastAsia"/>
                      <w:color w:val="auto"/>
                      <w:szCs w:val="21"/>
                    </w:rPr>
                    <w:t>合成树脂工业污染物排放标准</w:t>
                  </w:r>
                  <w:r>
                    <w:rPr>
                      <w:rFonts w:hint="eastAsia"/>
                      <w:color w:val="auto"/>
                      <w:szCs w:val="21"/>
                      <w:lang w:eastAsia="zh-CN"/>
                    </w:rPr>
                    <w:t>》</w:t>
                  </w:r>
                  <w:r>
                    <w:rPr>
                      <w:rFonts w:hint="eastAsia"/>
                      <w:color w:val="auto"/>
                      <w:szCs w:val="21"/>
                    </w:rPr>
                    <w:t>（GB 31572-2015）</w:t>
                  </w:r>
                  <w:r>
                    <w:rPr>
                      <w:rFonts w:hint="eastAsia"/>
                      <w:color w:val="auto"/>
                      <w:szCs w:val="21"/>
                      <w:lang w:val="en-US" w:eastAsia="zh-CN"/>
                    </w:rPr>
                    <w:t>及2024年修改单表5中的标准</w:t>
                  </w:r>
                </w:p>
              </w:tc>
            </w:tr>
            <w:tr w14:paraId="3D95D8D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cantSplit/>
                <w:trHeight w:val="283" w:hRule="atLeast"/>
                <w:jc w:val="center"/>
              </w:trPr>
              <w:tc>
                <w:tcPr>
                  <w:tcW w:w="590" w:type="pct"/>
                  <w:shd w:val="clear" w:color="auto" w:fill="auto"/>
                  <w:noWrap w:val="0"/>
                  <w:vAlign w:val="center"/>
                </w:tcPr>
                <w:p w14:paraId="2B153913">
                  <w:pPr>
                    <w:jc w:val="center"/>
                    <w:rPr>
                      <w:rFonts w:ascii="Times New Roman" w:hAnsi="Times New Roman" w:eastAsia="宋体" w:cs="Times New Roman"/>
                      <w:bCs/>
                      <w:color w:val="auto"/>
                      <w:kern w:val="2"/>
                      <w:sz w:val="21"/>
                      <w:szCs w:val="21"/>
                      <w:lang w:val="en-US" w:eastAsia="zh-CN" w:bidi="ar-SA"/>
                    </w:rPr>
                  </w:pPr>
                  <w:r>
                    <w:rPr>
                      <w:bCs/>
                      <w:color w:val="auto"/>
                      <w:szCs w:val="21"/>
                    </w:rPr>
                    <w:t>排气筒（DA00</w:t>
                  </w:r>
                  <w:r>
                    <w:rPr>
                      <w:rFonts w:hint="eastAsia"/>
                      <w:bCs/>
                      <w:color w:val="auto"/>
                      <w:szCs w:val="21"/>
                      <w:lang w:val="en-US" w:eastAsia="zh-CN"/>
                    </w:rPr>
                    <w:t>2</w:t>
                  </w:r>
                  <w:r>
                    <w:rPr>
                      <w:bCs/>
                      <w:color w:val="auto"/>
                      <w:szCs w:val="21"/>
                    </w:rPr>
                    <w:t>）</w:t>
                  </w:r>
                </w:p>
              </w:tc>
              <w:tc>
                <w:tcPr>
                  <w:tcW w:w="873" w:type="pct"/>
                  <w:shd w:val="clear" w:color="auto" w:fill="auto"/>
                  <w:noWrap w:val="0"/>
                  <w:vAlign w:val="center"/>
                </w:tcPr>
                <w:p w14:paraId="4D372144">
                  <w:pPr>
                    <w:adjustRightInd w:val="0"/>
                    <w:snapToGrid w:val="0"/>
                    <w:spacing w:before="48" w:beforeLines="20" w:after="48" w:afterLines="20"/>
                    <w:jc w:val="center"/>
                    <w:rPr>
                      <w:rFonts w:hint="eastAsia" w:ascii="Times New Roman" w:hAnsi="Times New Roman" w:eastAsia="宋体" w:cs="Times New Roman"/>
                      <w:color w:val="auto"/>
                      <w:kern w:val="2"/>
                      <w:sz w:val="21"/>
                      <w:szCs w:val="21"/>
                      <w:lang w:val="en-US" w:eastAsia="zh-CN" w:bidi="ar-SA"/>
                    </w:rPr>
                  </w:pPr>
                  <w:r>
                    <w:rPr>
                      <w:color w:val="auto"/>
                      <w:szCs w:val="21"/>
                    </w:rPr>
                    <w:t>非甲烷总烃</w:t>
                  </w:r>
                </w:p>
              </w:tc>
              <w:tc>
                <w:tcPr>
                  <w:tcW w:w="607" w:type="pct"/>
                  <w:shd w:val="clear" w:color="auto" w:fill="auto"/>
                  <w:noWrap w:val="0"/>
                  <w:vAlign w:val="center"/>
                </w:tcPr>
                <w:p w14:paraId="7F0E8023">
                  <w:pPr>
                    <w:jc w:val="center"/>
                    <w:rPr>
                      <w:rFonts w:hint="default" w:ascii="Times New Roman" w:hAnsi="Times New Roman" w:eastAsia="宋体" w:cs="Times New Roman"/>
                      <w:bCs/>
                      <w:color w:val="auto"/>
                      <w:kern w:val="2"/>
                      <w:sz w:val="21"/>
                      <w:szCs w:val="21"/>
                      <w:lang w:val="en-US" w:eastAsia="zh-CN" w:bidi="ar-SA"/>
                    </w:rPr>
                  </w:pPr>
                  <w:r>
                    <w:rPr>
                      <w:rFonts w:hint="eastAsia"/>
                      <w:color w:val="auto"/>
                      <w:szCs w:val="21"/>
                      <w:lang w:val="en-US" w:eastAsia="zh-CN"/>
                    </w:rPr>
                    <w:t>60</w:t>
                  </w:r>
                </w:p>
              </w:tc>
              <w:tc>
                <w:tcPr>
                  <w:tcW w:w="783" w:type="pct"/>
                  <w:shd w:val="clear" w:color="auto" w:fill="auto"/>
                  <w:noWrap w:val="0"/>
                  <w:vAlign w:val="center"/>
                </w:tcPr>
                <w:p w14:paraId="1620C2AA">
                  <w:pPr>
                    <w:jc w:val="center"/>
                    <w:rPr>
                      <w:rFonts w:ascii="Times New Roman" w:hAnsi="Times New Roman" w:eastAsia="宋体" w:cs="Times New Roman"/>
                      <w:color w:val="auto"/>
                      <w:kern w:val="2"/>
                      <w:sz w:val="21"/>
                      <w:szCs w:val="21"/>
                      <w:lang w:val="en-US" w:eastAsia="zh-CN" w:bidi="ar-SA"/>
                    </w:rPr>
                  </w:pPr>
                  <w:r>
                    <w:rPr>
                      <w:color w:val="auto"/>
                      <w:szCs w:val="21"/>
                    </w:rPr>
                    <w:t>15</w:t>
                  </w:r>
                </w:p>
              </w:tc>
              <w:tc>
                <w:tcPr>
                  <w:tcW w:w="672" w:type="pct"/>
                  <w:shd w:val="clear" w:color="auto" w:fill="auto"/>
                  <w:noWrap w:val="0"/>
                  <w:vAlign w:val="center"/>
                </w:tcPr>
                <w:p w14:paraId="70AB986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1472" w:type="pct"/>
                  <w:vMerge w:val="continue"/>
                  <w:noWrap w:val="0"/>
                  <w:vAlign w:val="center"/>
                </w:tcPr>
                <w:p w14:paraId="049132D9">
                  <w:pPr>
                    <w:jc w:val="center"/>
                    <w:rPr>
                      <w:rFonts w:hint="eastAsia"/>
                      <w:color w:val="auto"/>
                      <w:kern w:val="2"/>
                      <w:sz w:val="21"/>
                      <w:szCs w:val="21"/>
                      <w:lang w:val="en-US" w:eastAsia="zh-CN" w:bidi="ar-SA"/>
                    </w:rPr>
                  </w:pPr>
                </w:p>
              </w:tc>
            </w:tr>
            <w:tr w14:paraId="1B27ADF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cantSplit/>
                <w:trHeight w:val="283" w:hRule="atLeast"/>
                <w:jc w:val="center"/>
              </w:trPr>
              <w:tc>
                <w:tcPr>
                  <w:tcW w:w="3527" w:type="pct"/>
                  <w:gridSpan w:val="5"/>
                  <w:shd w:val="clear" w:color="auto" w:fill="auto"/>
                  <w:noWrap w:val="0"/>
                  <w:vAlign w:val="center"/>
                </w:tcPr>
                <w:p w14:paraId="29E7E4B2">
                  <w:pPr>
                    <w:jc w:val="center"/>
                    <w:rPr>
                      <w:rFonts w:hint="eastAsia"/>
                      <w:color w:val="auto"/>
                      <w:szCs w:val="21"/>
                      <w:lang w:val="en-US" w:eastAsia="zh-CN"/>
                    </w:rPr>
                  </w:pPr>
                  <w:r>
                    <w:rPr>
                      <w:rFonts w:hint="default" w:ascii="Times New Roman" w:hAnsi="Times New Roman" w:eastAsia="宋体" w:cs="Times New Roman"/>
                      <w:color w:val="auto"/>
                      <w:szCs w:val="21"/>
                    </w:rPr>
                    <w:t>单位产品非甲烷总烃排放量kg/t产品</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rPr>
                    <w:t>0.3</w:t>
                  </w:r>
                </w:p>
              </w:tc>
              <w:tc>
                <w:tcPr>
                  <w:tcW w:w="1472" w:type="pct"/>
                  <w:vMerge w:val="continue"/>
                  <w:noWrap w:val="0"/>
                  <w:vAlign w:val="center"/>
                </w:tcPr>
                <w:p w14:paraId="5F424355">
                  <w:pPr>
                    <w:jc w:val="center"/>
                    <w:rPr>
                      <w:rFonts w:hint="eastAsia"/>
                      <w:color w:val="auto"/>
                      <w:kern w:val="2"/>
                      <w:sz w:val="21"/>
                      <w:szCs w:val="21"/>
                      <w:lang w:val="en-US" w:eastAsia="zh-CN" w:bidi="ar-SA"/>
                    </w:rPr>
                  </w:pPr>
                </w:p>
              </w:tc>
            </w:tr>
          </w:tbl>
          <w:p w14:paraId="1DC561A1">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b/>
                <w:color w:val="auto"/>
                <w:kern w:val="144"/>
                <w:szCs w:val="21"/>
              </w:rPr>
            </w:pPr>
            <w:r>
              <w:rPr>
                <w:b/>
                <w:color w:val="auto"/>
                <w:kern w:val="144"/>
                <w:szCs w:val="21"/>
              </w:rPr>
              <w:t>表3-</w:t>
            </w:r>
            <w:r>
              <w:rPr>
                <w:rFonts w:hint="eastAsia"/>
                <w:b/>
                <w:color w:val="auto"/>
                <w:kern w:val="144"/>
                <w:szCs w:val="21"/>
                <w:lang w:val="en-US" w:eastAsia="zh-CN"/>
              </w:rPr>
              <w:t>7</w:t>
            </w:r>
            <w:r>
              <w:rPr>
                <w:b/>
                <w:color w:val="auto"/>
                <w:kern w:val="144"/>
                <w:szCs w:val="21"/>
              </w:rPr>
              <w:t xml:space="preserve"> 大气污染物</w:t>
            </w:r>
            <w:r>
              <w:rPr>
                <w:rFonts w:hint="eastAsia"/>
                <w:b/>
                <w:color w:val="auto"/>
                <w:kern w:val="144"/>
                <w:szCs w:val="21"/>
              </w:rPr>
              <w:t>厂界无组织</w:t>
            </w:r>
            <w:r>
              <w:rPr>
                <w:b/>
                <w:color w:val="auto"/>
                <w:kern w:val="144"/>
                <w:szCs w:val="21"/>
              </w:rPr>
              <w:t>排放标准  单位：mg/m</w:t>
            </w:r>
            <w:r>
              <w:rPr>
                <w:b/>
                <w:color w:val="auto"/>
                <w:kern w:val="144"/>
                <w:szCs w:val="21"/>
                <w:vertAlign w:val="superscript"/>
              </w:rPr>
              <w:t>3</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9"/>
              <w:gridCol w:w="749"/>
              <w:gridCol w:w="852"/>
              <w:gridCol w:w="1969"/>
              <w:gridCol w:w="4000"/>
            </w:tblGrid>
            <w:tr w14:paraId="53962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4" w:type="pct"/>
                  <w:vMerge w:val="restart"/>
                  <w:noWrap w:val="0"/>
                  <w:vAlign w:val="center"/>
                </w:tcPr>
                <w:p w14:paraId="01E1B1B1">
                  <w:pPr>
                    <w:jc w:val="center"/>
                    <w:rPr>
                      <w:b/>
                      <w:bCs/>
                      <w:color w:val="auto"/>
                      <w:szCs w:val="21"/>
                    </w:rPr>
                  </w:pPr>
                  <w:r>
                    <w:rPr>
                      <w:b/>
                      <w:bCs/>
                      <w:color w:val="auto"/>
                      <w:szCs w:val="21"/>
                    </w:rPr>
                    <w:t>污染源</w:t>
                  </w:r>
                </w:p>
              </w:tc>
              <w:tc>
                <w:tcPr>
                  <w:tcW w:w="455" w:type="pct"/>
                  <w:vMerge w:val="restart"/>
                  <w:noWrap w:val="0"/>
                  <w:vAlign w:val="center"/>
                </w:tcPr>
                <w:p w14:paraId="023765C2">
                  <w:pPr>
                    <w:jc w:val="center"/>
                    <w:rPr>
                      <w:b/>
                      <w:bCs/>
                      <w:color w:val="auto"/>
                      <w:szCs w:val="21"/>
                    </w:rPr>
                  </w:pPr>
                  <w:r>
                    <w:rPr>
                      <w:b/>
                      <w:bCs/>
                      <w:color w:val="auto"/>
                      <w:szCs w:val="21"/>
                    </w:rPr>
                    <w:t>污染物名称</w:t>
                  </w:r>
                </w:p>
              </w:tc>
              <w:tc>
                <w:tcPr>
                  <w:tcW w:w="1716" w:type="pct"/>
                  <w:gridSpan w:val="2"/>
                  <w:noWrap w:val="0"/>
                  <w:vAlign w:val="center"/>
                </w:tcPr>
                <w:p w14:paraId="723A2450">
                  <w:pPr>
                    <w:jc w:val="center"/>
                    <w:rPr>
                      <w:b/>
                      <w:bCs/>
                      <w:color w:val="auto"/>
                      <w:szCs w:val="21"/>
                    </w:rPr>
                  </w:pPr>
                  <w:r>
                    <w:rPr>
                      <w:b/>
                      <w:bCs/>
                      <w:color w:val="auto"/>
                      <w:szCs w:val="21"/>
                    </w:rPr>
                    <w:t>无组织排放监控浓度限值</w:t>
                  </w:r>
                </w:p>
              </w:tc>
              <w:tc>
                <w:tcPr>
                  <w:tcW w:w="2433" w:type="pct"/>
                  <w:vMerge w:val="restart"/>
                  <w:noWrap w:val="0"/>
                  <w:vAlign w:val="center"/>
                </w:tcPr>
                <w:p w14:paraId="289D556E">
                  <w:pPr>
                    <w:jc w:val="center"/>
                    <w:rPr>
                      <w:b/>
                      <w:bCs/>
                      <w:color w:val="auto"/>
                      <w:szCs w:val="21"/>
                    </w:rPr>
                  </w:pPr>
                  <w:r>
                    <w:rPr>
                      <w:b/>
                      <w:bCs/>
                      <w:color w:val="auto"/>
                      <w:szCs w:val="21"/>
                    </w:rPr>
                    <w:t>标准来源</w:t>
                  </w:r>
                </w:p>
              </w:tc>
            </w:tr>
            <w:tr w14:paraId="7C486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4" w:type="pct"/>
                  <w:vMerge w:val="continue"/>
                  <w:noWrap w:val="0"/>
                  <w:vAlign w:val="center"/>
                </w:tcPr>
                <w:p w14:paraId="5519799F">
                  <w:pPr>
                    <w:jc w:val="center"/>
                    <w:rPr>
                      <w:b/>
                      <w:bCs/>
                      <w:color w:val="auto"/>
                      <w:szCs w:val="21"/>
                    </w:rPr>
                  </w:pPr>
                </w:p>
              </w:tc>
              <w:tc>
                <w:tcPr>
                  <w:tcW w:w="455" w:type="pct"/>
                  <w:vMerge w:val="continue"/>
                  <w:noWrap w:val="0"/>
                  <w:vAlign w:val="center"/>
                </w:tcPr>
                <w:p w14:paraId="4056A366">
                  <w:pPr>
                    <w:jc w:val="center"/>
                    <w:rPr>
                      <w:b/>
                      <w:bCs/>
                      <w:color w:val="auto"/>
                      <w:szCs w:val="21"/>
                    </w:rPr>
                  </w:pPr>
                </w:p>
              </w:tc>
              <w:tc>
                <w:tcPr>
                  <w:tcW w:w="518" w:type="pct"/>
                  <w:noWrap w:val="0"/>
                  <w:vAlign w:val="center"/>
                </w:tcPr>
                <w:p w14:paraId="08365ABE">
                  <w:pPr>
                    <w:jc w:val="center"/>
                    <w:rPr>
                      <w:b/>
                      <w:bCs/>
                      <w:color w:val="auto"/>
                      <w:szCs w:val="21"/>
                    </w:rPr>
                  </w:pPr>
                  <w:r>
                    <w:rPr>
                      <w:b/>
                      <w:bCs/>
                      <w:color w:val="auto"/>
                      <w:szCs w:val="21"/>
                    </w:rPr>
                    <w:t>监控点</w:t>
                  </w:r>
                </w:p>
              </w:tc>
              <w:tc>
                <w:tcPr>
                  <w:tcW w:w="1197" w:type="pct"/>
                  <w:noWrap w:val="0"/>
                  <w:vAlign w:val="center"/>
                </w:tcPr>
                <w:p w14:paraId="7E3296EB">
                  <w:pPr>
                    <w:jc w:val="center"/>
                    <w:rPr>
                      <w:b/>
                      <w:bCs/>
                      <w:color w:val="auto"/>
                      <w:szCs w:val="21"/>
                    </w:rPr>
                  </w:pPr>
                  <w:r>
                    <w:rPr>
                      <w:b/>
                      <w:bCs/>
                      <w:color w:val="auto"/>
                      <w:szCs w:val="21"/>
                    </w:rPr>
                    <w:t>浓度限值（mg/m</w:t>
                  </w:r>
                  <w:r>
                    <w:rPr>
                      <w:b/>
                      <w:bCs/>
                      <w:color w:val="auto"/>
                      <w:szCs w:val="21"/>
                      <w:vertAlign w:val="superscript"/>
                    </w:rPr>
                    <w:t>3</w:t>
                  </w:r>
                  <w:r>
                    <w:rPr>
                      <w:b/>
                      <w:bCs/>
                      <w:color w:val="auto"/>
                      <w:szCs w:val="21"/>
                    </w:rPr>
                    <w:t>）</w:t>
                  </w:r>
                </w:p>
              </w:tc>
              <w:tc>
                <w:tcPr>
                  <w:tcW w:w="2433" w:type="pct"/>
                  <w:vMerge w:val="continue"/>
                  <w:noWrap w:val="0"/>
                  <w:vAlign w:val="center"/>
                </w:tcPr>
                <w:p w14:paraId="6B2266D7">
                  <w:pPr>
                    <w:jc w:val="center"/>
                    <w:rPr>
                      <w:b/>
                      <w:bCs/>
                      <w:color w:val="auto"/>
                      <w:szCs w:val="21"/>
                    </w:rPr>
                  </w:pPr>
                </w:p>
              </w:tc>
            </w:tr>
            <w:tr w14:paraId="45D16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4" w:type="pct"/>
                  <w:vMerge w:val="restart"/>
                  <w:noWrap w:val="0"/>
                  <w:vAlign w:val="center"/>
                </w:tcPr>
                <w:p w14:paraId="05373FE0">
                  <w:pPr>
                    <w:jc w:val="center"/>
                    <w:rPr>
                      <w:rFonts w:hint="eastAsia" w:eastAsia="宋体"/>
                      <w:color w:val="auto"/>
                      <w:szCs w:val="21"/>
                      <w:lang w:val="en-US" w:eastAsia="zh-CN"/>
                    </w:rPr>
                  </w:pPr>
                  <w:r>
                    <w:rPr>
                      <w:rFonts w:hint="eastAsia" w:eastAsia="宋体"/>
                      <w:color w:val="auto"/>
                      <w:szCs w:val="21"/>
                      <w:lang w:val="en-US" w:eastAsia="zh-CN"/>
                    </w:rPr>
                    <w:t>生产</w:t>
                  </w:r>
                </w:p>
                <w:p w14:paraId="0A970009">
                  <w:pPr>
                    <w:jc w:val="center"/>
                    <w:rPr>
                      <w:rFonts w:hint="default" w:eastAsia="宋体"/>
                      <w:color w:val="auto"/>
                      <w:szCs w:val="21"/>
                      <w:lang w:val="en-US" w:eastAsia="zh-CN"/>
                    </w:rPr>
                  </w:pPr>
                  <w:r>
                    <w:rPr>
                      <w:rFonts w:hint="eastAsia" w:eastAsia="宋体"/>
                      <w:color w:val="auto"/>
                      <w:szCs w:val="21"/>
                      <w:lang w:val="en-US" w:eastAsia="zh-CN"/>
                    </w:rPr>
                    <w:t>车间</w:t>
                  </w:r>
                </w:p>
              </w:tc>
              <w:tc>
                <w:tcPr>
                  <w:tcW w:w="455" w:type="pct"/>
                  <w:noWrap w:val="0"/>
                  <w:vAlign w:val="center"/>
                </w:tcPr>
                <w:p w14:paraId="0D377355">
                  <w:pPr>
                    <w:jc w:val="center"/>
                    <w:rPr>
                      <w:rFonts w:hint="default" w:eastAsia="宋体"/>
                      <w:color w:val="auto"/>
                      <w:szCs w:val="21"/>
                      <w:lang w:val="en-US" w:eastAsia="zh-CN"/>
                    </w:rPr>
                  </w:pPr>
                  <w:r>
                    <w:rPr>
                      <w:rFonts w:hint="eastAsia"/>
                      <w:bCs/>
                      <w:color w:val="auto"/>
                      <w:szCs w:val="21"/>
                      <w:lang w:val="en-US" w:eastAsia="zh-CN"/>
                    </w:rPr>
                    <w:t>非甲烷总烃</w:t>
                  </w:r>
                </w:p>
              </w:tc>
              <w:tc>
                <w:tcPr>
                  <w:tcW w:w="518" w:type="pct"/>
                  <w:vMerge w:val="restart"/>
                  <w:noWrap w:val="0"/>
                  <w:vAlign w:val="center"/>
                </w:tcPr>
                <w:p w14:paraId="139CA7F2">
                  <w:pPr>
                    <w:jc w:val="center"/>
                    <w:rPr>
                      <w:color w:val="auto"/>
                      <w:szCs w:val="21"/>
                    </w:rPr>
                  </w:pPr>
                  <w:r>
                    <w:rPr>
                      <w:color w:val="auto"/>
                      <w:szCs w:val="21"/>
                    </w:rPr>
                    <w:t>边界外浓度最高点</w:t>
                  </w:r>
                </w:p>
              </w:tc>
              <w:tc>
                <w:tcPr>
                  <w:tcW w:w="1197" w:type="pct"/>
                  <w:noWrap w:val="0"/>
                  <w:vAlign w:val="center"/>
                </w:tcPr>
                <w:p w14:paraId="55898684">
                  <w:pPr>
                    <w:jc w:val="center"/>
                    <w:rPr>
                      <w:rFonts w:hint="eastAsia" w:eastAsia="宋体"/>
                      <w:color w:val="auto"/>
                      <w:szCs w:val="21"/>
                      <w:lang w:eastAsia="zh-CN"/>
                    </w:rPr>
                  </w:pPr>
                  <w:r>
                    <w:rPr>
                      <w:rFonts w:hint="eastAsia"/>
                      <w:color w:val="auto"/>
                      <w:szCs w:val="21"/>
                      <w:lang w:val="en-US" w:eastAsia="zh-CN"/>
                    </w:rPr>
                    <w:t>4</w:t>
                  </w:r>
                </w:p>
              </w:tc>
              <w:tc>
                <w:tcPr>
                  <w:tcW w:w="2433" w:type="pct"/>
                  <w:noWrap w:val="0"/>
                  <w:vAlign w:val="center"/>
                </w:tcPr>
                <w:p w14:paraId="336A5E59">
                  <w:pPr>
                    <w:jc w:val="center"/>
                    <w:rPr>
                      <w:color w:val="auto"/>
                      <w:szCs w:val="21"/>
                    </w:rPr>
                  </w:pPr>
                  <w:r>
                    <w:rPr>
                      <w:rFonts w:hint="eastAsia"/>
                      <w:color w:val="auto"/>
                      <w:szCs w:val="21"/>
                      <w:lang w:eastAsia="zh-CN"/>
                    </w:rPr>
                    <w:t>《</w:t>
                  </w:r>
                  <w:r>
                    <w:rPr>
                      <w:rFonts w:hint="eastAsia"/>
                      <w:color w:val="auto"/>
                      <w:szCs w:val="21"/>
                    </w:rPr>
                    <w:t>合成树脂工业污染物排放标准</w:t>
                  </w:r>
                  <w:r>
                    <w:rPr>
                      <w:rFonts w:hint="eastAsia"/>
                      <w:color w:val="auto"/>
                      <w:szCs w:val="21"/>
                      <w:lang w:eastAsia="zh-CN"/>
                    </w:rPr>
                    <w:t>》</w:t>
                  </w:r>
                  <w:r>
                    <w:rPr>
                      <w:rFonts w:hint="eastAsia"/>
                      <w:color w:val="auto"/>
                      <w:szCs w:val="21"/>
                    </w:rPr>
                    <w:t>（GB 31572-2015）</w:t>
                  </w:r>
                  <w:r>
                    <w:rPr>
                      <w:rFonts w:hint="eastAsia"/>
                      <w:color w:val="auto"/>
                      <w:szCs w:val="21"/>
                      <w:lang w:val="en-US" w:eastAsia="zh-CN"/>
                    </w:rPr>
                    <w:t>及2024年修改单表9中的标准</w:t>
                  </w:r>
                </w:p>
              </w:tc>
            </w:tr>
            <w:tr w14:paraId="03DE5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4" w:type="pct"/>
                  <w:vMerge w:val="continue"/>
                  <w:noWrap w:val="0"/>
                  <w:vAlign w:val="center"/>
                </w:tcPr>
                <w:p w14:paraId="7B91E009">
                  <w:pPr>
                    <w:jc w:val="center"/>
                    <w:rPr>
                      <w:rFonts w:hint="eastAsia"/>
                      <w:color w:val="auto"/>
                      <w:szCs w:val="21"/>
                      <w:lang w:val="en-US" w:eastAsia="zh-CN"/>
                    </w:rPr>
                  </w:pPr>
                </w:p>
              </w:tc>
              <w:tc>
                <w:tcPr>
                  <w:tcW w:w="455" w:type="pct"/>
                  <w:noWrap w:val="0"/>
                  <w:vAlign w:val="center"/>
                </w:tcPr>
                <w:p w14:paraId="39EDE727">
                  <w:pPr>
                    <w:jc w:val="center"/>
                    <w:rPr>
                      <w:rFonts w:hint="default"/>
                      <w:color w:val="auto"/>
                      <w:vertAlign w:val="baseline"/>
                      <w:lang w:val="en-US" w:eastAsia="zh-CN"/>
                    </w:rPr>
                  </w:pPr>
                  <w:r>
                    <w:rPr>
                      <w:rFonts w:hint="eastAsia"/>
                      <w:color w:val="auto"/>
                      <w:vertAlign w:val="baseline"/>
                      <w:lang w:val="en-US" w:eastAsia="zh-CN"/>
                    </w:rPr>
                    <w:t>颗粒物</w:t>
                  </w:r>
                </w:p>
              </w:tc>
              <w:tc>
                <w:tcPr>
                  <w:tcW w:w="518" w:type="pct"/>
                  <w:vMerge w:val="continue"/>
                  <w:noWrap w:val="0"/>
                  <w:vAlign w:val="center"/>
                </w:tcPr>
                <w:p w14:paraId="45D3B746">
                  <w:pPr>
                    <w:jc w:val="center"/>
                    <w:rPr>
                      <w:color w:val="auto"/>
                      <w:szCs w:val="21"/>
                    </w:rPr>
                  </w:pPr>
                </w:p>
              </w:tc>
              <w:tc>
                <w:tcPr>
                  <w:tcW w:w="1197" w:type="pct"/>
                  <w:noWrap w:val="0"/>
                  <w:vAlign w:val="center"/>
                </w:tcPr>
                <w:p w14:paraId="765B0A07">
                  <w:pPr>
                    <w:jc w:val="center"/>
                    <w:rPr>
                      <w:rFonts w:hint="default"/>
                      <w:color w:val="auto"/>
                      <w:szCs w:val="21"/>
                      <w:lang w:val="en-US" w:eastAsia="zh-CN"/>
                    </w:rPr>
                  </w:pPr>
                  <w:r>
                    <w:rPr>
                      <w:rFonts w:hint="eastAsia"/>
                      <w:color w:val="auto"/>
                      <w:szCs w:val="21"/>
                      <w:lang w:val="en-US" w:eastAsia="zh-CN"/>
                    </w:rPr>
                    <w:t>0.5</w:t>
                  </w:r>
                </w:p>
              </w:tc>
              <w:tc>
                <w:tcPr>
                  <w:tcW w:w="2433" w:type="pct"/>
                  <w:noWrap w:val="0"/>
                  <w:vAlign w:val="center"/>
                </w:tcPr>
                <w:p w14:paraId="2390708A">
                  <w:pPr>
                    <w:jc w:val="center"/>
                    <w:rPr>
                      <w:color w:val="auto"/>
                      <w:kern w:val="2"/>
                      <w:sz w:val="21"/>
                      <w:szCs w:val="21"/>
                      <w:lang w:val="en-US" w:eastAsia="zh-CN" w:bidi="ar-SA"/>
                    </w:rPr>
                  </w:pPr>
                  <w:r>
                    <w:rPr>
                      <w:color w:val="auto"/>
                      <w:szCs w:val="21"/>
                    </w:rPr>
                    <w:t>《大气污染物综合排放标准》（DB32/4041-2021）表3标准</w:t>
                  </w:r>
                </w:p>
              </w:tc>
            </w:tr>
          </w:tbl>
          <w:p w14:paraId="2C532DC8">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b/>
                <w:color w:val="auto"/>
                <w:szCs w:val="21"/>
              </w:rPr>
            </w:pPr>
            <w:r>
              <w:rPr>
                <w:b/>
                <w:color w:val="auto"/>
                <w:szCs w:val="21"/>
              </w:rPr>
              <w:t>表3</w:t>
            </w:r>
            <w:r>
              <w:rPr>
                <w:rFonts w:hint="eastAsia"/>
                <w:b/>
                <w:color w:val="auto"/>
                <w:szCs w:val="21"/>
                <w:lang w:val="en-US" w:eastAsia="zh-CN"/>
              </w:rPr>
              <w:t>-8</w:t>
            </w:r>
            <w:r>
              <w:rPr>
                <w:b/>
                <w:color w:val="auto"/>
                <w:szCs w:val="21"/>
              </w:rPr>
              <w:t xml:space="preserve"> 厂区内NMHC无组织排放限值   </w:t>
            </w:r>
            <w:r>
              <w:rPr>
                <w:b/>
                <w:bCs/>
                <w:color w:val="auto"/>
                <w:szCs w:val="21"/>
              </w:rPr>
              <w:t>单位：mg/m</w:t>
            </w:r>
            <w:r>
              <w:rPr>
                <w:b/>
                <w:bCs/>
                <w:color w:val="auto"/>
                <w:szCs w:val="21"/>
                <w:vertAlign w:val="superscript"/>
              </w:rPr>
              <w:t>3</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3"/>
              <w:gridCol w:w="834"/>
              <w:gridCol w:w="2583"/>
              <w:gridCol w:w="1329"/>
              <w:gridCol w:w="2674"/>
            </w:tblGrid>
            <w:tr w14:paraId="006A22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8" w:type="pct"/>
                  <w:noWrap w:val="0"/>
                  <w:tcMar>
                    <w:top w:w="0" w:type="dxa"/>
                    <w:left w:w="0" w:type="dxa"/>
                    <w:bottom w:w="0" w:type="dxa"/>
                    <w:right w:w="0" w:type="dxa"/>
                  </w:tcMar>
                  <w:vAlign w:val="center"/>
                </w:tcPr>
                <w:p w14:paraId="3FC37BF3">
                  <w:pPr>
                    <w:snapToGrid w:val="0"/>
                    <w:spacing w:line="280" w:lineRule="exact"/>
                    <w:ind w:left="-105" w:leftChars="-50" w:right="-105" w:rightChars="-50"/>
                    <w:jc w:val="center"/>
                    <w:rPr>
                      <w:color w:val="auto"/>
                      <w:szCs w:val="21"/>
                    </w:rPr>
                  </w:pPr>
                  <w:r>
                    <w:rPr>
                      <w:b/>
                      <w:color w:val="auto"/>
                      <w:szCs w:val="21"/>
                    </w:rPr>
                    <w:t>污染物项目</w:t>
                  </w:r>
                </w:p>
              </w:tc>
              <w:tc>
                <w:tcPr>
                  <w:tcW w:w="507" w:type="pct"/>
                  <w:tcBorders>
                    <w:right w:val="single" w:color="auto" w:sz="4" w:space="0"/>
                  </w:tcBorders>
                  <w:noWrap w:val="0"/>
                  <w:tcMar>
                    <w:top w:w="0" w:type="dxa"/>
                    <w:left w:w="0" w:type="dxa"/>
                    <w:bottom w:w="0" w:type="dxa"/>
                    <w:right w:w="0" w:type="dxa"/>
                  </w:tcMar>
                  <w:vAlign w:val="center"/>
                </w:tcPr>
                <w:p w14:paraId="3461C9F9">
                  <w:pPr>
                    <w:snapToGrid w:val="0"/>
                    <w:spacing w:line="280" w:lineRule="exact"/>
                    <w:jc w:val="center"/>
                    <w:rPr>
                      <w:b/>
                      <w:color w:val="auto"/>
                      <w:szCs w:val="21"/>
                    </w:rPr>
                  </w:pPr>
                  <w:r>
                    <w:rPr>
                      <w:b/>
                      <w:bCs/>
                      <w:color w:val="auto"/>
                      <w:szCs w:val="21"/>
                    </w:rPr>
                    <w:t>特别排放限值</w:t>
                  </w:r>
                </w:p>
              </w:tc>
              <w:tc>
                <w:tcPr>
                  <w:tcW w:w="1570" w:type="pct"/>
                  <w:tcBorders>
                    <w:right w:val="single" w:color="auto" w:sz="4" w:space="0"/>
                  </w:tcBorders>
                  <w:noWrap w:val="0"/>
                  <w:tcMar>
                    <w:top w:w="0" w:type="dxa"/>
                    <w:left w:w="0" w:type="dxa"/>
                    <w:bottom w:w="0" w:type="dxa"/>
                    <w:right w:w="0" w:type="dxa"/>
                  </w:tcMar>
                  <w:vAlign w:val="center"/>
                </w:tcPr>
                <w:p w14:paraId="4AA8EC97">
                  <w:pPr>
                    <w:snapToGrid w:val="0"/>
                    <w:spacing w:line="280" w:lineRule="exact"/>
                    <w:jc w:val="center"/>
                    <w:rPr>
                      <w:b/>
                      <w:color w:val="auto"/>
                      <w:szCs w:val="21"/>
                    </w:rPr>
                  </w:pPr>
                  <w:r>
                    <w:rPr>
                      <w:b/>
                      <w:color w:val="auto"/>
                      <w:szCs w:val="21"/>
                    </w:rPr>
                    <w:t>限值含义</w:t>
                  </w:r>
                </w:p>
              </w:tc>
              <w:tc>
                <w:tcPr>
                  <w:tcW w:w="808" w:type="pct"/>
                  <w:tcBorders>
                    <w:right w:val="single" w:color="auto" w:sz="4" w:space="0"/>
                  </w:tcBorders>
                  <w:noWrap w:val="0"/>
                  <w:tcMar>
                    <w:top w:w="0" w:type="dxa"/>
                    <w:left w:w="0" w:type="dxa"/>
                    <w:bottom w:w="0" w:type="dxa"/>
                    <w:right w:w="0" w:type="dxa"/>
                  </w:tcMar>
                  <w:vAlign w:val="center"/>
                </w:tcPr>
                <w:p w14:paraId="575CD5CA">
                  <w:pPr>
                    <w:snapToGrid w:val="0"/>
                    <w:spacing w:line="280" w:lineRule="exact"/>
                    <w:jc w:val="center"/>
                    <w:rPr>
                      <w:b/>
                      <w:color w:val="auto"/>
                      <w:szCs w:val="21"/>
                    </w:rPr>
                  </w:pPr>
                  <w:r>
                    <w:rPr>
                      <w:b/>
                      <w:color w:val="auto"/>
                      <w:szCs w:val="21"/>
                    </w:rPr>
                    <w:t>无组织排放监控位置</w:t>
                  </w:r>
                </w:p>
              </w:tc>
              <w:tc>
                <w:tcPr>
                  <w:tcW w:w="1625" w:type="pct"/>
                  <w:tcBorders>
                    <w:left w:val="single" w:color="auto" w:sz="4" w:space="0"/>
                  </w:tcBorders>
                  <w:noWrap w:val="0"/>
                  <w:tcMar>
                    <w:top w:w="0" w:type="dxa"/>
                    <w:left w:w="0" w:type="dxa"/>
                    <w:bottom w:w="0" w:type="dxa"/>
                    <w:right w:w="0" w:type="dxa"/>
                  </w:tcMar>
                  <w:vAlign w:val="center"/>
                </w:tcPr>
                <w:p w14:paraId="18606534">
                  <w:pPr>
                    <w:snapToGrid w:val="0"/>
                    <w:spacing w:line="280" w:lineRule="exact"/>
                    <w:jc w:val="center"/>
                    <w:rPr>
                      <w:b/>
                      <w:color w:val="auto"/>
                      <w:szCs w:val="21"/>
                    </w:rPr>
                  </w:pPr>
                  <w:r>
                    <w:rPr>
                      <w:b/>
                      <w:bCs/>
                      <w:color w:val="auto"/>
                      <w:szCs w:val="21"/>
                    </w:rPr>
                    <w:t>标准来源</w:t>
                  </w:r>
                </w:p>
              </w:tc>
            </w:tr>
            <w:tr w14:paraId="59D2D4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8" w:type="pct"/>
                  <w:vMerge w:val="restart"/>
                  <w:noWrap w:val="0"/>
                  <w:tcMar>
                    <w:top w:w="0" w:type="dxa"/>
                    <w:left w:w="0" w:type="dxa"/>
                    <w:bottom w:w="0" w:type="dxa"/>
                    <w:right w:w="0" w:type="dxa"/>
                  </w:tcMar>
                  <w:vAlign w:val="center"/>
                </w:tcPr>
                <w:p w14:paraId="76EB3DF2">
                  <w:pPr>
                    <w:snapToGrid w:val="0"/>
                    <w:spacing w:line="280" w:lineRule="exact"/>
                    <w:jc w:val="center"/>
                    <w:rPr>
                      <w:color w:val="auto"/>
                      <w:szCs w:val="21"/>
                    </w:rPr>
                  </w:pPr>
                  <w:r>
                    <w:rPr>
                      <w:color w:val="auto"/>
                      <w:szCs w:val="21"/>
                    </w:rPr>
                    <w:t>NMHC</w:t>
                  </w:r>
                </w:p>
              </w:tc>
              <w:tc>
                <w:tcPr>
                  <w:tcW w:w="507" w:type="pct"/>
                  <w:tcBorders>
                    <w:right w:val="single" w:color="auto" w:sz="4" w:space="0"/>
                  </w:tcBorders>
                  <w:noWrap w:val="0"/>
                  <w:tcMar>
                    <w:top w:w="0" w:type="dxa"/>
                    <w:left w:w="0" w:type="dxa"/>
                    <w:bottom w:w="0" w:type="dxa"/>
                    <w:right w:w="0" w:type="dxa"/>
                  </w:tcMar>
                  <w:vAlign w:val="center"/>
                </w:tcPr>
                <w:p w14:paraId="2C1E0DEB">
                  <w:pPr>
                    <w:snapToGrid w:val="0"/>
                    <w:spacing w:line="280" w:lineRule="exact"/>
                    <w:jc w:val="center"/>
                    <w:rPr>
                      <w:color w:val="auto"/>
                      <w:szCs w:val="21"/>
                    </w:rPr>
                  </w:pPr>
                  <w:r>
                    <w:rPr>
                      <w:color w:val="auto"/>
                      <w:szCs w:val="21"/>
                    </w:rPr>
                    <w:t>6</w:t>
                  </w:r>
                </w:p>
              </w:tc>
              <w:tc>
                <w:tcPr>
                  <w:tcW w:w="1570" w:type="pct"/>
                  <w:tcBorders>
                    <w:right w:val="single" w:color="auto" w:sz="4" w:space="0"/>
                  </w:tcBorders>
                  <w:noWrap w:val="0"/>
                  <w:tcMar>
                    <w:top w:w="0" w:type="dxa"/>
                    <w:left w:w="0" w:type="dxa"/>
                    <w:bottom w:w="0" w:type="dxa"/>
                    <w:right w:w="0" w:type="dxa"/>
                  </w:tcMar>
                  <w:vAlign w:val="center"/>
                </w:tcPr>
                <w:p w14:paraId="70CBEE3C">
                  <w:pPr>
                    <w:jc w:val="center"/>
                    <w:rPr>
                      <w:color w:val="auto"/>
                      <w:szCs w:val="21"/>
                    </w:rPr>
                  </w:pPr>
                  <w:r>
                    <w:rPr>
                      <w:color w:val="auto"/>
                      <w:szCs w:val="21"/>
                    </w:rPr>
                    <w:t>监控点处1h平均浓度值</w:t>
                  </w:r>
                </w:p>
              </w:tc>
              <w:tc>
                <w:tcPr>
                  <w:tcW w:w="808" w:type="pct"/>
                  <w:vMerge w:val="restart"/>
                  <w:tcBorders>
                    <w:right w:val="single" w:color="auto" w:sz="4" w:space="0"/>
                  </w:tcBorders>
                  <w:noWrap w:val="0"/>
                  <w:tcMar>
                    <w:top w:w="0" w:type="dxa"/>
                    <w:left w:w="0" w:type="dxa"/>
                    <w:bottom w:w="0" w:type="dxa"/>
                    <w:right w:w="0" w:type="dxa"/>
                  </w:tcMar>
                  <w:vAlign w:val="center"/>
                </w:tcPr>
                <w:p w14:paraId="61C71038">
                  <w:pPr>
                    <w:snapToGrid w:val="0"/>
                    <w:spacing w:line="280" w:lineRule="exact"/>
                    <w:jc w:val="center"/>
                    <w:rPr>
                      <w:color w:val="auto"/>
                      <w:szCs w:val="21"/>
                    </w:rPr>
                  </w:pPr>
                  <w:r>
                    <w:rPr>
                      <w:color w:val="auto"/>
                      <w:szCs w:val="21"/>
                    </w:rPr>
                    <w:t>在厂房外设置监控点</w:t>
                  </w:r>
                </w:p>
              </w:tc>
              <w:tc>
                <w:tcPr>
                  <w:tcW w:w="1625" w:type="pct"/>
                  <w:vMerge w:val="restart"/>
                  <w:tcBorders>
                    <w:left w:val="single" w:color="auto" w:sz="4" w:space="0"/>
                  </w:tcBorders>
                  <w:noWrap w:val="0"/>
                  <w:tcMar>
                    <w:top w:w="0" w:type="dxa"/>
                    <w:left w:w="0" w:type="dxa"/>
                    <w:bottom w:w="0" w:type="dxa"/>
                    <w:right w:w="0" w:type="dxa"/>
                  </w:tcMar>
                  <w:vAlign w:val="center"/>
                </w:tcPr>
                <w:p w14:paraId="33008530">
                  <w:pPr>
                    <w:jc w:val="center"/>
                    <w:rPr>
                      <w:color w:val="auto"/>
                      <w:kern w:val="2"/>
                      <w:sz w:val="21"/>
                      <w:szCs w:val="21"/>
                      <w:lang w:val="en-US" w:eastAsia="zh-CN" w:bidi="ar-SA"/>
                    </w:rPr>
                  </w:pPr>
                  <w:r>
                    <w:rPr>
                      <w:color w:val="auto"/>
                      <w:szCs w:val="21"/>
                    </w:rPr>
                    <w:t>《大气污染物综合排放标准》（DB32/4041-2021）表</w:t>
                  </w:r>
                  <w:r>
                    <w:rPr>
                      <w:rFonts w:hint="eastAsia"/>
                      <w:color w:val="auto"/>
                      <w:szCs w:val="21"/>
                      <w:lang w:val="en-US" w:eastAsia="zh-CN"/>
                    </w:rPr>
                    <w:t>2</w:t>
                  </w:r>
                  <w:r>
                    <w:rPr>
                      <w:color w:val="auto"/>
                      <w:szCs w:val="21"/>
                    </w:rPr>
                    <w:t>标准</w:t>
                  </w:r>
                </w:p>
              </w:tc>
            </w:tr>
            <w:tr w14:paraId="5C6FD9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8" w:type="pct"/>
                  <w:vMerge w:val="continue"/>
                  <w:noWrap w:val="0"/>
                  <w:tcMar>
                    <w:top w:w="0" w:type="dxa"/>
                    <w:left w:w="0" w:type="dxa"/>
                    <w:bottom w:w="0" w:type="dxa"/>
                    <w:right w:w="0" w:type="dxa"/>
                  </w:tcMar>
                  <w:vAlign w:val="center"/>
                </w:tcPr>
                <w:p w14:paraId="78AB5683">
                  <w:pPr>
                    <w:snapToGrid w:val="0"/>
                    <w:spacing w:line="280" w:lineRule="exact"/>
                    <w:jc w:val="center"/>
                    <w:rPr>
                      <w:color w:val="auto"/>
                      <w:szCs w:val="21"/>
                    </w:rPr>
                  </w:pPr>
                </w:p>
              </w:tc>
              <w:tc>
                <w:tcPr>
                  <w:tcW w:w="507" w:type="pct"/>
                  <w:tcBorders>
                    <w:right w:val="single" w:color="auto" w:sz="4" w:space="0"/>
                  </w:tcBorders>
                  <w:noWrap w:val="0"/>
                  <w:tcMar>
                    <w:top w:w="0" w:type="dxa"/>
                    <w:left w:w="0" w:type="dxa"/>
                    <w:bottom w:w="0" w:type="dxa"/>
                    <w:right w:w="0" w:type="dxa"/>
                  </w:tcMar>
                  <w:vAlign w:val="center"/>
                </w:tcPr>
                <w:p w14:paraId="5D13C0C7">
                  <w:pPr>
                    <w:snapToGrid w:val="0"/>
                    <w:spacing w:line="280" w:lineRule="exact"/>
                    <w:jc w:val="center"/>
                    <w:rPr>
                      <w:color w:val="auto"/>
                      <w:szCs w:val="21"/>
                    </w:rPr>
                  </w:pPr>
                  <w:r>
                    <w:rPr>
                      <w:color w:val="auto"/>
                      <w:szCs w:val="21"/>
                    </w:rPr>
                    <w:t>20</w:t>
                  </w:r>
                </w:p>
              </w:tc>
              <w:tc>
                <w:tcPr>
                  <w:tcW w:w="1570" w:type="pct"/>
                  <w:tcBorders>
                    <w:right w:val="single" w:color="auto" w:sz="4" w:space="0"/>
                  </w:tcBorders>
                  <w:noWrap w:val="0"/>
                  <w:tcMar>
                    <w:top w:w="0" w:type="dxa"/>
                    <w:left w:w="0" w:type="dxa"/>
                    <w:bottom w:w="0" w:type="dxa"/>
                    <w:right w:w="0" w:type="dxa"/>
                  </w:tcMar>
                  <w:vAlign w:val="center"/>
                </w:tcPr>
                <w:p w14:paraId="05824248">
                  <w:pPr>
                    <w:jc w:val="center"/>
                    <w:rPr>
                      <w:color w:val="auto"/>
                      <w:szCs w:val="21"/>
                    </w:rPr>
                  </w:pPr>
                  <w:r>
                    <w:rPr>
                      <w:color w:val="auto"/>
                      <w:szCs w:val="21"/>
                    </w:rPr>
                    <w:t>监控点处任意一次浓度值</w:t>
                  </w:r>
                </w:p>
              </w:tc>
              <w:tc>
                <w:tcPr>
                  <w:tcW w:w="808" w:type="pct"/>
                  <w:vMerge w:val="continue"/>
                  <w:tcBorders>
                    <w:right w:val="single" w:color="auto" w:sz="4" w:space="0"/>
                  </w:tcBorders>
                  <w:noWrap w:val="0"/>
                  <w:tcMar>
                    <w:top w:w="0" w:type="dxa"/>
                    <w:left w:w="0" w:type="dxa"/>
                    <w:bottom w:w="0" w:type="dxa"/>
                    <w:right w:w="0" w:type="dxa"/>
                  </w:tcMar>
                  <w:vAlign w:val="center"/>
                </w:tcPr>
                <w:p w14:paraId="08F6B3CE">
                  <w:pPr>
                    <w:snapToGrid w:val="0"/>
                    <w:spacing w:line="280" w:lineRule="exact"/>
                    <w:jc w:val="center"/>
                    <w:rPr>
                      <w:color w:val="auto"/>
                      <w:szCs w:val="21"/>
                    </w:rPr>
                  </w:pPr>
                </w:p>
              </w:tc>
              <w:tc>
                <w:tcPr>
                  <w:tcW w:w="1625" w:type="pct"/>
                  <w:vMerge w:val="continue"/>
                  <w:tcBorders>
                    <w:left w:val="single" w:color="auto" w:sz="4" w:space="0"/>
                  </w:tcBorders>
                  <w:noWrap w:val="0"/>
                  <w:tcMar>
                    <w:top w:w="0" w:type="dxa"/>
                    <w:left w:w="0" w:type="dxa"/>
                    <w:bottom w:w="0" w:type="dxa"/>
                    <w:right w:w="0" w:type="dxa"/>
                  </w:tcMar>
                  <w:vAlign w:val="center"/>
                </w:tcPr>
                <w:p w14:paraId="0ECCF084">
                  <w:pPr>
                    <w:snapToGrid w:val="0"/>
                    <w:spacing w:line="280" w:lineRule="exact"/>
                    <w:jc w:val="center"/>
                    <w:rPr>
                      <w:color w:val="auto"/>
                      <w:szCs w:val="21"/>
                    </w:rPr>
                  </w:pPr>
                </w:p>
              </w:tc>
            </w:tr>
          </w:tbl>
          <w:p w14:paraId="3F41202B">
            <w:pPr>
              <w:spacing w:before="120" w:beforeLines="50" w:line="360" w:lineRule="auto"/>
              <w:ind w:firstLine="422" w:firstLineChars="200"/>
              <w:rPr>
                <w:b/>
                <w:color w:val="auto"/>
                <w:szCs w:val="21"/>
              </w:rPr>
            </w:pPr>
            <w:r>
              <w:rPr>
                <w:rFonts w:hint="eastAsia"/>
                <w:b/>
                <w:color w:val="auto"/>
                <w:szCs w:val="21"/>
              </w:rPr>
              <w:t>二</w:t>
            </w:r>
            <w:r>
              <w:rPr>
                <w:b/>
                <w:color w:val="auto"/>
                <w:szCs w:val="21"/>
              </w:rPr>
              <w:t>、废水排放标准</w:t>
            </w:r>
          </w:p>
          <w:p w14:paraId="66CCBB57">
            <w:pPr>
              <w:spacing w:line="360" w:lineRule="auto"/>
              <w:ind w:firstLine="420" w:firstLineChars="200"/>
              <w:rPr>
                <w:bCs/>
                <w:color w:val="auto"/>
                <w:szCs w:val="21"/>
              </w:rPr>
            </w:pPr>
            <w:r>
              <w:rPr>
                <w:color w:val="auto"/>
                <w:szCs w:val="21"/>
              </w:rPr>
              <w:t>本项目生活污水达到常州金坛区第二污水处理有限公司接管限值和《污水排入城镇下水道水质标准》（</w:t>
            </w:r>
            <w:r>
              <w:rPr>
                <w:color w:val="auto"/>
                <w:szCs w:val="21"/>
                <w:shd w:val="clear" w:color="auto" w:fill="FFFFFF"/>
              </w:rPr>
              <w:t>GB/T31962-2015</w:t>
            </w:r>
            <w:r>
              <w:rPr>
                <w:color w:val="auto"/>
                <w:szCs w:val="21"/>
              </w:rPr>
              <w:t>）表1中B等级标准</w:t>
            </w:r>
            <w:r>
              <w:rPr>
                <w:bCs/>
                <w:color w:val="auto"/>
                <w:szCs w:val="21"/>
              </w:rPr>
              <w:t>后，接管排入市政污水管网</w:t>
            </w:r>
            <w:r>
              <w:rPr>
                <w:color w:val="auto"/>
                <w:szCs w:val="21"/>
              </w:rPr>
              <w:t>，最终排入</w:t>
            </w:r>
            <w:r>
              <w:rPr>
                <w:rFonts w:hint="eastAsia"/>
                <w:color w:val="auto"/>
                <w:szCs w:val="21"/>
              </w:rPr>
              <w:t>常州金坛区第二污水处理有限公司</w:t>
            </w:r>
            <w:r>
              <w:rPr>
                <w:color w:val="auto"/>
                <w:szCs w:val="21"/>
              </w:rPr>
              <w:t>处理达标后排放，接管要求见</w:t>
            </w:r>
            <w:r>
              <w:rPr>
                <w:rFonts w:hint="eastAsia"/>
                <w:color w:val="auto"/>
                <w:szCs w:val="21"/>
              </w:rPr>
              <w:t>下表</w:t>
            </w:r>
            <w:r>
              <w:rPr>
                <w:bCs/>
                <w:color w:val="auto"/>
                <w:szCs w:val="21"/>
              </w:rPr>
              <w:t>。</w:t>
            </w:r>
          </w:p>
          <w:p w14:paraId="04B62337">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b/>
                <w:bCs/>
                <w:color w:val="auto"/>
                <w:szCs w:val="21"/>
              </w:rPr>
              <w:t>表3</w:t>
            </w:r>
            <w:r>
              <w:rPr>
                <w:rFonts w:hint="eastAsia"/>
                <w:b/>
                <w:bCs/>
                <w:color w:val="auto"/>
                <w:szCs w:val="21"/>
                <w:lang w:val="en-US" w:eastAsia="zh-CN"/>
              </w:rPr>
              <w:t>-9</w:t>
            </w:r>
            <w:r>
              <w:rPr>
                <w:b/>
                <w:bCs/>
                <w:color w:val="auto"/>
                <w:szCs w:val="21"/>
              </w:rPr>
              <w:t xml:space="preserve"> </w:t>
            </w:r>
            <w:r>
              <w:rPr>
                <w:b/>
                <w:color w:val="auto"/>
                <w:szCs w:val="21"/>
              </w:rPr>
              <w:t>污水</w:t>
            </w:r>
            <w:r>
              <w:rPr>
                <w:b/>
                <w:bCs/>
                <w:color w:val="auto"/>
                <w:szCs w:val="21"/>
              </w:rPr>
              <w:t xml:space="preserve">接管限值   </w:t>
            </w:r>
            <w:r>
              <w:rPr>
                <w:b/>
                <w:bCs/>
                <w:color w:val="auto"/>
                <w:spacing w:val="-4"/>
                <w:szCs w:val="21"/>
              </w:rPr>
              <w:t>单位：mg/L，pH无量纲</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49"/>
              <w:gridCol w:w="2476"/>
              <w:gridCol w:w="3094"/>
            </w:tblGrid>
            <w:tr w14:paraId="5E53AC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11" w:type="pct"/>
                  <w:noWrap w:val="0"/>
                  <w:tcMar>
                    <w:top w:w="0" w:type="dxa"/>
                    <w:left w:w="0" w:type="dxa"/>
                    <w:bottom w:w="0" w:type="dxa"/>
                    <w:right w:w="0" w:type="dxa"/>
                  </w:tcMar>
                  <w:vAlign w:val="center"/>
                </w:tcPr>
                <w:p w14:paraId="34B33A21">
                  <w:pPr>
                    <w:adjustRightInd w:val="0"/>
                    <w:snapToGrid w:val="0"/>
                    <w:jc w:val="center"/>
                    <w:rPr>
                      <w:rFonts w:hint="eastAsia"/>
                      <w:color w:val="auto"/>
                      <w:szCs w:val="21"/>
                    </w:rPr>
                  </w:pPr>
                  <w:r>
                    <w:rPr>
                      <w:rFonts w:hint="eastAsia"/>
                      <w:b/>
                      <w:bCs/>
                      <w:color w:val="auto"/>
                      <w:szCs w:val="21"/>
                    </w:rPr>
                    <w:t>污染物</w:t>
                  </w:r>
                </w:p>
              </w:tc>
              <w:tc>
                <w:tcPr>
                  <w:tcW w:w="1506" w:type="pct"/>
                  <w:noWrap w:val="0"/>
                  <w:tcMar>
                    <w:top w:w="0" w:type="dxa"/>
                    <w:left w:w="0" w:type="dxa"/>
                    <w:bottom w:w="0" w:type="dxa"/>
                    <w:right w:w="0" w:type="dxa"/>
                  </w:tcMar>
                  <w:vAlign w:val="center"/>
                </w:tcPr>
                <w:p w14:paraId="6589FB13">
                  <w:pPr>
                    <w:adjustRightInd w:val="0"/>
                    <w:snapToGrid w:val="0"/>
                    <w:jc w:val="center"/>
                    <w:rPr>
                      <w:color w:val="auto"/>
                      <w:szCs w:val="21"/>
                    </w:rPr>
                  </w:pPr>
                  <w:r>
                    <w:rPr>
                      <w:b/>
                      <w:bCs/>
                      <w:color w:val="auto"/>
                      <w:szCs w:val="21"/>
                    </w:rPr>
                    <w:t>接管限值浓度限值</w:t>
                  </w:r>
                </w:p>
              </w:tc>
              <w:tc>
                <w:tcPr>
                  <w:tcW w:w="1881" w:type="pct"/>
                  <w:noWrap w:val="0"/>
                  <w:tcMar>
                    <w:top w:w="0" w:type="dxa"/>
                    <w:left w:w="0" w:type="dxa"/>
                    <w:bottom w:w="0" w:type="dxa"/>
                    <w:right w:w="0" w:type="dxa"/>
                  </w:tcMar>
                  <w:vAlign w:val="center"/>
                </w:tcPr>
                <w:p w14:paraId="375825DC">
                  <w:pPr>
                    <w:spacing w:before="48" w:beforeLines="20" w:after="48" w:afterLines="20" w:line="320" w:lineRule="exact"/>
                    <w:jc w:val="center"/>
                    <w:rPr>
                      <w:rFonts w:hint="eastAsia"/>
                      <w:color w:val="auto"/>
                      <w:szCs w:val="21"/>
                    </w:rPr>
                  </w:pPr>
                  <w:r>
                    <w:rPr>
                      <w:rFonts w:hint="eastAsia"/>
                      <w:b/>
                      <w:bCs/>
                      <w:color w:val="auto"/>
                      <w:szCs w:val="21"/>
                    </w:rPr>
                    <w:t>来源</w:t>
                  </w:r>
                </w:p>
              </w:tc>
            </w:tr>
            <w:tr w14:paraId="32076C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11" w:type="pct"/>
                  <w:noWrap w:val="0"/>
                  <w:tcMar>
                    <w:top w:w="0" w:type="dxa"/>
                    <w:left w:w="0" w:type="dxa"/>
                    <w:bottom w:w="0" w:type="dxa"/>
                    <w:right w:w="0" w:type="dxa"/>
                  </w:tcMar>
                  <w:vAlign w:val="center"/>
                </w:tcPr>
                <w:p w14:paraId="75D1E8DF">
                  <w:pPr>
                    <w:adjustRightInd w:val="0"/>
                    <w:snapToGrid w:val="0"/>
                    <w:jc w:val="center"/>
                    <w:rPr>
                      <w:color w:val="auto"/>
                      <w:kern w:val="2"/>
                      <w:sz w:val="21"/>
                      <w:szCs w:val="21"/>
                      <w:lang w:val="en-US" w:eastAsia="zh-CN" w:bidi="ar-SA"/>
                    </w:rPr>
                  </w:pPr>
                  <w:r>
                    <w:rPr>
                      <w:color w:val="auto"/>
                      <w:szCs w:val="21"/>
                    </w:rPr>
                    <w:t>pH</w:t>
                  </w:r>
                </w:p>
              </w:tc>
              <w:tc>
                <w:tcPr>
                  <w:tcW w:w="1506" w:type="pct"/>
                  <w:noWrap w:val="0"/>
                  <w:tcMar>
                    <w:top w:w="0" w:type="dxa"/>
                    <w:left w:w="0" w:type="dxa"/>
                    <w:bottom w:w="0" w:type="dxa"/>
                    <w:right w:w="0" w:type="dxa"/>
                  </w:tcMar>
                  <w:vAlign w:val="center"/>
                </w:tcPr>
                <w:p w14:paraId="30E1B0FA">
                  <w:pPr>
                    <w:adjustRightInd w:val="0"/>
                    <w:snapToGrid w:val="0"/>
                    <w:jc w:val="center"/>
                    <w:rPr>
                      <w:color w:val="auto"/>
                      <w:kern w:val="2"/>
                      <w:sz w:val="21"/>
                      <w:szCs w:val="21"/>
                      <w:lang w:val="en-US" w:eastAsia="zh-CN" w:bidi="ar-SA"/>
                    </w:rPr>
                  </w:pPr>
                  <w:r>
                    <w:rPr>
                      <w:color w:val="auto"/>
                      <w:szCs w:val="21"/>
                    </w:rPr>
                    <w:t>6~9</w:t>
                  </w:r>
                </w:p>
              </w:tc>
              <w:tc>
                <w:tcPr>
                  <w:tcW w:w="1881" w:type="pct"/>
                  <w:vMerge w:val="restart"/>
                  <w:noWrap w:val="0"/>
                  <w:tcMar>
                    <w:top w:w="0" w:type="dxa"/>
                    <w:left w:w="0" w:type="dxa"/>
                    <w:bottom w:w="0" w:type="dxa"/>
                    <w:right w:w="0" w:type="dxa"/>
                  </w:tcMar>
                  <w:vAlign w:val="center"/>
                </w:tcPr>
                <w:p w14:paraId="42900EB8">
                  <w:pPr>
                    <w:spacing w:before="48" w:beforeLines="20" w:after="48" w:afterLines="20" w:line="320" w:lineRule="exact"/>
                    <w:jc w:val="center"/>
                    <w:rPr>
                      <w:color w:val="auto"/>
                      <w:kern w:val="2"/>
                      <w:sz w:val="21"/>
                      <w:szCs w:val="21"/>
                      <w:lang w:val="en-US" w:eastAsia="zh-CN" w:bidi="ar-SA"/>
                    </w:rPr>
                  </w:pPr>
                  <w:r>
                    <w:rPr>
                      <w:color w:val="auto"/>
                      <w:szCs w:val="21"/>
                    </w:rPr>
                    <w:t>常州金坛区第二污水处理有限公司接管限值要求和《污水排入城镇下水道水质标准》（</w:t>
                  </w:r>
                  <w:r>
                    <w:rPr>
                      <w:color w:val="auto"/>
                      <w:szCs w:val="21"/>
                      <w:shd w:val="clear" w:color="auto" w:fill="FFFFFF"/>
                    </w:rPr>
                    <w:t>GB/T31962-2015</w:t>
                  </w:r>
                  <w:r>
                    <w:rPr>
                      <w:color w:val="auto"/>
                      <w:szCs w:val="21"/>
                    </w:rPr>
                    <w:t>）表1中B等级标准</w:t>
                  </w:r>
                </w:p>
              </w:tc>
            </w:tr>
            <w:tr w14:paraId="1B7507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11" w:type="pct"/>
                  <w:noWrap w:val="0"/>
                  <w:tcMar>
                    <w:top w:w="0" w:type="dxa"/>
                    <w:left w:w="0" w:type="dxa"/>
                    <w:bottom w:w="0" w:type="dxa"/>
                    <w:right w:w="0" w:type="dxa"/>
                  </w:tcMar>
                  <w:vAlign w:val="center"/>
                </w:tcPr>
                <w:p w14:paraId="1882B6A3">
                  <w:pPr>
                    <w:adjustRightInd w:val="0"/>
                    <w:snapToGrid w:val="0"/>
                    <w:jc w:val="center"/>
                    <w:rPr>
                      <w:color w:val="auto"/>
                      <w:kern w:val="2"/>
                      <w:sz w:val="21"/>
                      <w:szCs w:val="21"/>
                      <w:lang w:val="en-US" w:eastAsia="zh-CN" w:bidi="ar-SA"/>
                    </w:rPr>
                  </w:pPr>
                  <w:r>
                    <w:rPr>
                      <w:color w:val="auto"/>
                      <w:szCs w:val="21"/>
                    </w:rPr>
                    <w:t>COD</w:t>
                  </w:r>
                </w:p>
              </w:tc>
              <w:tc>
                <w:tcPr>
                  <w:tcW w:w="1506" w:type="pct"/>
                  <w:noWrap w:val="0"/>
                  <w:tcMar>
                    <w:top w:w="0" w:type="dxa"/>
                    <w:left w:w="0" w:type="dxa"/>
                    <w:bottom w:w="0" w:type="dxa"/>
                    <w:right w:w="0" w:type="dxa"/>
                  </w:tcMar>
                  <w:vAlign w:val="center"/>
                </w:tcPr>
                <w:p w14:paraId="6CECC1CC">
                  <w:pPr>
                    <w:adjustRightInd w:val="0"/>
                    <w:snapToGrid w:val="0"/>
                    <w:jc w:val="center"/>
                    <w:rPr>
                      <w:rFonts w:hint="default"/>
                      <w:color w:val="auto"/>
                      <w:kern w:val="2"/>
                      <w:sz w:val="21"/>
                      <w:szCs w:val="21"/>
                      <w:lang w:val="en-US" w:eastAsia="zh-CN" w:bidi="ar-SA"/>
                    </w:rPr>
                  </w:pPr>
                  <w:r>
                    <w:rPr>
                      <w:color w:val="auto"/>
                      <w:szCs w:val="21"/>
                    </w:rPr>
                    <w:t>500</w:t>
                  </w:r>
                </w:p>
              </w:tc>
              <w:tc>
                <w:tcPr>
                  <w:tcW w:w="1881" w:type="pct"/>
                  <w:vMerge w:val="continue"/>
                  <w:noWrap w:val="0"/>
                  <w:tcMar>
                    <w:top w:w="0" w:type="dxa"/>
                    <w:left w:w="0" w:type="dxa"/>
                    <w:bottom w:w="0" w:type="dxa"/>
                    <w:right w:w="0" w:type="dxa"/>
                  </w:tcMar>
                  <w:vAlign w:val="center"/>
                </w:tcPr>
                <w:p w14:paraId="41676BDB">
                  <w:pPr>
                    <w:spacing w:before="48" w:beforeLines="20" w:after="48" w:afterLines="20" w:line="320" w:lineRule="exact"/>
                    <w:jc w:val="center"/>
                    <w:rPr>
                      <w:color w:val="auto"/>
                      <w:szCs w:val="21"/>
                    </w:rPr>
                  </w:pPr>
                </w:p>
              </w:tc>
            </w:tr>
            <w:tr w14:paraId="71564F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11" w:type="pct"/>
                  <w:noWrap w:val="0"/>
                  <w:tcMar>
                    <w:top w:w="0" w:type="dxa"/>
                    <w:left w:w="0" w:type="dxa"/>
                    <w:bottom w:w="0" w:type="dxa"/>
                    <w:right w:w="0" w:type="dxa"/>
                  </w:tcMar>
                  <w:vAlign w:val="center"/>
                </w:tcPr>
                <w:p w14:paraId="2D485259">
                  <w:pPr>
                    <w:adjustRightInd w:val="0"/>
                    <w:snapToGrid w:val="0"/>
                    <w:jc w:val="center"/>
                    <w:rPr>
                      <w:color w:val="auto"/>
                      <w:kern w:val="2"/>
                      <w:sz w:val="21"/>
                      <w:szCs w:val="21"/>
                      <w:lang w:val="en-US" w:eastAsia="zh-CN" w:bidi="ar-SA"/>
                    </w:rPr>
                  </w:pPr>
                  <w:r>
                    <w:rPr>
                      <w:color w:val="auto"/>
                      <w:szCs w:val="21"/>
                    </w:rPr>
                    <w:t>SS</w:t>
                  </w:r>
                </w:p>
              </w:tc>
              <w:tc>
                <w:tcPr>
                  <w:tcW w:w="1506" w:type="pct"/>
                  <w:noWrap w:val="0"/>
                  <w:tcMar>
                    <w:top w:w="0" w:type="dxa"/>
                    <w:left w:w="0" w:type="dxa"/>
                    <w:bottom w:w="0" w:type="dxa"/>
                    <w:right w:w="0" w:type="dxa"/>
                  </w:tcMar>
                  <w:vAlign w:val="center"/>
                </w:tcPr>
                <w:p w14:paraId="7DBC1834">
                  <w:pPr>
                    <w:adjustRightInd w:val="0"/>
                    <w:snapToGrid w:val="0"/>
                    <w:jc w:val="center"/>
                    <w:rPr>
                      <w:color w:val="auto"/>
                      <w:kern w:val="2"/>
                      <w:sz w:val="21"/>
                      <w:szCs w:val="21"/>
                      <w:lang w:val="en-US" w:eastAsia="zh-CN" w:bidi="ar-SA"/>
                    </w:rPr>
                  </w:pPr>
                  <w:r>
                    <w:rPr>
                      <w:color w:val="auto"/>
                      <w:szCs w:val="21"/>
                    </w:rPr>
                    <w:t>250</w:t>
                  </w:r>
                </w:p>
              </w:tc>
              <w:tc>
                <w:tcPr>
                  <w:tcW w:w="1881" w:type="pct"/>
                  <w:vMerge w:val="continue"/>
                  <w:noWrap w:val="0"/>
                  <w:tcMar>
                    <w:top w:w="0" w:type="dxa"/>
                    <w:left w:w="0" w:type="dxa"/>
                    <w:bottom w:w="0" w:type="dxa"/>
                    <w:right w:w="0" w:type="dxa"/>
                  </w:tcMar>
                  <w:vAlign w:val="center"/>
                </w:tcPr>
                <w:p w14:paraId="656C2A77">
                  <w:pPr>
                    <w:spacing w:before="48" w:beforeLines="20" w:after="48" w:afterLines="20" w:line="320" w:lineRule="exact"/>
                    <w:jc w:val="center"/>
                    <w:rPr>
                      <w:color w:val="auto"/>
                      <w:szCs w:val="21"/>
                    </w:rPr>
                  </w:pPr>
                </w:p>
              </w:tc>
            </w:tr>
            <w:tr w14:paraId="5940A2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11" w:type="pct"/>
                  <w:noWrap w:val="0"/>
                  <w:tcMar>
                    <w:top w:w="0" w:type="dxa"/>
                    <w:left w:w="0" w:type="dxa"/>
                    <w:bottom w:w="0" w:type="dxa"/>
                    <w:right w:w="0" w:type="dxa"/>
                  </w:tcMar>
                  <w:vAlign w:val="center"/>
                </w:tcPr>
                <w:p w14:paraId="0E9CDF4F">
                  <w:pPr>
                    <w:adjustRightInd w:val="0"/>
                    <w:snapToGrid w:val="0"/>
                    <w:jc w:val="center"/>
                    <w:rPr>
                      <w:color w:val="auto"/>
                      <w:kern w:val="2"/>
                      <w:sz w:val="21"/>
                      <w:szCs w:val="21"/>
                      <w:lang w:val="en-US" w:eastAsia="zh-CN" w:bidi="ar-SA"/>
                    </w:rPr>
                  </w:pPr>
                  <w:r>
                    <w:rPr>
                      <w:color w:val="auto"/>
                      <w:szCs w:val="21"/>
                    </w:rPr>
                    <w:t>氨氮</w:t>
                  </w:r>
                </w:p>
              </w:tc>
              <w:tc>
                <w:tcPr>
                  <w:tcW w:w="1506" w:type="pct"/>
                  <w:noWrap w:val="0"/>
                  <w:tcMar>
                    <w:top w:w="0" w:type="dxa"/>
                    <w:left w:w="0" w:type="dxa"/>
                    <w:bottom w:w="0" w:type="dxa"/>
                    <w:right w:w="0" w:type="dxa"/>
                  </w:tcMar>
                  <w:vAlign w:val="center"/>
                </w:tcPr>
                <w:p w14:paraId="2021A825">
                  <w:pPr>
                    <w:adjustRightInd w:val="0"/>
                    <w:snapToGrid w:val="0"/>
                    <w:jc w:val="center"/>
                    <w:rPr>
                      <w:rFonts w:hint="default"/>
                      <w:color w:val="auto"/>
                      <w:kern w:val="2"/>
                      <w:sz w:val="21"/>
                      <w:szCs w:val="21"/>
                      <w:lang w:val="en-US" w:eastAsia="zh-CN" w:bidi="ar-SA"/>
                    </w:rPr>
                  </w:pPr>
                  <w:r>
                    <w:rPr>
                      <w:color w:val="auto"/>
                      <w:szCs w:val="21"/>
                    </w:rPr>
                    <w:t>35</w:t>
                  </w:r>
                </w:p>
              </w:tc>
              <w:tc>
                <w:tcPr>
                  <w:tcW w:w="1881" w:type="pct"/>
                  <w:vMerge w:val="continue"/>
                  <w:noWrap w:val="0"/>
                  <w:tcMar>
                    <w:top w:w="0" w:type="dxa"/>
                    <w:left w:w="0" w:type="dxa"/>
                    <w:bottom w:w="0" w:type="dxa"/>
                    <w:right w:w="0" w:type="dxa"/>
                  </w:tcMar>
                  <w:vAlign w:val="center"/>
                </w:tcPr>
                <w:p w14:paraId="1F1BB4E6">
                  <w:pPr>
                    <w:spacing w:before="48" w:beforeLines="20" w:after="48" w:afterLines="20" w:line="320" w:lineRule="exact"/>
                    <w:jc w:val="center"/>
                    <w:rPr>
                      <w:color w:val="auto"/>
                      <w:szCs w:val="21"/>
                    </w:rPr>
                  </w:pPr>
                </w:p>
              </w:tc>
            </w:tr>
            <w:tr w14:paraId="7402E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11" w:type="pct"/>
                  <w:noWrap w:val="0"/>
                  <w:tcMar>
                    <w:top w:w="0" w:type="dxa"/>
                    <w:left w:w="0" w:type="dxa"/>
                    <w:bottom w:w="0" w:type="dxa"/>
                    <w:right w:w="0" w:type="dxa"/>
                  </w:tcMar>
                  <w:vAlign w:val="center"/>
                </w:tcPr>
                <w:p w14:paraId="335CB5EB">
                  <w:pPr>
                    <w:adjustRightInd w:val="0"/>
                    <w:snapToGrid w:val="0"/>
                    <w:jc w:val="center"/>
                    <w:rPr>
                      <w:color w:val="auto"/>
                      <w:kern w:val="2"/>
                      <w:sz w:val="21"/>
                      <w:szCs w:val="21"/>
                      <w:lang w:val="en-US" w:eastAsia="zh-CN" w:bidi="ar-SA"/>
                    </w:rPr>
                  </w:pPr>
                  <w:r>
                    <w:rPr>
                      <w:color w:val="auto"/>
                      <w:szCs w:val="21"/>
                    </w:rPr>
                    <w:t>TP</w:t>
                  </w:r>
                </w:p>
              </w:tc>
              <w:tc>
                <w:tcPr>
                  <w:tcW w:w="1506" w:type="pct"/>
                  <w:noWrap w:val="0"/>
                  <w:tcMar>
                    <w:top w:w="0" w:type="dxa"/>
                    <w:left w:w="0" w:type="dxa"/>
                    <w:bottom w:w="0" w:type="dxa"/>
                    <w:right w:w="0" w:type="dxa"/>
                  </w:tcMar>
                  <w:vAlign w:val="center"/>
                </w:tcPr>
                <w:p w14:paraId="2AC391FC">
                  <w:pPr>
                    <w:adjustRightInd w:val="0"/>
                    <w:snapToGrid w:val="0"/>
                    <w:jc w:val="center"/>
                    <w:rPr>
                      <w:color w:val="auto"/>
                      <w:kern w:val="2"/>
                      <w:sz w:val="21"/>
                      <w:szCs w:val="21"/>
                      <w:lang w:val="en-US" w:eastAsia="zh-CN" w:bidi="ar-SA"/>
                    </w:rPr>
                  </w:pPr>
                  <w:r>
                    <w:rPr>
                      <w:color w:val="auto"/>
                      <w:szCs w:val="21"/>
                    </w:rPr>
                    <w:t>3</w:t>
                  </w:r>
                </w:p>
              </w:tc>
              <w:tc>
                <w:tcPr>
                  <w:tcW w:w="1881" w:type="pct"/>
                  <w:vMerge w:val="continue"/>
                  <w:noWrap w:val="0"/>
                  <w:tcMar>
                    <w:top w:w="0" w:type="dxa"/>
                    <w:left w:w="0" w:type="dxa"/>
                    <w:bottom w:w="0" w:type="dxa"/>
                    <w:right w:w="0" w:type="dxa"/>
                  </w:tcMar>
                  <w:vAlign w:val="center"/>
                </w:tcPr>
                <w:p w14:paraId="746E8374">
                  <w:pPr>
                    <w:pStyle w:val="27"/>
                    <w:spacing w:before="48" w:beforeLines="20" w:after="48" w:afterLines="20" w:line="320" w:lineRule="exact"/>
                    <w:ind w:firstLine="210"/>
                    <w:jc w:val="center"/>
                    <w:rPr>
                      <w:color w:val="auto"/>
                      <w:sz w:val="21"/>
                      <w:szCs w:val="21"/>
                    </w:rPr>
                  </w:pPr>
                </w:p>
              </w:tc>
            </w:tr>
            <w:tr w14:paraId="0137B6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11" w:type="pct"/>
                  <w:noWrap w:val="0"/>
                  <w:tcMar>
                    <w:top w:w="0" w:type="dxa"/>
                    <w:left w:w="0" w:type="dxa"/>
                    <w:bottom w:w="0" w:type="dxa"/>
                    <w:right w:w="0" w:type="dxa"/>
                  </w:tcMar>
                  <w:vAlign w:val="center"/>
                </w:tcPr>
                <w:p w14:paraId="3DA7F674">
                  <w:pPr>
                    <w:adjustRightInd w:val="0"/>
                    <w:snapToGrid w:val="0"/>
                    <w:jc w:val="center"/>
                    <w:rPr>
                      <w:color w:val="auto"/>
                      <w:kern w:val="2"/>
                      <w:sz w:val="21"/>
                      <w:szCs w:val="21"/>
                      <w:lang w:val="en-US" w:eastAsia="zh-CN" w:bidi="ar-SA"/>
                    </w:rPr>
                  </w:pPr>
                  <w:r>
                    <w:rPr>
                      <w:color w:val="auto"/>
                      <w:szCs w:val="21"/>
                    </w:rPr>
                    <w:t>TN</w:t>
                  </w:r>
                </w:p>
              </w:tc>
              <w:tc>
                <w:tcPr>
                  <w:tcW w:w="1506" w:type="pct"/>
                  <w:noWrap w:val="0"/>
                  <w:tcMar>
                    <w:top w:w="0" w:type="dxa"/>
                    <w:left w:w="0" w:type="dxa"/>
                    <w:bottom w:w="0" w:type="dxa"/>
                    <w:right w:w="0" w:type="dxa"/>
                  </w:tcMar>
                  <w:vAlign w:val="center"/>
                </w:tcPr>
                <w:p w14:paraId="01B78DD8">
                  <w:pPr>
                    <w:adjustRightInd w:val="0"/>
                    <w:snapToGrid w:val="0"/>
                    <w:jc w:val="center"/>
                    <w:rPr>
                      <w:rFonts w:hint="default"/>
                      <w:color w:val="auto"/>
                      <w:kern w:val="2"/>
                      <w:sz w:val="21"/>
                      <w:szCs w:val="21"/>
                      <w:lang w:val="en-US" w:eastAsia="zh-CN" w:bidi="ar-SA"/>
                    </w:rPr>
                  </w:pPr>
                  <w:r>
                    <w:rPr>
                      <w:color w:val="auto"/>
                      <w:szCs w:val="21"/>
                    </w:rPr>
                    <w:t>50</w:t>
                  </w:r>
                </w:p>
              </w:tc>
              <w:tc>
                <w:tcPr>
                  <w:tcW w:w="1881" w:type="pct"/>
                  <w:vMerge w:val="continue"/>
                  <w:noWrap w:val="0"/>
                  <w:tcMar>
                    <w:top w:w="0" w:type="dxa"/>
                    <w:left w:w="0" w:type="dxa"/>
                    <w:bottom w:w="0" w:type="dxa"/>
                    <w:right w:w="0" w:type="dxa"/>
                  </w:tcMar>
                  <w:vAlign w:val="center"/>
                </w:tcPr>
                <w:p w14:paraId="5B79B8F9">
                  <w:pPr>
                    <w:pStyle w:val="27"/>
                    <w:spacing w:before="48" w:beforeLines="20" w:after="48" w:afterLines="20" w:line="320" w:lineRule="exact"/>
                    <w:ind w:firstLine="210"/>
                    <w:jc w:val="center"/>
                    <w:rPr>
                      <w:color w:val="auto"/>
                      <w:sz w:val="21"/>
                      <w:szCs w:val="21"/>
                    </w:rPr>
                  </w:pPr>
                </w:p>
              </w:tc>
            </w:tr>
          </w:tbl>
          <w:p w14:paraId="760F1C1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color w:val="auto"/>
                <w:szCs w:val="21"/>
              </w:rPr>
            </w:pPr>
            <w:r>
              <w:rPr>
                <w:color w:val="auto"/>
                <w:szCs w:val="21"/>
              </w:rPr>
              <w:t>常州金坛区第二污水处理有限公司尾水排放执行《太湖地区城镇污水处理厂及重点工业行业主要水污染物排放限值》（DB32/1072-2018）中表2标准及《城镇污水处理厂污染物排放标准》（GB18918-2002）中表1一级A标准；具体见表3-</w:t>
            </w:r>
            <w:r>
              <w:rPr>
                <w:rFonts w:hint="eastAsia"/>
                <w:color w:val="auto"/>
                <w:szCs w:val="21"/>
                <w:lang w:val="en-US" w:eastAsia="zh-CN"/>
              </w:rPr>
              <w:t>10</w:t>
            </w:r>
            <w:r>
              <w:rPr>
                <w:color w:val="auto"/>
                <w:szCs w:val="21"/>
              </w:rPr>
              <w:t>。</w:t>
            </w:r>
          </w:p>
          <w:p w14:paraId="2F874353">
            <w:pPr>
              <w:jc w:val="center"/>
              <w:rPr>
                <w:b/>
                <w:color w:val="auto"/>
                <w:szCs w:val="21"/>
              </w:rPr>
            </w:pPr>
            <w:r>
              <w:rPr>
                <w:b/>
                <w:color w:val="auto"/>
                <w:szCs w:val="21"/>
              </w:rPr>
              <w:t>表3-</w:t>
            </w:r>
            <w:r>
              <w:rPr>
                <w:rFonts w:hint="eastAsia"/>
                <w:b/>
                <w:color w:val="auto"/>
                <w:szCs w:val="21"/>
                <w:lang w:val="en-US" w:eastAsia="zh-CN"/>
              </w:rPr>
              <w:t>10</w:t>
            </w:r>
            <w:r>
              <w:rPr>
                <w:b/>
                <w:color w:val="auto"/>
                <w:szCs w:val="21"/>
              </w:rPr>
              <w:t xml:space="preserve"> 城镇污水处理厂污染物排放标准  单位：mg/L</w:t>
            </w:r>
            <w:r>
              <w:rPr>
                <w:b/>
                <w:bCs/>
                <w:color w:val="auto"/>
                <w:szCs w:val="21"/>
              </w:rPr>
              <w:t>，除pH外</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8"/>
              <w:gridCol w:w="1317"/>
              <w:gridCol w:w="1708"/>
              <w:gridCol w:w="4216"/>
            </w:tblGrid>
            <w:tr w14:paraId="44E492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5" w:type="pct"/>
                  <w:noWrap w:val="0"/>
                  <w:tcMar>
                    <w:top w:w="0" w:type="dxa"/>
                    <w:left w:w="0" w:type="dxa"/>
                    <w:bottom w:w="0" w:type="dxa"/>
                    <w:right w:w="0" w:type="dxa"/>
                  </w:tcMar>
                  <w:vAlign w:val="center"/>
                </w:tcPr>
                <w:p w14:paraId="0EB570AA">
                  <w:pPr>
                    <w:adjustRightInd w:val="0"/>
                    <w:snapToGrid w:val="0"/>
                    <w:jc w:val="center"/>
                    <w:rPr>
                      <w:color w:val="auto"/>
                      <w:szCs w:val="21"/>
                    </w:rPr>
                  </w:pPr>
                  <w:r>
                    <w:rPr>
                      <w:b/>
                      <w:color w:val="auto"/>
                      <w:szCs w:val="21"/>
                    </w:rPr>
                    <w:t>序号</w:t>
                  </w:r>
                </w:p>
              </w:tc>
              <w:tc>
                <w:tcPr>
                  <w:tcW w:w="801" w:type="pct"/>
                  <w:noWrap w:val="0"/>
                  <w:tcMar>
                    <w:top w:w="0" w:type="dxa"/>
                    <w:left w:w="0" w:type="dxa"/>
                    <w:bottom w:w="0" w:type="dxa"/>
                    <w:right w:w="0" w:type="dxa"/>
                  </w:tcMar>
                  <w:vAlign w:val="center"/>
                </w:tcPr>
                <w:p w14:paraId="0098385A">
                  <w:pPr>
                    <w:adjustRightInd w:val="0"/>
                    <w:snapToGrid w:val="0"/>
                    <w:jc w:val="center"/>
                    <w:rPr>
                      <w:b/>
                      <w:color w:val="auto"/>
                      <w:szCs w:val="21"/>
                    </w:rPr>
                  </w:pPr>
                  <w:r>
                    <w:rPr>
                      <w:b/>
                      <w:color w:val="auto"/>
                      <w:szCs w:val="21"/>
                    </w:rPr>
                    <w:t>项目</w:t>
                  </w:r>
                </w:p>
              </w:tc>
              <w:tc>
                <w:tcPr>
                  <w:tcW w:w="1039" w:type="pct"/>
                  <w:noWrap w:val="0"/>
                  <w:tcMar>
                    <w:top w:w="0" w:type="dxa"/>
                    <w:left w:w="0" w:type="dxa"/>
                    <w:bottom w:w="0" w:type="dxa"/>
                    <w:right w:w="0" w:type="dxa"/>
                  </w:tcMar>
                  <w:vAlign w:val="center"/>
                </w:tcPr>
                <w:p w14:paraId="29D61AB3">
                  <w:pPr>
                    <w:adjustRightInd w:val="0"/>
                    <w:snapToGrid w:val="0"/>
                    <w:jc w:val="center"/>
                    <w:rPr>
                      <w:b/>
                      <w:color w:val="auto"/>
                      <w:szCs w:val="21"/>
                    </w:rPr>
                  </w:pPr>
                  <w:r>
                    <w:rPr>
                      <w:b/>
                      <w:color w:val="auto"/>
                      <w:szCs w:val="21"/>
                    </w:rPr>
                    <w:t>浓度（mg/L）</w:t>
                  </w:r>
                </w:p>
              </w:tc>
              <w:tc>
                <w:tcPr>
                  <w:tcW w:w="2564" w:type="pct"/>
                  <w:noWrap w:val="0"/>
                  <w:tcMar>
                    <w:top w:w="0" w:type="dxa"/>
                    <w:left w:w="0" w:type="dxa"/>
                    <w:bottom w:w="0" w:type="dxa"/>
                    <w:right w:w="0" w:type="dxa"/>
                  </w:tcMar>
                  <w:vAlign w:val="center"/>
                </w:tcPr>
                <w:p w14:paraId="72B36637">
                  <w:pPr>
                    <w:adjustRightInd w:val="0"/>
                    <w:snapToGrid w:val="0"/>
                    <w:jc w:val="center"/>
                    <w:rPr>
                      <w:b/>
                      <w:color w:val="auto"/>
                      <w:szCs w:val="21"/>
                    </w:rPr>
                  </w:pPr>
                  <w:r>
                    <w:rPr>
                      <w:b/>
                      <w:color w:val="auto"/>
                      <w:szCs w:val="21"/>
                    </w:rPr>
                    <w:t>标准来源</w:t>
                  </w:r>
                </w:p>
              </w:tc>
            </w:tr>
            <w:tr w14:paraId="4D1DEA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5" w:type="pct"/>
                  <w:noWrap w:val="0"/>
                  <w:tcMar>
                    <w:top w:w="0" w:type="dxa"/>
                    <w:left w:w="0" w:type="dxa"/>
                    <w:bottom w:w="0" w:type="dxa"/>
                    <w:right w:w="0" w:type="dxa"/>
                  </w:tcMar>
                  <w:vAlign w:val="center"/>
                </w:tcPr>
                <w:p w14:paraId="293511AD">
                  <w:pPr>
                    <w:adjustRightInd w:val="0"/>
                    <w:snapToGrid w:val="0"/>
                    <w:jc w:val="center"/>
                    <w:rPr>
                      <w:color w:val="auto"/>
                      <w:szCs w:val="21"/>
                    </w:rPr>
                  </w:pPr>
                  <w:r>
                    <w:rPr>
                      <w:color w:val="auto"/>
                      <w:szCs w:val="21"/>
                    </w:rPr>
                    <w:t>1</w:t>
                  </w:r>
                </w:p>
              </w:tc>
              <w:tc>
                <w:tcPr>
                  <w:tcW w:w="801" w:type="pct"/>
                  <w:noWrap w:val="0"/>
                  <w:tcMar>
                    <w:top w:w="0" w:type="dxa"/>
                    <w:left w:w="0" w:type="dxa"/>
                    <w:bottom w:w="0" w:type="dxa"/>
                    <w:right w:w="0" w:type="dxa"/>
                  </w:tcMar>
                  <w:vAlign w:val="center"/>
                </w:tcPr>
                <w:p w14:paraId="2DEB4093">
                  <w:pPr>
                    <w:adjustRightInd w:val="0"/>
                    <w:snapToGrid w:val="0"/>
                    <w:jc w:val="center"/>
                    <w:rPr>
                      <w:snapToGrid w:val="0"/>
                      <w:color w:val="auto"/>
                      <w:kern w:val="18"/>
                      <w:szCs w:val="21"/>
                    </w:rPr>
                  </w:pPr>
                  <w:r>
                    <w:rPr>
                      <w:snapToGrid w:val="0"/>
                      <w:color w:val="auto"/>
                      <w:kern w:val="18"/>
                      <w:szCs w:val="21"/>
                    </w:rPr>
                    <w:t>pH</w:t>
                  </w:r>
                </w:p>
              </w:tc>
              <w:tc>
                <w:tcPr>
                  <w:tcW w:w="1039" w:type="pct"/>
                  <w:noWrap w:val="0"/>
                  <w:tcMar>
                    <w:top w:w="0" w:type="dxa"/>
                    <w:left w:w="0" w:type="dxa"/>
                    <w:bottom w:w="0" w:type="dxa"/>
                    <w:right w:w="0" w:type="dxa"/>
                  </w:tcMar>
                  <w:vAlign w:val="center"/>
                </w:tcPr>
                <w:p w14:paraId="55FCF37E">
                  <w:pPr>
                    <w:adjustRightInd w:val="0"/>
                    <w:snapToGrid w:val="0"/>
                    <w:jc w:val="center"/>
                    <w:rPr>
                      <w:color w:val="auto"/>
                      <w:szCs w:val="21"/>
                    </w:rPr>
                  </w:pPr>
                  <w:r>
                    <w:rPr>
                      <w:color w:val="auto"/>
                      <w:szCs w:val="21"/>
                    </w:rPr>
                    <w:t>6~9</w:t>
                  </w:r>
                </w:p>
              </w:tc>
              <w:tc>
                <w:tcPr>
                  <w:tcW w:w="2564" w:type="pct"/>
                  <w:vMerge w:val="restart"/>
                  <w:noWrap w:val="0"/>
                  <w:tcMar>
                    <w:top w:w="0" w:type="dxa"/>
                    <w:left w:w="0" w:type="dxa"/>
                    <w:bottom w:w="0" w:type="dxa"/>
                    <w:right w:w="0" w:type="dxa"/>
                  </w:tcMar>
                  <w:vAlign w:val="center"/>
                </w:tcPr>
                <w:p w14:paraId="321BE3F6">
                  <w:pPr>
                    <w:adjustRightInd w:val="0"/>
                    <w:snapToGrid w:val="0"/>
                    <w:jc w:val="center"/>
                    <w:rPr>
                      <w:snapToGrid w:val="0"/>
                      <w:color w:val="auto"/>
                      <w:kern w:val="18"/>
                      <w:szCs w:val="21"/>
                    </w:rPr>
                  </w:pPr>
                  <w:r>
                    <w:rPr>
                      <w:snapToGrid w:val="0"/>
                      <w:color w:val="auto"/>
                      <w:kern w:val="18"/>
                      <w:szCs w:val="21"/>
                    </w:rPr>
                    <w:t>《城镇污水处理厂污染物排放标准》</w:t>
                  </w:r>
                  <w:r>
                    <w:rPr>
                      <w:color w:val="auto"/>
                      <w:szCs w:val="21"/>
                    </w:rPr>
                    <w:t>（</w:t>
                  </w:r>
                  <w:r>
                    <w:rPr>
                      <w:snapToGrid w:val="0"/>
                      <w:color w:val="auto"/>
                      <w:kern w:val="18"/>
                      <w:szCs w:val="21"/>
                    </w:rPr>
                    <w:t>GB18918</w:t>
                  </w:r>
                  <w:r>
                    <w:rPr>
                      <w:color w:val="auto"/>
                      <w:szCs w:val="21"/>
                    </w:rPr>
                    <w:t>-2002）及其修改单中</w:t>
                  </w:r>
                  <w:r>
                    <w:rPr>
                      <w:snapToGrid w:val="0"/>
                      <w:color w:val="auto"/>
                      <w:kern w:val="18"/>
                      <w:szCs w:val="21"/>
                    </w:rPr>
                    <w:t>一级</w:t>
                  </w:r>
                  <w:r>
                    <w:rPr>
                      <w:color w:val="auto"/>
                      <w:szCs w:val="21"/>
                    </w:rPr>
                    <w:t>A标准</w:t>
                  </w:r>
                </w:p>
              </w:tc>
            </w:tr>
            <w:tr w14:paraId="4E3A13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5" w:type="pct"/>
                  <w:noWrap w:val="0"/>
                  <w:tcMar>
                    <w:top w:w="0" w:type="dxa"/>
                    <w:left w:w="0" w:type="dxa"/>
                    <w:bottom w:w="0" w:type="dxa"/>
                    <w:right w:w="0" w:type="dxa"/>
                  </w:tcMar>
                  <w:vAlign w:val="center"/>
                </w:tcPr>
                <w:p w14:paraId="14A2A328">
                  <w:pPr>
                    <w:adjustRightInd w:val="0"/>
                    <w:snapToGrid w:val="0"/>
                    <w:jc w:val="center"/>
                    <w:rPr>
                      <w:color w:val="auto"/>
                      <w:szCs w:val="21"/>
                    </w:rPr>
                  </w:pPr>
                  <w:r>
                    <w:rPr>
                      <w:color w:val="auto"/>
                      <w:szCs w:val="21"/>
                    </w:rPr>
                    <w:t>3</w:t>
                  </w:r>
                </w:p>
              </w:tc>
              <w:tc>
                <w:tcPr>
                  <w:tcW w:w="801" w:type="pct"/>
                  <w:noWrap w:val="0"/>
                  <w:tcMar>
                    <w:top w:w="0" w:type="dxa"/>
                    <w:left w:w="0" w:type="dxa"/>
                    <w:bottom w:w="0" w:type="dxa"/>
                    <w:right w:w="0" w:type="dxa"/>
                  </w:tcMar>
                  <w:vAlign w:val="center"/>
                </w:tcPr>
                <w:p w14:paraId="4421CB3F">
                  <w:pPr>
                    <w:adjustRightInd w:val="0"/>
                    <w:snapToGrid w:val="0"/>
                    <w:jc w:val="center"/>
                    <w:rPr>
                      <w:snapToGrid w:val="0"/>
                      <w:color w:val="auto"/>
                      <w:kern w:val="18"/>
                      <w:szCs w:val="21"/>
                    </w:rPr>
                  </w:pPr>
                  <w:r>
                    <w:rPr>
                      <w:snapToGrid w:val="0"/>
                      <w:color w:val="auto"/>
                      <w:kern w:val="18"/>
                      <w:szCs w:val="21"/>
                    </w:rPr>
                    <w:t>SS</w:t>
                  </w:r>
                </w:p>
              </w:tc>
              <w:tc>
                <w:tcPr>
                  <w:tcW w:w="1039" w:type="pct"/>
                  <w:noWrap w:val="0"/>
                  <w:tcMar>
                    <w:top w:w="0" w:type="dxa"/>
                    <w:left w:w="0" w:type="dxa"/>
                    <w:bottom w:w="0" w:type="dxa"/>
                    <w:right w:w="0" w:type="dxa"/>
                  </w:tcMar>
                  <w:vAlign w:val="center"/>
                </w:tcPr>
                <w:p w14:paraId="79D32E90">
                  <w:pPr>
                    <w:adjustRightInd w:val="0"/>
                    <w:snapToGrid w:val="0"/>
                    <w:jc w:val="center"/>
                    <w:rPr>
                      <w:snapToGrid w:val="0"/>
                      <w:color w:val="auto"/>
                      <w:kern w:val="18"/>
                      <w:szCs w:val="21"/>
                    </w:rPr>
                  </w:pPr>
                  <w:r>
                    <w:rPr>
                      <w:snapToGrid w:val="0"/>
                      <w:color w:val="auto"/>
                      <w:kern w:val="18"/>
                      <w:szCs w:val="21"/>
                    </w:rPr>
                    <w:t>≤10</w:t>
                  </w:r>
                </w:p>
              </w:tc>
              <w:tc>
                <w:tcPr>
                  <w:tcW w:w="2564" w:type="pct"/>
                  <w:vMerge w:val="continue"/>
                  <w:noWrap w:val="0"/>
                  <w:tcMar>
                    <w:top w:w="0" w:type="dxa"/>
                    <w:left w:w="0" w:type="dxa"/>
                    <w:bottom w:w="0" w:type="dxa"/>
                    <w:right w:w="0" w:type="dxa"/>
                  </w:tcMar>
                  <w:vAlign w:val="center"/>
                </w:tcPr>
                <w:p w14:paraId="53B32897">
                  <w:pPr>
                    <w:adjustRightInd w:val="0"/>
                    <w:snapToGrid w:val="0"/>
                    <w:jc w:val="center"/>
                    <w:rPr>
                      <w:color w:val="auto"/>
                      <w:szCs w:val="21"/>
                    </w:rPr>
                  </w:pPr>
                </w:p>
              </w:tc>
            </w:tr>
            <w:tr w14:paraId="5E754C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5" w:type="pct"/>
                  <w:noWrap w:val="0"/>
                  <w:tcMar>
                    <w:top w:w="0" w:type="dxa"/>
                    <w:left w:w="0" w:type="dxa"/>
                    <w:bottom w:w="0" w:type="dxa"/>
                    <w:right w:w="0" w:type="dxa"/>
                  </w:tcMar>
                  <w:vAlign w:val="center"/>
                </w:tcPr>
                <w:p w14:paraId="7D9B4508">
                  <w:pPr>
                    <w:adjustRightInd w:val="0"/>
                    <w:snapToGrid w:val="0"/>
                    <w:jc w:val="center"/>
                    <w:rPr>
                      <w:color w:val="auto"/>
                      <w:szCs w:val="21"/>
                    </w:rPr>
                  </w:pPr>
                  <w:r>
                    <w:rPr>
                      <w:color w:val="auto"/>
                      <w:szCs w:val="21"/>
                    </w:rPr>
                    <w:t>4</w:t>
                  </w:r>
                </w:p>
              </w:tc>
              <w:tc>
                <w:tcPr>
                  <w:tcW w:w="801" w:type="pct"/>
                  <w:noWrap w:val="0"/>
                  <w:tcMar>
                    <w:top w:w="0" w:type="dxa"/>
                    <w:left w:w="0" w:type="dxa"/>
                    <w:bottom w:w="0" w:type="dxa"/>
                    <w:right w:w="0" w:type="dxa"/>
                  </w:tcMar>
                  <w:vAlign w:val="center"/>
                </w:tcPr>
                <w:p w14:paraId="14C31C10">
                  <w:pPr>
                    <w:adjustRightInd w:val="0"/>
                    <w:snapToGrid w:val="0"/>
                    <w:jc w:val="center"/>
                    <w:rPr>
                      <w:snapToGrid w:val="0"/>
                      <w:color w:val="auto"/>
                      <w:kern w:val="18"/>
                      <w:szCs w:val="21"/>
                    </w:rPr>
                  </w:pPr>
                  <w:r>
                    <w:rPr>
                      <w:snapToGrid w:val="0"/>
                      <w:color w:val="auto"/>
                      <w:kern w:val="18"/>
                      <w:szCs w:val="21"/>
                    </w:rPr>
                    <w:t>COD</w:t>
                  </w:r>
                </w:p>
              </w:tc>
              <w:tc>
                <w:tcPr>
                  <w:tcW w:w="1039" w:type="pct"/>
                  <w:noWrap w:val="0"/>
                  <w:tcMar>
                    <w:top w:w="0" w:type="dxa"/>
                    <w:left w:w="0" w:type="dxa"/>
                    <w:bottom w:w="0" w:type="dxa"/>
                    <w:right w:w="0" w:type="dxa"/>
                  </w:tcMar>
                  <w:vAlign w:val="center"/>
                </w:tcPr>
                <w:p w14:paraId="02854684">
                  <w:pPr>
                    <w:adjustRightInd w:val="0"/>
                    <w:snapToGrid w:val="0"/>
                    <w:jc w:val="center"/>
                    <w:rPr>
                      <w:snapToGrid w:val="0"/>
                      <w:color w:val="auto"/>
                      <w:kern w:val="18"/>
                      <w:szCs w:val="21"/>
                    </w:rPr>
                  </w:pPr>
                  <w:r>
                    <w:rPr>
                      <w:snapToGrid w:val="0"/>
                      <w:color w:val="auto"/>
                      <w:kern w:val="18"/>
                      <w:szCs w:val="21"/>
                    </w:rPr>
                    <w:t>≤50</w:t>
                  </w:r>
                </w:p>
              </w:tc>
              <w:tc>
                <w:tcPr>
                  <w:tcW w:w="2564" w:type="pct"/>
                  <w:vMerge w:val="restart"/>
                  <w:noWrap w:val="0"/>
                  <w:tcMar>
                    <w:top w:w="0" w:type="dxa"/>
                    <w:left w:w="0" w:type="dxa"/>
                    <w:bottom w:w="0" w:type="dxa"/>
                    <w:right w:w="0" w:type="dxa"/>
                  </w:tcMar>
                  <w:vAlign w:val="center"/>
                </w:tcPr>
                <w:p w14:paraId="1B80207E">
                  <w:pPr>
                    <w:adjustRightInd w:val="0"/>
                    <w:snapToGrid w:val="0"/>
                    <w:jc w:val="center"/>
                    <w:rPr>
                      <w:color w:val="auto"/>
                      <w:szCs w:val="21"/>
                    </w:rPr>
                  </w:pPr>
                  <w:r>
                    <w:rPr>
                      <w:color w:val="auto"/>
                      <w:szCs w:val="21"/>
                    </w:rPr>
                    <w:t>《太湖地区镇污水处理厂及重点工业行业主要水污染物排放限值》（DB32/1072—2018）中表2中的标准</w:t>
                  </w:r>
                </w:p>
              </w:tc>
            </w:tr>
            <w:tr w14:paraId="46040C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5" w:type="pct"/>
                  <w:noWrap w:val="0"/>
                  <w:tcMar>
                    <w:top w:w="0" w:type="dxa"/>
                    <w:left w:w="0" w:type="dxa"/>
                    <w:bottom w:w="0" w:type="dxa"/>
                    <w:right w:w="0" w:type="dxa"/>
                  </w:tcMar>
                  <w:vAlign w:val="center"/>
                </w:tcPr>
                <w:p w14:paraId="497E13EB">
                  <w:pPr>
                    <w:adjustRightInd w:val="0"/>
                    <w:snapToGrid w:val="0"/>
                    <w:jc w:val="center"/>
                    <w:rPr>
                      <w:color w:val="auto"/>
                      <w:szCs w:val="21"/>
                    </w:rPr>
                  </w:pPr>
                  <w:r>
                    <w:rPr>
                      <w:color w:val="auto"/>
                      <w:szCs w:val="21"/>
                    </w:rPr>
                    <w:t>5</w:t>
                  </w:r>
                </w:p>
              </w:tc>
              <w:tc>
                <w:tcPr>
                  <w:tcW w:w="801" w:type="pct"/>
                  <w:noWrap w:val="0"/>
                  <w:tcMar>
                    <w:top w:w="0" w:type="dxa"/>
                    <w:left w:w="0" w:type="dxa"/>
                    <w:bottom w:w="0" w:type="dxa"/>
                    <w:right w:w="0" w:type="dxa"/>
                  </w:tcMar>
                  <w:vAlign w:val="center"/>
                </w:tcPr>
                <w:p w14:paraId="69836DAF">
                  <w:pPr>
                    <w:adjustRightInd w:val="0"/>
                    <w:snapToGrid w:val="0"/>
                    <w:jc w:val="center"/>
                    <w:rPr>
                      <w:snapToGrid w:val="0"/>
                      <w:color w:val="auto"/>
                      <w:kern w:val="18"/>
                      <w:szCs w:val="21"/>
                    </w:rPr>
                  </w:pPr>
                  <w:r>
                    <w:rPr>
                      <w:snapToGrid w:val="0"/>
                      <w:color w:val="auto"/>
                      <w:kern w:val="18"/>
                      <w:szCs w:val="21"/>
                    </w:rPr>
                    <w:t>氨氮</w:t>
                  </w:r>
                </w:p>
              </w:tc>
              <w:tc>
                <w:tcPr>
                  <w:tcW w:w="1039" w:type="pct"/>
                  <w:noWrap w:val="0"/>
                  <w:tcMar>
                    <w:top w:w="0" w:type="dxa"/>
                    <w:left w:w="0" w:type="dxa"/>
                    <w:bottom w:w="0" w:type="dxa"/>
                    <w:right w:w="0" w:type="dxa"/>
                  </w:tcMar>
                  <w:vAlign w:val="center"/>
                </w:tcPr>
                <w:p w14:paraId="5E11D809">
                  <w:pPr>
                    <w:adjustRightInd w:val="0"/>
                    <w:snapToGrid w:val="0"/>
                    <w:jc w:val="center"/>
                    <w:rPr>
                      <w:snapToGrid w:val="0"/>
                      <w:color w:val="auto"/>
                      <w:kern w:val="18"/>
                      <w:szCs w:val="21"/>
                    </w:rPr>
                  </w:pPr>
                  <w:r>
                    <w:rPr>
                      <w:snapToGrid w:val="0"/>
                      <w:color w:val="auto"/>
                      <w:kern w:val="18"/>
                      <w:szCs w:val="21"/>
                    </w:rPr>
                    <w:t>≤4（6）*</w:t>
                  </w:r>
                </w:p>
              </w:tc>
              <w:tc>
                <w:tcPr>
                  <w:tcW w:w="2564" w:type="pct"/>
                  <w:vMerge w:val="continue"/>
                  <w:noWrap w:val="0"/>
                  <w:tcMar>
                    <w:top w:w="0" w:type="dxa"/>
                    <w:left w:w="0" w:type="dxa"/>
                    <w:bottom w:w="0" w:type="dxa"/>
                    <w:right w:w="0" w:type="dxa"/>
                  </w:tcMar>
                  <w:vAlign w:val="center"/>
                </w:tcPr>
                <w:p w14:paraId="78769D9C">
                  <w:pPr>
                    <w:adjustRightInd w:val="0"/>
                    <w:snapToGrid w:val="0"/>
                    <w:rPr>
                      <w:color w:val="auto"/>
                      <w:szCs w:val="21"/>
                    </w:rPr>
                  </w:pPr>
                </w:p>
              </w:tc>
            </w:tr>
            <w:tr w14:paraId="4B38B3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5" w:type="pct"/>
                  <w:noWrap w:val="0"/>
                  <w:tcMar>
                    <w:top w:w="0" w:type="dxa"/>
                    <w:left w:w="0" w:type="dxa"/>
                    <w:bottom w:w="0" w:type="dxa"/>
                    <w:right w:w="0" w:type="dxa"/>
                  </w:tcMar>
                  <w:vAlign w:val="center"/>
                </w:tcPr>
                <w:p w14:paraId="5844C48C">
                  <w:pPr>
                    <w:adjustRightInd w:val="0"/>
                    <w:snapToGrid w:val="0"/>
                    <w:jc w:val="center"/>
                    <w:rPr>
                      <w:color w:val="auto"/>
                      <w:szCs w:val="21"/>
                    </w:rPr>
                  </w:pPr>
                  <w:r>
                    <w:rPr>
                      <w:color w:val="auto"/>
                      <w:szCs w:val="21"/>
                    </w:rPr>
                    <w:t>6</w:t>
                  </w:r>
                </w:p>
              </w:tc>
              <w:tc>
                <w:tcPr>
                  <w:tcW w:w="801" w:type="pct"/>
                  <w:noWrap w:val="0"/>
                  <w:tcMar>
                    <w:top w:w="0" w:type="dxa"/>
                    <w:left w:w="0" w:type="dxa"/>
                    <w:bottom w:w="0" w:type="dxa"/>
                    <w:right w:w="0" w:type="dxa"/>
                  </w:tcMar>
                  <w:vAlign w:val="center"/>
                </w:tcPr>
                <w:p w14:paraId="0D0EBE9F">
                  <w:pPr>
                    <w:adjustRightInd w:val="0"/>
                    <w:snapToGrid w:val="0"/>
                    <w:jc w:val="center"/>
                    <w:rPr>
                      <w:snapToGrid w:val="0"/>
                      <w:color w:val="auto"/>
                      <w:kern w:val="18"/>
                      <w:szCs w:val="21"/>
                    </w:rPr>
                  </w:pPr>
                  <w:r>
                    <w:rPr>
                      <w:snapToGrid w:val="0"/>
                      <w:color w:val="auto"/>
                      <w:kern w:val="18"/>
                      <w:szCs w:val="21"/>
                    </w:rPr>
                    <w:t>TP</w:t>
                  </w:r>
                </w:p>
              </w:tc>
              <w:tc>
                <w:tcPr>
                  <w:tcW w:w="1039" w:type="pct"/>
                  <w:noWrap w:val="0"/>
                  <w:tcMar>
                    <w:top w:w="0" w:type="dxa"/>
                    <w:left w:w="0" w:type="dxa"/>
                    <w:bottom w:w="0" w:type="dxa"/>
                    <w:right w:w="0" w:type="dxa"/>
                  </w:tcMar>
                  <w:vAlign w:val="center"/>
                </w:tcPr>
                <w:p w14:paraId="496A1CA3">
                  <w:pPr>
                    <w:adjustRightInd w:val="0"/>
                    <w:snapToGrid w:val="0"/>
                    <w:jc w:val="center"/>
                    <w:rPr>
                      <w:snapToGrid w:val="0"/>
                      <w:color w:val="auto"/>
                      <w:kern w:val="18"/>
                      <w:szCs w:val="21"/>
                    </w:rPr>
                  </w:pPr>
                  <w:r>
                    <w:rPr>
                      <w:snapToGrid w:val="0"/>
                      <w:color w:val="auto"/>
                      <w:kern w:val="18"/>
                      <w:szCs w:val="21"/>
                    </w:rPr>
                    <w:t>≤0.5</w:t>
                  </w:r>
                </w:p>
              </w:tc>
              <w:tc>
                <w:tcPr>
                  <w:tcW w:w="2564" w:type="pct"/>
                  <w:vMerge w:val="continue"/>
                  <w:noWrap w:val="0"/>
                  <w:tcMar>
                    <w:top w:w="0" w:type="dxa"/>
                    <w:left w:w="0" w:type="dxa"/>
                    <w:bottom w:w="0" w:type="dxa"/>
                    <w:right w:w="0" w:type="dxa"/>
                  </w:tcMar>
                  <w:vAlign w:val="center"/>
                </w:tcPr>
                <w:p w14:paraId="1C7B9A75">
                  <w:pPr>
                    <w:adjustRightInd w:val="0"/>
                    <w:snapToGrid w:val="0"/>
                    <w:rPr>
                      <w:color w:val="auto"/>
                      <w:szCs w:val="21"/>
                    </w:rPr>
                  </w:pPr>
                </w:p>
              </w:tc>
            </w:tr>
            <w:tr w14:paraId="510AE3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95" w:type="pct"/>
                  <w:noWrap w:val="0"/>
                  <w:tcMar>
                    <w:top w:w="0" w:type="dxa"/>
                    <w:left w:w="0" w:type="dxa"/>
                    <w:bottom w:w="0" w:type="dxa"/>
                    <w:right w:w="0" w:type="dxa"/>
                  </w:tcMar>
                  <w:vAlign w:val="center"/>
                </w:tcPr>
                <w:p w14:paraId="0A137BD3">
                  <w:pPr>
                    <w:adjustRightInd w:val="0"/>
                    <w:snapToGrid w:val="0"/>
                    <w:jc w:val="center"/>
                    <w:rPr>
                      <w:snapToGrid w:val="0"/>
                      <w:color w:val="auto"/>
                      <w:kern w:val="18"/>
                      <w:szCs w:val="21"/>
                    </w:rPr>
                  </w:pPr>
                  <w:r>
                    <w:rPr>
                      <w:color w:val="auto"/>
                      <w:szCs w:val="21"/>
                    </w:rPr>
                    <w:t>7</w:t>
                  </w:r>
                </w:p>
              </w:tc>
              <w:tc>
                <w:tcPr>
                  <w:tcW w:w="801" w:type="pct"/>
                  <w:noWrap w:val="0"/>
                  <w:tcMar>
                    <w:top w:w="0" w:type="dxa"/>
                    <w:left w:w="0" w:type="dxa"/>
                    <w:bottom w:w="0" w:type="dxa"/>
                    <w:right w:w="0" w:type="dxa"/>
                  </w:tcMar>
                  <w:vAlign w:val="center"/>
                </w:tcPr>
                <w:p w14:paraId="5A2A8CF0">
                  <w:pPr>
                    <w:adjustRightInd w:val="0"/>
                    <w:snapToGrid w:val="0"/>
                    <w:jc w:val="center"/>
                    <w:rPr>
                      <w:snapToGrid w:val="0"/>
                      <w:color w:val="auto"/>
                      <w:kern w:val="18"/>
                      <w:szCs w:val="21"/>
                    </w:rPr>
                  </w:pPr>
                  <w:r>
                    <w:rPr>
                      <w:snapToGrid w:val="0"/>
                      <w:color w:val="auto"/>
                      <w:kern w:val="18"/>
                      <w:szCs w:val="21"/>
                    </w:rPr>
                    <w:t>TN</w:t>
                  </w:r>
                </w:p>
              </w:tc>
              <w:tc>
                <w:tcPr>
                  <w:tcW w:w="1039" w:type="pct"/>
                  <w:noWrap w:val="0"/>
                  <w:tcMar>
                    <w:top w:w="0" w:type="dxa"/>
                    <w:left w:w="0" w:type="dxa"/>
                    <w:bottom w:w="0" w:type="dxa"/>
                    <w:right w:w="0" w:type="dxa"/>
                  </w:tcMar>
                  <w:vAlign w:val="center"/>
                </w:tcPr>
                <w:p w14:paraId="292D4BEB">
                  <w:pPr>
                    <w:adjustRightInd w:val="0"/>
                    <w:snapToGrid w:val="0"/>
                    <w:jc w:val="center"/>
                    <w:rPr>
                      <w:snapToGrid w:val="0"/>
                      <w:color w:val="auto"/>
                      <w:kern w:val="18"/>
                      <w:szCs w:val="21"/>
                    </w:rPr>
                  </w:pPr>
                  <w:r>
                    <w:rPr>
                      <w:snapToGrid w:val="0"/>
                      <w:color w:val="auto"/>
                      <w:kern w:val="18"/>
                      <w:szCs w:val="21"/>
                    </w:rPr>
                    <w:t>≤12（15）*</w:t>
                  </w:r>
                </w:p>
              </w:tc>
              <w:tc>
                <w:tcPr>
                  <w:tcW w:w="2564" w:type="pct"/>
                  <w:vMerge w:val="continue"/>
                  <w:noWrap w:val="0"/>
                  <w:tcMar>
                    <w:top w:w="0" w:type="dxa"/>
                    <w:left w:w="0" w:type="dxa"/>
                    <w:bottom w:w="0" w:type="dxa"/>
                    <w:right w:w="0" w:type="dxa"/>
                  </w:tcMar>
                  <w:vAlign w:val="center"/>
                </w:tcPr>
                <w:p w14:paraId="368A3AF6">
                  <w:pPr>
                    <w:adjustRightInd w:val="0"/>
                    <w:snapToGrid w:val="0"/>
                    <w:rPr>
                      <w:color w:val="auto"/>
                      <w:szCs w:val="21"/>
                    </w:rPr>
                  </w:pPr>
                </w:p>
              </w:tc>
            </w:tr>
          </w:tbl>
          <w:p w14:paraId="635D48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Cs w:val="21"/>
              </w:rPr>
            </w:pPr>
            <w:r>
              <w:rPr>
                <w:color w:val="auto"/>
                <w:szCs w:val="21"/>
              </w:rPr>
              <w:t>注*：括号外数值为水温＞12℃时的控制指标，括号内数值为水温≤12℃时的控制指标。</w:t>
            </w:r>
          </w:p>
          <w:p w14:paraId="126A69D8">
            <w:pPr>
              <w:adjustRightInd w:val="0"/>
              <w:snapToGrid w:val="0"/>
              <w:spacing w:line="360" w:lineRule="auto"/>
              <w:ind w:firstLine="420" w:firstLineChars="200"/>
              <w:rPr>
                <w:bCs/>
                <w:color w:val="auto"/>
              </w:rPr>
            </w:pPr>
            <w:r>
              <w:rPr>
                <w:bCs/>
                <w:color w:val="auto"/>
              </w:rPr>
              <w:t>自2026年3月28日起，</w:t>
            </w:r>
            <w:r>
              <w:rPr>
                <w:rFonts w:hint="eastAsia"/>
                <w:color w:val="auto"/>
                <w:szCs w:val="21"/>
                <w:lang w:eastAsia="zh-CN"/>
              </w:rPr>
              <w:t>常州金坛区第二污水处理有限公司</w:t>
            </w:r>
            <w:r>
              <w:rPr>
                <w:bCs/>
                <w:color w:val="auto"/>
              </w:rPr>
              <w:t>尾水排放标准执行《城镇污水处理厂污染物排放标准》（DB32/4440-2022）中表1基本控制项目（常规污染物）日均排放限值和表2四项主要常规污染物一次监测排放限值，具体见下表。</w:t>
            </w:r>
          </w:p>
          <w:p w14:paraId="6F972BC9">
            <w:pPr>
              <w:pStyle w:val="7"/>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表3-</w:t>
            </w:r>
            <w:r>
              <w:rPr>
                <w:rFonts w:hint="eastAsia" w:ascii="Times New Roman" w:hAnsi="Times New Roman"/>
                <w:b/>
                <w:color w:val="auto"/>
                <w:sz w:val="21"/>
                <w:szCs w:val="21"/>
                <w:lang w:val="en-US" w:eastAsia="zh-CN"/>
              </w:rPr>
              <w:t>11</w:t>
            </w:r>
            <w:r>
              <w:rPr>
                <w:rFonts w:hint="eastAsia" w:ascii="Times New Roman" w:hAnsi="Times New Roman" w:eastAsia="宋体"/>
                <w:b/>
                <w:color w:val="auto"/>
                <w:sz w:val="21"/>
                <w:szCs w:val="21"/>
              </w:rPr>
              <w:t xml:space="preserve"> </w:t>
            </w:r>
            <w:r>
              <w:rPr>
                <w:rFonts w:hint="eastAsia" w:ascii="Times New Roman" w:hAnsi="Times New Roman" w:eastAsia="宋体"/>
                <w:b/>
                <w:color w:val="auto"/>
                <w:sz w:val="21"/>
                <w:szCs w:val="21"/>
                <w:lang w:eastAsia="zh-CN"/>
              </w:rPr>
              <w:t>常州金坛区第二污水处理有限公司</w:t>
            </w:r>
            <w:r>
              <w:rPr>
                <w:rFonts w:ascii="Times New Roman" w:hAnsi="Times New Roman" w:eastAsia="宋体"/>
                <w:b/>
                <w:color w:val="auto"/>
                <w:sz w:val="21"/>
                <w:szCs w:val="21"/>
              </w:rPr>
              <w:t>基本控制项目（常规污染物）日均排放限值</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82"/>
              <w:gridCol w:w="2957"/>
              <w:gridCol w:w="2383"/>
            </w:tblGrid>
            <w:tr w14:paraId="4E4B15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3643A601">
                  <w:pPr>
                    <w:pStyle w:val="7"/>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污染物</w:t>
                  </w:r>
                </w:p>
              </w:tc>
              <w:tc>
                <w:tcPr>
                  <w:tcW w:w="1798" w:type="pct"/>
                  <w:tcBorders>
                    <w:tl2br w:val="nil"/>
                    <w:tr2bl w:val="nil"/>
                  </w:tcBorders>
                  <w:noWrap w:val="0"/>
                  <w:tcMar>
                    <w:top w:w="0" w:type="dxa"/>
                    <w:left w:w="0" w:type="dxa"/>
                    <w:bottom w:w="0" w:type="dxa"/>
                    <w:right w:w="0" w:type="dxa"/>
                  </w:tcMar>
                  <w:vAlign w:val="center"/>
                </w:tcPr>
                <w:p w14:paraId="20BFB769">
                  <w:pPr>
                    <w:pStyle w:val="7"/>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标准</w:t>
                  </w:r>
                </w:p>
              </w:tc>
              <w:tc>
                <w:tcPr>
                  <w:tcW w:w="1448" w:type="pct"/>
                  <w:tcBorders>
                    <w:tl2br w:val="nil"/>
                    <w:tr2bl w:val="nil"/>
                  </w:tcBorders>
                  <w:noWrap w:val="0"/>
                  <w:tcMar>
                    <w:top w:w="0" w:type="dxa"/>
                    <w:left w:w="0" w:type="dxa"/>
                    <w:bottom w:w="0" w:type="dxa"/>
                    <w:right w:w="0" w:type="dxa"/>
                  </w:tcMar>
                  <w:vAlign w:val="center"/>
                </w:tcPr>
                <w:p w14:paraId="00D779E8">
                  <w:pPr>
                    <w:pStyle w:val="7"/>
                    <w:keepNext/>
                    <w:adjustRightInd w:val="0"/>
                    <w:snapToGrid w:val="0"/>
                    <w:jc w:val="center"/>
                    <w:rPr>
                      <w:rFonts w:hint="eastAsia" w:ascii="Times New Roman" w:hAnsi="Times New Roman" w:eastAsia="宋体"/>
                      <w:b/>
                      <w:color w:val="auto"/>
                      <w:sz w:val="21"/>
                      <w:szCs w:val="21"/>
                      <w:lang w:val="en-US" w:eastAsia="zh-CN"/>
                    </w:rPr>
                  </w:pPr>
                  <w:r>
                    <w:rPr>
                      <w:rFonts w:ascii="Times New Roman" w:hAnsi="Times New Roman" w:eastAsia="宋体"/>
                      <w:b/>
                      <w:color w:val="auto"/>
                      <w:sz w:val="21"/>
                      <w:szCs w:val="21"/>
                    </w:rPr>
                    <w:t>污染物排放标准</w:t>
                  </w:r>
                  <w:r>
                    <w:rPr>
                      <w:rFonts w:hint="eastAsia" w:ascii="Times New Roman" w:hAnsi="Times New Roman" w:eastAsia="宋体"/>
                      <w:b/>
                      <w:color w:val="auto"/>
                      <w:sz w:val="21"/>
                      <w:szCs w:val="21"/>
                      <w:lang w:eastAsia="zh-CN"/>
                    </w:rPr>
                    <w:t>（</w:t>
                  </w:r>
                  <w:r>
                    <w:rPr>
                      <w:rFonts w:ascii="Times New Roman" w:hAnsi="Times New Roman" w:eastAsia="宋体"/>
                      <w:b/>
                      <w:color w:val="auto"/>
                      <w:sz w:val="21"/>
                      <w:szCs w:val="21"/>
                    </w:rPr>
                    <w:t>mg/L</w:t>
                  </w:r>
                  <w:r>
                    <w:rPr>
                      <w:rFonts w:hint="eastAsia" w:ascii="Times New Roman" w:hAnsi="Times New Roman" w:eastAsia="宋体"/>
                      <w:b/>
                      <w:color w:val="auto"/>
                      <w:sz w:val="21"/>
                      <w:szCs w:val="21"/>
                      <w:lang w:eastAsia="zh-CN"/>
                    </w:rPr>
                    <w:t>）</w:t>
                  </w:r>
                </w:p>
              </w:tc>
            </w:tr>
            <w:tr w14:paraId="318F3C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5623BE59">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COD</w:t>
                  </w:r>
                </w:p>
              </w:tc>
              <w:tc>
                <w:tcPr>
                  <w:tcW w:w="1798" w:type="pct"/>
                  <w:vMerge w:val="restart"/>
                  <w:tcBorders>
                    <w:tl2br w:val="nil"/>
                    <w:tr2bl w:val="nil"/>
                  </w:tcBorders>
                  <w:noWrap w:val="0"/>
                  <w:tcMar>
                    <w:top w:w="0" w:type="dxa"/>
                    <w:left w:w="0" w:type="dxa"/>
                    <w:bottom w:w="0" w:type="dxa"/>
                    <w:right w:w="0" w:type="dxa"/>
                  </w:tcMar>
                  <w:vAlign w:val="center"/>
                </w:tcPr>
                <w:p w14:paraId="2D6B3586">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《城镇污水处理厂污染物排放标准》（DB32/4440-2022）</w:t>
                  </w:r>
                </w:p>
              </w:tc>
              <w:tc>
                <w:tcPr>
                  <w:tcW w:w="1448" w:type="pct"/>
                  <w:tcBorders>
                    <w:tl2br w:val="nil"/>
                    <w:tr2bl w:val="nil"/>
                  </w:tcBorders>
                  <w:noWrap w:val="0"/>
                  <w:tcMar>
                    <w:top w:w="0" w:type="dxa"/>
                    <w:left w:w="0" w:type="dxa"/>
                    <w:bottom w:w="0" w:type="dxa"/>
                    <w:right w:w="0" w:type="dxa"/>
                  </w:tcMar>
                  <w:vAlign w:val="center"/>
                </w:tcPr>
                <w:p w14:paraId="0C9BD2B8">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50</w:t>
                  </w:r>
                </w:p>
              </w:tc>
            </w:tr>
            <w:tr w14:paraId="0A89B1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50C1820A">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NH</w:t>
                  </w:r>
                  <w:r>
                    <w:rPr>
                      <w:rFonts w:ascii="Times New Roman" w:hAnsi="Times New Roman" w:eastAsia="宋体"/>
                      <w:b w:val="0"/>
                      <w:bCs w:val="0"/>
                      <w:color w:val="auto"/>
                      <w:sz w:val="21"/>
                      <w:szCs w:val="21"/>
                      <w:vertAlign w:val="subscript"/>
                    </w:rPr>
                    <w:t>3</w:t>
                  </w:r>
                  <w:r>
                    <w:rPr>
                      <w:rFonts w:ascii="Times New Roman" w:hAnsi="Times New Roman" w:eastAsia="宋体"/>
                      <w:b w:val="0"/>
                      <w:bCs w:val="0"/>
                      <w:color w:val="auto"/>
                      <w:sz w:val="21"/>
                      <w:szCs w:val="21"/>
                    </w:rPr>
                    <w:t>-N</w:t>
                  </w:r>
                </w:p>
              </w:tc>
              <w:tc>
                <w:tcPr>
                  <w:tcW w:w="1798" w:type="pct"/>
                  <w:vMerge w:val="continue"/>
                  <w:tcBorders>
                    <w:tl2br w:val="nil"/>
                    <w:tr2bl w:val="nil"/>
                  </w:tcBorders>
                  <w:noWrap w:val="0"/>
                  <w:tcMar>
                    <w:top w:w="0" w:type="dxa"/>
                    <w:left w:w="0" w:type="dxa"/>
                    <w:bottom w:w="0" w:type="dxa"/>
                    <w:right w:w="0" w:type="dxa"/>
                  </w:tcMar>
                  <w:vAlign w:val="center"/>
                </w:tcPr>
                <w:p w14:paraId="592A3D3C">
                  <w:pPr>
                    <w:pStyle w:val="7"/>
                    <w:keepNext/>
                    <w:adjustRightInd w:val="0"/>
                    <w:snapToGrid w:val="0"/>
                    <w:jc w:val="center"/>
                    <w:rPr>
                      <w:rFonts w:ascii="Times New Roman" w:hAnsi="Times New Roman" w:eastAsia="宋体"/>
                      <w:b w:val="0"/>
                      <w:bCs w:val="0"/>
                      <w:color w:val="auto"/>
                      <w:sz w:val="21"/>
                      <w:szCs w:val="21"/>
                    </w:rPr>
                  </w:pPr>
                </w:p>
              </w:tc>
              <w:tc>
                <w:tcPr>
                  <w:tcW w:w="1448" w:type="pct"/>
                  <w:tcBorders>
                    <w:tl2br w:val="nil"/>
                    <w:tr2bl w:val="nil"/>
                  </w:tcBorders>
                  <w:noWrap w:val="0"/>
                  <w:tcMar>
                    <w:top w:w="0" w:type="dxa"/>
                    <w:left w:w="0" w:type="dxa"/>
                    <w:bottom w:w="0" w:type="dxa"/>
                    <w:right w:w="0" w:type="dxa"/>
                  </w:tcMar>
                  <w:vAlign w:val="center"/>
                </w:tcPr>
                <w:p w14:paraId="66BDD69D">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4（6）*</w:t>
                  </w:r>
                </w:p>
              </w:tc>
            </w:tr>
            <w:tr w14:paraId="46BDDF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32040305">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TP</w:t>
                  </w:r>
                </w:p>
              </w:tc>
              <w:tc>
                <w:tcPr>
                  <w:tcW w:w="1798" w:type="pct"/>
                  <w:vMerge w:val="continue"/>
                  <w:tcBorders>
                    <w:tl2br w:val="nil"/>
                    <w:tr2bl w:val="nil"/>
                  </w:tcBorders>
                  <w:noWrap w:val="0"/>
                  <w:tcMar>
                    <w:top w:w="0" w:type="dxa"/>
                    <w:left w:w="0" w:type="dxa"/>
                    <w:bottom w:w="0" w:type="dxa"/>
                    <w:right w:w="0" w:type="dxa"/>
                  </w:tcMar>
                  <w:vAlign w:val="center"/>
                </w:tcPr>
                <w:p w14:paraId="1C191830">
                  <w:pPr>
                    <w:pStyle w:val="7"/>
                    <w:keepNext/>
                    <w:adjustRightInd w:val="0"/>
                    <w:snapToGrid w:val="0"/>
                    <w:jc w:val="center"/>
                    <w:rPr>
                      <w:rFonts w:ascii="Times New Roman" w:hAnsi="Times New Roman" w:eastAsia="宋体"/>
                      <w:b w:val="0"/>
                      <w:bCs w:val="0"/>
                      <w:color w:val="auto"/>
                      <w:sz w:val="21"/>
                      <w:szCs w:val="21"/>
                    </w:rPr>
                  </w:pPr>
                </w:p>
              </w:tc>
              <w:tc>
                <w:tcPr>
                  <w:tcW w:w="1448" w:type="pct"/>
                  <w:tcBorders>
                    <w:tl2br w:val="nil"/>
                    <w:tr2bl w:val="nil"/>
                  </w:tcBorders>
                  <w:noWrap w:val="0"/>
                  <w:tcMar>
                    <w:top w:w="0" w:type="dxa"/>
                    <w:left w:w="0" w:type="dxa"/>
                    <w:bottom w:w="0" w:type="dxa"/>
                    <w:right w:w="0" w:type="dxa"/>
                  </w:tcMar>
                  <w:vAlign w:val="center"/>
                </w:tcPr>
                <w:p w14:paraId="554AE507">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0.5</w:t>
                  </w:r>
                </w:p>
              </w:tc>
            </w:tr>
            <w:tr w14:paraId="064DE4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4060F6D9">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TN</w:t>
                  </w:r>
                </w:p>
              </w:tc>
              <w:tc>
                <w:tcPr>
                  <w:tcW w:w="1798" w:type="pct"/>
                  <w:vMerge w:val="continue"/>
                  <w:tcBorders>
                    <w:tl2br w:val="nil"/>
                    <w:tr2bl w:val="nil"/>
                  </w:tcBorders>
                  <w:noWrap w:val="0"/>
                  <w:tcMar>
                    <w:top w:w="0" w:type="dxa"/>
                    <w:left w:w="0" w:type="dxa"/>
                    <w:bottom w:w="0" w:type="dxa"/>
                    <w:right w:w="0" w:type="dxa"/>
                  </w:tcMar>
                  <w:vAlign w:val="center"/>
                </w:tcPr>
                <w:p w14:paraId="5A9EE8CB">
                  <w:pPr>
                    <w:pStyle w:val="7"/>
                    <w:keepNext/>
                    <w:adjustRightInd w:val="0"/>
                    <w:snapToGrid w:val="0"/>
                    <w:jc w:val="center"/>
                    <w:rPr>
                      <w:rFonts w:ascii="Times New Roman" w:hAnsi="Times New Roman" w:eastAsia="宋体"/>
                      <w:b w:val="0"/>
                      <w:bCs w:val="0"/>
                      <w:color w:val="auto"/>
                      <w:sz w:val="21"/>
                      <w:szCs w:val="21"/>
                    </w:rPr>
                  </w:pPr>
                </w:p>
              </w:tc>
              <w:tc>
                <w:tcPr>
                  <w:tcW w:w="1448" w:type="pct"/>
                  <w:tcBorders>
                    <w:tl2br w:val="nil"/>
                    <w:tr2bl w:val="nil"/>
                  </w:tcBorders>
                  <w:noWrap w:val="0"/>
                  <w:tcMar>
                    <w:top w:w="0" w:type="dxa"/>
                    <w:left w:w="0" w:type="dxa"/>
                    <w:bottom w:w="0" w:type="dxa"/>
                    <w:right w:w="0" w:type="dxa"/>
                  </w:tcMar>
                  <w:vAlign w:val="center"/>
                </w:tcPr>
                <w:p w14:paraId="041D8304">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12（15）*</w:t>
                  </w:r>
                </w:p>
              </w:tc>
            </w:tr>
            <w:tr w14:paraId="4A9751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6BD7CF88">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pH值（无量纲）</w:t>
                  </w:r>
                </w:p>
              </w:tc>
              <w:tc>
                <w:tcPr>
                  <w:tcW w:w="1798" w:type="pct"/>
                  <w:vMerge w:val="continue"/>
                  <w:tcBorders>
                    <w:tl2br w:val="nil"/>
                    <w:tr2bl w:val="nil"/>
                  </w:tcBorders>
                  <w:noWrap w:val="0"/>
                  <w:tcMar>
                    <w:top w:w="0" w:type="dxa"/>
                    <w:left w:w="0" w:type="dxa"/>
                    <w:bottom w:w="0" w:type="dxa"/>
                    <w:right w:w="0" w:type="dxa"/>
                  </w:tcMar>
                  <w:vAlign w:val="center"/>
                </w:tcPr>
                <w:p w14:paraId="1F2D23B4">
                  <w:pPr>
                    <w:pStyle w:val="7"/>
                    <w:keepNext/>
                    <w:adjustRightInd w:val="0"/>
                    <w:snapToGrid w:val="0"/>
                    <w:jc w:val="center"/>
                    <w:rPr>
                      <w:rFonts w:ascii="Times New Roman" w:hAnsi="Times New Roman" w:eastAsia="宋体"/>
                      <w:b w:val="0"/>
                      <w:bCs w:val="0"/>
                      <w:color w:val="auto"/>
                      <w:sz w:val="21"/>
                      <w:szCs w:val="21"/>
                    </w:rPr>
                  </w:pPr>
                </w:p>
              </w:tc>
              <w:tc>
                <w:tcPr>
                  <w:tcW w:w="1448" w:type="pct"/>
                  <w:tcBorders>
                    <w:tl2br w:val="nil"/>
                    <w:tr2bl w:val="nil"/>
                  </w:tcBorders>
                  <w:noWrap w:val="0"/>
                  <w:tcMar>
                    <w:top w:w="0" w:type="dxa"/>
                    <w:left w:w="0" w:type="dxa"/>
                    <w:bottom w:w="0" w:type="dxa"/>
                    <w:right w:w="0" w:type="dxa"/>
                  </w:tcMar>
                  <w:vAlign w:val="center"/>
                </w:tcPr>
                <w:p w14:paraId="5E466027">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6-9</w:t>
                  </w:r>
                </w:p>
              </w:tc>
            </w:tr>
            <w:tr w14:paraId="1EEA47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7EFE34D2">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SS</w:t>
                  </w:r>
                </w:p>
              </w:tc>
              <w:tc>
                <w:tcPr>
                  <w:tcW w:w="1798" w:type="pct"/>
                  <w:vMerge w:val="continue"/>
                  <w:tcBorders>
                    <w:tl2br w:val="nil"/>
                    <w:tr2bl w:val="nil"/>
                  </w:tcBorders>
                  <w:noWrap w:val="0"/>
                  <w:tcMar>
                    <w:top w:w="0" w:type="dxa"/>
                    <w:left w:w="0" w:type="dxa"/>
                    <w:bottom w:w="0" w:type="dxa"/>
                    <w:right w:w="0" w:type="dxa"/>
                  </w:tcMar>
                  <w:vAlign w:val="center"/>
                </w:tcPr>
                <w:p w14:paraId="59492B5E">
                  <w:pPr>
                    <w:pStyle w:val="7"/>
                    <w:keepNext/>
                    <w:adjustRightInd w:val="0"/>
                    <w:snapToGrid w:val="0"/>
                    <w:jc w:val="center"/>
                    <w:rPr>
                      <w:rFonts w:ascii="Times New Roman" w:hAnsi="Times New Roman" w:eastAsia="宋体"/>
                      <w:b w:val="0"/>
                      <w:bCs w:val="0"/>
                      <w:color w:val="auto"/>
                      <w:sz w:val="21"/>
                      <w:szCs w:val="21"/>
                    </w:rPr>
                  </w:pPr>
                </w:p>
              </w:tc>
              <w:tc>
                <w:tcPr>
                  <w:tcW w:w="1448" w:type="pct"/>
                  <w:tcBorders>
                    <w:tl2br w:val="nil"/>
                    <w:tr2bl w:val="nil"/>
                  </w:tcBorders>
                  <w:noWrap w:val="0"/>
                  <w:tcMar>
                    <w:top w:w="0" w:type="dxa"/>
                    <w:left w:w="0" w:type="dxa"/>
                    <w:bottom w:w="0" w:type="dxa"/>
                    <w:right w:w="0" w:type="dxa"/>
                  </w:tcMar>
                  <w:vAlign w:val="center"/>
                </w:tcPr>
                <w:p w14:paraId="75ACE6F1">
                  <w:pPr>
                    <w:pStyle w:val="7"/>
                    <w:keepNext/>
                    <w:adjustRightInd w:val="0"/>
                    <w:snapToGrid w:val="0"/>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10</w:t>
                  </w:r>
                </w:p>
              </w:tc>
            </w:tr>
            <w:tr w14:paraId="190783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tcMar>
                    <w:top w:w="0" w:type="dxa"/>
                    <w:left w:w="0" w:type="dxa"/>
                    <w:bottom w:w="0" w:type="dxa"/>
                    <w:right w:w="0" w:type="dxa"/>
                  </w:tcMar>
                  <w:vAlign w:val="center"/>
                </w:tcPr>
                <w:p w14:paraId="2ED69EC9">
                  <w:pPr>
                    <w:adjustRightInd w:val="0"/>
                    <w:snapToGrid w:val="0"/>
                    <w:rPr>
                      <w:b w:val="0"/>
                      <w:bCs/>
                      <w:color w:val="auto"/>
                    </w:rPr>
                  </w:pPr>
                  <w:r>
                    <w:rPr>
                      <w:b w:val="0"/>
                      <w:bCs/>
                      <w:color w:val="auto"/>
                    </w:rPr>
                    <w:t>注*：每年11月1日至次年3月31日执行括号内排放限值。</w:t>
                  </w:r>
                </w:p>
              </w:tc>
            </w:tr>
          </w:tbl>
          <w:p w14:paraId="70D3E7AB">
            <w:pPr>
              <w:pStyle w:val="7"/>
              <w:keepNext/>
              <w:keepLines w:val="0"/>
              <w:pageBreakBefore w:val="0"/>
              <w:widowControl/>
              <w:kinsoku/>
              <w:wordWrap/>
              <w:overflowPunct/>
              <w:topLinePunct w:val="0"/>
              <w:autoSpaceDE/>
              <w:autoSpaceDN/>
              <w:bidi w:val="0"/>
              <w:adjustRightInd w:val="0"/>
              <w:snapToGrid w:val="0"/>
              <w:spacing w:before="157" w:beforeLines="50"/>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1</w:t>
            </w:r>
            <w:r>
              <w:rPr>
                <w:rFonts w:hint="eastAsia" w:ascii="Times New Roman" w:hAnsi="Times New Roman"/>
                <w:b/>
                <w:color w:val="auto"/>
                <w:sz w:val="21"/>
                <w:szCs w:val="21"/>
                <w:lang w:val="en-US" w:eastAsia="zh-CN"/>
              </w:rPr>
              <w:t>2</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lang w:eastAsia="zh-CN"/>
              </w:rPr>
              <w:t>常州金坛区第二污水处理有限公司</w:t>
            </w:r>
            <w:r>
              <w:rPr>
                <w:rFonts w:ascii="Times New Roman" w:hAnsi="Times New Roman" w:eastAsia="宋体"/>
                <w:b/>
                <w:color w:val="auto"/>
                <w:sz w:val="21"/>
                <w:szCs w:val="21"/>
              </w:rPr>
              <w:t>四项主要常规污染物一次监测排放限值</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82"/>
              <w:gridCol w:w="2957"/>
              <w:gridCol w:w="2383"/>
            </w:tblGrid>
            <w:tr w14:paraId="444215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7445EB9B">
                  <w:pPr>
                    <w:adjustRightInd w:val="0"/>
                    <w:snapToGrid w:val="0"/>
                    <w:jc w:val="center"/>
                    <w:rPr>
                      <w:b/>
                      <w:bCs/>
                      <w:color w:val="auto"/>
                    </w:rPr>
                  </w:pPr>
                  <w:r>
                    <w:rPr>
                      <w:b/>
                      <w:bCs/>
                      <w:color w:val="auto"/>
                    </w:rPr>
                    <w:t>污染物</w:t>
                  </w:r>
                </w:p>
              </w:tc>
              <w:tc>
                <w:tcPr>
                  <w:tcW w:w="1798" w:type="pct"/>
                  <w:tcBorders>
                    <w:tl2br w:val="nil"/>
                    <w:tr2bl w:val="nil"/>
                  </w:tcBorders>
                  <w:noWrap w:val="0"/>
                  <w:tcMar>
                    <w:top w:w="0" w:type="dxa"/>
                    <w:left w:w="0" w:type="dxa"/>
                    <w:bottom w:w="0" w:type="dxa"/>
                    <w:right w:w="0" w:type="dxa"/>
                  </w:tcMar>
                  <w:vAlign w:val="center"/>
                </w:tcPr>
                <w:p w14:paraId="2124AFBD">
                  <w:pPr>
                    <w:adjustRightInd w:val="0"/>
                    <w:snapToGrid w:val="0"/>
                    <w:jc w:val="center"/>
                    <w:rPr>
                      <w:b/>
                      <w:bCs/>
                      <w:color w:val="auto"/>
                    </w:rPr>
                  </w:pPr>
                  <w:r>
                    <w:rPr>
                      <w:b/>
                      <w:bCs/>
                      <w:color w:val="auto"/>
                    </w:rPr>
                    <w:t>标准</w:t>
                  </w:r>
                </w:p>
              </w:tc>
              <w:tc>
                <w:tcPr>
                  <w:tcW w:w="1448" w:type="pct"/>
                  <w:tcBorders>
                    <w:tl2br w:val="nil"/>
                    <w:tr2bl w:val="nil"/>
                  </w:tcBorders>
                  <w:noWrap w:val="0"/>
                  <w:tcMar>
                    <w:top w:w="0" w:type="dxa"/>
                    <w:left w:w="0" w:type="dxa"/>
                    <w:bottom w:w="0" w:type="dxa"/>
                    <w:right w:w="0" w:type="dxa"/>
                  </w:tcMar>
                  <w:vAlign w:val="center"/>
                </w:tcPr>
                <w:p w14:paraId="73F5A8BC">
                  <w:pPr>
                    <w:adjustRightInd w:val="0"/>
                    <w:snapToGrid w:val="0"/>
                    <w:jc w:val="center"/>
                    <w:rPr>
                      <w:rFonts w:hint="eastAsia" w:eastAsia="宋体"/>
                      <w:b/>
                      <w:bCs/>
                      <w:color w:val="auto"/>
                      <w:lang w:eastAsia="zh-CN"/>
                    </w:rPr>
                  </w:pPr>
                  <w:r>
                    <w:rPr>
                      <w:b/>
                      <w:bCs/>
                      <w:color w:val="auto"/>
                    </w:rPr>
                    <w:t>污染物排放标准</w:t>
                  </w:r>
                  <w:r>
                    <w:rPr>
                      <w:rFonts w:hint="eastAsia"/>
                      <w:b/>
                      <w:bCs/>
                      <w:color w:val="auto"/>
                      <w:lang w:eastAsia="zh-CN"/>
                    </w:rPr>
                    <w:t>（</w:t>
                  </w:r>
                  <w:r>
                    <w:rPr>
                      <w:rFonts w:ascii="Times New Roman" w:hAnsi="Times New Roman" w:eastAsia="宋体"/>
                      <w:b/>
                      <w:color w:val="auto"/>
                      <w:sz w:val="21"/>
                      <w:szCs w:val="21"/>
                    </w:rPr>
                    <w:t>mg/L</w:t>
                  </w:r>
                  <w:r>
                    <w:rPr>
                      <w:rFonts w:hint="eastAsia"/>
                      <w:b/>
                      <w:bCs/>
                      <w:color w:val="auto"/>
                      <w:lang w:eastAsia="zh-CN"/>
                    </w:rPr>
                    <w:t>）</w:t>
                  </w:r>
                </w:p>
              </w:tc>
            </w:tr>
            <w:tr w14:paraId="119775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73F29CB8">
                  <w:pPr>
                    <w:adjustRightInd w:val="0"/>
                    <w:snapToGrid w:val="0"/>
                    <w:jc w:val="center"/>
                    <w:rPr>
                      <w:b w:val="0"/>
                      <w:bCs w:val="0"/>
                      <w:color w:val="auto"/>
                    </w:rPr>
                  </w:pPr>
                  <w:r>
                    <w:rPr>
                      <w:b w:val="0"/>
                      <w:bCs w:val="0"/>
                      <w:color w:val="auto"/>
                    </w:rPr>
                    <w:t>COD</w:t>
                  </w:r>
                </w:p>
              </w:tc>
              <w:tc>
                <w:tcPr>
                  <w:tcW w:w="1798" w:type="pct"/>
                  <w:vMerge w:val="restart"/>
                  <w:tcBorders>
                    <w:tl2br w:val="nil"/>
                    <w:tr2bl w:val="nil"/>
                  </w:tcBorders>
                  <w:noWrap w:val="0"/>
                  <w:tcMar>
                    <w:top w:w="0" w:type="dxa"/>
                    <w:left w:w="0" w:type="dxa"/>
                    <w:bottom w:w="0" w:type="dxa"/>
                    <w:right w:w="0" w:type="dxa"/>
                  </w:tcMar>
                  <w:vAlign w:val="center"/>
                </w:tcPr>
                <w:p w14:paraId="7CC5A196">
                  <w:pPr>
                    <w:adjustRightInd w:val="0"/>
                    <w:snapToGrid w:val="0"/>
                    <w:jc w:val="center"/>
                    <w:rPr>
                      <w:b w:val="0"/>
                      <w:bCs w:val="0"/>
                      <w:color w:val="auto"/>
                    </w:rPr>
                  </w:pPr>
                  <w:r>
                    <w:rPr>
                      <w:b w:val="0"/>
                      <w:bCs w:val="0"/>
                      <w:color w:val="auto"/>
                    </w:rPr>
                    <w:t>《城镇污水处理厂污染物排放标准》（DB32/4440-2022）</w:t>
                  </w:r>
                </w:p>
              </w:tc>
              <w:tc>
                <w:tcPr>
                  <w:tcW w:w="1448" w:type="pct"/>
                  <w:tcBorders>
                    <w:tl2br w:val="nil"/>
                    <w:tr2bl w:val="nil"/>
                  </w:tcBorders>
                  <w:noWrap w:val="0"/>
                  <w:tcMar>
                    <w:top w:w="0" w:type="dxa"/>
                    <w:left w:w="0" w:type="dxa"/>
                    <w:bottom w:w="0" w:type="dxa"/>
                    <w:right w:w="0" w:type="dxa"/>
                  </w:tcMar>
                  <w:vAlign w:val="center"/>
                </w:tcPr>
                <w:p w14:paraId="7A56EA46">
                  <w:pPr>
                    <w:adjustRightInd w:val="0"/>
                    <w:snapToGrid w:val="0"/>
                    <w:jc w:val="center"/>
                    <w:rPr>
                      <w:b w:val="0"/>
                      <w:bCs w:val="0"/>
                      <w:color w:val="auto"/>
                    </w:rPr>
                  </w:pPr>
                  <w:r>
                    <w:rPr>
                      <w:b w:val="0"/>
                      <w:bCs w:val="0"/>
                      <w:color w:val="auto"/>
                    </w:rPr>
                    <w:t>75</w:t>
                  </w:r>
                </w:p>
              </w:tc>
            </w:tr>
            <w:tr w14:paraId="59BCA8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21468929">
                  <w:pPr>
                    <w:adjustRightInd w:val="0"/>
                    <w:snapToGrid w:val="0"/>
                    <w:jc w:val="center"/>
                    <w:rPr>
                      <w:b w:val="0"/>
                      <w:bCs w:val="0"/>
                      <w:color w:val="auto"/>
                    </w:rPr>
                  </w:pPr>
                  <w:r>
                    <w:rPr>
                      <w:b w:val="0"/>
                      <w:bCs w:val="0"/>
                      <w:color w:val="auto"/>
                    </w:rPr>
                    <w:t>NH</w:t>
                  </w:r>
                  <w:r>
                    <w:rPr>
                      <w:b w:val="0"/>
                      <w:bCs w:val="0"/>
                      <w:color w:val="auto"/>
                      <w:vertAlign w:val="subscript"/>
                    </w:rPr>
                    <w:t>3</w:t>
                  </w:r>
                  <w:r>
                    <w:rPr>
                      <w:b w:val="0"/>
                      <w:bCs w:val="0"/>
                      <w:color w:val="auto"/>
                    </w:rPr>
                    <w:t>-N</w:t>
                  </w:r>
                </w:p>
              </w:tc>
              <w:tc>
                <w:tcPr>
                  <w:tcW w:w="1798" w:type="pct"/>
                  <w:vMerge w:val="continue"/>
                  <w:tcBorders>
                    <w:tl2br w:val="nil"/>
                    <w:tr2bl w:val="nil"/>
                  </w:tcBorders>
                  <w:noWrap w:val="0"/>
                  <w:tcMar>
                    <w:top w:w="0" w:type="dxa"/>
                    <w:left w:w="0" w:type="dxa"/>
                    <w:bottom w:w="0" w:type="dxa"/>
                    <w:right w:w="0" w:type="dxa"/>
                  </w:tcMar>
                  <w:vAlign w:val="center"/>
                </w:tcPr>
                <w:p w14:paraId="22BB8AA9">
                  <w:pPr>
                    <w:adjustRightInd w:val="0"/>
                    <w:snapToGrid w:val="0"/>
                    <w:jc w:val="center"/>
                    <w:rPr>
                      <w:b w:val="0"/>
                      <w:bCs w:val="0"/>
                      <w:color w:val="auto"/>
                    </w:rPr>
                  </w:pPr>
                </w:p>
              </w:tc>
              <w:tc>
                <w:tcPr>
                  <w:tcW w:w="1448" w:type="pct"/>
                  <w:tcBorders>
                    <w:tl2br w:val="nil"/>
                    <w:tr2bl w:val="nil"/>
                  </w:tcBorders>
                  <w:noWrap w:val="0"/>
                  <w:tcMar>
                    <w:top w:w="0" w:type="dxa"/>
                    <w:left w:w="0" w:type="dxa"/>
                    <w:bottom w:w="0" w:type="dxa"/>
                    <w:right w:w="0" w:type="dxa"/>
                  </w:tcMar>
                  <w:vAlign w:val="center"/>
                </w:tcPr>
                <w:p w14:paraId="3787DCF9">
                  <w:pPr>
                    <w:adjustRightInd w:val="0"/>
                    <w:snapToGrid w:val="0"/>
                    <w:jc w:val="center"/>
                    <w:rPr>
                      <w:b w:val="0"/>
                      <w:bCs w:val="0"/>
                      <w:color w:val="auto"/>
                    </w:rPr>
                  </w:pPr>
                  <w:r>
                    <w:rPr>
                      <w:b w:val="0"/>
                      <w:bCs w:val="0"/>
                      <w:color w:val="auto"/>
                    </w:rPr>
                    <w:t>8（12）*</w:t>
                  </w:r>
                </w:p>
              </w:tc>
            </w:tr>
            <w:tr w14:paraId="0F5875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421BB96E">
                  <w:pPr>
                    <w:adjustRightInd w:val="0"/>
                    <w:snapToGrid w:val="0"/>
                    <w:jc w:val="center"/>
                    <w:rPr>
                      <w:b w:val="0"/>
                      <w:bCs w:val="0"/>
                      <w:color w:val="auto"/>
                    </w:rPr>
                  </w:pPr>
                  <w:r>
                    <w:rPr>
                      <w:b w:val="0"/>
                      <w:bCs w:val="0"/>
                      <w:color w:val="auto"/>
                    </w:rPr>
                    <w:t>TP</w:t>
                  </w:r>
                </w:p>
              </w:tc>
              <w:tc>
                <w:tcPr>
                  <w:tcW w:w="1798" w:type="pct"/>
                  <w:vMerge w:val="continue"/>
                  <w:tcBorders>
                    <w:tl2br w:val="nil"/>
                    <w:tr2bl w:val="nil"/>
                  </w:tcBorders>
                  <w:noWrap w:val="0"/>
                  <w:tcMar>
                    <w:top w:w="0" w:type="dxa"/>
                    <w:left w:w="0" w:type="dxa"/>
                    <w:bottom w:w="0" w:type="dxa"/>
                    <w:right w:w="0" w:type="dxa"/>
                  </w:tcMar>
                  <w:vAlign w:val="center"/>
                </w:tcPr>
                <w:p w14:paraId="06B640A4">
                  <w:pPr>
                    <w:adjustRightInd w:val="0"/>
                    <w:snapToGrid w:val="0"/>
                    <w:jc w:val="center"/>
                    <w:rPr>
                      <w:b w:val="0"/>
                      <w:bCs w:val="0"/>
                      <w:color w:val="auto"/>
                    </w:rPr>
                  </w:pPr>
                </w:p>
              </w:tc>
              <w:tc>
                <w:tcPr>
                  <w:tcW w:w="1448" w:type="pct"/>
                  <w:tcBorders>
                    <w:tl2br w:val="nil"/>
                    <w:tr2bl w:val="nil"/>
                  </w:tcBorders>
                  <w:noWrap w:val="0"/>
                  <w:tcMar>
                    <w:top w:w="0" w:type="dxa"/>
                    <w:left w:w="0" w:type="dxa"/>
                    <w:bottom w:w="0" w:type="dxa"/>
                    <w:right w:w="0" w:type="dxa"/>
                  </w:tcMar>
                  <w:vAlign w:val="center"/>
                </w:tcPr>
                <w:p w14:paraId="206869C4">
                  <w:pPr>
                    <w:adjustRightInd w:val="0"/>
                    <w:snapToGrid w:val="0"/>
                    <w:jc w:val="center"/>
                    <w:rPr>
                      <w:b w:val="0"/>
                      <w:bCs w:val="0"/>
                      <w:color w:val="auto"/>
                    </w:rPr>
                  </w:pPr>
                  <w:r>
                    <w:rPr>
                      <w:b w:val="0"/>
                      <w:bCs w:val="0"/>
                      <w:color w:val="auto"/>
                    </w:rPr>
                    <w:t>1</w:t>
                  </w:r>
                </w:p>
              </w:tc>
            </w:tr>
            <w:tr w14:paraId="2CEDDB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3" w:type="pct"/>
                  <w:tcBorders>
                    <w:tl2br w:val="nil"/>
                    <w:tr2bl w:val="nil"/>
                  </w:tcBorders>
                  <w:noWrap w:val="0"/>
                  <w:tcMar>
                    <w:top w:w="0" w:type="dxa"/>
                    <w:left w:w="0" w:type="dxa"/>
                    <w:bottom w:w="0" w:type="dxa"/>
                    <w:right w:w="0" w:type="dxa"/>
                  </w:tcMar>
                  <w:vAlign w:val="center"/>
                </w:tcPr>
                <w:p w14:paraId="59919402">
                  <w:pPr>
                    <w:adjustRightInd w:val="0"/>
                    <w:snapToGrid w:val="0"/>
                    <w:jc w:val="center"/>
                    <w:rPr>
                      <w:b w:val="0"/>
                      <w:bCs w:val="0"/>
                      <w:color w:val="auto"/>
                    </w:rPr>
                  </w:pPr>
                  <w:r>
                    <w:rPr>
                      <w:b w:val="0"/>
                      <w:bCs w:val="0"/>
                      <w:color w:val="auto"/>
                    </w:rPr>
                    <w:t>TN</w:t>
                  </w:r>
                </w:p>
              </w:tc>
              <w:tc>
                <w:tcPr>
                  <w:tcW w:w="1798" w:type="pct"/>
                  <w:vMerge w:val="continue"/>
                  <w:tcBorders>
                    <w:tl2br w:val="nil"/>
                    <w:tr2bl w:val="nil"/>
                  </w:tcBorders>
                  <w:noWrap w:val="0"/>
                  <w:tcMar>
                    <w:top w:w="0" w:type="dxa"/>
                    <w:left w:w="0" w:type="dxa"/>
                    <w:bottom w:w="0" w:type="dxa"/>
                    <w:right w:w="0" w:type="dxa"/>
                  </w:tcMar>
                  <w:vAlign w:val="center"/>
                </w:tcPr>
                <w:p w14:paraId="4DF81A4A">
                  <w:pPr>
                    <w:adjustRightInd w:val="0"/>
                    <w:snapToGrid w:val="0"/>
                    <w:jc w:val="center"/>
                    <w:rPr>
                      <w:b w:val="0"/>
                      <w:bCs w:val="0"/>
                      <w:color w:val="auto"/>
                    </w:rPr>
                  </w:pPr>
                </w:p>
              </w:tc>
              <w:tc>
                <w:tcPr>
                  <w:tcW w:w="1448" w:type="pct"/>
                  <w:tcBorders>
                    <w:tl2br w:val="nil"/>
                    <w:tr2bl w:val="nil"/>
                  </w:tcBorders>
                  <w:noWrap w:val="0"/>
                  <w:tcMar>
                    <w:top w:w="0" w:type="dxa"/>
                    <w:left w:w="0" w:type="dxa"/>
                    <w:bottom w:w="0" w:type="dxa"/>
                    <w:right w:w="0" w:type="dxa"/>
                  </w:tcMar>
                  <w:vAlign w:val="center"/>
                </w:tcPr>
                <w:p w14:paraId="6A0A6CF9">
                  <w:pPr>
                    <w:adjustRightInd w:val="0"/>
                    <w:snapToGrid w:val="0"/>
                    <w:jc w:val="center"/>
                    <w:rPr>
                      <w:b w:val="0"/>
                      <w:bCs w:val="0"/>
                      <w:color w:val="auto"/>
                    </w:rPr>
                  </w:pPr>
                  <w:r>
                    <w:rPr>
                      <w:b w:val="0"/>
                      <w:bCs w:val="0"/>
                      <w:color w:val="auto"/>
                    </w:rPr>
                    <w:t>15（20）*</w:t>
                  </w:r>
                </w:p>
              </w:tc>
            </w:tr>
            <w:tr w14:paraId="56CFCE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tcMar>
                    <w:top w:w="0" w:type="dxa"/>
                    <w:left w:w="0" w:type="dxa"/>
                    <w:bottom w:w="0" w:type="dxa"/>
                    <w:right w:w="0" w:type="dxa"/>
                  </w:tcMar>
                  <w:vAlign w:val="center"/>
                </w:tcPr>
                <w:p w14:paraId="1B9C4CA6">
                  <w:pPr>
                    <w:adjustRightInd w:val="0"/>
                    <w:snapToGrid w:val="0"/>
                    <w:rPr>
                      <w:b w:val="0"/>
                      <w:bCs w:val="0"/>
                      <w:color w:val="auto"/>
                    </w:rPr>
                  </w:pPr>
                  <w:r>
                    <w:rPr>
                      <w:b w:val="0"/>
                      <w:bCs w:val="0"/>
                      <w:color w:val="auto"/>
                    </w:rPr>
                    <w:t>注*：每年11月1日至次年3月31日执行括号内排放限值。</w:t>
                  </w:r>
                </w:p>
              </w:tc>
            </w:tr>
          </w:tbl>
          <w:p w14:paraId="76F30EE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b/>
                <w:color w:val="auto"/>
                <w:szCs w:val="21"/>
              </w:rPr>
            </w:pPr>
            <w:r>
              <w:rPr>
                <w:rFonts w:hint="eastAsia"/>
                <w:b/>
                <w:color w:val="auto"/>
                <w:szCs w:val="21"/>
              </w:rPr>
              <w:t>三</w:t>
            </w:r>
            <w:r>
              <w:rPr>
                <w:b/>
                <w:color w:val="auto"/>
                <w:szCs w:val="21"/>
              </w:rPr>
              <w:t>、噪声排放标准</w:t>
            </w:r>
          </w:p>
          <w:p w14:paraId="52AABCD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szCs w:val="21"/>
              </w:rPr>
            </w:pPr>
            <w:r>
              <w:rPr>
                <w:color w:val="auto"/>
                <w:szCs w:val="21"/>
              </w:rPr>
              <w:t>本项目</w:t>
            </w:r>
            <w:r>
              <w:rPr>
                <w:color w:val="auto"/>
                <w:spacing w:val="-6"/>
                <w:szCs w:val="21"/>
              </w:rPr>
              <w:t>运营期项目厂界执行《工业企业厂界环境噪声排放标准》（GB12348-2008）表1中</w:t>
            </w:r>
            <w:r>
              <w:rPr>
                <w:rFonts w:hint="eastAsia"/>
                <w:color w:val="auto"/>
                <w:spacing w:val="-6"/>
                <w:szCs w:val="21"/>
                <w:lang w:val="en-US" w:eastAsia="zh-CN"/>
              </w:rPr>
              <w:t>2</w:t>
            </w:r>
            <w:r>
              <w:rPr>
                <w:color w:val="auto"/>
                <w:spacing w:val="-6"/>
                <w:szCs w:val="21"/>
              </w:rPr>
              <w:t>类限值，具体限值见</w:t>
            </w:r>
            <w:r>
              <w:rPr>
                <w:rFonts w:hint="eastAsia"/>
                <w:color w:val="auto"/>
                <w:spacing w:val="-6"/>
                <w:szCs w:val="21"/>
                <w:lang w:val="en-US" w:eastAsia="zh-CN"/>
              </w:rPr>
              <w:t>下表</w:t>
            </w:r>
            <w:r>
              <w:rPr>
                <w:color w:val="auto"/>
                <w:szCs w:val="21"/>
              </w:rPr>
              <w:t>。</w:t>
            </w:r>
          </w:p>
          <w:p w14:paraId="7899A189">
            <w:pPr>
              <w:snapToGrid w:val="0"/>
              <w:ind w:firstLine="497" w:firstLineChars="250"/>
              <w:jc w:val="center"/>
              <w:rPr>
                <w:color w:val="auto"/>
                <w:spacing w:val="-6"/>
                <w:szCs w:val="21"/>
              </w:rPr>
            </w:pPr>
            <w:r>
              <w:rPr>
                <w:b/>
                <w:color w:val="auto"/>
                <w:spacing w:val="-6"/>
                <w:szCs w:val="21"/>
              </w:rPr>
              <w:t>表3-</w:t>
            </w:r>
            <w:r>
              <w:rPr>
                <w:rFonts w:hint="eastAsia"/>
                <w:b/>
                <w:color w:val="auto"/>
                <w:spacing w:val="-6"/>
                <w:szCs w:val="21"/>
                <w:lang w:val="en-US" w:eastAsia="zh-CN"/>
              </w:rPr>
              <w:t>13</w:t>
            </w:r>
            <w:r>
              <w:rPr>
                <w:b/>
                <w:color w:val="auto"/>
                <w:spacing w:val="-6"/>
                <w:szCs w:val="21"/>
              </w:rPr>
              <w:t xml:space="preserve"> 工业企业厂界噪声排放限值</w:t>
            </w:r>
            <w:r>
              <w:rPr>
                <w:color w:val="auto"/>
                <w:spacing w:val="-6"/>
                <w:szCs w:val="21"/>
              </w:rPr>
              <w:t xml:space="preserve"> </w:t>
            </w:r>
            <w:r>
              <w:rPr>
                <w:b/>
                <w:bCs/>
                <w:color w:val="auto"/>
                <w:spacing w:val="-6"/>
                <w:szCs w:val="21"/>
              </w:rPr>
              <w:t xml:space="preserve">  单位：dB（A）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38"/>
              <w:gridCol w:w="1010"/>
              <w:gridCol w:w="886"/>
              <w:gridCol w:w="5285"/>
            </w:tblGrid>
            <w:tr w14:paraId="5B4F70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1" w:type="pct"/>
                  <w:noWrap w:val="0"/>
                  <w:vAlign w:val="center"/>
                </w:tcPr>
                <w:p w14:paraId="66741C23">
                  <w:pPr>
                    <w:jc w:val="center"/>
                    <w:rPr>
                      <w:b/>
                      <w:color w:val="auto"/>
                      <w:szCs w:val="21"/>
                    </w:rPr>
                  </w:pPr>
                  <w:r>
                    <w:rPr>
                      <w:b/>
                      <w:color w:val="auto"/>
                      <w:szCs w:val="21"/>
                    </w:rPr>
                    <w:t>评价标准</w:t>
                  </w:r>
                </w:p>
              </w:tc>
              <w:tc>
                <w:tcPr>
                  <w:tcW w:w="614" w:type="pct"/>
                  <w:noWrap w:val="0"/>
                  <w:vAlign w:val="center"/>
                </w:tcPr>
                <w:p w14:paraId="6E1851A9">
                  <w:pPr>
                    <w:jc w:val="center"/>
                    <w:rPr>
                      <w:b/>
                      <w:color w:val="auto"/>
                      <w:szCs w:val="21"/>
                    </w:rPr>
                  </w:pPr>
                  <w:r>
                    <w:rPr>
                      <w:b/>
                      <w:color w:val="auto"/>
                      <w:szCs w:val="21"/>
                    </w:rPr>
                    <w:t>昼间</w:t>
                  </w:r>
                </w:p>
              </w:tc>
              <w:tc>
                <w:tcPr>
                  <w:tcW w:w="539" w:type="pct"/>
                  <w:noWrap w:val="0"/>
                  <w:vAlign w:val="center"/>
                </w:tcPr>
                <w:p w14:paraId="6452C72D">
                  <w:pPr>
                    <w:jc w:val="center"/>
                    <w:rPr>
                      <w:rFonts w:hint="eastAsia" w:eastAsia="宋体"/>
                      <w:b/>
                      <w:color w:val="auto"/>
                      <w:szCs w:val="21"/>
                      <w:lang w:val="en-US" w:eastAsia="zh-CN"/>
                    </w:rPr>
                  </w:pPr>
                  <w:r>
                    <w:rPr>
                      <w:rFonts w:hint="eastAsia"/>
                      <w:b/>
                      <w:color w:val="auto"/>
                      <w:szCs w:val="21"/>
                      <w:lang w:val="en-US" w:eastAsia="zh-CN"/>
                    </w:rPr>
                    <w:t>夜间</w:t>
                  </w:r>
                </w:p>
              </w:tc>
              <w:tc>
                <w:tcPr>
                  <w:tcW w:w="3214" w:type="pct"/>
                  <w:noWrap w:val="0"/>
                  <w:vAlign w:val="center"/>
                </w:tcPr>
                <w:p w14:paraId="15536C82">
                  <w:pPr>
                    <w:jc w:val="center"/>
                    <w:rPr>
                      <w:b/>
                      <w:color w:val="auto"/>
                      <w:szCs w:val="21"/>
                    </w:rPr>
                  </w:pPr>
                  <w:r>
                    <w:rPr>
                      <w:b/>
                      <w:color w:val="auto"/>
                      <w:szCs w:val="21"/>
                    </w:rPr>
                    <w:t>标准来源</w:t>
                  </w:r>
                </w:p>
              </w:tc>
            </w:tr>
            <w:tr w14:paraId="483688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1" w:type="pct"/>
                  <w:noWrap w:val="0"/>
                  <w:vAlign w:val="center"/>
                </w:tcPr>
                <w:p w14:paraId="1DDFD0DC">
                  <w:pPr>
                    <w:jc w:val="center"/>
                    <w:rPr>
                      <w:color w:val="auto"/>
                      <w:szCs w:val="21"/>
                    </w:rPr>
                  </w:pPr>
                  <w:r>
                    <w:rPr>
                      <w:rFonts w:hint="eastAsia"/>
                      <w:color w:val="auto"/>
                      <w:szCs w:val="21"/>
                      <w:lang w:val="en-US" w:eastAsia="zh-CN"/>
                    </w:rPr>
                    <w:t>2</w:t>
                  </w:r>
                  <w:r>
                    <w:rPr>
                      <w:color w:val="auto"/>
                      <w:szCs w:val="21"/>
                    </w:rPr>
                    <w:t>类</w:t>
                  </w:r>
                </w:p>
              </w:tc>
              <w:tc>
                <w:tcPr>
                  <w:tcW w:w="614" w:type="pct"/>
                  <w:noWrap w:val="0"/>
                  <w:vAlign w:val="center"/>
                </w:tcPr>
                <w:p w14:paraId="1BD98564">
                  <w:pPr>
                    <w:jc w:val="center"/>
                    <w:rPr>
                      <w:rFonts w:hint="eastAsia" w:eastAsia="宋体"/>
                      <w:color w:val="auto"/>
                      <w:szCs w:val="21"/>
                      <w:lang w:eastAsia="zh-CN"/>
                    </w:rPr>
                  </w:pPr>
                  <w:r>
                    <w:rPr>
                      <w:rFonts w:hint="eastAsia"/>
                      <w:color w:val="auto"/>
                      <w:szCs w:val="21"/>
                    </w:rPr>
                    <w:t>6</w:t>
                  </w:r>
                  <w:r>
                    <w:rPr>
                      <w:rFonts w:hint="eastAsia"/>
                      <w:color w:val="auto"/>
                      <w:szCs w:val="21"/>
                      <w:lang w:val="en-US" w:eastAsia="zh-CN"/>
                    </w:rPr>
                    <w:t>0</w:t>
                  </w:r>
                </w:p>
              </w:tc>
              <w:tc>
                <w:tcPr>
                  <w:tcW w:w="539" w:type="pct"/>
                  <w:noWrap w:val="0"/>
                  <w:vAlign w:val="center"/>
                </w:tcPr>
                <w:p w14:paraId="0EF4CB5E">
                  <w:pPr>
                    <w:jc w:val="center"/>
                    <w:rPr>
                      <w:rFonts w:hint="default" w:eastAsia="宋体"/>
                      <w:color w:val="auto"/>
                      <w:szCs w:val="21"/>
                      <w:lang w:val="en-US" w:eastAsia="zh-CN"/>
                    </w:rPr>
                  </w:pPr>
                  <w:r>
                    <w:rPr>
                      <w:rFonts w:hint="eastAsia"/>
                      <w:color w:val="auto"/>
                      <w:szCs w:val="21"/>
                      <w:lang w:val="en-US" w:eastAsia="zh-CN"/>
                    </w:rPr>
                    <w:t>50</w:t>
                  </w:r>
                </w:p>
              </w:tc>
              <w:tc>
                <w:tcPr>
                  <w:tcW w:w="3214" w:type="pct"/>
                  <w:noWrap w:val="0"/>
                  <w:vAlign w:val="center"/>
                </w:tcPr>
                <w:p w14:paraId="4734B81B">
                  <w:pPr>
                    <w:jc w:val="center"/>
                    <w:rPr>
                      <w:color w:val="auto"/>
                      <w:szCs w:val="21"/>
                    </w:rPr>
                  </w:pPr>
                  <w:r>
                    <w:rPr>
                      <w:color w:val="auto"/>
                      <w:szCs w:val="21"/>
                    </w:rPr>
                    <w:t>《工业企业厂界环境噪声排放标准</w:t>
                  </w:r>
                  <w:r>
                    <w:rPr>
                      <w:rFonts w:hint="eastAsia"/>
                      <w:color w:val="auto"/>
                      <w:szCs w:val="21"/>
                    </w:rPr>
                    <w:t>》</w:t>
                  </w:r>
                  <w:r>
                    <w:rPr>
                      <w:color w:val="auto"/>
                      <w:szCs w:val="21"/>
                    </w:rPr>
                    <w:t>（GB12348-2008）</w:t>
                  </w:r>
                </w:p>
              </w:tc>
            </w:tr>
          </w:tbl>
          <w:p w14:paraId="06982F06">
            <w:pPr>
              <w:spacing w:before="120" w:beforeLines="50" w:line="360" w:lineRule="auto"/>
              <w:ind w:firstLine="414" w:firstLineChars="200"/>
              <w:jc w:val="left"/>
              <w:textAlignment w:val="baseline"/>
              <w:rPr>
                <w:b/>
                <w:color w:val="auto"/>
                <w:spacing w:val="-2"/>
                <w:kern w:val="28"/>
                <w:szCs w:val="21"/>
              </w:rPr>
            </w:pPr>
            <w:r>
              <w:rPr>
                <w:rFonts w:hint="eastAsia"/>
                <w:b/>
                <w:color w:val="auto"/>
                <w:spacing w:val="-2"/>
                <w:kern w:val="28"/>
                <w:szCs w:val="21"/>
              </w:rPr>
              <w:t>四</w:t>
            </w:r>
            <w:r>
              <w:rPr>
                <w:b/>
                <w:color w:val="auto"/>
                <w:spacing w:val="-2"/>
                <w:kern w:val="28"/>
                <w:szCs w:val="21"/>
              </w:rPr>
              <w:t>、固体废弃物</w:t>
            </w:r>
          </w:p>
          <w:p w14:paraId="7629170C">
            <w:pPr>
              <w:adjustRightInd w:val="0"/>
              <w:snapToGrid w:val="0"/>
              <w:spacing w:line="360" w:lineRule="auto"/>
              <w:ind w:firstLine="420" w:firstLineChars="200"/>
              <w:rPr>
                <w:color w:val="auto"/>
                <w:szCs w:val="21"/>
              </w:rPr>
            </w:pPr>
            <w:r>
              <w:rPr>
                <w:color w:val="auto"/>
                <w:szCs w:val="21"/>
              </w:rPr>
              <w:t>项目产生的一般工业固体废物贮存执行《一般工业固体废物贮存和填埋污染控制标准》（GB18599-2020）要求。</w:t>
            </w:r>
          </w:p>
          <w:p w14:paraId="77EA3188">
            <w:pPr>
              <w:adjustRightInd w:val="0"/>
              <w:snapToGrid w:val="0"/>
              <w:spacing w:line="360" w:lineRule="auto"/>
              <w:ind w:firstLine="420" w:firstLineChars="200"/>
              <w:rPr>
                <w:rFonts w:hint="eastAsia"/>
                <w:color w:val="auto"/>
                <w:szCs w:val="21"/>
              </w:rPr>
            </w:pPr>
            <w:r>
              <w:rPr>
                <w:color w:val="auto"/>
                <w:szCs w:val="21"/>
              </w:rPr>
              <w:t>危险废物贮存按照</w:t>
            </w:r>
            <w:r>
              <w:rPr>
                <w:rFonts w:hint="eastAsia"/>
                <w:color w:val="auto"/>
                <w:szCs w:val="21"/>
              </w:rPr>
              <w:t>《危险废物贮存污染控制标准》（GB18597-2023）</w:t>
            </w:r>
            <w:r>
              <w:rPr>
                <w:color w:val="auto"/>
                <w:szCs w:val="21"/>
              </w:rPr>
              <w:t>、《危险废物收集储存运输技术规范》（HJ2025-2012）要求及</w:t>
            </w:r>
            <w:r>
              <w:rPr>
                <w:rFonts w:hint="eastAsia"/>
                <w:color w:val="auto"/>
              </w:rPr>
              <w:t>《危险废物识别标志设置技术规范》（HJ1276-2022）</w:t>
            </w:r>
            <w:r>
              <w:rPr>
                <w:color w:val="auto"/>
                <w:szCs w:val="21"/>
              </w:rPr>
              <w:t>要求进行危险废物的包装、贮存设施的选址、设计、运行、安全防护、监测和关闭，同时应按照《关于印发江苏省危险废物贮存规范化管理专项整治行动方案的通知》（苏环办【2019】149号）要求进行危废的暂存和处理</w:t>
            </w:r>
            <w:r>
              <w:rPr>
                <w:rFonts w:hint="eastAsia"/>
                <w:color w:val="auto"/>
                <w:szCs w:val="21"/>
              </w:rPr>
              <w:t>；落实《省生态环境厅关于印发&lt;江苏省固体废物全过程环境监管工作意见&gt;的通知》（苏环办〔2024〕16号）的要求</w:t>
            </w:r>
            <w:r>
              <w:rPr>
                <w:color w:val="auto"/>
                <w:szCs w:val="21"/>
              </w:rPr>
              <w:t>。</w:t>
            </w:r>
          </w:p>
          <w:p w14:paraId="42473865">
            <w:pPr>
              <w:adjustRightInd w:val="0"/>
              <w:snapToGrid w:val="0"/>
              <w:spacing w:line="360" w:lineRule="auto"/>
              <w:ind w:firstLine="420" w:firstLineChars="200"/>
              <w:rPr>
                <w:color w:val="auto"/>
                <w:szCs w:val="21"/>
              </w:rPr>
            </w:pPr>
            <w:r>
              <w:rPr>
                <w:color w:val="auto"/>
                <w:szCs w:val="21"/>
              </w:rPr>
              <w:t>生活垃圾处理执行《城市生活垃圾处理及污染防治技术政策》（建城[2000]120号）和《生活垃圾处理技术指南》（建城[2010]61号）以及国家、省市关于固体废物污染环境防治的法律法规。</w:t>
            </w:r>
          </w:p>
          <w:p w14:paraId="056ABB30">
            <w:pPr>
              <w:adjustRightInd w:val="0"/>
              <w:snapToGrid w:val="0"/>
              <w:spacing w:line="360" w:lineRule="auto"/>
              <w:ind w:firstLine="420" w:firstLineChars="200"/>
              <w:rPr>
                <w:color w:val="auto"/>
                <w:szCs w:val="21"/>
              </w:rPr>
            </w:pPr>
          </w:p>
          <w:p w14:paraId="45FF038D">
            <w:pPr>
              <w:adjustRightInd w:val="0"/>
              <w:snapToGrid w:val="0"/>
              <w:spacing w:line="360" w:lineRule="auto"/>
              <w:ind w:firstLine="420" w:firstLineChars="200"/>
              <w:rPr>
                <w:color w:val="auto"/>
                <w:szCs w:val="21"/>
              </w:rPr>
            </w:pPr>
          </w:p>
          <w:p w14:paraId="268BCA1B">
            <w:pPr>
              <w:adjustRightInd w:val="0"/>
              <w:snapToGrid w:val="0"/>
              <w:spacing w:line="360" w:lineRule="auto"/>
              <w:ind w:firstLine="420" w:firstLineChars="200"/>
              <w:rPr>
                <w:color w:val="auto"/>
                <w:szCs w:val="21"/>
              </w:rPr>
            </w:pPr>
          </w:p>
          <w:p w14:paraId="6D000D26">
            <w:pPr>
              <w:adjustRightInd w:val="0"/>
              <w:snapToGrid w:val="0"/>
              <w:spacing w:line="360" w:lineRule="auto"/>
              <w:ind w:firstLine="420" w:firstLineChars="200"/>
              <w:rPr>
                <w:color w:val="auto"/>
                <w:szCs w:val="21"/>
              </w:rPr>
            </w:pPr>
          </w:p>
          <w:p w14:paraId="087A514C">
            <w:pPr>
              <w:adjustRightInd w:val="0"/>
              <w:snapToGrid w:val="0"/>
              <w:spacing w:line="360" w:lineRule="auto"/>
              <w:ind w:firstLine="420" w:firstLineChars="200"/>
              <w:rPr>
                <w:color w:val="auto"/>
                <w:szCs w:val="21"/>
              </w:rPr>
            </w:pPr>
          </w:p>
          <w:p w14:paraId="08E4F944">
            <w:pPr>
              <w:pStyle w:val="5"/>
              <w:rPr>
                <w:color w:val="auto"/>
                <w:szCs w:val="21"/>
              </w:rPr>
            </w:pPr>
          </w:p>
          <w:p w14:paraId="75D8A9D3">
            <w:pPr>
              <w:rPr>
                <w:color w:val="auto"/>
                <w:szCs w:val="21"/>
              </w:rPr>
            </w:pPr>
          </w:p>
          <w:p w14:paraId="38E93EBA">
            <w:pPr>
              <w:pStyle w:val="5"/>
              <w:rPr>
                <w:color w:val="auto"/>
                <w:szCs w:val="21"/>
              </w:rPr>
            </w:pPr>
          </w:p>
          <w:p w14:paraId="20631A1E">
            <w:pPr>
              <w:rPr>
                <w:color w:val="auto"/>
                <w:szCs w:val="21"/>
              </w:rPr>
            </w:pPr>
          </w:p>
          <w:p w14:paraId="48BD0E1F">
            <w:pPr>
              <w:adjustRightInd w:val="0"/>
              <w:snapToGrid w:val="0"/>
              <w:spacing w:line="360" w:lineRule="auto"/>
              <w:rPr>
                <w:color w:val="auto"/>
                <w:kern w:val="0"/>
                <w:szCs w:val="21"/>
              </w:rPr>
            </w:pPr>
          </w:p>
        </w:tc>
      </w:tr>
    </w:tbl>
    <w:p w14:paraId="04571EA5">
      <w:pPr>
        <w:pStyle w:val="25"/>
        <w:adjustRightInd w:val="0"/>
        <w:snapToGrid w:val="0"/>
        <w:spacing w:before="0" w:beforeAutospacing="0" w:after="0" w:afterAutospacing="0"/>
        <w:outlineLvl w:val="0"/>
        <w:rPr>
          <w:rFonts w:ascii="Times New Roman" w:hAnsi="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8"/>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480"/>
      </w:tblGrid>
      <w:tr w14:paraId="3E37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2" w:type="dxa"/>
            <w:noWrap w:val="0"/>
            <w:tcMar>
              <w:top w:w="0" w:type="dxa"/>
              <w:left w:w="0" w:type="dxa"/>
              <w:bottom w:w="0" w:type="dxa"/>
              <w:right w:w="0" w:type="dxa"/>
            </w:tcMar>
            <w:vAlign w:val="center"/>
          </w:tcPr>
          <w:p w14:paraId="2651990B">
            <w:pPr>
              <w:pStyle w:val="25"/>
              <w:spacing w:before="120" w:beforeLines="50" w:beforeAutospacing="0" w:after="120" w:afterLines="50" w:afterAutospacing="0"/>
              <w:jc w:val="center"/>
              <w:outlineLvl w:val="0"/>
              <w:rPr>
                <w:rFonts w:ascii="Times New Roman" w:hAnsi="Times New Roman"/>
                <w:snapToGrid w:val="0"/>
                <w:color w:val="auto"/>
                <w:sz w:val="36"/>
                <w:szCs w:val="36"/>
              </w:rPr>
            </w:pPr>
            <w:bookmarkStart w:id="8" w:name="_Toc4138"/>
            <w:bookmarkStart w:id="9" w:name="_Toc3477"/>
            <w:bookmarkStart w:id="10" w:name="_Toc12279"/>
            <w:bookmarkStart w:id="11" w:name="_Toc29883"/>
            <w:bookmarkStart w:id="12" w:name="_Toc1602"/>
            <w:r>
              <w:rPr>
                <w:rFonts w:ascii="Times New Roman" w:hAnsi="Times New Roman"/>
                <w:color w:val="auto"/>
                <w:sz w:val="21"/>
                <w:szCs w:val="21"/>
              </w:rPr>
              <w:t>总量控制指标</w:t>
            </w:r>
            <w:bookmarkEnd w:id="8"/>
            <w:bookmarkEnd w:id="9"/>
            <w:bookmarkEnd w:id="10"/>
            <w:bookmarkEnd w:id="11"/>
            <w:bookmarkEnd w:id="12"/>
          </w:p>
        </w:tc>
        <w:tc>
          <w:tcPr>
            <w:tcW w:w="8480" w:type="dxa"/>
            <w:noWrap w:val="0"/>
            <w:vAlign w:val="top"/>
          </w:tcPr>
          <w:p w14:paraId="7367A394">
            <w:pPr>
              <w:spacing w:before="120" w:beforeLines="50" w:line="360" w:lineRule="auto"/>
              <w:ind w:firstLine="422" w:firstLineChars="200"/>
              <w:rPr>
                <w:b/>
                <w:bCs/>
                <w:color w:val="auto"/>
                <w:szCs w:val="21"/>
              </w:rPr>
            </w:pPr>
            <w:r>
              <w:rPr>
                <w:rFonts w:hint="eastAsia"/>
                <w:b/>
                <w:bCs/>
                <w:color w:val="auto"/>
                <w:szCs w:val="21"/>
              </w:rPr>
              <w:t>一</w:t>
            </w:r>
            <w:r>
              <w:rPr>
                <w:b/>
                <w:bCs/>
                <w:color w:val="auto"/>
                <w:szCs w:val="21"/>
              </w:rPr>
              <w:t>、项目污染物总量排放情况</w:t>
            </w:r>
          </w:p>
          <w:p w14:paraId="6D7B3532">
            <w:pPr>
              <w:spacing w:line="360" w:lineRule="auto"/>
              <w:ind w:firstLine="420" w:firstLineChars="200"/>
              <w:rPr>
                <w:color w:val="auto"/>
                <w:szCs w:val="21"/>
              </w:rPr>
            </w:pPr>
            <w:r>
              <w:rPr>
                <w:rFonts w:hint="eastAsia"/>
                <w:color w:val="auto"/>
                <w:szCs w:val="21"/>
              </w:rPr>
              <w:t>根据</w:t>
            </w:r>
            <w:r>
              <w:rPr>
                <w:color w:val="auto"/>
                <w:szCs w:val="21"/>
              </w:rPr>
              <w:t>项目排污特征，确定总量控制因子为：</w:t>
            </w:r>
          </w:p>
          <w:p w14:paraId="735CF684">
            <w:pPr>
              <w:spacing w:line="360" w:lineRule="auto"/>
              <w:ind w:firstLine="420" w:firstLineChars="200"/>
              <w:rPr>
                <w:color w:val="auto"/>
                <w:szCs w:val="21"/>
              </w:rPr>
            </w:pPr>
            <w:r>
              <w:rPr>
                <w:rFonts w:hint="eastAsia"/>
                <w:color w:val="auto"/>
                <w:szCs w:val="21"/>
              </w:rPr>
              <w:t>废气：总量控制因子：</w:t>
            </w:r>
            <w:r>
              <w:rPr>
                <w:rFonts w:hint="eastAsia"/>
                <w:color w:val="auto"/>
                <w:szCs w:val="21"/>
                <w:lang w:val="en-US" w:eastAsia="zh-CN"/>
              </w:rPr>
              <w:t>非甲烷总烃、</w:t>
            </w:r>
            <w:r>
              <w:rPr>
                <w:rFonts w:hint="eastAsia"/>
                <w:color w:val="auto"/>
                <w:szCs w:val="21"/>
              </w:rPr>
              <w:t>颗粒物；</w:t>
            </w:r>
          </w:p>
          <w:p w14:paraId="038D5E69">
            <w:pPr>
              <w:spacing w:line="360" w:lineRule="auto"/>
              <w:ind w:firstLine="420" w:firstLineChars="200"/>
              <w:rPr>
                <w:color w:val="auto"/>
                <w:szCs w:val="21"/>
              </w:rPr>
            </w:pPr>
            <w:r>
              <w:rPr>
                <w:color w:val="auto"/>
                <w:szCs w:val="21"/>
              </w:rPr>
              <w:t>废水：总量控制因子：COD、NH</w:t>
            </w:r>
            <w:r>
              <w:rPr>
                <w:color w:val="auto"/>
                <w:szCs w:val="21"/>
                <w:vertAlign w:val="subscript"/>
              </w:rPr>
              <w:t>3</w:t>
            </w:r>
            <w:r>
              <w:rPr>
                <w:color w:val="auto"/>
                <w:szCs w:val="21"/>
              </w:rPr>
              <w:t>-N、TP、TN；特征考核因子：SS；</w:t>
            </w:r>
          </w:p>
          <w:p w14:paraId="35E8D365">
            <w:pPr>
              <w:spacing w:line="360" w:lineRule="auto"/>
              <w:ind w:firstLine="420" w:firstLineChars="200"/>
              <w:rPr>
                <w:color w:val="auto"/>
                <w:szCs w:val="21"/>
              </w:rPr>
            </w:pPr>
            <w:r>
              <w:rPr>
                <w:color w:val="auto"/>
                <w:szCs w:val="21"/>
              </w:rPr>
              <w:t>固体废物：工业固体废物排放量。</w:t>
            </w:r>
          </w:p>
          <w:p w14:paraId="6180709B">
            <w:pPr>
              <w:spacing w:line="360" w:lineRule="auto"/>
              <w:ind w:firstLine="422" w:firstLineChars="200"/>
              <w:rPr>
                <w:b/>
                <w:bCs/>
                <w:color w:val="auto"/>
                <w:szCs w:val="21"/>
              </w:rPr>
            </w:pPr>
            <w:r>
              <w:rPr>
                <w:rFonts w:hint="eastAsia"/>
                <w:b/>
                <w:bCs/>
                <w:color w:val="auto"/>
                <w:szCs w:val="21"/>
              </w:rPr>
              <w:t>二</w:t>
            </w:r>
            <w:r>
              <w:rPr>
                <w:b/>
                <w:bCs/>
                <w:color w:val="auto"/>
                <w:szCs w:val="21"/>
              </w:rPr>
              <w:t>、污染物总量平衡方案</w:t>
            </w:r>
          </w:p>
          <w:p w14:paraId="32CC1D19">
            <w:pPr>
              <w:snapToGrid w:val="0"/>
              <w:ind w:firstLine="420" w:firstLineChars="200"/>
              <w:jc w:val="left"/>
              <w:rPr>
                <w:rFonts w:hint="eastAsia"/>
                <w:b/>
                <w:bCs/>
                <w:color w:val="auto"/>
                <w:kern w:val="0"/>
                <w:szCs w:val="21"/>
              </w:rPr>
            </w:pPr>
            <w:r>
              <w:rPr>
                <w:color w:val="auto"/>
                <w:szCs w:val="21"/>
              </w:rPr>
              <w:t>本项目新增污染物排放量总量详见下表</w:t>
            </w:r>
            <w:r>
              <w:rPr>
                <w:rFonts w:hint="eastAsia"/>
                <w:color w:val="auto"/>
                <w:szCs w:val="21"/>
              </w:rPr>
              <w:t>。</w:t>
            </w:r>
          </w:p>
          <w:p w14:paraId="61F9A18D">
            <w:pPr>
              <w:snapToGrid w:val="0"/>
              <w:spacing w:before="120" w:beforeLines="50"/>
              <w:jc w:val="center"/>
              <w:rPr>
                <w:b/>
                <w:bCs/>
                <w:color w:val="auto"/>
                <w:kern w:val="0"/>
                <w:szCs w:val="21"/>
              </w:rPr>
            </w:pPr>
            <w:r>
              <w:rPr>
                <w:b/>
                <w:bCs/>
                <w:color w:val="auto"/>
                <w:kern w:val="0"/>
                <w:szCs w:val="21"/>
              </w:rPr>
              <w:t>表3-</w:t>
            </w:r>
            <w:r>
              <w:rPr>
                <w:rFonts w:hint="eastAsia"/>
                <w:b/>
                <w:bCs/>
                <w:color w:val="auto"/>
                <w:kern w:val="0"/>
                <w:szCs w:val="21"/>
              </w:rPr>
              <w:t>1</w:t>
            </w:r>
            <w:r>
              <w:rPr>
                <w:rFonts w:hint="eastAsia"/>
                <w:b/>
                <w:bCs/>
                <w:color w:val="auto"/>
                <w:kern w:val="0"/>
                <w:szCs w:val="21"/>
                <w:lang w:val="en-US" w:eastAsia="zh-CN"/>
              </w:rPr>
              <w:t>4</w:t>
            </w:r>
            <w:r>
              <w:rPr>
                <w:b/>
                <w:bCs/>
                <w:color w:val="auto"/>
                <w:kern w:val="0"/>
                <w:szCs w:val="21"/>
              </w:rPr>
              <w:t xml:space="preserve"> 污染物排放总量控制建议指标  单位：t/a</w:t>
            </w:r>
          </w:p>
          <w:tbl>
            <w:tblPr>
              <w:tblStyle w:val="28"/>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85"/>
              <w:gridCol w:w="687"/>
              <w:gridCol w:w="671"/>
              <w:gridCol w:w="647"/>
              <w:gridCol w:w="639"/>
              <w:gridCol w:w="627"/>
              <w:gridCol w:w="1000"/>
              <w:gridCol w:w="713"/>
              <w:gridCol w:w="660"/>
              <w:gridCol w:w="893"/>
              <w:gridCol w:w="701"/>
            </w:tblGrid>
            <w:tr w14:paraId="3AE6E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noWrap w:val="0"/>
                  <w:tcMar>
                    <w:top w:w="0" w:type="dxa"/>
                    <w:left w:w="0" w:type="dxa"/>
                    <w:bottom w:w="0" w:type="dxa"/>
                    <w:right w:w="0" w:type="dxa"/>
                  </w:tcMar>
                  <w:vAlign w:val="center"/>
                </w:tcPr>
                <w:p w14:paraId="28BDA176">
                  <w:pPr>
                    <w:jc w:val="center"/>
                    <w:rPr>
                      <w:b/>
                      <w:color w:val="auto"/>
                      <w:sz w:val="21"/>
                      <w:szCs w:val="21"/>
                    </w:rPr>
                  </w:pPr>
                  <w:r>
                    <w:rPr>
                      <w:b/>
                      <w:color w:val="auto"/>
                      <w:sz w:val="21"/>
                      <w:szCs w:val="21"/>
                    </w:rPr>
                    <w:t>种类</w:t>
                  </w:r>
                </w:p>
              </w:tc>
              <w:tc>
                <w:tcPr>
                  <w:tcW w:w="719" w:type="pct"/>
                  <w:gridSpan w:val="2"/>
                  <w:vMerge w:val="restart"/>
                  <w:noWrap w:val="0"/>
                  <w:tcMar>
                    <w:top w:w="0" w:type="dxa"/>
                    <w:left w:w="0" w:type="dxa"/>
                    <w:bottom w:w="0" w:type="dxa"/>
                    <w:right w:w="0" w:type="dxa"/>
                  </w:tcMar>
                  <w:vAlign w:val="center"/>
                </w:tcPr>
                <w:p w14:paraId="5D878460">
                  <w:pPr>
                    <w:jc w:val="center"/>
                    <w:rPr>
                      <w:b/>
                      <w:color w:val="auto"/>
                      <w:sz w:val="21"/>
                      <w:szCs w:val="21"/>
                    </w:rPr>
                  </w:pPr>
                  <w:r>
                    <w:rPr>
                      <w:b/>
                      <w:color w:val="auto"/>
                      <w:sz w:val="21"/>
                      <w:szCs w:val="21"/>
                    </w:rPr>
                    <w:t>污染物名称</w:t>
                  </w:r>
                </w:p>
              </w:tc>
              <w:tc>
                <w:tcPr>
                  <w:tcW w:w="412" w:type="pct"/>
                  <w:vMerge w:val="restart"/>
                  <w:noWrap w:val="0"/>
                  <w:tcMar>
                    <w:top w:w="0" w:type="dxa"/>
                    <w:left w:w="0" w:type="dxa"/>
                    <w:bottom w:w="0" w:type="dxa"/>
                    <w:right w:w="0" w:type="dxa"/>
                  </w:tcMar>
                  <w:vAlign w:val="center"/>
                </w:tcPr>
                <w:p w14:paraId="3B45E576">
                  <w:pPr>
                    <w:jc w:val="center"/>
                    <w:rPr>
                      <w:b/>
                      <w:color w:val="auto"/>
                      <w:sz w:val="21"/>
                      <w:szCs w:val="21"/>
                    </w:rPr>
                  </w:pPr>
                  <w:r>
                    <w:rPr>
                      <w:rFonts w:hint="eastAsia"/>
                      <w:b/>
                      <w:color w:val="auto"/>
                      <w:sz w:val="21"/>
                      <w:szCs w:val="21"/>
                    </w:rPr>
                    <w:t>现有项目环评批复量</w:t>
                  </w:r>
                </w:p>
              </w:tc>
              <w:tc>
                <w:tcPr>
                  <w:tcW w:w="1174" w:type="pct"/>
                  <w:gridSpan w:val="3"/>
                  <w:noWrap w:val="0"/>
                  <w:tcMar>
                    <w:top w:w="0" w:type="dxa"/>
                    <w:left w:w="0" w:type="dxa"/>
                    <w:bottom w:w="0" w:type="dxa"/>
                    <w:right w:w="0" w:type="dxa"/>
                  </w:tcMar>
                  <w:vAlign w:val="center"/>
                </w:tcPr>
                <w:p w14:paraId="351F03F8">
                  <w:pPr>
                    <w:jc w:val="center"/>
                    <w:rPr>
                      <w:b/>
                      <w:color w:val="auto"/>
                      <w:sz w:val="21"/>
                      <w:szCs w:val="21"/>
                    </w:rPr>
                  </w:pPr>
                  <w:r>
                    <w:rPr>
                      <w:b/>
                      <w:color w:val="auto"/>
                      <w:sz w:val="21"/>
                      <w:szCs w:val="21"/>
                    </w:rPr>
                    <w:t>本项目</w:t>
                  </w:r>
                </w:p>
              </w:tc>
              <w:tc>
                <w:tcPr>
                  <w:tcW w:w="2005" w:type="pct"/>
                  <w:gridSpan w:val="4"/>
                  <w:noWrap w:val="0"/>
                  <w:tcMar>
                    <w:top w:w="0" w:type="dxa"/>
                    <w:left w:w="0" w:type="dxa"/>
                    <w:bottom w:w="0" w:type="dxa"/>
                    <w:right w:w="0" w:type="dxa"/>
                  </w:tcMar>
                  <w:vAlign w:val="center"/>
                </w:tcPr>
                <w:p w14:paraId="105C510B">
                  <w:pPr>
                    <w:jc w:val="center"/>
                    <w:rPr>
                      <w:b/>
                      <w:color w:val="auto"/>
                      <w:sz w:val="21"/>
                      <w:szCs w:val="21"/>
                    </w:rPr>
                  </w:pPr>
                  <w:r>
                    <w:rPr>
                      <w:b/>
                      <w:color w:val="auto"/>
                      <w:sz w:val="21"/>
                      <w:szCs w:val="21"/>
                    </w:rPr>
                    <w:t>全厂</w:t>
                  </w:r>
                </w:p>
              </w:tc>
              <w:tc>
                <w:tcPr>
                  <w:tcW w:w="430" w:type="pct"/>
                  <w:vMerge w:val="restart"/>
                  <w:noWrap w:val="0"/>
                  <w:tcMar>
                    <w:top w:w="0" w:type="dxa"/>
                    <w:left w:w="0" w:type="dxa"/>
                    <w:bottom w:w="0" w:type="dxa"/>
                    <w:right w:w="0" w:type="dxa"/>
                  </w:tcMar>
                  <w:vAlign w:val="center"/>
                </w:tcPr>
                <w:p w14:paraId="15EAE627">
                  <w:pPr>
                    <w:jc w:val="center"/>
                    <w:rPr>
                      <w:b/>
                      <w:color w:val="auto"/>
                      <w:sz w:val="21"/>
                      <w:szCs w:val="21"/>
                    </w:rPr>
                  </w:pPr>
                  <w:r>
                    <w:rPr>
                      <w:b/>
                      <w:color w:val="auto"/>
                      <w:sz w:val="21"/>
                      <w:szCs w:val="21"/>
                    </w:rPr>
                    <w:t>本项目申请量</w:t>
                  </w:r>
                </w:p>
              </w:tc>
            </w:tr>
            <w:tr w14:paraId="7C532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noWrap w:val="0"/>
                  <w:tcMar>
                    <w:top w:w="0" w:type="dxa"/>
                    <w:left w:w="0" w:type="dxa"/>
                    <w:bottom w:w="0" w:type="dxa"/>
                    <w:right w:w="0" w:type="dxa"/>
                  </w:tcMar>
                  <w:vAlign w:val="center"/>
                </w:tcPr>
                <w:p w14:paraId="7052689C">
                  <w:pPr>
                    <w:jc w:val="center"/>
                    <w:rPr>
                      <w:color w:val="auto"/>
                      <w:sz w:val="21"/>
                      <w:szCs w:val="21"/>
                    </w:rPr>
                  </w:pPr>
                </w:p>
              </w:tc>
              <w:tc>
                <w:tcPr>
                  <w:tcW w:w="719" w:type="pct"/>
                  <w:gridSpan w:val="2"/>
                  <w:vMerge w:val="continue"/>
                  <w:noWrap w:val="0"/>
                  <w:tcMar>
                    <w:top w:w="0" w:type="dxa"/>
                    <w:left w:w="0" w:type="dxa"/>
                    <w:bottom w:w="0" w:type="dxa"/>
                    <w:right w:w="0" w:type="dxa"/>
                  </w:tcMar>
                  <w:vAlign w:val="center"/>
                </w:tcPr>
                <w:p w14:paraId="4D57A3DB">
                  <w:pPr>
                    <w:jc w:val="center"/>
                    <w:rPr>
                      <w:b/>
                      <w:color w:val="auto"/>
                      <w:sz w:val="21"/>
                      <w:szCs w:val="21"/>
                    </w:rPr>
                  </w:pPr>
                </w:p>
              </w:tc>
              <w:tc>
                <w:tcPr>
                  <w:tcW w:w="412" w:type="pct"/>
                  <w:vMerge w:val="continue"/>
                  <w:noWrap w:val="0"/>
                  <w:tcMar>
                    <w:top w:w="0" w:type="dxa"/>
                    <w:left w:w="0" w:type="dxa"/>
                    <w:bottom w:w="0" w:type="dxa"/>
                    <w:right w:w="0" w:type="dxa"/>
                  </w:tcMar>
                  <w:vAlign w:val="center"/>
                </w:tcPr>
                <w:p w14:paraId="14F1D5B9">
                  <w:pPr>
                    <w:jc w:val="center"/>
                    <w:rPr>
                      <w:b/>
                      <w:color w:val="auto"/>
                      <w:sz w:val="21"/>
                      <w:szCs w:val="21"/>
                    </w:rPr>
                  </w:pPr>
                </w:p>
              </w:tc>
              <w:tc>
                <w:tcPr>
                  <w:tcW w:w="397" w:type="pct"/>
                  <w:tcBorders>
                    <w:left w:val="single" w:color="000000" w:sz="6" w:space="0"/>
                  </w:tcBorders>
                  <w:noWrap w:val="0"/>
                  <w:tcMar>
                    <w:top w:w="0" w:type="dxa"/>
                    <w:left w:w="0" w:type="dxa"/>
                    <w:bottom w:w="0" w:type="dxa"/>
                    <w:right w:w="0" w:type="dxa"/>
                  </w:tcMar>
                  <w:vAlign w:val="center"/>
                </w:tcPr>
                <w:p w14:paraId="393105FA">
                  <w:pPr>
                    <w:jc w:val="center"/>
                    <w:rPr>
                      <w:b/>
                      <w:color w:val="auto"/>
                      <w:sz w:val="21"/>
                      <w:szCs w:val="21"/>
                    </w:rPr>
                  </w:pPr>
                  <w:r>
                    <w:rPr>
                      <w:b/>
                      <w:color w:val="auto"/>
                      <w:sz w:val="21"/>
                      <w:szCs w:val="21"/>
                    </w:rPr>
                    <w:t>产生量</w:t>
                  </w:r>
                </w:p>
              </w:tc>
              <w:tc>
                <w:tcPr>
                  <w:tcW w:w="392" w:type="pct"/>
                  <w:noWrap w:val="0"/>
                  <w:tcMar>
                    <w:top w:w="0" w:type="dxa"/>
                    <w:left w:w="0" w:type="dxa"/>
                    <w:bottom w:w="0" w:type="dxa"/>
                    <w:right w:w="0" w:type="dxa"/>
                  </w:tcMar>
                  <w:vAlign w:val="center"/>
                </w:tcPr>
                <w:p w14:paraId="6FD0C398">
                  <w:pPr>
                    <w:jc w:val="center"/>
                    <w:rPr>
                      <w:b/>
                      <w:color w:val="auto"/>
                      <w:sz w:val="21"/>
                      <w:szCs w:val="21"/>
                    </w:rPr>
                  </w:pPr>
                  <w:r>
                    <w:rPr>
                      <w:b/>
                      <w:color w:val="auto"/>
                      <w:sz w:val="21"/>
                      <w:szCs w:val="21"/>
                    </w:rPr>
                    <w:t>削减量</w:t>
                  </w:r>
                </w:p>
              </w:tc>
              <w:tc>
                <w:tcPr>
                  <w:tcW w:w="385" w:type="pct"/>
                  <w:noWrap w:val="0"/>
                  <w:tcMar>
                    <w:top w:w="0" w:type="dxa"/>
                    <w:left w:w="0" w:type="dxa"/>
                    <w:bottom w:w="0" w:type="dxa"/>
                    <w:right w:w="0" w:type="dxa"/>
                  </w:tcMar>
                  <w:vAlign w:val="center"/>
                </w:tcPr>
                <w:p w14:paraId="06CF4B5A">
                  <w:pPr>
                    <w:jc w:val="center"/>
                    <w:rPr>
                      <w:b/>
                      <w:color w:val="auto"/>
                      <w:sz w:val="21"/>
                      <w:szCs w:val="21"/>
                    </w:rPr>
                  </w:pPr>
                  <w:r>
                    <w:rPr>
                      <w:b/>
                      <w:color w:val="auto"/>
                      <w:sz w:val="21"/>
                      <w:szCs w:val="21"/>
                    </w:rPr>
                    <w:t>排放量</w:t>
                  </w:r>
                </w:p>
              </w:tc>
              <w:tc>
                <w:tcPr>
                  <w:tcW w:w="614" w:type="pct"/>
                  <w:noWrap w:val="0"/>
                  <w:tcMar>
                    <w:top w:w="0" w:type="dxa"/>
                    <w:left w:w="0" w:type="dxa"/>
                    <w:bottom w:w="0" w:type="dxa"/>
                    <w:right w:w="0" w:type="dxa"/>
                  </w:tcMar>
                  <w:vAlign w:val="center"/>
                </w:tcPr>
                <w:p w14:paraId="3AD1BB48">
                  <w:pPr>
                    <w:jc w:val="center"/>
                    <w:rPr>
                      <w:b/>
                      <w:color w:val="auto"/>
                      <w:sz w:val="21"/>
                      <w:szCs w:val="21"/>
                    </w:rPr>
                  </w:pPr>
                  <w:r>
                    <w:rPr>
                      <w:b/>
                      <w:color w:val="auto"/>
                      <w:sz w:val="21"/>
                      <w:szCs w:val="21"/>
                    </w:rPr>
                    <w:t>“以新带老”削减量</w:t>
                  </w:r>
                </w:p>
              </w:tc>
              <w:tc>
                <w:tcPr>
                  <w:tcW w:w="437" w:type="pct"/>
                  <w:noWrap w:val="0"/>
                  <w:tcMar>
                    <w:top w:w="0" w:type="dxa"/>
                    <w:left w:w="0" w:type="dxa"/>
                    <w:bottom w:w="0" w:type="dxa"/>
                    <w:right w:w="0" w:type="dxa"/>
                  </w:tcMar>
                  <w:vAlign w:val="center"/>
                </w:tcPr>
                <w:p w14:paraId="27A1AD15">
                  <w:pPr>
                    <w:jc w:val="center"/>
                    <w:rPr>
                      <w:b/>
                      <w:color w:val="auto"/>
                      <w:sz w:val="21"/>
                      <w:szCs w:val="21"/>
                    </w:rPr>
                  </w:pPr>
                  <w:r>
                    <w:rPr>
                      <w:b/>
                      <w:color w:val="auto"/>
                      <w:sz w:val="21"/>
                      <w:szCs w:val="21"/>
                    </w:rPr>
                    <w:t>全厂排放总量</w:t>
                  </w:r>
                </w:p>
              </w:tc>
              <w:tc>
                <w:tcPr>
                  <w:tcW w:w="405" w:type="pct"/>
                  <w:noWrap w:val="0"/>
                  <w:tcMar>
                    <w:top w:w="0" w:type="dxa"/>
                    <w:left w:w="0" w:type="dxa"/>
                    <w:bottom w:w="0" w:type="dxa"/>
                    <w:right w:w="0" w:type="dxa"/>
                  </w:tcMar>
                  <w:vAlign w:val="center"/>
                </w:tcPr>
                <w:p w14:paraId="4005D96B">
                  <w:pPr>
                    <w:jc w:val="center"/>
                    <w:rPr>
                      <w:b/>
                      <w:color w:val="auto"/>
                      <w:sz w:val="21"/>
                      <w:szCs w:val="21"/>
                    </w:rPr>
                  </w:pPr>
                  <w:r>
                    <w:rPr>
                      <w:b/>
                      <w:color w:val="auto"/>
                      <w:sz w:val="21"/>
                      <w:szCs w:val="21"/>
                    </w:rPr>
                    <w:t>排放增减量</w:t>
                  </w:r>
                </w:p>
              </w:tc>
              <w:tc>
                <w:tcPr>
                  <w:tcW w:w="548" w:type="pct"/>
                  <w:noWrap w:val="0"/>
                  <w:tcMar>
                    <w:top w:w="0" w:type="dxa"/>
                    <w:left w:w="0" w:type="dxa"/>
                    <w:bottom w:w="0" w:type="dxa"/>
                    <w:right w:w="0" w:type="dxa"/>
                  </w:tcMar>
                  <w:vAlign w:val="center"/>
                </w:tcPr>
                <w:p w14:paraId="7E6480AC">
                  <w:pPr>
                    <w:jc w:val="center"/>
                    <w:rPr>
                      <w:b/>
                      <w:color w:val="auto"/>
                      <w:sz w:val="21"/>
                      <w:szCs w:val="21"/>
                    </w:rPr>
                  </w:pPr>
                  <w:r>
                    <w:rPr>
                      <w:b/>
                      <w:color w:val="auto"/>
                      <w:sz w:val="21"/>
                      <w:szCs w:val="21"/>
                    </w:rPr>
                    <w:t>排入外环境总量</w:t>
                  </w:r>
                </w:p>
              </w:tc>
              <w:tc>
                <w:tcPr>
                  <w:tcW w:w="430" w:type="pct"/>
                  <w:vMerge w:val="continue"/>
                  <w:noWrap w:val="0"/>
                  <w:tcMar>
                    <w:top w:w="0" w:type="dxa"/>
                    <w:left w:w="0" w:type="dxa"/>
                    <w:bottom w:w="0" w:type="dxa"/>
                    <w:right w:w="0" w:type="dxa"/>
                  </w:tcMar>
                  <w:vAlign w:val="center"/>
                </w:tcPr>
                <w:p w14:paraId="28EA836F">
                  <w:pPr>
                    <w:jc w:val="center"/>
                    <w:rPr>
                      <w:b/>
                      <w:color w:val="auto"/>
                      <w:sz w:val="21"/>
                      <w:szCs w:val="21"/>
                    </w:rPr>
                  </w:pPr>
                </w:p>
              </w:tc>
            </w:tr>
            <w:tr w14:paraId="74E64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shd w:val="clear" w:color="auto" w:fill="auto"/>
                  <w:noWrap w:val="0"/>
                  <w:tcMar>
                    <w:top w:w="0" w:type="dxa"/>
                    <w:left w:w="0" w:type="dxa"/>
                    <w:bottom w:w="0" w:type="dxa"/>
                    <w:right w:w="0" w:type="dxa"/>
                  </w:tcMar>
                  <w:vAlign w:val="center"/>
                </w:tcPr>
                <w:p w14:paraId="70A006B0">
                  <w:pPr>
                    <w:jc w:val="center"/>
                    <w:rPr>
                      <w:rFonts w:hint="default"/>
                      <w:color w:val="auto"/>
                      <w:sz w:val="21"/>
                      <w:szCs w:val="21"/>
                      <w:lang w:val="en-US" w:eastAsia="zh-CN"/>
                    </w:rPr>
                  </w:pPr>
                  <w:r>
                    <w:rPr>
                      <w:rFonts w:hint="eastAsia"/>
                      <w:color w:val="auto"/>
                      <w:sz w:val="21"/>
                      <w:szCs w:val="21"/>
                      <w:lang w:val="en-US" w:eastAsia="zh-CN"/>
                    </w:rPr>
                    <w:t>废气</w:t>
                  </w:r>
                </w:p>
              </w:tc>
              <w:tc>
                <w:tcPr>
                  <w:tcW w:w="297" w:type="pct"/>
                  <w:vMerge w:val="restart"/>
                  <w:shd w:val="clear" w:color="auto" w:fill="auto"/>
                  <w:noWrap w:val="0"/>
                  <w:tcMar>
                    <w:top w:w="0" w:type="dxa"/>
                    <w:left w:w="0" w:type="dxa"/>
                    <w:bottom w:w="0" w:type="dxa"/>
                    <w:right w:w="0" w:type="dxa"/>
                  </w:tcMar>
                  <w:vAlign w:val="center"/>
                </w:tcPr>
                <w:p w14:paraId="4F330607">
                  <w:pPr>
                    <w:pStyle w:val="49"/>
                    <w:ind w:firstLine="0" w:firstLineChars="0"/>
                    <w:jc w:val="center"/>
                    <w:rPr>
                      <w:rFonts w:hint="eastAsia" w:ascii="Times New Roman" w:hAnsi="Times New Roman" w:eastAsia="宋体"/>
                      <w:b w:val="0"/>
                      <w:bCs/>
                      <w:snapToGrid w:val="0"/>
                      <w:color w:val="auto"/>
                      <w:kern w:val="21"/>
                      <w:sz w:val="21"/>
                      <w:szCs w:val="21"/>
                      <w:lang w:val="en-US" w:eastAsia="zh-CN"/>
                    </w:rPr>
                  </w:pPr>
                  <w:r>
                    <w:rPr>
                      <w:rFonts w:hint="eastAsia" w:ascii="Times New Roman" w:hAnsi="Times New Roman" w:eastAsia="宋体"/>
                      <w:b w:val="0"/>
                      <w:bCs/>
                      <w:snapToGrid w:val="0"/>
                      <w:color w:val="auto"/>
                      <w:kern w:val="21"/>
                      <w:sz w:val="21"/>
                      <w:szCs w:val="21"/>
                      <w:lang w:val="en-US" w:eastAsia="zh-CN"/>
                    </w:rPr>
                    <w:t>非甲烷总烃</w:t>
                  </w:r>
                </w:p>
              </w:tc>
              <w:tc>
                <w:tcPr>
                  <w:tcW w:w="421" w:type="pct"/>
                  <w:shd w:val="clear" w:color="auto" w:fill="auto"/>
                  <w:noWrap w:val="0"/>
                  <w:tcMar>
                    <w:top w:w="0" w:type="dxa"/>
                    <w:left w:w="0" w:type="dxa"/>
                    <w:bottom w:w="0" w:type="dxa"/>
                    <w:right w:w="0" w:type="dxa"/>
                  </w:tcMar>
                  <w:vAlign w:val="center"/>
                </w:tcPr>
                <w:p w14:paraId="5380015B">
                  <w:pPr>
                    <w:pStyle w:val="49"/>
                    <w:ind w:firstLine="0" w:firstLineChars="0"/>
                    <w:jc w:val="center"/>
                    <w:rPr>
                      <w:rFonts w:hint="default" w:ascii="Times New Roman" w:hAnsi="Times New Roman" w:eastAsia="宋体"/>
                      <w:b w:val="0"/>
                      <w:bCs/>
                      <w:snapToGrid w:val="0"/>
                      <w:color w:val="auto"/>
                      <w:kern w:val="21"/>
                      <w:sz w:val="21"/>
                      <w:szCs w:val="21"/>
                      <w:lang w:val="en-US" w:eastAsia="zh-CN"/>
                    </w:rPr>
                  </w:pPr>
                  <w:r>
                    <w:rPr>
                      <w:rFonts w:hint="eastAsia" w:ascii="Times New Roman" w:hAnsi="Times New Roman" w:eastAsia="宋体"/>
                      <w:b w:val="0"/>
                      <w:bCs/>
                      <w:snapToGrid w:val="0"/>
                      <w:color w:val="auto"/>
                      <w:kern w:val="21"/>
                      <w:sz w:val="21"/>
                      <w:szCs w:val="21"/>
                      <w:lang w:val="en-US" w:eastAsia="zh-CN"/>
                    </w:rPr>
                    <w:t>有组织</w:t>
                  </w:r>
                </w:p>
              </w:tc>
              <w:tc>
                <w:tcPr>
                  <w:tcW w:w="412" w:type="pct"/>
                  <w:shd w:val="clear" w:color="auto" w:fill="auto"/>
                  <w:noWrap w:val="0"/>
                  <w:tcMar>
                    <w:top w:w="0" w:type="dxa"/>
                    <w:left w:w="0" w:type="dxa"/>
                    <w:bottom w:w="0" w:type="dxa"/>
                    <w:right w:w="0" w:type="dxa"/>
                  </w:tcMar>
                  <w:vAlign w:val="center"/>
                </w:tcPr>
                <w:p w14:paraId="2425E39E">
                  <w:pPr>
                    <w:jc w:val="center"/>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color w:val="auto"/>
                      <w:szCs w:val="21"/>
                    </w:rPr>
                    <w:t>0.054</w:t>
                  </w:r>
                </w:p>
              </w:tc>
              <w:tc>
                <w:tcPr>
                  <w:tcW w:w="397" w:type="pct"/>
                  <w:shd w:val="clear" w:color="auto" w:fill="auto"/>
                  <w:noWrap w:val="0"/>
                  <w:tcMar>
                    <w:top w:w="0" w:type="dxa"/>
                    <w:left w:w="0" w:type="dxa"/>
                    <w:bottom w:w="0" w:type="dxa"/>
                    <w:right w:w="0" w:type="dxa"/>
                  </w:tcMar>
                  <w:vAlign w:val="center"/>
                </w:tcPr>
                <w:p w14:paraId="66E4A6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0.3891</w:t>
                  </w:r>
                </w:p>
              </w:tc>
              <w:tc>
                <w:tcPr>
                  <w:tcW w:w="392" w:type="pct"/>
                  <w:shd w:val="clear" w:color="auto" w:fill="auto"/>
                  <w:noWrap w:val="0"/>
                  <w:tcMar>
                    <w:top w:w="0" w:type="dxa"/>
                    <w:left w:w="0" w:type="dxa"/>
                    <w:bottom w:w="0" w:type="dxa"/>
                    <w:right w:w="0" w:type="dxa"/>
                  </w:tcMar>
                  <w:vAlign w:val="center"/>
                </w:tcPr>
                <w:p w14:paraId="6C88A5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0.35</w:t>
                  </w:r>
                  <w:r>
                    <w:rPr>
                      <w:rFonts w:hint="eastAsia" w:cs="Times New Roman"/>
                      <w:i w:val="0"/>
                      <w:iCs w:val="0"/>
                      <w:color w:val="0000FF"/>
                      <w:kern w:val="0"/>
                      <w:sz w:val="21"/>
                      <w:szCs w:val="21"/>
                      <w:u w:val="none"/>
                      <w:lang w:val="en-US" w:eastAsia="zh-CN" w:bidi="ar"/>
                    </w:rPr>
                    <w:t>02</w:t>
                  </w:r>
                </w:p>
              </w:tc>
              <w:tc>
                <w:tcPr>
                  <w:tcW w:w="385" w:type="pct"/>
                  <w:shd w:val="clear" w:color="auto" w:fill="auto"/>
                  <w:noWrap w:val="0"/>
                  <w:tcMar>
                    <w:top w:w="0" w:type="dxa"/>
                    <w:left w:w="0" w:type="dxa"/>
                    <w:bottom w:w="0" w:type="dxa"/>
                    <w:right w:w="0" w:type="dxa"/>
                  </w:tcMar>
                  <w:vAlign w:val="center"/>
                </w:tcPr>
                <w:p w14:paraId="712DFA51">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color w:val="0000FF"/>
                      <w:szCs w:val="21"/>
                      <w:lang w:val="en-US" w:eastAsia="zh-CN"/>
                    </w:rPr>
                    <w:t>0.0389</w:t>
                  </w:r>
                </w:p>
              </w:tc>
              <w:tc>
                <w:tcPr>
                  <w:tcW w:w="614" w:type="pct"/>
                  <w:shd w:val="clear" w:color="auto" w:fill="auto"/>
                  <w:noWrap w:val="0"/>
                  <w:tcMar>
                    <w:top w:w="0" w:type="dxa"/>
                    <w:left w:w="0" w:type="dxa"/>
                    <w:bottom w:w="0" w:type="dxa"/>
                    <w:right w:w="0" w:type="dxa"/>
                  </w:tcMar>
                  <w:vAlign w:val="center"/>
                </w:tcPr>
                <w:p w14:paraId="17A0384C">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olor w:val="auto"/>
                      <w:szCs w:val="21"/>
                    </w:rPr>
                    <w:t>0.054</w:t>
                  </w:r>
                </w:p>
              </w:tc>
              <w:tc>
                <w:tcPr>
                  <w:tcW w:w="437" w:type="pct"/>
                  <w:shd w:val="clear" w:color="auto" w:fill="auto"/>
                  <w:noWrap w:val="0"/>
                  <w:tcMar>
                    <w:top w:w="0" w:type="dxa"/>
                    <w:left w:w="0" w:type="dxa"/>
                    <w:bottom w:w="0" w:type="dxa"/>
                    <w:right w:w="0" w:type="dxa"/>
                  </w:tcMar>
                  <w:vAlign w:val="center"/>
                </w:tcPr>
                <w:p w14:paraId="1985DC09">
                  <w:pPr>
                    <w:keepNext w:val="0"/>
                    <w:keepLines w:val="0"/>
                    <w:suppressLineNumbers w:val="0"/>
                    <w:spacing w:before="0" w:beforeAutospacing="0" w:after="0" w:afterAutospacing="0"/>
                    <w:ind w:left="0" w:leftChars="0" w:right="0" w:rightChars="0"/>
                    <w:contextualSpacing/>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color w:val="0000FF"/>
                      <w:szCs w:val="21"/>
                      <w:lang w:val="en-US" w:eastAsia="zh-CN"/>
                    </w:rPr>
                    <w:t>0.0389</w:t>
                  </w:r>
                </w:p>
              </w:tc>
              <w:tc>
                <w:tcPr>
                  <w:tcW w:w="405" w:type="pct"/>
                  <w:shd w:val="clear" w:color="auto" w:fill="auto"/>
                  <w:noWrap w:val="0"/>
                  <w:tcMar>
                    <w:top w:w="0" w:type="dxa"/>
                    <w:left w:w="0" w:type="dxa"/>
                    <w:bottom w:w="0" w:type="dxa"/>
                    <w:right w:w="0" w:type="dxa"/>
                  </w:tcMar>
                  <w:vAlign w:val="center"/>
                </w:tcPr>
                <w:p w14:paraId="333E851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Cs w:val="21"/>
                      <w:lang w:val="en-US" w:eastAsia="zh-CN"/>
                    </w:rPr>
                    <w:t>-0.01</w:t>
                  </w:r>
                  <w:r>
                    <w:rPr>
                      <w:rFonts w:hint="eastAsia" w:cs="Times New Roman"/>
                      <w:color w:val="0000FF"/>
                      <w:szCs w:val="21"/>
                      <w:lang w:val="en-US" w:eastAsia="zh-CN"/>
                    </w:rPr>
                    <w:t>51</w:t>
                  </w:r>
                </w:p>
              </w:tc>
              <w:tc>
                <w:tcPr>
                  <w:tcW w:w="548" w:type="pct"/>
                  <w:shd w:val="clear" w:color="auto" w:fill="auto"/>
                  <w:noWrap w:val="0"/>
                  <w:tcMar>
                    <w:top w:w="0" w:type="dxa"/>
                    <w:left w:w="0" w:type="dxa"/>
                    <w:bottom w:w="0" w:type="dxa"/>
                    <w:right w:w="0" w:type="dxa"/>
                  </w:tcMar>
                  <w:vAlign w:val="center"/>
                </w:tcPr>
                <w:p w14:paraId="467494C9">
                  <w:pPr>
                    <w:keepNext w:val="0"/>
                    <w:keepLines w:val="0"/>
                    <w:suppressLineNumbers w:val="0"/>
                    <w:spacing w:before="0" w:beforeAutospacing="0" w:after="0" w:afterAutospacing="0"/>
                    <w:ind w:left="0" w:leftChars="0" w:right="0" w:rightChars="0"/>
                    <w:contextualSpacing/>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color w:val="0000FF"/>
                      <w:szCs w:val="21"/>
                      <w:lang w:val="en-US" w:eastAsia="zh-CN"/>
                    </w:rPr>
                    <w:t>0.0389</w:t>
                  </w:r>
                </w:p>
              </w:tc>
              <w:tc>
                <w:tcPr>
                  <w:tcW w:w="430" w:type="pct"/>
                  <w:noWrap w:val="0"/>
                  <w:tcMar>
                    <w:top w:w="0" w:type="dxa"/>
                    <w:left w:w="0" w:type="dxa"/>
                    <w:bottom w:w="0" w:type="dxa"/>
                    <w:right w:w="0" w:type="dxa"/>
                  </w:tcMar>
                  <w:vAlign w:val="center"/>
                </w:tcPr>
                <w:p w14:paraId="34EF6952">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32E0A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shd w:val="clear" w:color="auto" w:fill="auto"/>
                  <w:noWrap w:val="0"/>
                  <w:tcMar>
                    <w:top w:w="0" w:type="dxa"/>
                    <w:left w:w="0" w:type="dxa"/>
                    <w:bottom w:w="0" w:type="dxa"/>
                    <w:right w:w="0" w:type="dxa"/>
                  </w:tcMar>
                  <w:vAlign w:val="center"/>
                </w:tcPr>
                <w:p w14:paraId="2AEAC8A1">
                  <w:pPr>
                    <w:jc w:val="center"/>
                    <w:rPr>
                      <w:rFonts w:hint="eastAsia"/>
                      <w:color w:val="auto"/>
                      <w:sz w:val="21"/>
                      <w:szCs w:val="21"/>
                      <w:lang w:val="en-US" w:eastAsia="zh-CN"/>
                    </w:rPr>
                  </w:pPr>
                </w:p>
              </w:tc>
              <w:tc>
                <w:tcPr>
                  <w:tcW w:w="297" w:type="pct"/>
                  <w:vMerge w:val="continue"/>
                  <w:shd w:val="clear" w:color="auto" w:fill="auto"/>
                  <w:noWrap w:val="0"/>
                  <w:tcMar>
                    <w:top w:w="0" w:type="dxa"/>
                    <w:left w:w="0" w:type="dxa"/>
                    <w:bottom w:w="0" w:type="dxa"/>
                    <w:right w:w="0" w:type="dxa"/>
                  </w:tcMar>
                  <w:vAlign w:val="center"/>
                </w:tcPr>
                <w:p w14:paraId="502BDBF2">
                  <w:pPr>
                    <w:pStyle w:val="49"/>
                    <w:ind w:firstLine="0" w:firstLineChars="0"/>
                    <w:jc w:val="center"/>
                    <w:rPr>
                      <w:rFonts w:hint="eastAsia" w:ascii="Times New Roman" w:hAnsi="Times New Roman" w:eastAsia="宋体"/>
                      <w:b w:val="0"/>
                      <w:bCs/>
                      <w:snapToGrid w:val="0"/>
                      <w:color w:val="auto"/>
                      <w:kern w:val="21"/>
                      <w:sz w:val="21"/>
                      <w:szCs w:val="21"/>
                      <w:lang w:val="en-US" w:eastAsia="zh-CN"/>
                    </w:rPr>
                  </w:pPr>
                </w:p>
              </w:tc>
              <w:tc>
                <w:tcPr>
                  <w:tcW w:w="421" w:type="pct"/>
                  <w:shd w:val="clear" w:color="auto" w:fill="auto"/>
                  <w:noWrap w:val="0"/>
                  <w:tcMar>
                    <w:top w:w="0" w:type="dxa"/>
                    <w:left w:w="0" w:type="dxa"/>
                    <w:bottom w:w="0" w:type="dxa"/>
                    <w:right w:w="0" w:type="dxa"/>
                  </w:tcMar>
                  <w:vAlign w:val="center"/>
                </w:tcPr>
                <w:p w14:paraId="7AD8F861">
                  <w:pPr>
                    <w:pStyle w:val="49"/>
                    <w:ind w:firstLine="0" w:firstLineChars="0"/>
                    <w:jc w:val="center"/>
                    <w:rPr>
                      <w:rFonts w:hint="default" w:ascii="Times New Roman" w:hAnsi="Times New Roman" w:eastAsia="宋体"/>
                      <w:b w:val="0"/>
                      <w:bCs/>
                      <w:snapToGrid w:val="0"/>
                      <w:color w:val="auto"/>
                      <w:kern w:val="21"/>
                      <w:sz w:val="21"/>
                      <w:szCs w:val="21"/>
                      <w:lang w:val="en-US" w:eastAsia="zh-CN"/>
                    </w:rPr>
                  </w:pPr>
                  <w:r>
                    <w:rPr>
                      <w:rFonts w:hint="eastAsia" w:ascii="Times New Roman" w:hAnsi="Times New Roman" w:eastAsia="宋体"/>
                      <w:b w:val="0"/>
                      <w:bCs/>
                      <w:snapToGrid w:val="0"/>
                      <w:color w:val="auto"/>
                      <w:kern w:val="21"/>
                      <w:sz w:val="21"/>
                      <w:szCs w:val="21"/>
                      <w:lang w:val="en-US" w:eastAsia="zh-CN"/>
                    </w:rPr>
                    <w:t>无组织</w:t>
                  </w:r>
                </w:p>
              </w:tc>
              <w:tc>
                <w:tcPr>
                  <w:tcW w:w="412" w:type="pct"/>
                  <w:shd w:val="clear" w:color="auto" w:fill="auto"/>
                  <w:noWrap w:val="0"/>
                  <w:tcMar>
                    <w:top w:w="0" w:type="dxa"/>
                    <w:left w:w="0" w:type="dxa"/>
                    <w:bottom w:w="0" w:type="dxa"/>
                    <w:right w:w="0" w:type="dxa"/>
                  </w:tcMar>
                  <w:vAlign w:val="center"/>
                </w:tcPr>
                <w:p w14:paraId="5775B91F">
                  <w:pPr>
                    <w:pStyle w:val="49"/>
                    <w:ind w:firstLine="0" w:firstLineChars="0"/>
                    <w:jc w:val="center"/>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rPr>
                    <w:t>0.064</w:t>
                  </w:r>
                </w:p>
              </w:tc>
              <w:tc>
                <w:tcPr>
                  <w:tcW w:w="397" w:type="pct"/>
                  <w:shd w:val="clear" w:color="auto" w:fill="auto"/>
                  <w:noWrap w:val="0"/>
                  <w:tcMar>
                    <w:top w:w="0" w:type="dxa"/>
                    <w:left w:w="0" w:type="dxa"/>
                    <w:bottom w:w="0" w:type="dxa"/>
                    <w:right w:w="0" w:type="dxa"/>
                  </w:tcMar>
                  <w:vAlign w:val="center"/>
                </w:tcPr>
                <w:p w14:paraId="413658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olor w:val="0000FF"/>
                      <w:szCs w:val="21"/>
                      <w:lang w:val="en-US" w:eastAsia="zh-CN"/>
                    </w:rPr>
                    <w:t>0.0432</w:t>
                  </w:r>
                </w:p>
              </w:tc>
              <w:tc>
                <w:tcPr>
                  <w:tcW w:w="392" w:type="pct"/>
                  <w:shd w:val="clear" w:color="auto" w:fill="auto"/>
                  <w:noWrap w:val="0"/>
                  <w:tcMar>
                    <w:top w:w="0" w:type="dxa"/>
                    <w:left w:w="0" w:type="dxa"/>
                    <w:bottom w:w="0" w:type="dxa"/>
                    <w:right w:w="0" w:type="dxa"/>
                  </w:tcMar>
                  <w:vAlign w:val="center"/>
                </w:tcPr>
                <w:p w14:paraId="702593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385" w:type="pct"/>
                  <w:shd w:val="clear" w:color="auto" w:fill="auto"/>
                  <w:noWrap w:val="0"/>
                  <w:tcMar>
                    <w:top w:w="0" w:type="dxa"/>
                    <w:left w:w="0" w:type="dxa"/>
                    <w:bottom w:w="0" w:type="dxa"/>
                    <w:right w:w="0" w:type="dxa"/>
                  </w:tcMar>
                  <w:vAlign w:val="center"/>
                </w:tcPr>
                <w:p w14:paraId="3B1CD6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olor w:val="0000FF"/>
                      <w:szCs w:val="21"/>
                      <w:lang w:val="en-US" w:eastAsia="zh-CN"/>
                    </w:rPr>
                    <w:t>0.0432</w:t>
                  </w:r>
                </w:p>
              </w:tc>
              <w:tc>
                <w:tcPr>
                  <w:tcW w:w="614" w:type="pct"/>
                  <w:shd w:val="clear" w:color="auto" w:fill="auto"/>
                  <w:noWrap w:val="0"/>
                  <w:tcMar>
                    <w:top w:w="0" w:type="dxa"/>
                    <w:left w:w="0" w:type="dxa"/>
                    <w:bottom w:w="0" w:type="dxa"/>
                    <w:right w:w="0" w:type="dxa"/>
                  </w:tcMar>
                  <w:vAlign w:val="center"/>
                </w:tcPr>
                <w:p w14:paraId="1DE1A138">
                  <w:pPr>
                    <w:pStyle w:val="49"/>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olor w:val="auto"/>
                    </w:rPr>
                    <w:t>0.064</w:t>
                  </w:r>
                </w:p>
              </w:tc>
              <w:tc>
                <w:tcPr>
                  <w:tcW w:w="437" w:type="pct"/>
                  <w:shd w:val="clear" w:color="auto" w:fill="auto"/>
                  <w:noWrap w:val="0"/>
                  <w:tcMar>
                    <w:top w:w="0" w:type="dxa"/>
                    <w:left w:w="0" w:type="dxa"/>
                    <w:bottom w:w="0" w:type="dxa"/>
                    <w:right w:w="0" w:type="dxa"/>
                  </w:tcMar>
                  <w:vAlign w:val="center"/>
                </w:tcPr>
                <w:p w14:paraId="32AEDDF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olor w:val="0000FF"/>
                      <w:szCs w:val="21"/>
                      <w:lang w:val="en-US" w:eastAsia="zh-CN"/>
                    </w:rPr>
                    <w:t>0.0432</w:t>
                  </w:r>
                </w:p>
              </w:tc>
              <w:tc>
                <w:tcPr>
                  <w:tcW w:w="405" w:type="pct"/>
                  <w:shd w:val="clear" w:color="auto" w:fill="auto"/>
                  <w:noWrap w:val="0"/>
                  <w:tcMar>
                    <w:top w:w="0" w:type="dxa"/>
                    <w:left w:w="0" w:type="dxa"/>
                    <w:bottom w:w="0" w:type="dxa"/>
                    <w:right w:w="0" w:type="dxa"/>
                  </w:tcMar>
                  <w:vAlign w:val="center"/>
                </w:tcPr>
                <w:p w14:paraId="544F8FF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Cs w:val="21"/>
                      <w:lang w:val="en-US" w:eastAsia="zh-CN"/>
                    </w:rPr>
                    <w:t>-0.020</w:t>
                  </w:r>
                  <w:r>
                    <w:rPr>
                      <w:rFonts w:hint="eastAsia" w:cs="Times New Roman"/>
                      <w:color w:val="0000FF"/>
                      <w:szCs w:val="21"/>
                      <w:lang w:val="en-US" w:eastAsia="zh-CN"/>
                    </w:rPr>
                    <w:t>8</w:t>
                  </w:r>
                </w:p>
              </w:tc>
              <w:tc>
                <w:tcPr>
                  <w:tcW w:w="548" w:type="pct"/>
                  <w:shd w:val="clear" w:color="auto" w:fill="auto"/>
                  <w:noWrap w:val="0"/>
                  <w:tcMar>
                    <w:top w:w="0" w:type="dxa"/>
                    <w:left w:w="0" w:type="dxa"/>
                    <w:bottom w:w="0" w:type="dxa"/>
                    <w:right w:w="0" w:type="dxa"/>
                  </w:tcMar>
                  <w:vAlign w:val="center"/>
                </w:tcPr>
                <w:p w14:paraId="6082072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olor w:val="0000FF"/>
                      <w:szCs w:val="21"/>
                      <w:lang w:val="en-US" w:eastAsia="zh-CN"/>
                    </w:rPr>
                    <w:t>0.0432</w:t>
                  </w:r>
                </w:p>
              </w:tc>
              <w:tc>
                <w:tcPr>
                  <w:tcW w:w="430" w:type="pct"/>
                  <w:noWrap w:val="0"/>
                  <w:tcMar>
                    <w:top w:w="0" w:type="dxa"/>
                    <w:left w:w="0" w:type="dxa"/>
                    <w:bottom w:w="0" w:type="dxa"/>
                    <w:right w:w="0" w:type="dxa"/>
                  </w:tcMar>
                  <w:vAlign w:val="center"/>
                </w:tcPr>
                <w:p w14:paraId="537CF4F5">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15A43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shd w:val="clear" w:color="auto" w:fill="auto"/>
                  <w:noWrap w:val="0"/>
                  <w:tcMar>
                    <w:top w:w="0" w:type="dxa"/>
                    <w:left w:w="0" w:type="dxa"/>
                    <w:bottom w:w="0" w:type="dxa"/>
                    <w:right w:w="0" w:type="dxa"/>
                  </w:tcMar>
                  <w:vAlign w:val="center"/>
                </w:tcPr>
                <w:p w14:paraId="7E0784B4">
                  <w:pPr>
                    <w:jc w:val="center"/>
                    <w:rPr>
                      <w:rFonts w:hint="eastAsia"/>
                      <w:color w:val="auto"/>
                      <w:sz w:val="21"/>
                      <w:szCs w:val="21"/>
                      <w:lang w:val="en-US" w:eastAsia="zh-CN"/>
                    </w:rPr>
                  </w:pPr>
                </w:p>
              </w:tc>
              <w:tc>
                <w:tcPr>
                  <w:tcW w:w="297" w:type="pct"/>
                  <w:vMerge w:val="restart"/>
                  <w:shd w:val="clear" w:color="auto" w:fill="auto"/>
                  <w:noWrap w:val="0"/>
                  <w:tcMar>
                    <w:top w:w="0" w:type="dxa"/>
                    <w:left w:w="0" w:type="dxa"/>
                    <w:bottom w:w="0" w:type="dxa"/>
                    <w:right w:w="0" w:type="dxa"/>
                  </w:tcMar>
                  <w:vAlign w:val="center"/>
                </w:tcPr>
                <w:p w14:paraId="44EA9924">
                  <w:pPr>
                    <w:pStyle w:val="49"/>
                    <w:ind w:firstLine="0" w:firstLineChars="0"/>
                    <w:jc w:val="center"/>
                    <w:rPr>
                      <w:rFonts w:hint="default" w:ascii="Times New Roman" w:hAnsi="Times New Roman" w:eastAsia="宋体"/>
                      <w:b w:val="0"/>
                      <w:bCs/>
                      <w:snapToGrid w:val="0"/>
                      <w:color w:val="auto"/>
                      <w:kern w:val="21"/>
                      <w:sz w:val="21"/>
                      <w:szCs w:val="21"/>
                      <w:lang w:val="en-US" w:eastAsia="zh-CN"/>
                    </w:rPr>
                  </w:pPr>
                  <w:r>
                    <w:rPr>
                      <w:rFonts w:hint="eastAsia" w:ascii="Times New Roman" w:hAnsi="Times New Roman" w:eastAsia="宋体"/>
                      <w:b w:val="0"/>
                      <w:bCs/>
                      <w:snapToGrid w:val="0"/>
                      <w:color w:val="auto"/>
                      <w:kern w:val="21"/>
                      <w:sz w:val="21"/>
                      <w:szCs w:val="21"/>
                      <w:lang w:val="en-US" w:eastAsia="zh-CN"/>
                    </w:rPr>
                    <w:t>颗粒物</w:t>
                  </w:r>
                </w:p>
              </w:tc>
              <w:tc>
                <w:tcPr>
                  <w:tcW w:w="421" w:type="pct"/>
                  <w:shd w:val="clear" w:color="auto" w:fill="auto"/>
                  <w:noWrap w:val="0"/>
                  <w:tcMar>
                    <w:top w:w="0" w:type="dxa"/>
                    <w:left w:w="0" w:type="dxa"/>
                    <w:bottom w:w="0" w:type="dxa"/>
                    <w:right w:w="0" w:type="dxa"/>
                  </w:tcMar>
                  <w:vAlign w:val="center"/>
                </w:tcPr>
                <w:p w14:paraId="20771B74">
                  <w:pPr>
                    <w:pStyle w:val="49"/>
                    <w:ind w:firstLine="0" w:firstLineChars="0"/>
                    <w:jc w:val="center"/>
                    <w:rPr>
                      <w:rFonts w:hint="eastAsia" w:ascii="Times New Roman" w:hAnsi="Times New Roman" w:eastAsia="宋体" w:cs="Times New Roman"/>
                      <w:b w:val="0"/>
                      <w:bCs/>
                      <w:snapToGrid w:val="0"/>
                      <w:color w:val="auto"/>
                      <w:kern w:val="21"/>
                      <w:sz w:val="21"/>
                      <w:szCs w:val="21"/>
                      <w:lang w:val="en-US" w:eastAsia="zh-CN" w:bidi="ar-SA"/>
                    </w:rPr>
                  </w:pPr>
                  <w:r>
                    <w:rPr>
                      <w:rFonts w:hint="eastAsia" w:ascii="Times New Roman" w:hAnsi="Times New Roman" w:eastAsia="宋体"/>
                      <w:b w:val="0"/>
                      <w:bCs/>
                      <w:snapToGrid w:val="0"/>
                      <w:color w:val="auto"/>
                      <w:kern w:val="21"/>
                      <w:sz w:val="21"/>
                      <w:szCs w:val="21"/>
                      <w:lang w:val="en-US" w:eastAsia="zh-CN"/>
                    </w:rPr>
                    <w:t>有组织</w:t>
                  </w:r>
                </w:p>
              </w:tc>
              <w:tc>
                <w:tcPr>
                  <w:tcW w:w="412" w:type="pct"/>
                  <w:shd w:val="clear" w:color="auto" w:fill="auto"/>
                  <w:noWrap w:val="0"/>
                  <w:tcMar>
                    <w:top w:w="0" w:type="dxa"/>
                    <w:left w:w="0" w:type="dxa"/>
                    <w:bottom w:w="0" w:type="dxa"/>
                    <w:right w:w="0" w:type="dxa"/>
                  </w:tcMar>
                  <w:vAlign w:val="center"/>
                </w:tcPr>
                <w:p w14:paraId="77455661">
                  <w:pPr>
                    <w:pStyle w:val="49"/>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0.0619</w:t>
                  </w:r>
                </w:p>
              </w:tc>
              <w:tc>
                <w:tcPr>
                  <w:tcW w:w="397" w:type="pct"/>
                  <w:shd w:val="clear" w:color="auto" w:fill="auto"/>
                  <w:noWrap w:val="0"/>
                  <w:tcMar>
                    <w:top w:w="0" w:type="dxa"/>
                    <w:left w:w="0" w:type="dxa"/>
                    <w:bottom w:w="0" w:type="dxa"/>
                    <w:right w:w="0" w:type="dxa"/>
                  </w:tcMar>
                  <w:vAlign w:val="center"/>
                </w:tcPr>
                <w:p w14:paraId="6A774254">
                  <w:pPr>
                    <w:pStyle w:val="49"/>
                    <w:ind w:firstLine="0" w:firstLineChars="0"/>
                    <w:jc w:val="center"/>
                    <w:rPr>
                      <w:rFonts w:hint="default" w:ascii="Times New Roman" w:hAnsi="Times New Roman" w:eastAsia="宋体" w:cs="Times New Roman"/>
                      <w:color w:val="0000FF"/>
                      <w:lang w:val="en-US" w:eastAsia="zh-CN"/>
                    </w:rPr>
                  </w:pPr>
                  <w:r>
                    <w:rPr>
                      <w:rFonts w:hint="eastAsia" w:cs="Times New Roman"/>
                      <w:color w:val="0000FF"/>
                      <w:lang w:val="en-US" w:eastAsia="zh-CN"/>
                    </w:rPr>
                    <w:t>0.1748</w:t>
                  </w:r>
                </w:p>
              </w:tc>
              <w:tc>
                <w:tcPr>
                  <w:tcW w:w="392" w:type="pct"/>
                  <w:shd w:val="clear" w:color="auto" w:fill="auto"/>
                  <w:noWrap w:val="0"/>
                  <w:tcMar>
                    <w:top w:w="0" w:type="dxa"/>
                    <w:left w:w="0" w:type="dxa"/>
                    <w:bottom w:w="0" w:type="dxa"/>
                    <w:right w:w="0" w:type="dxa"/>
                  </w:tcMar>
                  <w:vAlign w:val="center"/>
                </w:tcPr>
                <w:p w14:paraId="03242F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0.1661</w:t>
                  </w:r>
                </w:p>
              </w:tc>
              <w:tc>
                <w:tcPr>
                  <w:tcW w:w="385" w:type="pct"/>
                  <w:shd w:val="clear" w:color="auto" w:fill="auto"/>
                  <w:noWrap w:val="0"/>
                  <w:tcMar>
                    <w:top w:w="0" w:type="dxa"/>
                    <w:left w:w="0" w:type="dxa"/>
                    <w:bottom w:w="0" w:type="dxa"/>
                    <w:right w:w="0" w:type="dxa"/>
                  </w:tcMar>
                  <w:vAlign w:val="center"/>
                </w:tcPr>
                <w:p w14:paraId="5827E0AB">
                  <w:pPr>
                    <w:pStyle w:val="49"/>
                    <w:ind w:firstLine="0" w:firstLineChars="0"/>
                    <w:jc w:val="center"/>
                    <w:rPr>
                      <w:rFonts w:hint="default" w:ascii="Times New Roman" w:hAnsi="Times New Roman" w:eastAsia="宋体" w:cs="Times New Roman"/>
                      <w:color w:val="0000FF"/>
                      <w:kern w:val="2"/>
                      <w:sz w:val="21"/>
                      <w:szCs w:val="22"/>
                      <w:lang w:val="en-US" w:eastAsia="zh-CN" w:bidi="ar-SA"/>
                    </w:rPr>
                  </w:pPr>
                  <w:r>
                    <w:rPr>
                      <w:rFonts w:hint="eastAsia" w:cs="Times New Roman"/>
                      <w:color w:val="0000FF"/>
                      <w:kern w:val="2"/>
                      <w:sz w:val="21"/>
                      <w:szCs w:val="22"/>
                      <w:lang w:val="en-US" w:eastAsia="zh-CN" w:bidi="ar-SA"/>
                    </w:rPr>
                    <w:t>0.0087</w:t>
                  </w:r>
                </w:p>
              </w:tc>
              <w:tc>
                <w:tcPr>
                  <w:tcW w:w="614" w:type="pct"/>
                  <w:shd w:val="clear" w:color="auto" w:fill="auto"/>
                  <w:noWrap w:val="0"/>
                  <w:tcMar>
                    <w:top w:w="0" w:type="dxa"/>
                    <w:left w:w="0" w:type="dxa"/>
                    <w:bottom w:w="0" w:type="dxa"/>
                    <w:right w:w="0" w:type="dxa"/>
                  </w:tcMar>
                  <w:vAlign w:val="center"/>
                </w:tcPr>
                <w:p w14:paraId="618EE5F0">
                  <w:pPr>
                    <w:pStyle w:val="49"/>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0.0619</w:t>
                  </w:r>
                </w:p>
              </w:tc>
              <w:tc>
                <w:tcPr>
                  <w:tcW w:w="437" w:type="pct"/>
                  <w:shd w:val="clear" w:color="auto" w:fill="auto"/>
                  <w:noWrap w:val="0"/>
                  <w:tcMar>
                    <w:top w:w="0" w:type="dxa"/>
                    <w:left w:w="0" w:type="dxa"/>
                    <w:bottom w:w="0" w:type="dxa"/>
                    <w:right w:w="0" w:type="dxa"/>
                  </w:tcMar>
                  <w:vAlign w:val="center"/>
                </w:tcPr>
                <w:p w14:paraId="4623B74E">
                  <w:pPr>
                    <w:pStyle w:val="49"/>
                    <w:ind w:firstLine="0" w:firstLineChars="0"/>
                    <w:jc w:val="center"/>
                    <w:rPr>
                      <w:rFonts w:hint="eastAsia" w:ascii="Times New Roman" w:hAnsi="Times New Roman" w:eastAsia="宋体" w:cs="Times New Roman"/>
                      <w:color w:val="0000FF"/>
                      <w:kern w:val="2"/>
                      <w:sz w:val="21"/>
                      <w:szCs w:val="22"/>
                      <w:lang w:val="en-US" w:eastAsia="zh-CN" w:bidi="ar-SA"/>
                    </w:rPr>
                  </w:pPr>
                  <w:r>
                    <w:rPr>
                      <w:rFonts w:hint="eastAsia" w:cs="Times New Roman"/>
                      <w:color w:val="0000FF"/>
                      <w:kern w:val="2"/>
                      <w:sz w:val="21"/>
                      <w:szCs w:val="22"/>
                      <w:lang w:val="en-US" w:eastAsia="zh-CN" w:bidi="ar-SA"/>
                    </w:rPr>
                    <w:t>0.0087</w:t>
                  </w:r>
                </w:p>
              </w:tc>
              <w:tc>
                <w:tcPr>
                  <w:tcW w:w="405" w:type="pct"/>
                  <w:shd w:val="clear" w:color="auto" w:fill="auto"/>
                  <w:noWrap w:val="0"/>
                  <w:tcMar>
                    <w:top w:w="0" w:type="dxa"/>
                    <w:left w:w="0" w:type="dxa"/>
                    <w:bottom w:w="0" w:type="dxa"/>
                    <w:right w:w="0" w:type="dxa"/>
                  </w:tcMar>
                  <w:vAlign w:val="center"/>
                </w:tcPr>
                <w:p w14:paraId="6A8C99D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-0.053</w:t>
                  </w:r>
                  <w:r>
                    <w:rPr>
                      <w:rFonts w:hint="eastAsia" w:cs="Times New Roman"/>
                      <w:i w:val="0"/>
                      <w:iCs w:val="0"/>
                      <w:color w:val="0000FF"/>
                      <w:kern w:val="0"/>
                      <w:sz w:val="21"/>
                      <w:szCs w:val="21"/>
                      <w:u w:val="none"/>
                      <w:lang w:val="en-US" w:eastAsia="zh-CN" w:bidi="ar"/>
                    </w:rPr>
                    <w:t>2</w:t>
                  </w:r>
                </w:p>
              </w:tc>
              <w:tc>
                <w:tcPr>
                  <w:tcW w:w="548" w:type="pct"/>
                  <w:shd w:val="clear" w:color="auto" w:fill="auto"/>
                  <w:noWrap w:val="0"/>
                  <w:tcMar>
                    <w:top w:w="0" w:type="dxa"/>
                    <w:left w:w="0" w:type="dxa"/>
                    <w:bottom w:w="0" w:type="dxa"/>
                    <w:right w:w="0" w:type="dxa"/>
                  </w:tcMar>
                  <w:vAlign w:val="center"/>
                </w:tcPr>
                <w:p w14:paraId="410656AE">
                  <w:pPr>
                    <w:pStyle w:val="49"/>
                    <w:ind w:firstLine="0" w:firstLineChars="0"/>
                    <w:jc w:val="center"/>
                    <w:rPr>
                      <w:rFonts w:hint="eastAsia" w:ascii="Times New Roman" w:hAnsi="Times New Roman" w:eastAsia="宋体" w:cs="Times New Roman"/>
                      <w:color w:val="0000FF"/>
                      <w:kern w:val="2"/>
                      <w:sz w:val="21"/>
                      <w:szCs w:val="22"/>
                      <w:lang w:val="en-US" w:eastAsia="zh-CN" w:bidi="ar-SA"/>
                    </w:rPr>
                  </w:pPr>
                  <w:r>
                    <w:rPr>
                      <w:rFonts w:hint="eastAsia" w:cs="Times New Roman"/>
                      <w:color w:val="0000FF"/>
                      <w:kern w:val="2"/>
                      <w:sz w:val="21"/>
                      <w:szCs w:val="22"/>
                      <w:lang w:val="en-US" w:eastAsia="zh-CN" w:bidi="ar-SA"/>
                    </w:rPr>
                    <w:t>0.0087</w:t>
                  </w:r>
                </w:p>
              </w:tc>
              <w:tc>
                <w:tcPr>
                  <w:tcW w:w="430" w:type="pct"/>
                  <w:noWrap w:val="0"/>
                  <w:tcMar>
                    <w:top w:w="0" w:type="dxa"/>
                    <w:left w:w="0" w:type="dxa"/>
                    <w:bottom w:w="0" w:type="dxa"/>
                    <w:right w:w="0" w:type="dxa"/>
                  </w:tcMar>
                  <w:vAlign w:val="center"/>
                </w:tcPr>
                <w:p w14:paraId="371D6859">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15E80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shd w:val="clear" w:color="auto" w:fill="auto"/>
                  <w:noWrap w:val="0"/>
                  <w:tcMar>
                    <w:top w:w="0" w:type="dxa"/>
                    <w:left w:w="0" w:type="dxa"/>
                    <w:bottom w:w="0" w:type="dxa"/>
                    <w:right w:w="0" w:type="dxa"/>
                  </w:tcMar>
                  <w:vAlign w:val="center"/>
                </w:tcPr>
                <w:p w14:paraId="635373FB">
                  <w:pPr>
                    <w:jc w:val="center"/>
                    <w:rPr>
                      <w:rFonts w:hint="eastAsia"/>
                      <w:color w:val="auto"/>
                      <w:sz w:val="21"/>
                      <w:szCs w:val="21"/>
                      <w:lang w:val="en-US" w:eastAsia="zh-CN"/>
                    </w:rPr>
                  </w:pPr>
                </w:p>
              </w:tc>
              <w:tc>
                <w:tcPr>
                  <w:tcW w:w="297" w:type="pct"/>
                  <w:vMerge w:val="continue"/>
                  <w:shd w:val="clear" w:color="auto" w:fill="auto"/>
                  <w:noWrap w:val="0"/>
                  <w:tcMar>
                    <w:top w:w="0" w:type="dxa"/>
                    <w:left w:w="0" w:type="dxa"/>
                    <w:bottom w:w="0" w:type="dxa"/>
                    <w:right w:w="0" w:type="dxa"/>
                  </w:tcMar>
                  <w:vAlign w:val="center"/>
                </w:tcPr>
                <w:p w14:paraId="2C9126B0">
                  <w:pPr>
                    <w:pStyle w:val="49"/>
                    <w:ind w:firstLine="0" w:firstLineChars="0"/>
                    <w:jc w:val="center"/>
                    <w:rPr>
                      <w:rFonts w:hint="eastAsia" w:ascii="Times New Roman" w:hAnsi="Times New Roman" w:eastAsia="宋体"/>
                      <w:b w:val="0"/>
                      <w:bCs/>
                      <w:snapToGrid w:val="0"/>
                      <w:color w:val="auto"/>
                      <w:kern w:val="21"/>
                      <w:sz w:val="21"/>
                      <w:szCs w:val="21"/>
                      <w:lang w:val="en-US" w:eastAsia="zh-CN"/>
                    </w:rPr>
                  </w:pPr>
                </w:p>
              </w:tc>
              <w:tc>
                <w:tcPr>
                  <w:tcW w:w="421" w:type="pct"/>
                  <w:shd w:val="clear" w:color="auto" w:fill="auto"/>
                  <w:noWrap w:val="0"/>
                  <w:tcMar>
                    <w:top w:w="0" w:type="dxa"/>
                    <w:left w:w="0" w:type="dxa"/>
                    <w:bottom w:w="0" w:type="dxa"/>
                    <w:right w:w="0" w:type="dxa"/>
                  </w:tcMar>
                  <w:vAlign w:val="center"/>
                </w:tcPr>
                <w:p w14:paraId="3F5CD05A">
                  <w:pPr>
                    <w:pStyle w:val="49"/>
                    <w:ind w:firstLine="0" w:firstLineChars="0"/>
                    <w:jc w:val="center"/>
                    <w:rPr>
                      <w:rFonts w:hint="eastAsia" w:ascii="Times New Roman" w:hAnsi="Times New Roman" w:eastAsia="宋体" w:cs="Times New Roman"/>
                      <w:b w:val="0"/>
                      <w:bCs/>
                      <w:snapToGrid w:val="0"/>
                      <w:color w:val="auto"/>
                      <w:kern w:val="21"/>
                      <w:sz w:val="21"/>
                      <w:szCs w:val="21"/>
                      <w:lang w:val="en-US" w:eastAsia="zh-CN" w:bidi="ar-SA"/>
                    </w:rPr>
                  </w:pPr>
                  <w:r>
                    <w:rPr>
                      <w:rFonts w:hint="eastAsia" w:ascii="Times New Roman" w:hAnsi="Times New Roman" w:eastAsia="宋体"/>
                      <w:b w:val="0"/>
                      <w:bCs/>
                      <w:snapToGrid w:val="0"/>
                      <w:color w:val="auto"/>
                      <w:kern w:val="21"/>
                      <w:sz w:val="21"/>
                      <w:szCs w:val="21"/>
                      <w:lang w:val="en-US" w:eastAsia="zh-CN"/>
                    </w:rPr>
                    <w:t>无组织</w:t>
                  </w:r>
                </w:p>
              </w:tc>
              <w:tc>
                <w:tcPr>
                  <w:tcW w:w="412" w:type="pct"/>
                  <w:shd w:val="clear" w:color="auto" w:fill="auto"/>
                  <w:noWrap w:val="0"/>
                  <w:tcMar>
                    <w:top w:w="0" w:type="dxa"/>
                    <w:left w:w="0" w:type="dxa"/>
                    <w:bottom w:w="0" w:type="dxa"/>
                    <w:right w:w="0" w:type="dxa"/>
                  </w:tcMar>
                  <w:vAlign w:val="center"/>
                </w:tcPr>
                <w:p w14:paraId="73DC8D8F">
                  <w:pPr>
                    <w:pStyle w:val="49"/>
                    <w:ind w:firstLine="0" w:firstLineChars="0"/>
                    <w:jc w:val="center"/>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rPr>
                    <w:t>0.0966</w:t>
                  </w:r>
                </w:p>
              </w:tc>
              <w:tc>
                <w:tcPr>
                  <w:tcW w:w="397" w:type="pct"/>
                  <w:shd w:val="clear" w:color="auto" w:fill="auto"/>
                  <w:noWrap w:val="0"/>
                  <w:tcMar>
                    <w:top w:w="0" w:type="dxa"/>
                    <w:left w:w="0" w:type="dxa"/>
                    <w:bottom w:w="0" w:type="dxa"/>
                    <w:right w:w="0" w:type="dxa"/>
                  </w:tcMar>
                  <w:vAlign w:val="center"/>
                </w:tcPr>
                <w:p w14:paraId="6998E4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0.0195</w:t>
                  </w:r>
                </w:p>
              </w:tc>
              <w:tc>
                <w:tcPr>
                  <w:tcW w:w="392" w:type="pct"/>
                  <w:shd w:val="clear" w:color="auto" w:fill="auto"/>
                  <w:noWrap w:val="0"/>
                  <w:tcMar>
                    <w:top w:w="0" w:type="dxa"/>
                    <w:left w:w="0" w:type="dxa"/>
                    <w:bottom w:w="0" w:type="dxa"/>
                    <w:right w:w="0" w:type="dxa"/>
                  </w:tcMar>
                  <w:vAlign w:val="center"/>
                </w:tcPr>
                <w:p w14:paraId="125F96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385" w:type="pct"/>
                  <w:shd w:val="clear" w:color="auto" w:fill="auto"/>
                  <w:noWrap w:val="0"/>
                  <w:tcMar>
                    <w:top w:w="0" w:type="dxa"/>
                    <w:left w:w="0" w:type="dxa"/>
                    <w:bottom w:w="0" w:type="dxa"/>
                    <w:right w:w="0" w:type="dxa"/>
                  </w:tcMar>
                  <w:vAlign w:val="center"/>
                </w:tcPr>
                <w:p w14:paraId="28A5E8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0.0194</w:t>
                  </w:r>
                </w:p>
              </w:tc>
              <w:tc>
                <w:tcPr>
                  <w:tcW w:w="614" w:type="pct"/>
                  <w:shd w:val="clear" w:color="auto" w:fill="auto"/>
                  <w:noWrap w:val="0"/>
                  <w:tcMar>
                    <w:top w:w="0" w:type="dxa"/>
                    <w:left w:w="0" w:type="dxa"/>
                    <w:bottom w:w="0" w:type="dxa"/>
                    <w:right w:w="0" w:type="dxa"/>
                  </w:tcMar>
                  <w:vAlign w:val="center"/>
                </w:tcPr>
                <w:p w14:paraId="108E842E">
                  <w:pPr>
                    <w:pStyle w:val="49"/>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olor w:val="auto"/>
                    </w:rPr>
                    <w:t>0.0966</w:t>
                  </w:r>
                </w:p>
              </w:tc>
              <w:tc>
                <w:tcPr>
                  <w:tcW w:w="437" w:type="pct"/>
                  <w:shd w:val="clear" w:color="auto" w:fill="auto"/>
                  <w:noWrap w:val="0"/>
                  <w:tcMar>
                    <w:top w:w="0" w:type="dxa"/>
                    <w:left w:w="0" w:type="dxa"/>
                    <w:bottom w:w="0" w:type="dxa"/>
                    <w:right w:w="0" w:type="dxa"/>
                  </w:tcMar>
                  <w:vAlign w:val="center"/>
                </w:tcPr>
                <w:p w14:paraId="117DB88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0.0194</w:t>
                  </w:r>
                </w:p>
              </w:tc>
              <w:tc>
                <w:tcPr>
                  <w:tcW w:w="405" w:type="pct"/>
                  <w:shd w:val="clear" w:color="auto" w:fill="auto"/>
                  <w:noWrap w:val="0"/>
                  <w:tcMar>
                    <w:top w:w="0" w:type="dxa"/>
                    <w:left w:w="0" w:type="dxa"/>
                    <w:bottom w:w="0" w:type="dxa"/>
                    <w:right w:w="0" w:type="dxa"/>
                  </w:tcMar>
                  <w:vAlign w:val="center"/>
                </w:tcPr>
                <w:p w14:paraId="4FC9400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-0.07</w:t>
                  </w:r>
                  <w:r>
                    <w:rPr>
                      <w:rFonts w:hint="eastAsia" w:cs="Times New Roman"/>
                      <w:i w:val="0"/>
                      <w:iCs w:val="0"/>
                      <w:color w:val="0000FF"/>
                      <w:kern w:val="0"/>
                      <w:sz w:val="21"/>
                      <w:szCs w:val="21"/>
                      <w:u w:val="none"/>
                      <w:lang w:val="en-US" w:eastAsia="zh-CN" w:bidi="ar"/>
                    </w:rPr>
                    <w:t>72</w:t>
                  </w:r>
                </w:p>
              </w:tc>
              <w:tc>
                <w:tcPr>
                  <w:tcW w:w="548" w:type="pct"/>
                  <w:shd w:val="clear" w:color="auto" w:fill="auto"/>
                  <w:noWrap w:val="0"/>
                  <w:tcMar>
                    <w:top w:w="0" w:type="dxa"/>
                    <w:left w:w="0" w:type="dxa"/>
                    <w:bottom w:w="0" w:type="dxa"/>
                    <w:right w:w="0" w:type="dxa"/>
                  </w:tcMar>
                  <w:vAlign w:val="center"/>
                </w:tcPr>
                <w:p w14:paraId="6C4C981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0.0194</w:t>
                  </w:r>
                </w:p>
              </w:tc>
              <w:tc>
                <w:tcPr>
                  <w:tcW w:w="430" w:type="pct"/>
                  <w:noWrap w:val="0"/>
                  <w:tcMar>
                    <w:top w:w="0" w:type="dxa"/>
                    <w:left w:w="0" w:type="dxa"/>
                    <w:bottom w:w="0" w:type="dxa"/>
                    <w:right w:w="0" w:type="dxa"/>
                  </w:tcMar>
                  <w:vAlign w:val="center"/>
                </w:tcPr>
                <w:p w14:paraId="4C7A9450">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154E1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noWrap w:val="0"/>
                  <w:tcMar>
                    <w:top w:w="0" w:type="dxa"/>
                    <w:left w:w="0" w:type="dxa"/>
                    <w:bottom w:w="0" w:type="dxa"/>
                    <w:right w:w="0" w:type="dxa"/>
                  </w:tcMar>
                  <w:vAlign w:val="center"/>
                </w:tcPr>
                <w:p w14:paraId="4B13605F">
                  <w:pPr>
                    <w:jc w:val="center"/>
                    <w:rPr>
                      <w:color w:val="auto"/>
                      <w:sz w:val="21"/>
                      <w:szCs w:val="21"/>
                    </w:rPr>
                  </w:pPr>
                  <w:r>
                    <w:rPr>
                      <w:color w:val="auto"/>
                      <w:sz w:val="21"/>
                      <w:szCs w:val="21"/>
                    </w:rPr>
                    <w:t>废水</w:t>
                  </w:r>
                </w:p>
              </w:tc>
              <w:tc>
                <w:tcPr>
                  <w:tcW w:w="719" w:type="pct"/>
                  <w:gridSpan w:val="2"/>
                  <w:tcBorders>
                    <w:top w:val="single" w:color="auto" w:sz="4" w:space="0"/>
                  </w:tcBorders>
                  <w:noWrap w:val="0"/>
                  <w:tcMar>
                    <w:top w:w="0" w:type="dxa"/>
                    <w:left w:w="0" w:type="dxa"/>
                    <w:bottom w:w="0" w:type="dxa"/>
                    <w:right w:w="0" w:type="dxa"/>
                  </w:tcMar>
                  <w:vAlign w:val="center"/>
                </w:tcPr>
                <w:p w14:paraId="2B78E261">
                  <w:pPr>
                    <w:adjustRightInd w:val="0"/>
                    <w:snapToGrid w:val="0"/>
                    <w:jc w:val="center"/>
                    <w:rPr>
                      <w:color w:val="auto"/>
                      <w:sz w:val="21"/>
                      <w:szCs w:val="21"/>
                    </w:rPr>
                  </w:pPr>
                  <w:r>
                    <w:rPr>
                      <w:color w:val="auto"/>
                      <w:sz w:val="21"/>
                      <w:szCs w:val="21"/>
                    </w:rPr>
                    <w:t>废水量</w:t>
                  </w:r>
                </w:p>
              </w:tc>
              <w:tc>
                <w:tcPr>
                  <w:tcW w:w="412" w:type="pct"/>
                  <w:tcBorders>
                    <w:top w:val="single" w:color="auto" w:sz="4" w:space="0"/>
                  </w:tcBorders>
                  <w:shd w:val="clear" w:color="auto" w:fill="auto"/>
                  <w:noWrap w:val="0"/>
                  <w:tcMar>
                    <w:top w:w="0" w:type="dxa"/>
                    <w:left w:w="0" w:type="dxa"/>
                    <w:bottom w:w="0" w:type="dxa"/>
                    <w:right w:w="0" w:type="dxa"/>
                  </w:tcMar>
                  <w:vAlign w:val="center"/>
                </w:tcPr>
                <w:p w14:paraId="1E89DDE2">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107.52</w:t>
                  </w:r>
                </w:p>
              </w:tc>
              <w:tc>
                <w:tcPr>
                  <w:tcW w:w="397" w:type="pct"/>
                  <w:tcBorders>
                    <w:top w:val="single" w:color="auto" w:sz="4" w:space="0"/>
                  </w:tcBorders>
                  <w:noWrap w:val="0"/>
                  <w:tcMar>
                    <w:top w:w="0" w:type="dxa"/>
                    <w:left w:w="0" w:type="dxa"/>
                    <w:bottom w:w="0" w:type="dxa"/>
                    <w:right w:w="0" w:type="dxa"/>
                  </w:tcMar>
                  <w:vAlign w:val="center"/>
                </w:tcPr>
                <w:p w14:paraId="3CE9A6D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144</w:t>
                  </w:r>
                </w:p>
              </w:tc>
              <w:tc>
                <w:tcPr>
                  <w:tcW w:w="392" w:type="pct"/>
                  <w:tcBorders>
                    <w:top w:val="single" w:color="auto" w:sz="4" w:space="0"/>
                  </w:tcBorders>
                  <w:noWrap w:val="0"/>
                  <w:tcMar>
                    <w:top w:w="0" w:type="dxa"/>
                    <w:left w:w="0" w:type="dxa"/>
                    <w:bottom w:w="0" w:type="dxa"/>
                    <w:right w:w="0" w:type="dxa"/>
                  </w:tcMar>
                  <w:vAlign w:val="center"/>
                </w:tcPr>
                <w:p w14:paraId="5495809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385" w:type="pct"/>
                  <w:tcBorders>
                    <w:top w:val="single" w:color="auto" w:sz="4" w:space="0"/>
                  </w:tcBorders>
                  <w:shd w:val="clear" w:color="auto" w:fill="auto"/>
                  <w:noWrap w:val="0"/>
                  <w:tcMar>
                    <w:top w:w="0" w:type="dxa"/>
                    <w:left w:w="0" w:type="dxa"/>
                    <w:bottom w:w="0" w:type="dxa"/>
                    <w:right w:w="0" w:type="dxa"/>
                  </w:tcMar>
                  <w:vAlign w:val="center"/>
                </w:tcPr>
                <w:p w14:paraId="6E3FAC3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144</w:t>
                  </w:r>
                </w:p>
              </w:tc>
              <w:tc>
                <w:tcPr>
                  <w:tcW w:w="614" w:type="pct"/>
                  <w:tcBorders>
                    <w:top w:val="single" w:color="auto" w:sz="4" w:space="0"/>
                  </w:tcBorders>
                  <w:shd w:val="clear" w:color="auto" w:fill="auto"/>
                  <w:noWrap w:val="0"/>
                  <w:tcMar>
                    <w:top w:w="0" w:type="dxa"/>
                    <w:left w:w="0" w:type="dxa"/>
                    <w:bottom w:w="0" w:type="dxa"/>
                    <w:right w:w="0" w:type="dxa"/>
                  </w:tcMar>
                  <w:vAlign w:val="center"/>
                </w:tcPr>
                <w:p w14:paraId="770C0760">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107.52</w:t>
                  </w:r>
                </w:p>
              </w:tc>
              <w:tc>
                <w:tcPr>
                  <w:tcW w:w="437" w:type="pct"/>
                  <w:tcBorders>
                    <w:top w:val="single" w:color="auto" w:sz="4" w:space="0"/>
                  </w:tcBorders>
                  <w:shd w:val="clear" w:color="auto" w:fill="auto"/>
                  <w:noWrap w:val="0"/>
                  <w:tcMar>
                    <w:top w:w="0" w:type="dxa"/>
                    <w:left w:w="0" w:type="dxa"/>
                    <w:bottom w:w="0" w:type="dxa"/>
                    <w:right w:w="0" w:type="dxa"/>
                  </w:tcMar>
                  <w:vAlign w:val="center"/>
                </w:tcPr>
                <w:p w14:paraId="15FDBE1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144</w:t>
                  </w:r>
                </w:p>
              </w:tc>
              <w:tc>
                <w:tcPr>
                  <w:tcW w:w="405" w:type="pct"/>
                  <w:tcBorders>
                    <w:top w:val="single" w:color="auto" w:sz="4" w:space="0"/>
                  </w:tcBorders>
                  <w:noWrap w:val="0"/>
                  <w:tcMar>
                    <w:top w:w="0" w:type="dxa"/>
                    <w:left w:w="0" w:type="dxa"/>
                    <w:bottom w:w="0" w:type="dxa"/>
                    <w:right w:w="0" w:type="dxa"/>
                  </w:tcMar>
                  <w:vAlign w:val="center"/>
                </w:tcPr>
                <w:p w14:paraId="1AAA265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36.48</w:t>
                  </w:r>
                </w:p>
              </w:tc>
              <w:tc>
                <w:tcPr>
                  <w:tcW w:w="548" w:type="pct"/>
                  <w:tcBorders>
                    <w:top w:val="single" w:color="auto" w:sz="4" w:space="0"/>
                  </w:tcBorders>
                  <w:noWrap w:val="0"/>
                  <w:tcMar>
                    <w:top w:w="0" w:type="dxa"/>
                    <w:left w:w="0" w:type="dxa"/>
                    <w:bottom w:w="0" w:type="dxa"/>
                    <w:right w:w="0" w:type="dxa"/>
                  </w:tcMar>
                  <w:vAlign w:val="center"/>
                </w:tcPr>
                <w:p w14:paraId="3B5AAE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144</w:t>
                  </w:r>
                </w:p>
              </w:tc>
              <w:tc>
                <w:tcPr>
                  <w:tcW w:w="430" w:type="pct"/>
                  <w:tcBorders>
                    <w:top w:val="single" w:color="auto" w:sz="4" w:space="0"/>
                  </w:tcBorders>
                  <w:shd w:val="clear" w:color="auto" w:fill="auto"/>
                  <w:noWrap w:val="0"/>
                  <w:tcMar>
                    <w:top w:w="0" w:type="dxa"/>
                    <w:left w:w="0" w:type="dxa"/>
                    <w:bottom w:w="0" w:type="dxa"/>
                    <w:right w:w="0" w:type="dxa"/>
                  </w:tcMar>
                  <w:vAlign w:val="center"/>
                </w:tcPr>
                <w:p w14:paraId="29BA5AF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+36.48</w:t>
                  </w:r>
                </w:p>
              </w:tc>
            </w:tr>
            <w:tr w14:paraId="2659A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tcMar>
                    <w:top w:w="0" w:type="dxa"/>
                    <w:left w:w="0" w:type="dxa"/>
                    <w:bottom w:w="0" w:type="dxa"/>
                    <w:right w:w="0" w:type="dxa"/>
                  </w:tcMar>
                  <w:vAlign w:val="center"/>
                </w:tcPr>
                <w:p w14:paraId="22941AFC">
                  <w:pPr>
                    <w:jc w:val="center"/>
                    <w:rPr>
                      <w:color w:val="auto"/>
                      <w:sz w:val="21"/>
                      <w:szCs w:val="21"/>
                    </w:rPr>
                  </w:pPr>
                </w:p>
              </w:tc>
              <w:tc>
                <w:tcPr>
                  <w:tcW w:w="719" w:type="pct"/>
                  <w:gridSpan w:val="2"/>
                  <w:noWrap w:val="0"/>
                  <w:tcMar>
                    <w:top w:w="0" w:type="dxa"/>
                    <w:left w:w="0" w:type="dxa"/>
                    <w:bottom w:w="0" w:type="dxa"/>
                    <w:right w:w="0" w:type="dxa"/>
                  </w:tcMar>
                  <w:vAlign w:val="center"/>
                </w:tcPr>
                <w:p w14:paraId="02B38635">
                  <w:pPr>
                    <w:adjustRightInd w:val="0"/>
                    <w:snapToGrid w:val="0"/>
                    <w:jc w:val="center"/>
                    <w:rPr>
                      <w:color w:val="auto"/>
                      <w:sz w:val="21"/>
                      <w:szCs w:val="21"/>
                    </w:rPr>
                  </w:pPr>
                  <w:r>
                    <w:rPr>
                      <w:color w:val="auto"/>
                      <w:sz w:val="21"/>
                      <w:szCs w:val="21"/>
                    </w:rPr>
                    <w:t>COD</w:t>
                  </w:r>
                </w:p>
              </w:tc>
              <w:tc>
                <w:tcPr>
                  <w:tcW w:w="412" w:type="pct"/>
                  <w:shd w:val="clear" w:color="auto" w:fill="auto"/>
                  <w:noWrap w:val="0"/>
                  <w:tcMar>
                    <w:top w:w="0" w:type="dxa"/>
                    <w:left w:w="0" w:type="dxa"/>
                    <w:bottom w:w="0" w:type="dxa"/>
                    <w:right w:w="0" w:type="dxa"/>
                  </w:tcMar>
                  <w:vAlign w:val="center"/>
                </w:tcPr>
                <w:p w14:paraId="6455C5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0.043</w:t>
                  </w:r>
                </w:p>
              </w:tc>
              <w:tc>
                <w:tcPr>
                  <w:tcW w:w="397" w:type="pct"/>
                  <w:noWrap w:val="0"/>
                  <w:tcMar>
                    <w:top w:w="0" w:type="dxa"/>
                    <w:left w:w="0" w:type="dxa"/>
                    <w:bottom w:w="0" w:type="dxa"/>
                    <w:right w:w="0" w:type="dxa"/>
                  </w:tcMar>
                  <w:vAlign w:val="center"/>
                </w:tcPr>
                <w:p w14:paraId="02FB9C6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0.0576</w:t>
                  </w:r>
                </w:p>
              </w:tc>
              <w:tc>
                <w:tcPr>
                  <w:tcW w:w="392" w:type="pct"/>
                  <w:noWrap w:val="0"/>
                  <w:tcMar>
                    <w:top w:w="0" w:type="dxa"/>
                    <w:left w:w="0" w:type="dxa"/>
                    <w:bottom w:w="0" w:type="dxa"/>
                    <w:right w:w="0" w:type="dxa"/>
                  </w:tcMar>
                  <w:vAlign w:val="center"/>
                </w:tcPr>
                <w:p w14:paraId="4FEA14B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385" w:type="pct"/>
                  <w:shd w:val="clear" w:color="auto" w:fill="auto"/>
                  <w:noWrap w:val="0"/>
                  <w:tcMar>
                    <w:top w:w="0" w:type="dxa"/>
                    <w:left w:w="0" w:type="dxa"/>
                    <w:bottom w:w="0" w:type="dxa"/>
                    <w:right w:w="0" w:type="dxa"/>
                  </w:tcMar>
                  <w:vAlign w:val="center"/>
                </w:tcPr>
                <w:p w14:paraId="3B3CE45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0.0576</w:t>
                  </w:r>
                </w:p>
              </w:tc>
              <w:tc>
                <w:tcPr>
                  <w:tcW w:w="614" w:type="pct"/>
                  <w:shd w:val="clear" w:color="auto" w:fill="auto"/>
                  <w:noWrap w:val="0"/>
                  <w:tcMar>
                    <w:top w:w="0" w:type="dxa"/>
                    <w:left w:w="0" w:type="dxa"/>
                    <w:bottom w:w="0" w:type="dxa"/>
                    <w:right w:w="0" w:type="dxa"/>
                  </w:tcMar>
                  <w:vAlign w:val="center"/>
                </w:tcPr>
                <w:p w14:paraId="72C8A69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0.043</w:t>
                  </w:r>
                </w:p>
              </w:tc>
              <w:tc>
                <w:tcPr>
                  <w:tcW w:w="437" w:type="pct"/>
                  <w:shd w:val="clear" w:color="auto" w:fill="auto"/>
                  <w:noWrap w:val="0"/>
                  <w:tcMar>
                    <w:top w:w="0" w:type="dxa"/>
                    <w:left w:w="0" w:type="dxa"/>
                    <w:bottom w:w="0" w:type="dxa"/>
                    <w:right w:w="0" w:type="dxa"/>
                  </w:tcMar>
                  <w:vAlign w:val="center"/>
                </w:tcPr>
                <w:p w14:paraId="0AD439B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0.0576</w:t>
                  </w:r>
                </w:p>
              </w:tc>
              <w:tc>
                <w:tcPr>
                  <w:tcW w:w="405" w:type="pct"/>
                  <w:noWrap w:val="0"/>
                  <w:tcMar>
                    <w:top w:w="0" w:type="dxa"/>
                    <w:left w:w="0" w:type="dxa"/>
                    <w:bottom w:w="0" w:type="dxa"/>
                    <w:right w:w="0" w:type="dxa"/>
                  </w:tcMar>
                  <w:vAlign w:val="center"/>
                </w:tcPr>
                <w:p w14:paraId="78A42E0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0.0146</w:t>
                  </w:r>
                </w:p>
              </w:tc>
              <w:tc>
                <w:tcPr>
                  <w:tcW w:w="548" w:type="pct"/>
                  <w:noWrap w:val="0"/>
                  <w:tcMar>
                    <w:top w:w="0" w:type="dxa"/>
                    <w:left w:w="0" w:type="dxa"/>
                    <w:bottom w:w="0" w:type="dxa"/>
                    <w:right w:w="0" w:type="dxa"/>
                  </w:tcMar>
                  <w:vAlign w:val="center"/>
                </w:tcPr>
                <w:p w14:paraId="5B229DA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0.0072</w:t>
                  </w:r>
                </w:p>
              </w:tc>
              <w:tc>
                <w:tcPr>
                  <w:tcW w:w="430" w:type="pct"/>
                  <w:shd w:val="clear" w:color="auto" w:fill="auto"/>
                  <w:noWrap w:val="0"/>
                  <w:tcMar>
                    <w:top w:w="0" w:type="dxa"/>
                    <w:left w:w="0" w:type="dxa"/>
                    <w:bottom w:w="0" w:type="dxa"/>
                    <w:right w:w="0" w:type="dxa"/>
                  </w:tcMar>
                  <w:vAlign w:val="center"/>
                </w:tcPr>
                <w:p w14:paraId="11C4989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+0.0146</w:t>
                  </w:r>
                </w:p>
              </w:tc>
            </w:tr>
            <w:tr w14:paraId="65B9B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tcMar>
                    <w:top w:w="0" w:type="dxa"/>
                    <w:left w:w="0" w:type="dxa"/>
                    <w:bottom w:w="0" w:type="dxa"/>
                    <w:right w:w="0" w:type="dxa"/>
                  </w:tcMar>
                  <w:vAlign w:val="center"/>
                </w:tcPr>
                <w:p w14:paraId="7D896735">
                  <w:pPr>
                    <w:jc w:val="center"/>
                    <w:rPr>
                      <w:color w:val="auto"/>
                      <w:sz w:val="21"/>
                      <w:szCs w:val="21"/>
                    </w:rPr>
                  </w:pPr>
                </w:p>
              </w:tc>
              <w:tc>
                <w:tcPr>
                  <w:tcW w:w="719" w:type="pct"/>
                  <w:gridSpan w:val="2"/>
                  <w:noWrap w:val="0"/>
                  <w:tcMar>
                    <w:top w:w="0" w:type="dxa"/>
                    <w:left w:w="0" w:type="dxa"/>
                    <w:bottom w:w="0" w:type="dxa"/>
                    <w:right w:w="0" w:type="dxa"/>
                  </w:tcMar>
                  <w:vAlign w:val="center"/>
                </w:tcPr>
                <w:p w14:paraId="0F4F1994">
                  <w:pPr>
                    <w:adjustRightInd w:val="0"/>
                    <w:snapToGrid w:val="0"/>
                    <w:jc w:val="center"/>
                    <w:rPr>
                      <w:color w:val="auto"/>
                      <w:sz w:val="21"/>
                      <w:szCs w:val="21"/>
                    </w:rPr>
                  </w:pPr>
                  <w:r>
                    <w:rPr>
                      <w:color w:val="auto"/>
                      <w:sz w:val="21"/>
                      <w:szCs w:val="21"/>
                    </w:rPr>
                    <w:t>SS</w:t>
                  </w:r>
                </w:p>
              </w:tc>
              <w:tc>
                <w:tcPr>
                  <w:tcW w:w="412" w:type="pct"/>
                  <w:shd w:val="clear" w:color="auto" w:fill="auto"/>
                  <w:noWrap w:val="0"/>
                  <w:tcMar>
                    <w:top w:w="0" w:type="dxa"/>
                    <w:left w:w="0" w:type="dxa"/>
                    <w:bottom w:w="0" w:type="dxa"/>
                    <w:right w:w="0" w:type="dxa"/>
                  </w:tcMar>
                  <w:vAlign w:val="center"/>
                </w:tcPr>
                <w:p w14:paraId="1A8DFF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0.0215</w:t>
                  </w:r>
                </w:p>
              </w:tc>
              <w:tc>
                <w:tcPr>
                  <w:tcW w:w="397" w:type="pct"/>
                  <w:noWrap w:val="0"/>
                  <w:tcMar>
                    <w:top w:w="0" w:type="dxa"/>
                    <w:left w:w="0" w:type="dxa"/>
                    <w:bottom w:w="0" w:type="dxa"/>
                    <w:right w:w="0" w:type="dxa"/>
                  </w:tcMar>
                  <w:vAlign w:val="center"/>
                </w:tcPr>
                <w:p w14:paraId="308F111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0.0288</w:t>
                  </w:r>
                </w:p>
              </w:tc>
              <w:tc>
                <w:tcPr>
                  <w:tcW w:w="392" w:type="pct"/>
                  <w:noWrap w:val="0"/>
                  <w:tcMar>
                    <w:top w:w="0" w:type="dxa"/>
                    <w:left w:w="0" w:type="dxa"/>
                    <w:bottom w:w="0" w:type="dxa"/>
                    <w:right w:w="0" w:type="dxa"/>
                  </w:tcMar>
                  <w:vAlign w:val="center"/>
                </w:tcPr>
                <w:p w14:paraId="284C74C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385" w:type="pct"/>
                  <w:shd w:val="clear" w:color="auto" w:fill="auto"/>
                  <w:noWrap w:val="0"/>
                  <w:tcMar>
                    <w:top w:w="0" w:type="dxa"/>
                    <w:left w:w="0" w:type="dxa"/>
                    <w:bottom w:w="0" w:type="dxa"/>
                    <w:right w:w="0" w:type="dxa"/>
                  </w:tcMar>
                  <w:vAlign w:val="center"/>
                </w:tcPr>
                <w:p w14:paraId="210C2A2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0.0288</w:t>
                  </w:r>
                </w:p>
              </w:tc>
              <w:tc>
                <w:tcPr>
                  <w:tcW w:w="614" w:type="pct"/>
                  <w:shd w:val="clear" w:color="auto" w:fill="auto"/>
                  <w:noWrap w:val="0"/>
                  <w:tcMar>
                    <w:top w:w="0" w:type="dxa"/>
                    <w:left w:w="0" w:type="dxa"/>
                    <w:bottom w:w="0" w:type="dxa"/>
                    <w:right w:w="0" w:type="dxa"/>
                  </w:tcMar>
                  <w:vAlign w:val="center"/>
                </w:tcPr>
                <w:p w14:paraId="03020BC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0.0215</w:t>
                  </w:r>
                </w:p>
              </w:tc>
              <w:tc>
                <w:tcPr>
                  <w:tcW w:w="437" w:type="pct"/>
                  <w:shd w:val="clear" w:color="auto" w:fill="auto"/>
                  <w:noWrap w:val="0"/>
                  <w:tcMar>
                    <w:top w:w="0" w:type="dxa"/>
                    <w:left w:w="0" w:type="dxa"/>
                    <w:bottom w:w="0" w:type="dxa"/>
                    <w:right w:w="0" w:type="dxa"/>
                  </w:tcMar>
                  <w:vAlign w:val="center"/>
                </w:tcPr>
                <w:p w14:paraId="5B88EF1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0.0288</w:t>
                  </w:r>
                </w:p>
              </w:tc>
              <w:tc>
                <w:tcPr>
                  <w:tcW w:w="405" w:type="pct"/>
                  <w:noWrap w:val="0"/>
                  <w:tcMar>
                    <w:top w:w="0" w:type="dxa"/>
                    <w:left w:w="0" w:type="dxa"/>
                    <w:bottom w:w="0" w:type="dxa"/>
                    <w:right w:w="0" w:type="dxa"/>
                  </w:tcMar>
                  <w:vAlign w:val="center"/>
                </w:tcPr>
                <w:p w14:paraId="0DAB5A2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0.0073</w:t>
                  </w:r>
                </w:p>
              </w:tc>
              <w:tc>
                <w:tcPr>
                  <w:tcW w:w="548" w:type="pct"/>
                  <w:noWrap w:val="0"/>
                  <w:tcMar>
                    <w:top w:w="0" w:type="dxa"/>
                    <w:left w:w="0" w:type="dxa"/>
                    <w:bottom w:w="0" w:type="dxa"/>
                    <w:right w:w="0" w:type="dxa"/>
                  </w:tcMar>
                  <w:vAlign w:val="center"/>
                </w:tcPr>
                <w:p w14:paraId="40147E1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0.0014</w:t>
                  </w:r>
                </w:p>
              </w:tc>
              <w:tc>
                <w:tcPr>
                  <w:tcW w:w="430" w:type="pct"/>
                  <w:shd w:val="clear" w:color="auto" w:fill="auto"/>
                  <w:noWrap w:val="0"/>
                  <w:tcMar>
                    <w:top w:w="0" w:type="dxa"/>
                    <w:left w:w="0" w:type="dxa"/>
                    <w:bottom w:w="0" w:type="dxa"/>
                    <w:right w:w="0" w:type="dxa"/>
                  </w:tcMar>
                  <w:vAlign w:val="center"/>
                </w:tcPr>
                <w:p w14:paraId="2C7BA74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+0.0073</w:t>
                  </w:r>
                </w:p>
              </w:tc>
            </w:tr>
            <w:tr w14:paraId="307C5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tcMar>
                    <w:top w:w="0" w:type="dxa"/>
                    <w:left w:w="0" w:type="dxa"/>
                    <w:bottom w:w="0" w:type="dxa"/>
                    <w:right w:w="0" w:type="dxa"/>
                  </w:tcMar>
                  <w:vAlign w:val="center"/>
                </w:tcPr>
                <w:p w14:paraId="481502CE">
                  <w:pPr>
                    <w:jc w:val="center"/>
                    <w:rPr>
                      <w:color w:val="auto"/>
                      <w:sz w:val="21"/>
                      <w:szCs w:val="21"/>
                    </w:rPr>
                  </w:pPr>
                </w:p>
              </w:tc>
              <w:tc>
                <w:tcPr>
                  <w:tcW w:w="719" w:type="pct"/>
                  <w:gridSpan w:val="2"/>
                  <w:noWrap w:val="0"/>
                  <w:tcMar>
                    <w:top w:w="0" w:type="dxa"/>
                    <w:left w:w="0" w:type="dxa"/>
                    <w:bottom w:w="0" w:type="dxa"/>
                    <w:right w:w="0" w:type="dxa"/>
                  </w:tcMar>
                  <w:vAlign w:val="center"/>
                </w:tcPr>
                <w:p w14:paraId="64A6053E">
                  <w:pPr>
                    <w:adjustRightInd w:val="0"/>
                    <w:snapToGrid w:val="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412" w:type="pct"/>
                  <w:shd w:val="clear" w:color="auto" w:fill="auto"/>
                  <w:noWrap w:val="0"/>
                  <w:tcMar>
                    <w:top w:w="0" w:type="dxa"/>
                    <w:left w:w="0" w:type="dxa"/>
                    <w:bottom w:w="0" w:type="dxa"/>
                    <w:right w:w="0" w:type="dxa"/>
                  </w:tcMar>
                  <w:vAlign w:val="center"/>
                </w:tcPr>
                <w:p w14:paraId="78530B6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0.0038</w:t>
                  </w:r>
                </w:p>
              </w:tc>
              <w:tc>
                <w:tcPr>
                  <w:tcW w:w="397" w:type="pct"/>
                  <w:noWrap w:val="0"/>
                  <w:tcMar>
                    <w:top w:w="0" w:type="dxa"/>
                    <w:left w:w="0" w:type="dxa"/>
                    <w:bottom w:w="0" w:type="dxa"/>
                    <w:right w:w="0" w:type="dxa"/>
                  </w:tcMar>
                  <w:vAlign w:val="center"/>
                </w:tcPr>
                <w:p w14:paraId="0D8ED4A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0.0043</w:t>
                  </w:r>
                </w:p>
              </w:tc>
              <w:tc>
                <w:tcPr>
                  <w:tcW w:w="392" w:type="pct"/>
                  <w:noWrap w:val="0"/>
                  <w:tcMar>
                    <w:top w:w="0" w:type="dxa"/>
                    <w:left w:w="0" w:type="dxa"/>
                    <w:bottom w:w="0" w:type="dxa"/>
                    <w:right w:w="0" w:type="dxa"/>
                  </w:tcMar>
                  <w:vAlign w:val="center"/>
                </w:tcPr>
                <w:p w14:paraId="5993D4B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385" w:type="pct"/>
                  <w:shd w:val="clear" w:color="auto" w:fill="auto"/>
                  <w:noWrap w:val="0"/>
                  <w:tcMar>
                    <w:top w:w="0" w:type="dxa"/>
                    <w:left w:w="0" w:type="dxa"/>
                    <w:bottom w:w="0" w:type="dxa"/>
                    <w:right w:w="0" w:type="dxa"/>
                  </w:tcMar>
                  <w:vAlign w:val="center"/>
                </w:tcPr>
                <w:p w14:paraId="37378B6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0.0043</w:t>
                  </w:r>
                </w:p>
              </w:tc>
              <w:tc>
                <w:tcPr>
                  <w:tcW w:w="614" w:type="pct"/>
                  <w:shd w:val="clear" w:color="auto" w:fill="auto"/>
                  <w:noWrap w:val="0"/>
                  <w:tcMar>
                    <w:top w:w="0" w:type="dxa"/>
                    <w:left w:w="0" w:type="dxa"/>
                    <w:bottom w:w="0" w:type="dxa"/>
                    <w:right w:w="0" w:type="dxa"/>
                  </w:tcMar>
                  <w:vAlign w:val="center"/>
                </w:tcPr>
                <w:p w14:paraId="0EF1C63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0.0038</w:t>
                  </w:r>
                </w:p>
              </w:tc>
              <w:tc>
                <w:tcPr>
                  <w:tcW w:w="437" w:type="pct"/>
                  <w:shd w:val="clear" w:color="auto" w:fill="auto"/>
                  <w:noWrap w:val="0"/>
                  <w:tcMar>
                    <w:top w:w="0" w:type="dxa"/>
                    <w:left w:w="0" w:type="dxa"/>
                    <w:bottom w:w="0" w:type="dxa"/>
                    <w:right w:w="0" w:type="dxa"/>
                  </w:tcMar>
                  <w:vAlign w:val="center"/>
                </w:tcPr>
                <w:p w14:paraId="0706C90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0.0043</w:t>
                  </w:r>
                </w:p>
              </w:tc>
              <w:tc>
                <w:tcPr>
                  <w:tcW w:w="405" w:type="pct"/>
                  <w:noWrap w:val="0"/>
                  <w:tcMar>
                    <w:top w:w="0" w:type="dxa"/>
                    <w:left w:w="0" w:type="dxa"/>
                    <w:bottom w:w="0" w:type="dxa"/>
                    <w:right w:w="0" w:type="dxa"/>
                  </w:tcMar>
                  <w:vAlign w:val="center"/>
                </w:tcPr>
                <w:p w14:paraId="1B2203C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0.0005</w:t>
                  </w:r>
                </w:p>
              </w:tc>
              <w:tc>
                <w:tcPr>
                  <w:tcW w:w="548" w:type="pct"/>
                  <w:noWrap w:val="0"/>
                  <w:tcMar>
                    <w:top w:w="0" w:type="dxa"/>
                    <w:left w:w="0" w:type="dxa"/>
                    <w:bottom w:w="0" w:type="dxa"/>
                    <w:right w:w="0" w:type="dxa"/>
                  </w:tcMar>
                  <w:vAlign w:val="center"/>
                </w:tcPr>
                <w:p w14:paraId="5549340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0.0006</w:t>
                  </w:r>
                </w:p>
              </w:tc>
              <w:tc>
                <w:tcPr>
                  <w:tcW w:w="430" w:type="pct"/>
                  <w:shd w:val="clear" w:color="auto" w:fill="auto"/>
                  <w:noWrap w:val="0"/>
                  <w:tcMar>
                    <w:top w:w="0" w:type="dxa"/>
                    <w:left w:w="0" w:type="dxa"/>
                    <w:bottom w:w="0" w:type="dxa"/>
                    <w:right w:w="0" w:type="dxa"/>
                  </w:tcMar>
                  <w:vAlign w:val="center"/>
                </w:tcPr>
                <w:p w14:paraId="15E8650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+0.0005</w:t>
                  </w:r>
                </w:p>
              </w:tc>
            </w:tr>
            <w:tr w14:paraId="0D974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tcMar>
                    <w:top w:w="0" w:type="dxa"/>
                    <w:left w:w="0" w:type="dxa"/>
                    <w:bottom w:w="0" w:type="dxa"/>
                    <w:right w:w="0" w:type="dxa"/>
                  </w:tcMar>
                  <w:vAlign w:val="center"/>
                </w:tcPr>
                <w:p w14:paraId="60927A7A">
                  <w:pPr>
                    <w:jc w:val="center"/>
                    <w:rPr>
                      <w:color w:val="auto"/>
                      <w:sz w:val="21"/>
                      <w:szCs w:val="21"/>
                    </w:rPr>
                  </w:pPr>
                </w:p>
              </w:tc>
              <w:tc>
                <w:tcPr>
                  <w:tcW w:w="719" w:type="pct"/>
                  <w:gridSpan w:val="2"/>
                  <w:noWrap w:val="0"/>
                  <w:tcMar>
                    <w:top w:w="0" w:type="dxa"/>
                    <w:left w:w="0" w:type="dxa"/>
                    <w:bottom w:w="0" w:type="dxa"/>
                    <w:right w:w="0" w:type="dxa"/>
                  </w:tcMar>
                  <w:vAlign w:val="center"/>
                </w:tcPr>
                <w:p w14:paraId="5A972EF1">
                  <w:pPr>
                    <w:adjustRightInd w:val="0"/>
                    <w:snapToGrid w:val="0"/>
                    <w:jc w:val="center"/>
                    <w:rPr>
                      <w:color w:val="auto"/>
                      <w:sz w:val="21"/>
                      <w:szCs w:val="21"/>
                    </w:rPr>
                  </w:pPr>
                  <w:r>
                    <w:rPr>
                      <w:bCs/>
                      <w:color w:val="auto"/>
                      <w:sz w:val="21"/>
                      <w:szCs w:val="21"/>
                    </w:rPr>
                    <w:t>TN</w:t>
                  </w:r>
                </w:p>
              </w:tc>
              <w:tc>
                <w:tcPr>
                  <w:tcW w:w="412" w:type="pct"/>
                  <w:shd w:val="clear" w:color="auto" w:fill="auto"/>
                  <w:noWrap w:val="0"/>
                  <w:tcMar>
                    <w:top w:w="0" w:type="dxa"/>
                    <w:left w:w="0" w:type="dxa"/>
                    <w:bottom w:w="0" w:type="dxa"/>
                    <w:right w:w="0" w:type="dxa"/>
                  </w:tcMar>
                  <w:vAlign w:val="center"/>
                </w:tcPr>
                <w:p w14:paraId="26A99B9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0.0054</w:t>
                  </w:r>
                </w:p>
              </w:tc>
              <w:tc>
                <w:tcPr>
                  <w:tcW w:w="397" w:type="pct"/>
                  <w:noWrap w:val="0"/>
                  <w:tcMar>
                    <w:top w:w="0" w:type="dxa"/>
                    <w:left w:w="0" w:type="dxa"/>
                    <w:bottom w:w="0" w:type="dxa"/>
                    <w:right w:w="0" w:type="dxa"/>
                  </w:tcMar>
                  <w:vAlign w:val="center"/>
                </w:tcPr>
                <w:p w14:paraId="10CB2C3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0.0058</w:t>
                  </w:r>
                </w:p>
              </w:tc>
              <w:tc>
                <w:tcPr>
                  <w:tcW w:w="392" w:type="pct"/>
                  <w:noWrap w:val="0"/>
                  <w:tcMar>
                    <w:top w:w="0" w:type="dxa"/>
                    <w:left w:w="0" w:type="dxa"/>
                    <w:bottom w:w="0" w:type="dxa"/>
                    <w:right w:w="0" w:type="dxa"/>
                  </w:tcMar>
                  <w:vAlign w:val="center"/>
                </w:tcPr>
                <w:p w14:paraId="0FD81F0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385" w:type="pct"/>
                  <w:shd w:val="clear" w:color="auto" w:fill="auto"/>
                  <w:noWrap w:val="0"/>
                  <w:tcMar>
                    <w:top w:w="0" w:type="dxa"/>
                    <w:left w:w="0" w:type="dxa"/>
                    <w:bottom w:w="0" w:type="dxa"/>
                    <w:right w:w="0" w:type="dxa"/>
                  </w:tcMar>
                  <w:vAlign w:val="center"/>
                </w:tcPr>
                <w:p w14:paraId="5D792AA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0.0058</w:t>
                  </w:r>
                </w:p>
              </w:tc>
              <w:tc>
                <w:tcPr>
                  <w:tcW w:w="614" w:type="pct"/>
                  <w:shd w:val="clear" w:color="auto" w:fill="auto"/>
                  <w:noWrap w:val="0"/>
                  <w:tcMar>
                    <w:top w:w="0" w:type="dxa"/>
                    <w:left w:w="0" w:type="dxa"/>
                    <w:bottom w:w="0" w:type="dxa"/>
                    <w:right w:w="0" w:type="dxa"/>
                  </w:tcMar>
                  <w:vAlign w:val="center"/>
                </w:tcPr>
                <w:p w14:paraId="3C4A527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0.0054</w:t>
                  </w:r>
                </w:p>
              </w:tc>
              <w:tc>
                <w:tcPr>
                  <w:tcW w:w="437" w:type="pct"/>
                  <w:shd w:val="clear" w:color="auto" w:fill="auto"/>
                  <w:noWrap w:val="0"/>
                  <w:tcMar>
                    <w:top w:w="0" w:type="dxa"/>
                    <w:left w:w="0" w:type="dxa"/>
                    <w:bottom w:w="0" w:type="dxa"/>
                    <w:right w:w="0" w:type="dxa"/>
                  </w:tcMar>
                  <w:vAlign w:val="center"/>
                </w:tcPr>
                <w:p w14:paraId="72C0E01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0.0058</w:t>
                  </w:r>
                </w:p>
              </w:tc>
              <w:tc>
                <w:tcPr>
                  <w:tcW w:w="405" w:type="pct"/>
                  <w:noWrap w:val="0"/>
                  <w:tcMar>
                    <w:top w:w="0" w:type="dxa"/>
                    <w:left w:w="0" w:type="dxa"/>
                    <w:bottom w:w="0" w:type="dxa"/>
                    <w:right w:w="0" w:type="dxa"/>
                  </w:tcMar>
                  <w:vAlign w:val="center"/>
                </w:tcPr>
                <w:p w14:paraId="211AC5F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0.0004</w:t>
                  </w:r>
                </w:p>
              </w:tc>
              <w:tc>
                <w:tcPr>
                  <w:tcW w:w="548" w:type="pct"/>
                  <w:noWrap w:val="0"/>
                  <w:tcMar>
                    <w:top w:w="0" w:type="dxa"/>
                    <w:left w:w="0" w:type="dxa"/>
                    <w:bottom w:w="0" w:type="dxa"/>
                    <w:right w:w="0" w:type="dxa"/>
                  </w:tcMar>
                  <w:vAlign w:val="center"/>
                </w:tcPr>
                <w:p w14:paraId="21BA93B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0.0017</w:t>
                  </w:r>
                </w:p>
              </w:tc>
              <w:tc>
                <w:tcPr>
                  <w:tcW w:w="430" w:type="pct"/>
                  <w:shd w:val="clear" w:color="auto" w:fill="auto"/>
                  <w:noWrap w:val="0"/>
                  <w:tcMar>
                    <w:top w:w="0" w:type="dxa"/>
                    <w:left w:w="0" w:type="dxa"/>
                    <w:bottom w:w="0" w:type="dxa"/>
                    <w:right w:w="0" w:type="dxa"/>
                  </w:tcMar>
                  <w:vAlign w:val="center"/>
                </w:tcPr>
                <w:p w14:paraId="17E25DF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p>
              </w:tc>
            </w:tr>
            <w:tr w14:paraId="42625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tcMar>
                    <w:top w:w="0" w:type="dxa"/>
                    <w:left w:w="0" w:type="dxa"/>
                    <w:bottom w:w="0" w:type="dxa"/>
                    <w:right w:w="0" w:type="dxa"/>
                  </w:tcMar>
                  <w:vAlign w:val="center"/>
                </w:tcPr>
                <w:p w14:paraId="3AA0CF8E">
                  <w:pPr>
                    <w:jc w:val="center"/>
                    <w:rPr>
                      <w:color w:val="auto"/>
                      <w:sz w:val="21"/>
                      <w:szCs w:val="21"/>
                    </w:rPr>
                  </w:pPr>
                </w:p>
              </w:tc>
              <w:tc>
                <w:tcPr>
                  <w:tcW w:w="719" w:type="pct"/>
                  <w:gridSpan w:val="2"/>
                  <w:noWrap w:val="0"/>
                  <w:tcMar>
                    <w:top w:w="0" w:type="dxa"/>
                    <w:left w:w="0" w:type="dxa"/>
                    <w:bottom w:w="0" w:type="dxa"/>
                    <w:right w:w="0" w:type="dxa"/>
                  </w:tcMar>
                  <w:vAlign w:val="center"/>
                </w:tcPr>
                <w:p w14:paraId="05C14A56">
                  <w:pPr>
                    <w:adjustRightInd w:val="0"/>
                    <w:snapToGrid w:val="0"/>
                    <w:jc w:val="center"/>
                    <w:rPr>
                      <w:bCs/>
                      <w:color w:val="auto"/>
                      <w:sz w:val="21"/>
                      <w:szCs w:val="21"/>
                    </w:rPr>
                  </w:pPr>
                  <w:r>
                    <w:rPr>
                      <w:bCs/>
                      <w:color w:val="auto"/>
                      <w:sz w:val="21"/>
                      <w:szCs w:val="21"/>
                    </w:rPr>
                    <w:t>TP</w:t>
                  </w:r>
                </w:p>
              </w:tc>
              <w:tc>
                <w:tcPr>
                  <w:tcW w:w="412" w:type="pct"/>
                  <w:shd w:val="clear" w:color="auto" w:fill="auto"/>
                  <w:noWrap w:val="0"/>
                  <w:tcMar>
                    <w:top w:w="0" w:type="dxa"/>
                    <w:left w:w="0" w:type="dxa"/>
                    <w:bottom w:w="0" w:type="dxa"/>
                    <w:right w:w="0" w:type="dxa"/>
                  </w:tcMar>
                  <w:vAlign w:val="center"/>
                </w:tcPr>
                <w:p w14:paraId="21A7CAB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c>
                <w:tcPr>
                  <w:tcW w:w="397" w:type="pct"/>
                  <w:noWrap w:val="0"/>
                  <w:tcMar>
                    <w:top w:w="0" w:type="dxa"/>
                    <w:left w:w="0" w:type="dxa"/>
                    <w:bottom w:w="0" w:type="dxa"/>
                    <w:right w:w="0" w:type="dxa"/>
                  </w:tcMar>
                  <w:vAlign w:val="center"/>
                </w:tcPr>
                <w:p w14:paraId="5D81799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p>
              </w:tc>
              <w:tc>
                <w:tcPr>
                  <w:tcW w:w="392" w:type="pct"/>
                  <w:noWrap w:val="0"/>
                  <w:tcMar>
                    <w:top w:w="0" w:type="dxa"/>
                    <w:left w:w="0" w:type="dxa"/>
                    <w:bottom w:w="0" w:type="dxa"/>
                    <w:right w:w="0" w:type="dxa"/>
                  </w:tcMar>
                  <w:vAlign w:val="center"/>
                </w:tcPr>
                <w:p w14:paraId="2A843B2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385" w:type="pct"/>
                  <w:shd w:val="clear" w:color="auto" w:fill="auto"/>
                  <w:noWrap w:val="0"/>
                  <w:tcMar>
                    <w:top w:w="0" w:type="dxa"/>
                    <w:left w:w="0" w:type="dxa"/>
                    <w:bottom w:w="0" w:type="dxa"/>
                    <w:right w:w="0" w:type="dxa"/>
                  </w:tcMar>
                  <w:vAlign w:val="center"/>
                </w:tcPr>
                <w:p w14:paraId="3A3B916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p>
              </w:tc>
              <w:tc>
                <w:tcPr>
                  <w:tcW w:w="614" w:type="pct"/>
                  <w:shd w:val="clear" w:color="auto" w:fill="auto"/>
                  <w:noWrap w:val="0"/>
                  <w:tcMar>
                    <w:top w:w="0" w:type="dxa"/>
                    <w:left w:w="0" w:type="dxa"/>
                    <w:bottom w:w="0" w:type="dxa"/>
                    <w:right w:w="0" w:type="dxa"/>
                  </w:tcMar>
                  <w:vAlign w:val="center"/>
                </w:tcPr>
                <w:p w14:paraId="6A9AA37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c>
                <w:tcPr>
                  <w:tcW w:w="437" w:type="pct"/>
                  <w:shd w:val="clear" w:color="auto" w:fill="auto"/>
                  <w:noWrap w:val="0"/>
                  <w:tcMar>
                    <w:top w:w="0" w:type="dxa"/>
                    <w:left w:w="0" w:type="dxa"/>
                    <w:bottom w:w="0" w:type="dxa"/>
                    <w:right w:w="0" w:type="dxa"/>
                  </w:tcMar>
                  <w:vAlign w:val="center"/>
                </w:tcPr>
                <w:p w14:paraId="56AA4CD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p>
              </w:tc>
              <w:tc>
                <w:tcPr>
                  <w:tcW w:w="405" w:type="pct"/>
                  <w:noWrap w:val="0"/>
                  <w:tcMar>
                    <w:top w:w="0" w:type="dxa"/>
                    <w:left w:w="0" w:type="dxa"/>
                    <w:bottom w:w="0" w:type="dxa"/>
                    <w:right w:w="0" w:type="dxa"/>
                  </w:tcMar>
                  <w:vAlign w:val="center"/>
                </w:tcPr>
                <w:p w14:paraId="0AD2C24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c>
                <w:tcPr>
                  <w:tcW w:w="548" w:type="pct"/>
                  <w:noWrap w:val="0"/>
                  <w:tcMar>
                    <w:top w:w="0" w:type="dxa"/>
                    <w:left w:w="0" w:type="dxa"/>
                    <w:bottom w:w="0" w:type="dxa"/>
                    <w:right w:w="0" w:type="dxa"/>
                  </w:tcMar>
                  <w:vAlign w:val="center"/>
                </w:tcPr>
                <w:p w14:paraId="7963B4C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0.0001</w:t>
                  </w:r>
                </w:p>
              </w:tc>
              <w:tc>
                <w:tcPr>
                  <w:tcW w:w="430" w:type="pct"/>
                  <w:shd w:val="clear" w:color="auto" w:fill="auto"/>
                  <w:noWrap w:val="0"/>
                  <w:tcMar>
                    <w:top w:w="0" w:type="dxa"/>
                    <w:left w:w="0" w:type="dxa"/>
                    <w:bottom w:w="0" w:type="dxa"/>
                    <w:right w:w="0" w:type="dxa"/>
                  </w:tcMar>
                  <w:vAlign w:val="center"/>
                </w:tcPr>
                <w:p w14:paraId="25BBE22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+0.0001</w:t>
                  </w:r>
                </w:p>
              </w:tc>
            </w:tr>
            <w:tr w14:paraId="3ABEB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noWrap w:val="0"/>
                  <w:tcMar>
                    <w:top w:w="0" w:type="dxa"/>
                    <w:left w:w="0" w:type="dxa"/>
                    <w:bottom w:w="0" w:type="dxa"/>
                    <w:right w:w="0" w:type="dxa"/>
                  </w:tcMar>
                  <w:vAlign w:val="center"/>
                </w:tcPr>
                <w:p w14:paraId="0586CE2A">
                  <w:pPr>
                    <w:jc w:val="center"/>
                    <w:rPr>
                      <w:color w:val="auto"/>
                      <w:sz w:val="21"/>
                      <w:szCs w:val="21"/>
                    </w:rPr>
                  </w:pPr>
                  <w:r>
                    <w:rPr>
                      <w:color w:val="auto"/>
                      <w:sz w:val="21"/>
                      <w:szCs w:val="21"/>
                    </w:rPr>
                    <w:t>固废</w:t>
                  </w:r>
                </w:p>
              </w:tc>
              <w:tc>
                <w:tcPr>
                  <w:tcW w:w="719" w:type="pct"/>
                  <w:gridSpan w:val="2"/>
                  <w:noWrap w:val="0"/>
                  <w:tcMar>
                    <w:top w:w="0" w:type="dxa"/>
                    <w:left w:w="0" w:type="dxa"/>
                    <w:bottom w:w="0" w:type="dxa"/>
                    <w:right w:w="0" w:type="dxa"/>
                  </w:tcMar>
                  <w:vAlign w:val="center"/>
                </w:tcPr>
                <w:p w14:paraId="234B8311">
                  <w:pPr>
                    <w:snapToGrid w:val="0"/>
                    <w:jc w:val="center"/>
                    <w:rPr>
                      <w:bCs/>
                      <w:color w:val="auto"/>
                      <w:sz w:val="21"/>
                      <w:szCs w:val="21"/>
                    </w:rPr>
                  </w:pPr>
                  <w:r>
                    <w:rPr>
                      <w:bCs/>
                      <w:color w:val="auto"/>
                      <w:sz w:val="21"/>
                      <w:szCs w:val="21"/>
                    </w:rPr>
                    <w:t>一般固废</w:t>
                  </w:r>
                </w:p>
              </w:tc>
              <w:tc>
                <w:tcPr>
                  <w:tcW w:w="412" w:type="pct"/>
                  <w:noWrap w:val="0"/>
                  <w:tcMar>
                    <w:top w:w="0" w:type="dxa"/>
                    <w:left w:w="0" w:type="dxa"/>
                    <w:bottom w:w="0" w:type="dxa"/>
                    <w:right w:w="0" w:type="dxa"/>
                  </w:tcMar>
                  <w:vAlign w:val="center"/>
                </w:tcPr>
                <w:p w14:paraId="6143ECE7">
                  <w:pPr>
                    <w:jc w:val="center"/>
                    <w:rPr>
                      <w:color w:val="auto"/>
                      <w:sz w:val="21"/>
                      <w:szCs w:val="21"/>
                    </w:rPr>
                  </w:pPr>
                  <w:r>
                    <w:rPr>
                      <w:rFonts w:hint="eastAsia"/>
                      <w:color w:val="auto"/>
                      <w:sz w:val="21"/>
                      <w:szCs w:val="21"/>
                    </w:rPr>
                    <w:t>0</w:t>
                  </w:r>
                </w:p>
              </w:tc>
              <w:tc>
                <w:tcPr>
                  <w:tcW w:w="397" w:type="pct"/>
                  <w:noWrap w:val="0"/>
                  <w:tcMar>
                    <w:top w:w="0" w:type="dxa"/>
                    <w:left w:w="0" w:type="dxa"/>
                    <w:bottom w:w="0" w:type="dxa"/>
                    <w:right w:w="0" w:type="dxa"/>
                  </w:tcMar>
                  <w:vAlign w:val="center"/>
                </w:tcPr>
                <w:p w14:paraId="23E549FE">
                  <w:pPr>
                    <w:jc w:val="center"/>
                    <w:rPr>
                      <w:rFonts w:hint="default" w:eastAsia="宋体"/>
                      <w:color w:val="0000FF"/>
                      <w:sz w:val="21"/>
                      <w:szCs w:val="21"/>
                      <w:lang w:val="en-US" w:eastAsia="zh-CN"/>
                    </w:rPr>
                  </w:pPr>
                  <w:r>
                    <w:rPr>
                      <w:rFonts w:hint="eastAsia"/>
                      <w:color w:val="0000FF"/>
                      <w:sz w:val="21"/>
                      <w:szCs w:val="21"/>
                      <w:lang w:val="en-US" w:eastAsia="zh-CN"/>
                    </w:rPr>
                    <w:t>3.92</w:t>
                  </w:r>
                </w:p>
              </w:tc>
              <w:tc>
                <w:tcPr>
                  <w:tcW w:w="392" w:type="pct"/>
                  <w:shd w:val="clear" w:color="auto" w:fill="auto"/>
                  <w:noWrap w:val="0"/>
                  <w:tcMar>
                    <w:top w:w="0" w:type="dxa"/>
                    <w:left w:w="0" w:type="dxa"/>
                    <w:bottom w:w="0" w:type="dxa"/>
                    <w:right w:w="0" w:type="dxa"/>
                  </w:tcMar>
                  <w:vAlign w:val="center"/>
                </w:tcPr>
                <w:p w14:paraId="0F8A52F9">
                  <w:pPr>
                    <w:jc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3.92</w:t>
                  </w:r>
                </w:p>
              </w:tc>
              <w:tc>
                <w:tcPr>
                  <w:tcW w:w="385" w:type="pct"/>
                  <w:noWrap w:val="0"/>
                  <w:tcMar>
                    <w:top w:w="0" w:type="dxa"/>
                    <w:left w:w="0" w:type="dxa"/>
                    <w:bottom w:w="0" w:type="dxa"/>
                    <w:right w:w="0" w:type="dxa"/>
                  </w:tcMar>
                  <w:vAlign w:val="center"/>
                </w:tcPr>
                <w:p w14:paraId="6E30F5A4">
                  <w:pPr>
                    <w:jc w:val="center"/>
                    <w:rPr>
                      <w:color w:val="auto"/>
                      <w:sz w:val="21"/>
                      <w:szCs w:val="21"/>
                    </w:rPr>
                  </w:pPr>
                  <w:r>
                    <w:rPr>
                      <w:color w:val="auto"/>
                      <w:sz w:val="21"/>
                      <w:szCs w:val="21"/>
                    </w:rPr>
                    <w:t>0</w:t>
                  </w:r>
                </w:p>
              </w:tc>
              <w:tc>
                <w:tcPr>
                  <w:tcW w:w="614" w:type="pct"/>
                  <w:noWrap w:val="0"/>
                  <w:tcMar>
                    <w:top w:w="0" w:type="dxa"/>
                    <w:left w:w="0" w:type="dxa"/>
                    <w:bottom w:w="0" w:type="dxa"/>
                    <w:right w:w="0" w:type="dxa"/>
                  </w:tcMar>
                  <w:vAlign w:val="center"/>
                </w:tcPr>
                <w:p w14:paraId="71BDB80D">
                  <w:pPr>
                    <w:jc w:val="center"/>
                    <w:rPr>
                      <w:color w:val="auto"/>
                      <w:sz w:val="21"/>
                      <w:szCs w:val="21"/>
                    </w:rPr>
                  </w:pPr>
                  <w:r>
                    <w:rPr>
                      <w:color w:val="auto"/>
                      <w:sz w:val="21"/>
                      <w:szCs w:val="21"/>
                    </w:rPr>
                    <w:t>0</w:t>
                  </w:r>
                </w:p>
              </w:tc>
              <w:tc>
                <w:tcPr>
                  <w:tcW w:w="437" w:type="pct"/>
                  <w:noWrap w:val="0"/>
                  <w:tcMar>
                    <w:top w:w="0" w:type="dxa"/>
                    <w:left w:w="0" w:type="dxa"/>
                    <w:bottom w:w="0" w:type="dxa"/>
                    <w:right w:w="0" w:type="dxa"/>
                  </w:tcMar>
                  <w:vAlign w:val="center"/>
                </w:tcPr>
                <w:p w14:paraId="61BC6B93">
                  <w:pPr>
                    <w:jc w:val="center"/>
                    <w:rPr>
                      <w:color w:val="auto"/>
                      <w:sz w:val="21"/>
                      <w:szCs w:val="21"/>
                    </w:rPr>
                  </w:pPr>
                  <w:r>
                    <w:rPr>
                      <w:color w:val="auto"/>
                      <w:sz w:val="21"/>
                      <w:szCs w:val="21"/>
                    </w:rPr>
                    <w:t>0</w:t>
                  </w:r>
                </w:p>
              </w:tc>
              <w:tc>
                <w:tcPr>
                  <w:tcW w:w="405" w:type="pct"/>
                  <w:noWrap w:val="0"/>
                  <w:tcMar>
                    <w:top w:w="0" w:type="dxa"/>
                    <w:left w:w="0" w:type="dxa"/>
                    <w:bottom w:w="0" w:type="dxa"/>
                    <w:right w:w="0" w:type="dxa"/>
                  </w:tcMar>
                  <w:vAlign w:val="center"/>
                </w:tcPr>
                <w:p w14:paraId="3133BA6A">
                  <w:pPr>
                    <w:jc w:val="center"/>
                    <w:rPr>
                      <w:color w:val="auto"/>
                      <w:sz w:val="21"/>
                      <w:szCs w:val="21"/>
                    </w:rPr>
                  </w:pPr>
                  <w:r>
                    <w:rPr>
                      <w:color w:val="auto"/>
                      <w:sz w:val="21"/>
                      <w:szCs w:val="21"/>
                    </w:rPr>
                    <w:t>0</w:t>
                  </w:r>
                </w:p>
              </w:tc>
              <w:tc>
                <w:tcPr>
                  <w:tcW w:w="548" w:type="pct"/>
                  <w:noWrap w:val="0"/>
                  <w:tcMar>
                    <w:top w:w="0" w:type="dxa"/>
                    <w:left w:w="0" w:type="dxa"/>
                    <w:bottom w:w="0" w:type="dxa"/>
                    <w:right w:w="0" w:type="dxa"/>
                  </w:tcMar>
                  <w:vAlign w:val="center"/>
                </w:tcPr>
                <w:p w14:paraId="7F1108C1">
                  <w:pPr>
                    <w:jc w:val="center"/>
                    <w:rPr>
                      <w:color w:val="auto"/>
                      <w:sz w:val="21"/>
                      <w:szCs w:val="21"/>
                    </w:rPr>
                  </w:pPr>
                  <w:r>
                    <w:rPr>
                      <w:color w:val="auto"/>
                      <w:sz w:val="21"/>
                      <w:szCs w:val="21"/>
                    </w:rPr>
                    <w:t>0</w:t>
                  </w:r>
                </w:p>
              </w:tc>
              <w:tc>
                <w:tcPr>
                  <w:tcW w:w="430" w:type="pct"/>
                  <w:noWrap w:val="0"/>
                  <w:tcMar>
                    <w:top w:w="0" w:type="dxa"/>
                    <w:left w:w="0" w:type="dxa"/>
                    <w:bottom w:w="0" w:type="dxa"/>
                    <w:right w:w="0" w:type="dxa"/>
                  </w:tcMar>
                  <w:vAlign w:val="center"/>
                </w:tcPr>
                <w:p w14:paraId="18A3340C">
                  <w:pPr>
                    <w:jc w:val="center"/>
                    <w:rPr>
                      <w:color w:val="auto"/>
                      <w:sz w:val="21"/>
                      <w:szCs w:val="21"/>
                    </w:rPr>
                  </w:pPr>
                  <w:r>
                    <w:rPr>
                      <w:color w:val="auto"/>
                      <w:sz w:val="21"/>
                      <w:szCs w:val="21"/>
                    </w:rPr>
                    <w:t>0</w:t>
                  </w:r>
                </w:p>
              </w:tc>
            </w:tr>
            <w:tr w14:paraId="2D32A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tcMar>
                    <w:top w:w="0" w:type="dxa"/>
                    <w:left w:w="0" w:type="dxa"/>
                    <w:bottom w:w="0" w:type="dxa"/>
                    <w:right w:w="0" w:type="dxa"/>
                  </w:tcMar>
                  <w:vAlign w:val="center"/>
                </w:tcPr>
                <w:p w14:paraId="0923810F">
                  <w:pPr>
                    <w:jc w:val="center"/>
                    <w:rPr>
                      <w:color w:val="auto"/>
                      <w:sz w:val="21"/>
                      <w:szCs w:val="21"/>
                    </w:rPr>
                  </w:pPr>
                </w:p>
              </w:tc>
              <w:tc>
                <w:tcPr>
                  <w:tcW w:w="719" w:type="pct"/>
                  <w:gridSpan w:val="2"/>
                  <w:noWrap w:val="0"/>
                  <w:tcMar>
                    <w:top w:w="0" w:type="dxa"/>
                    <w:left w:w="0" w:type="dxa"/>
                    <w:bottom w:w="0" w:type="dxa"/>
                    <w:right w:w="0" w:type="dxa"/>
                  </w:tcMar>
                  <w:vAlign w:val="center"/>
                </w:tcPr>
                <w:p w14:paraId="18115F78">
                  <w:pPr>
                    <w:snapToGrid w:val="0"/>
                    <w:jc w:val="center"/>
                    <w:rPr>
                      <w:bCs/>
                      <w:color w:val="auto"/>
                      <w:sz w:val="21"/>
                      <w:szCs w:val="21"/>
                    </w:rPr>
                  </w:pPr>
                  <w:r>
                    <w:rPr>
                      <w:bCs/>
                      <w:color w:val="auto"/>
                      <w:sz w:val="21"/>
                      <w:szCs w:val="21"/>
                    </w:rPr>
                    <w:t>危险固废</w:t>
                  </w:r>
                </w:p>
              </w:tc>
              <w:tc>
                <w:tcPr>
                  <w:tcW w:w="412" w:type="pct"/>
                  <w:noWrap w:val="0"/>
                  <w:tcMar>
                    <w:top w:w="0" w:type="dxa"/>
                    <w:left w:w="0" w:type="dxa"/>
                    <w:bottom w:w="0" w:type="dxa"/>
                    <w:right w:w="0" w:type="dxa"/>
                  </w:tcMar>
                  <w:vAlign w:val="center"/>
                </w:tcPr>
                <w:p w14:paraId="7426224A">
                  <w:pPr>
                    <w:jc w:val="center"/>
                    <w:rPr>
                      <w:color w:val="auto"/>
                      <w:sz w:val="21"/>
                      <w:szCs w:val="21"/>
                    </w:rPr>
                  </w:pPr>
                  <w:r>
                    <w:rPr>
                      <w:rFonts w:hint="eastAsia"/>
                      <w:color w:val="auto"/>
                      <w:sz w:val="21"/>
                      <w:szCs w:val="21"/>
                    </w:rPr>
                    <w:t>0</w:t>
                  </w:r>
                </w:p>
              </w:tc>
              <w:tc>
                <w:tcPr>
                  <w:tcW w:w="397" w:type="pct"/>
                  <w:noWrap w:val="0"/>
                  <w:tcMar>
                    <w:top w:w="0" w:type="dxa"/>
                    <w:left w:w="0" w:type="dxa"/>
                    <w:bottom w:w="0" w:type="dxa"/>
                    <w:right w:w="0" w:type="dxa"/>
                  </w:tcMar>
                  <w:vAlign w:val="center"/>
                </w:tcPr>
                <w:p w14:paraId="4116F7EA">
                  <w:pPr>
                    <w:jc w:val="center"/>
                    <w:rPr>
                      <w:rFonts w:hint="default" w:eastAsia="宋体"/>
                      <w:color w:val="0000FF"/>
                      <w:sz w:val="21"/>
                      <w:szCs w:val="21"/>
                      <w:lang w:val="en-US" w:eastAsia="zh-CN"/>
                    </w:rPr>
                  </w:pPr>
                  <w:r>
                    <w:rPr>
                      <w:rFonts w:hint="eastAsia"/>
                      <w:color w:val="0000FF"/>
                      <w:sz w:val="21"/>
                      <w:szCs w:val="21"/>
                      <w:lang w:val="en-US" w:eastAsia="zh-CN"/>
                    </w:rPr>
                    <w:t>16.8</w:t>
                  </w:r>
                </w:p>
              </w:tc>
              <w:tc>
                <w:tcPr>
                  <w:tcW w:w="392" w:type="pct"/>
                  <w:shd w:val="clear" w:color="auto" w:fill="auto"/>
                  <w:noWrap w:val="0"/>
                  <w:tcMar>
                    <w:top w:w="0" w:type="dxa"/>
                    <w:left w:w="0" w:type="dxa"/>
                    <w:bottom w:w="0" w:type="dxa"/>
                    <w:right w:w="0" w:type="dxa"/>
                  </w:tcMar>
                  <w:vAlign w:val="center"/>
                </w:tcPr>
                <w:p w14:paraId="4120987C">
                  <w:pPr>
                    <w:jc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16.8</w:t>
                  </w:r>
                </w:p>
              </w:tc>
              <w:tc>
                <w:tcPr>
                  <w:tcW w:w="385" w:type="pct"/>
                  <w:noWrap w:val="0"/>
                  <w:tcMar>
                    <w:top w:w="0" w:type="dxa"/>
                    <w:left w:w="0" w:type="dxa"/>
                    <w:bottom w:w="0" w:type="dxa"/>
                    <w:right w:w="0" w:type="dxa"/>
                  </w:tcMar>
                  <w:vAlign w:val="center"/>
                </w:tcPr>
                <w:p w14:paraId="5F6B05C6">
                  <w:pPr>
                    <w:jc w:val="center"/>
                    <w:rPr>
                      <w:color w:val="auto"/>
                      <w:sz w:val="21"/>
                      <w:szCs w:val="21"/>
                    </w:rPr>
                  </w:pPr>
                  <w:r>
                    <w:rPr>
                      <w:color w:val="auto"/>
                      <w:sz w:val="21"/>
                      <w:szCs w:val="21"/>
                    </w:rPr>
                    <w:t>0</w:t>
                  </w:r>
                </w:p>
              </w:tc>
              <w:tc>
                <w:tcPr>
                  <w:tcW w:w="614" w:type="pct"/>
                  <w:noWrap w:val="0"/>
                  <w:tcMar>
                    <w:top w:w="0" w:type="dxa"/>
                    <w:left w:w="0" w:type="dxa"/>
                    <w:bottom w:w="0" w:type="dxa"/>
                    <w:right w:w="0" w:type="dxa"/>
                  </w:tcMar>
                  <w:vAlign w:val="center"/>
                </w:tcPr>
                <w:p w14:paraId="1293FCCA">
                  <w:pPr>
                    <w:jc w:val="center"/>
                    <w:rPr>
                      <w:color w:val="auto"/>
                      <w:sz w:val="21"/>
                      <w:szCs w:val="21"/>
                    </w:rPr>
                  </w:pPr>
                  <w:r>
                    <w:rPr>
                      <w:color w:val="auto"/>
                      <w:sz w:val="21"/>
                      <w:szCs w:val="21"/>
                    </w:rPr>
                    <w:t>0</w:t>
                  </w:r>
                </w:p>
              </w:tc>
              <w:tc>
                <w:tcPr>
                  <w:tcW w:w="437" w:type="pct"/>
                  <w:noWrap w:val="0"/>
                  <w:tcMar>
                    <w:top w:w="0" w:type="dxa"/>
                    <w:left w:w="0" w:type="dxa"/>
                    <w:bottom w:w="0" w:type="dxa"/>
                    <w:right w:w="0" w:type="dxa"/>
                  </w:tcMar>
                  <w:vAlign w:val="center"/>
                </w:tcPr>
                <w:p w14:paraId="10EE851B">
                  <w:pPr>
                    <w:jc w:val="center"/>
                    <w:rPr>
                      <w:color w:val="auto"/>
                      <w:sz w:val="21"/>
                      <w:szCs w:val="21"/>
                    </w:rPr>
                  </w:pPr>
                  <w:r>
                    <w:rPr>
                      <w:color w:val="auto"/>
                      <w:sz w:val="21"/>
                      <w:szCs w:val="21"/>
                    </w:rPr>
                    <w:t>0</w:t>
                  </w:r>
                </w:p>
              </w:tc>
              <w:tc>
                <w:tcPr>
                  <w:tcW w:w="405" w:type="pct"/>
                  <w:noWrap w:val="0"/>
                  <w:tcMar>
                    <w:top w:w="0" w:type="dxa"/>
                    <w:left w:w="0" w:type="dxa"/>
                    <w:bottom w:w="0" w:type="dxa"/>
                    <w:right w:w="0" w:type="dxa"/>
                  </w:tcMar>
                  <w:vAlign w:val="center"/>
                </w:tcPr>
                <w:p w14:paraId="5C0815FC">
                  <w:pPr>
                    <w:jc w:val="center"/>
                    <w:rPr>
                      <w:color w:val="auto"/>
                      <w:sz w:val="21"/>
                      <w:szCs w:val="21"/>
                    </w:rPr>
                  </w:pPr>
                  <w:r>
                    <w:rPr>
                      <w:color w:val="auto"/>
                      <w:sz w:val="21"/>
                      <w:szCs w:val="21"/>
                    </w:rPr>
                    <w:t>0</w:t>
                  </w:r>
                </w:p>
              </w:tc>
              <w:tc>
                <w:tcPr>
                  <w:tcW w:w="548" w:type="pct"/>
                  <w:noWrap w:val="0"/>
                  <w:tcMar>
                    <w:top w:w="0" w:type="dxa"/>
                    <w:left w:w="0" w:type="dxa"/>
                    <w:bottom w:w="0" w:type="dxa"/>
                    <w:right w:w="0" w:type="dxa"/>
                  </w:tcMar>
                  <w:vAlign w:val="center"/>
                </w:tcPr>
                <w:p w14:paraId="1690FB67">
                  <w:pPr>
                    <w:jc w:val="center"/>
                    <w:rPr>
                      <w:color w:val="auto"/>
                      <w:sz w:val="21"/>
                      <w:szCs w:val="21"/>
                    </w:rPr>
                  </w:pPr>
                  <w:r>
                    <w:rPr>
                      <w:color w:val="auto"/>
                      <w:sz w:val="21"/>
                      <w:szCs w:val="21"/>
                    </w:rPr>
                    <w:t>0</w:t>
                  </w:r>
                </w:p>
              </w:tc>
              <w:tc>
                <w:tcPr>
                  <w:tcW w:w="430" w:type="pct"/>
                  <w:noWrap w:val="0"/>
                  <w:tcMar>
                    <w:top w:w="0" w:type="dxa"/>
                    <w:left w:w="0" w:type="dxa"/>
                    <w:bottom w:w="0" w:type="dxa"/>
                    <w:right w:w="0" w:type="dxa"/>
                  </w:tcMar>
                  <w:vAlign w:val="center"/>
                </w:tcPr>
                <w:p w14:paraId="2C1D57DF">
                  <w:pPr>
                    <w:jc w:val="center"/>
                    <w:rPr>
                      <w:color w:val="auto"/>
                      <w:sz w:val="21"/>
                      <w:szCs w:val="21"/>
                    </w:rPr>
                  </w:pPr>
                  <w:r>
                    <w:rPr>
                      <w:color w:val="auto"/>
                      <w:sz w:val="21"/>
                      <w:szCs w:val="21"/>
                    </w:rPr>
                    <w:t>0</w:t>
                  </w:r>
                </w:p>
              </w:tc>
            </w:tr>
            <w:tr w14:paraId="39BC7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tcMar>
                    <w:top w:w="0" w:type="dxa"/>
                    <w:left w:w="0" w:type="dxa"/>
                    <w:bottom w:w="0" w:type="dxa"/>
                    <w:right w:w="0" w:type="dxa"/>
                  </w:tcMar>
                  <w:vAlign w:val="center"/>
                </w:tcPr>
                <w:p w14:paraId="7391ADAA">
                  <w:pPr>
                    <w:jc w:val="center"/>
                    <w:rPr>
                      <w:color w:val="auto"/>
                      <w:sz w:val="21"/>
                      <w:szCs w:val="21"/>
                    </w:rPr>
                  </w:pPr>
                </w:p>
              </w:tc>
              <w:tc>
                <w:tcPr>
                  <w:tcW w:w="719" w:type="pct"/>
                  <w:gridSpan w:val="2"/>
                  <w:noWrap w:val="0"/>
                  <w:tcMar>
                    <w:top w:w="0" w:type="dxa"/>
                    <w:left w:w="0" w:type="dxa"/>
                    <w:bottom w:w="0" w:type="dxa"/>
                    <w:right w:w="0" w:type="dxa"/>
                  </w:tcMar>
                  <w:vAlign w:val="center"/>
                </w:tcPr>
                <w:p w14:paraId="2469F5B4">
                  <w:pPr>
                    <w:snapToGrid w:val="0"/>
                    <w:jc w:val="center"/>
                    <w:rPr>
                      <w:color w:val="auto"/>
                      <w:sz w:val="21"/>
                      <w:szCs w:val="21"/>
                    </w:rPr>
                  </w:pPr>
                  <w:r>
                    <w:rPr>
                      <w:color w:val="auto"/>
                      <w:sz w:val="21"/>
                      <w:szCs w:val="21"/>
                    </w:rPr>
                    <w:t>生活垃圾</w:t>
                  </w:r>
                </w:p>
              </w:tc>
              <w:tc>
                <w:tcPr>
                  <w:tcW w:w="412" w:type="pct"/>
                  <w:noWrap w:val="0"/>
                  <w:tcMar>
                    <w:top w:w="0" w:type="dxa"/>
                    <w:left w:w="0" w:type="dxa"/>
                    <w:bottom w:w="0" w:type="dxa"/>
                    <w:right w:w="0" w:type="dxa"/>
                  </w:tcMar>
                  <w:vAlign w:val="center"/>
                </w:tcPr>
                <w:p w14:paraId="72052C53">
                  <w:pPr>
                    <w:jc w:val="center"/>
                    <w:rPr>
                      <w:color w:val="auto"/>
                      <w:sz w:val="21"/>
                      <w:szCs w:val="21"/>
                    </w:rPr>
                  </w:pPr>
                  <w:r>
                    <w:rPr>
                      <w:rFonts w:hint="eastAsia"/>
                      <w:color w:val="auto"/>
                      <w:sz w:val="21"/>
                      <w:szCs w:val="21"/>
                    </w:rPr>
                    <w:t>0</w:t>
                  </w:r>
                </w:p>
              </w:tc>
              <w:tc>
                <w:tcPr>
                  <w:tcW w:w="397" w:type="pct"/>
                  <w:noWrap w:val="0"/>
                  <w:tcMar>
                    <w:top w:w="0" w:type="dxa"/>
                    <w:left w:w="0" w:type="dxa"/>
                    <w:bottom w:w="0" w:type="dxa"/>
                    <w:right w:w="0" w:type="dxa"/>
                  </w:tcMar>
                  <w:vAlign w:val="center"/>
                </w:tcPr>
                <w:p w14:paraId="6C8EEC1B">
                  <w:pPr>
                    <w:jc w:val="center"/>
                    <w:rPr>
                      <w:rFonts w:hint="default" w:eastAsia="宋体"/>
                      <w:color w:val="auto"/>
                      <w:sz w:val="21"/>
                      <w:szCs w:val="21"/>
                      <w:lang w:val="en-US" w:eastAsia="zh-CN"/>
                    </w:rPr>
                  </w:pPr>
                  <w:r>
                    <w:rPr>
                      <w:rFonts w:hint="eastAsia"/>
                      <w:color w:val="auto"/>
                      <w:sz w:val="21"/>
                      <w:szCs w:val="21"/>
                      <w:lang w:val="en-US" w:eastAsia="zh-CN"/>
                    </w:rPr>
                    <w:t>0.9</w:t>
                  </w:r>
                </w:p>
              </w:tc>
              <w:tc>
                <w:tcPr>
                  <w:tcW w:w="392" w:type="pct"/>
                  <w:noWrap w:val="0"/>
                  <w:tcMar>
                    <w:top w:w="0" w:type="dxa"/>
                    <w:left w:w="0" w:type="dxa"/>
                    <w:bottom w:w="0" w:type="dxa"/>
                    <w:right w:w="0" w:type="dxa"/>
                  </w:tcMar>
                  <w:vAlign w:val="center"/>
                </w:tcPr>
                <w:p w14:paraId="7B848D07">
                  <w:pPr>
                    <w:jc w:val="center"/>
                    <w:rPr>
                      <w:rFonts w:hint="default" w:eastAsia="宋体"/>
                      <w:color w:val="auto"/>
                      <w:kern w:val="2"/>
                      <w:sz w:val="21"/>
                      <w:szCs w:val="21"/>
                      <w:lang w:val="en-US" w:eastAsia="zh-CN" w:bidi="ar-SA"/>
                    </w:rPr>
                  </w:pPr>
                  <w:r>
                    <w:rPr>
                      <w:rFonts w:hint="eastAsia"/>
                      <w:color w:val="auto"/>
                      <w:sz w:val="21"/>
                      <w:szCs w:val="21"/>
                      <w:lang w:val="en-US" w:eastAsia="zh-CN"/>
                    </w:rPr>
                    <w:t>0.9</w:t>
                  </w:r>
                </w:p>
              </w:tc>
              <w:tc>
                <w:tcPr>
                  <w:tcW w:w="385" w:type="pct"/>
                  <w:noWrap w:val="0"/>
                  <w:tcMar>
                    <w:top w:w="0" w:type="dxa"/>
                    <w:left w:w="0" w:type="dxa"/>
                    <w:bottom w:w="0" w:type="dxa"/>
                    <w:right w:w="0" w:type="dxa"/>
                  </w:tcMar>
                  <w:vAlign w:val="center"/>
                </w:tcPr>
                <w:p w14:paraId="2F896F78">
                  <w:pPr>
                    <w:jc w:val="center"/>
                    <w:rPr>
                      <w:color w:val="auto"/>
                      <w:sz w:val="21"/>
                      <w:szCs w:val="21"/>
                    </w:rPr>
                  </w:pPr>
                  <w:r>
                    <w:rPr>
                      <w:color w:val="auto"/>
                      <w:sz w:val="21"/>
                      <w:szCs w:val="21"/>
                    </w:rPr>
                    <w:t>0</w:t>
                  </w:r>
                </w:p>
              </w:tc>
              <w:tc>
                <w:tcPr>
                  <w:tcW w:w="614" w:type="pct"/>
                  <w:noWrap w:val="0"/>
                  <w:tcMar>
                    <w:top w:w="0" w:type="dxa"/>
                    <w:left w:w="0" w:type="dxa"/>
                    <w:bottom w:w="0" w:type="dxa"/>
                    <w:right w:w="0" w:type="dxa"/>
                  </w:tcMar>
                  <w:vAlign w:val="center"/>
                </w:tcPr>
                <w:p w14:paraId="1F39D9F1">
                  <w:pPr>
                    <w:jc w:val="center"/>
                    <w:rPr>
                      <w:color w:val="auto"/>
                      <w:sz w:val="21"/>
                      <w:szCs w:val="21"/>
                    </w:rPr>
                  </w:pPr>
                  <w:r>
                    <w:rPr>
                      <w:color w:val="auto"/>
                      <w:sz w:val="21"/>
                      <w:szCs w:val="21"/>
                    </w:rPr>
                    <w:t>0</w:t>
                  </w:r>
                </w:p>
              </w:tc>
              <w:tc>
                <w:tcPr>
                  <w:tcW w:w="437" w:type="pct"/>
                  <w:noWrap w:val="0"/>
                  <w:tcMar>
                    <w:top w:w="0" w:type="dxa"/>
                    <w:left w:w="0" w:type="dxa"/>
                    <w:bottom w:w="0" w:type="dxa"/>
                    <w:right w:w="0" w:type="dxa"/>
                  </w:tcMar>
                  <w:vAlign w:val="center"/>
                </w:tcPr>
                <w:p w14:paraId="406823D0">
                  <w:pPr>
                    <w:jc w:val="center"/>
                    <w:rPr>
                      <w:color w:val="auto"/>
                      <w:sz w:val="21"/>
                      <w:szCs w:val="21"/>
                    </w:rPr>
                  </w:pPr>
                  <w:r>
                    <w:rPr>
                      <w:color w:val="auto"/>
                      <w:sz w:val="21"/>
                      <w:szCs w:val="21"/>
                    </w:rPr>
                    <w:t>0</w:t>
                  </w:r>
                </w:p>
              </w:tc>
              <w:tc>
                <w:tcPr>
                  <w:tcW w:w="405" w:type="pct"/>
                  <w:noWrap w:val="0"/>
                  <w:tcMar>
                    <w:top w:w="0" w:type="dxa"/>
                    <w:left w:w="0" w:type="dxa"/>
                    <w:bottom w:w="0" w:type="dxa"/>
                    <w:right w:w="0" w:type="dxa"/>
                  </w:tcMar>
                  <w:vAlign w:val="center"/>
                </w:tcPr>
                <w:p w14:paraId="171C3FB5">
                  <w:pPr>
                    <w:jc w:val="center"/>
                    <w:rPr>
                      <w:color w:val="auto"/>
                      <w:sz w:val="21"/>
                      <w:szCs w:val="21"/>
                    </w:rPr>
                  </w:pPr>
                  <w:r>
                    <w:rPr>
                      <w:color w:val="auto"/>
                      <w:sz w:val="21"/>
                      <w:szCs w:val="21"/>
                    </w:rPr>
                    <w:t>0</w:t>
                  </w:r>
                </w:p>
              </w:tc>
              <w:tc>
                <w:tcPr>
                  <w:tcW w:w="548" w:type="pct"/>
                  <w:noWrap w:val="0"/>
                  <w:tcMar>
                    <w:top w:w="0" w:type="dxa"/>
                    <w:left w:w="0" w:type="dxa"/>
                    <w:bottom w:w="0" w:type="dxa"/>
                    <w:right w:w="0" w:type="dxa"/>
                  </w:tcMar>
                  <w:vAlign w:val="center"/>
                </w:tcPr>
                <w:p w14:paraId="0431AA19">
                  <w:pPr>
                    <w:jc w:val="center"/>
                    <w:rPr>
                      <w:color w:val="auto"/>
                      <w:sz w:val="21"/>
                      <w:szCs w:val="21"/>
                    </w:rPr>
                  </w:pPr>
                  <w:r>
                    <w:rPr>
                      <w:color w:val="auto"/>
                      <w:sz w:val="21"/>
                      <w:szCs w:val="21"/>
                    </w:rPr>
                    <w:t>0</w:t>
                  </w:r>
                </w:p>
              </w:tc>
              <w:tc>
                <w:tcPr>
                  <w:tcW w:w="430" w:type="pct"/>
                  <w:noWrap w:val="0"/>
                  <w:tcMar>
                    <w:top w:w="0" w:type="dxa"/>
                    <w:left w:w="0" w:type="dxa"/>
                    <w:bottom w:w="0" w:type="dxa"/>
                    <w:right w:w="0" w:type="dxa"/>
                  </w:tcMar>
                  <w:vAlign w:val="center"/>
                </w:tcPr>
                <w:p w14:paraId="18A4962C">
                  <w:pPr>
                    <w:jc w:val="center"/>
                    <w:rPr>
                      <w:color w:val="auto"/>
                      <w:sz w:val="21"/>
                      <w:szCs w:val="21"/>
                    </w:rPr>
                  </w:pPr>
                  <w:r>
                    <w:rPr>
                      <w:color w:val="auto"/>
                      <w:sz w:val="21"/>
                      <w:szCs w:val="21"/>
                    </w:rPr>
                    <w:t>0</w:t>
                  </w:r>
                </w:p>
              </w:tc>
            </w:tr>
          </w:tbl>
          <w:p w14:paraId="605FD095">
            <w:pPr>
              <w:spacing w:before="120" w:beforeLines="50" w:line="360" w:lineRule="auto"/>
              <w:ind w:firstLine="420" w:firstLineChars="200"/>
              <w:rPr>
                <w:color w:val="auto"/>
                <w:szCs w:val="21"/>
              </w:rPr>
            </w:pPr>
            <w:r>
              <w:rPr>
                <w:color w:val="auto"/>
                <w:szCs w:val="21"/>
              </w:rPr>
              <w:t>建设单位向常州市金坛生态环境局申请总量，大气污染物排放量</w:t>
            </w:r>
            <w:r>
              <w:rPr>
                <w:rFonts w:hint="eastAsia"/>
                <w:color w:val="auto"/>
                <w:szCs w:val="21"/>
                <w:lang w:val="en-US" w:eastAsia="zh-CN"/>
              </w:rPr>
              <w:t>在原项目中平衡</w:t>
            </w:r>
            <w:r>
              <w:rPr>
                <w:color w:val="auto"/>
                <w:szCs w:val="21"/>
              </w:rPr>
              <w:t>；项目废水排放总量已纳入</w:t>
            </w:r>
            <w:r>
              <w:rPr>
                <w:rFonts w:hint="eastAsia"/>
                <w:color w:val="auto"/>
                <w:szCs w:val="21"/>
              </w:rPr>
              <w:t>常州金坛区第二污水处理有限公司</w:t>
            </w:r>
            <w:r>
              <w:rPr>
                <w:color w:val="auto"/>
                <w:szCs w:val="21"/>
              </w:rPr>
              <w:t>排污总量中，可以在</w:t>
            </w:r>
            <w:r>
              <w:rPr>
                <w:rFonts w:hint="eastAsia"/>
                <w:color w:val="auto"/>
                <w:szCs w:val="21"/>
              </w:rPr>
              <w:t>常州金坛区第二污水处理有限公司</w:t>
            </w:r>
            <w:r>
              <w:rPr>
                <w:color w:val="auto"/>
                <w:szCs w:val="21"/>
              </w:rPr>
              <w:t>的污染物排放总量控制指标内进行平衡”。</w:t>
            </w:r>
          </w:p>
          <w:p w14:paraId="67D08D09">
            <w:pPr>
              <w:spacing w:before="120" w:beforeLines="50" w:line="360" w:lineRule="auto"/>
              <w:ind w:firstLine="420" w:firstLineChars="200"/>
              <w:rPr>
                <w:color w:val="auto"/>
                <w:szCs w:val="21"/>
              </w:rPr>
            </w:pPr>
          </w:p>
          <w:p w14:paraId="492F6878">
            <w:pPr>
              <w:spacing w:before="120" w:beforeLines="50" w:line="360" w:lineRule="auto"/>
              <w:ind w:firstLine="420" w:firstLineChars="200"/>
              <w:rPr>
                <w:color w:val="auto"/>
                <w:szCs w:val="21"/>
              </w:rPr>
            </w:pPr>
          </w:p>
          <w:p w14:paraId="7B2BAF18">
            <w:pPr>
              <w:spacing w:before="120" w:beforeLines="50" w:line="360" w:lineRule="auto"/>
              <w:ind w:firstLine="420" w:firstLineChars="200"/>
              <w:rPr>
                <w:color w:val="auto"/>
                <w:szCs w:val="21"/>
              </w:rPr>
            </w:pPr>
          </w:p>
          <w:p w14:paraId="0C5C9DC4">
            <w:pPr>
              <w:spacing w:before="120" w:beforeLines="50" w:line="360" w:lineRule="auto"/>
              <w:ind w:firstLine="420" w:firstLineChars="200"/>
              <w:rPr>
                <w:color w:val="auto"/>
                <w:szCs w:val="21"/>
              </w:rPr>
            </w:pPr>
          </w:p>
          <w:p w14:paraId="661A9B0C">
            <w:pPr>
              <w:spacing w:before="120" w:beforeLines="50" w:line="360" w:lineRule="auto"/>
              <w:ind w:firstLine="420" w:firstLineChars="200"/>
              <w:rPr>
                <w:color w:val="auto"/>
                <w:szCs w:val="21"/>
              </w:rPr>
            </w:pPr>
          </w:p>
          <w:p w14:paraId="49B1B0C0">
            <w:pPr>
              <w:spacing w:line="360" w:lineRule="auto"/>
              <w:rPr>
                <w:color w:val="auto"/>
              </w:rPr>
            </w:pPr>
          </w:p>
        </w:tc>
      </w:tr>
    </w:tbl>
    <w:p w14:paraId="51AF7987">
      <w:pPr>
        <w:pStyle w:val="25"/>
        <w:adjustRightInd w:val="0"/>
        <w:snapToGrid w:val="0"/>
        <w:spacing w:before="0" w:beforeAutospacing="0" w:after="0" w:afterAutospacing="0"/>
        <w:outlineLvl w:val="0"/>
        <w:rPr>
          <w:rFonts w:ascii="Times New Roman" w:hAnsi="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7FC36E5">
      <w:pPr>
        <w:pStyle w:val="25"/>
        <w:adjustRightInd w:val="0"/>
        <w:snapToGrid w:val="0"/>
        <w:spacing w:before="0" w:beforeAutospacing="0" w:after="0" w:afterAutospacing="0"/>
        <w:outlineLvl w:val="0"/>
        <w:rPr>
          <w:rFonts w:ascii="Times New Roman" w:hAnsi="Times New Roman"/>
          <w:b/>
          <w:bCs/>
          <w:snapToGrid w:val="0"/>
          <w:color w:val="auto"/>
          <w:sz w:val="30"/>
          <w:szCs w:val="30"/>
        </w:rPr>
      </w:pPr>
      <w:bookmarkStart w:id="13" w:name="_Toc27594"/>
      <w:r>
        <w:rPr>
          <w:rFonts w:ascii="Times New Roman" w:hAnsi="Times New Roman"/>
          <w:b/>
          <w:bCs/>
          <w:snapToGrid w:val="0"/>
          <w:color w:val="auto"/>
          <w:sz w:val="30"/>
          <w:szCs w:val="30"/>
        </w:rPr>
        <w:t>四、主要环境影响和保护措施</w:t>
      </w:r>
      <w:bookmarkEnd w:id="13"/>
    </w:p>
    <w:tbl>
      <w:tblPr>
        <w:tblStyle w:val="28"/>
        <w:tblW w:w="513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5"/>
        <w:gridCol w:w="8596"/>
      </w:tblGrid>
      <w:tr w14:paraId="3FD07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9" w:hRule="atLeast"/>
          <w:jc w:val="center"/>
        </w:trPr>
        <w:tc>
          <w:tcPr>
            <w:tcW w:w="339" w:type="pct"/>
            <w:noWrap w:val="0"/>
            <w:tcMar>
              <w:left w:w="28" w:type="dxa"/>
              <w:right w:w="28" w:type="dxa"/>
            </w:tcMar>
            <w:vAlign w:val="center"/>
          </w:tcPr>
          <w:p w14:paraId="23EBC496">
            <w:pPr>
              <w:pStyle w:val="25"/>
              <w:adjustRightInd w:val="0"/>
              <w:snapToGrid w:val="0"/>
              <w:spacing w:before="0" w:beforeAutospacing="0" w:after="0" w:afterAutospacing="0"/>
              <w:jc w:val="center"/>
              <w:rPr>
                <w:rFonts w:ascii="Times New Roman" w:hAnsi="Times New Roman"/>
                <w:bCs/>
                <w:color w:val="auto"/>
                <w:sz w:val="21"/>
                <w:szCs w:val="21"/>
              </w:rPr>
            </w:pPr>
            <w:r>
              <w:rPr>
                <w:rFonts w:ascii="Times New Roman" w:hAnsi="Times New Roman"/>
                <w:color w:val="auto"/>
                <w:sz w:val="21"/>
                <w:szCs w:val="21"/>
              </w:rPr>
              <w:t>施工期环境保护措施</w:t>
            </w:r>
          </w:p>
        </w:tc>
        <w:tc>
          <w:tcPr>
            <w:tcW w:w="4660" w:type="pct"/>
            <w:noWrap w:val="0"/>
            <w:vAlign w:val="center"/>
          </w:tcPr>
          <w:p w14:paraId="0409C898">
            <w:pPr>
              <w:adjustRightInd w:val="0"/>
              <w:snapToGrid w:val="0"/>
              <w:spacing w:line="360" w:lineRule="auto"/>
              <w:ind w:firstLine="420" w:firstLineChars="200"/>
              <w:rPr>
                <w:color w:val="auto"/>
                <w:szCs w:val="21"/>
              </w:rPr>
            </w:pPr>
            <w:r>
              <w:rPr>
                <w:bCs/>
                <w:color w:val="auto"/>
                <w:szCs w:val="21"/>
              </w:rPr>
              <w:t>本项目</w:t>
            </w:r>
            <w:r>
              <w:rPr>
                <w:rFonts w:hint="eastAsia"/>
                <w:bCs/>
                <w:color w:val="auto"/>
                <w:szCs w:val="21"/>
              </w:rPr>
              <w:t>利用</w:t>
            </w:r>
            <w:r>
              <w:rPr>
                <w:rFonts w:hint="eastAsia"/>
                <w:bCs/>
                <w:color w:val="auto"/>
                <w:szCs w:val="21"/>
                <w:lang w:val="en-US" w:eastAsia="zh-CN"/>
              </w:rPr>
              <w:t>租赁</w:t>
            </w:r>
            <w:r>
              <w:rPr>
                <w:bCs/>
                <w:color w:val="auto"/>
                <w:szCs w:val="21"/>
              </w:rPr>
              <w:t>厂房</w:t>
            </w:r>
            <w:r>
              <w:rPr>
                <w:rFonts w:hint="eastAsia"/>
                <w:bCs/>
                <w:color w:val="auto"/>
                <w:szCs w:val="21"/>
              </w:rPr>
              <w:t>内</w:t>
            </w:r>
            <w:r>
              <w:rPr>
                <w:color w:val="auto"/>
                <w:szCs w:val="21"/>
              </w:rPr>
              <w:t>空余场地</w:t>
            </w:r>
            <w:r>
              <w:rPr>
                <w:bCs/>
                <w:color w:val="auto"/>
                <w:szCs w:val="21"/>
              </w:rPr>
              <w:t>进行生产，不新建构筑物，施工期仅设备安装、调试。考虑施工期环境影响微弱，本评价主要针对营运期影响进行分析。</w:t>
            </w:r>
          </w:p>
        </w:tc>
      </w:tr>
      <w:tr w14:paraId="23EE1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4" w:hRule="atLeast"/>
          <w:jc w:val="center"/>
        </w:trPr>
        <w:tc>
          <w:tcPr>
            <w:tcW w:w="339" w:type="pct"/>
            <w:noWrap w:val="0"/>
            <w:tcMar>
              <w:left w:w="28" w:type="dxa"/>
              <w:right w:w="28" w:type="dxa"/>
            </w:tcMar>
            <w:vAlign w:val="center"/>
          </w:tcPr>
          <w:p w14:paraId="467FC61C">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sz w:val="21"/>
                <w:szCs w:val="21"/>
              </w:rPr>
              <w:t>运营期环境影响和保护措施</w:t>
            </w:r>
          </w:p>
        </w:tc>
        <w:tc>
          <w:tcPr>
            <w:tcW w:w="4660" w:type="pct"/>
            <w:noWrap w:val="0"/>
            <w:vAlign w:val="center"/>
          </w:tcPr>
          <w:p w14:paraId="471851E6">
            <w:pPr>
              <w:spacing w:before="120" w:beforeLines="50" w:line="360" w:lineRule="auto"/>
              <w:ind w:firstLine="422" w:firstLineChars="200"/>
              <w:rPr>
                <w:b/>
                <w:color w:val="auto"/>
                <w:szCs w:val="21"/>
              </w:rPr>
            </w:pPr>
            <w:r>
              <w:rPr>
                <w:b/>
                <w:color w:val="auto"/>
                <w:szCs w:val="21"/>
              </w:rPr>
              <w:t>一、废气</w:t>
            </w:r>
          </w:p>
          <w:p w14:paraId="74C057C0">
            <w:pPr>
              <w:spacing w:line="360" w:lineRule="auto"/>
              <w:ind w:firstLine="422" w:firstLineChars="200"/>
              <w:jc w:val="left"/>
              <w:rPr>
                <w:b/>
                <w:bCs/>
                <w:color w:val="auto"/>
                <w:szCs w:val="21"/>
              </w:rPr>
            </w:pPr>
            <w:r>
              <w:rPr>
                <w:b/>
                <w:bCs/>
                <w:color w:val="auto"/>
                <w:szCs w:val="21"/>
              </w:rPr>
              <w:t>1、污染源强分析</w:t>
            </w:r>
          </w:p>
          <w:p w14:paraId="0147ACB9">
            <w:pPr>
              <w:adjustRightInd w:val="0"/>
              <w:snapToGrid w:val="0"/>
              <w:spacing w:line="360" w:lineRule="auto"/>
              <w:ind w:firstLine="420" w:firstLineChars="200"/>
              <w:outlineLvl w:val="0"/>
              <w:rPr>
                <w:color w:val="auto"/>
                <w:szCs w:val="21"/>
              </w:rPr>
            </w:pPr>
            <w:bookmarkStart w:id="14" w:name="_Toc8802"/>
            <w:bookmarkStart w:id="15" w:name="_Toc29962"/>
            <w:bookmarkStart w:id="16" w:name="_Toc24131"/>
            <w:r>
              <w:rPr>
                <w:color w:val="auto"/>
              </w:rPr>
              <w:t>本项目废气主要为</w:t>
            </w:r>
            <w:r>
              <w:rPr>
                <w:rFonts w:hint="eastAsia" w:cs="Times New Roman"/>
                <w:color w:val="auto"/>
                <w:sz w:val="21"/>
                <w:szCs w:val="21"/>
                <w:lang w:val="en-US" w:eastAsia="zh-CN"/>
              </w:rPr>
              <w:t>配料粉尘、</w:t>
            </w:r>
            <w:r>
              <w:rPr>
                <w:rFonts w:hint="eastAsia" w:ascii="Times New Roman" w:hAnsi="Times New Roman" w:eastAsia="宋体" w:cs="Times New Roman"/>
                <w:color w:val="auto"/>
                <w:sz w:val="21"/>
                <w:szCs w:val="21"/>
                <w:highlight w:val="none"/>
                <w:lang w:val="en-US" w:eastAsia="zh-CN"/>
              </w:rPr>
              <w:t>投料粉尘、</w:t>
            </w:r>
            <w:r>
              <w:rPr>
                <w:rFonts w:hint="eastAsia" w:ascii="Times New Roman" w:hAnsi="Times New Roman" w:eastAsia="宋体" w:cs="Times New Roman"/>
                <w:bCs/>
                <w:color w:val="auto"/>
                <w:kern w:val="2"/>
                <w:sz w:val="21"/>
                <w:szCs w:val="21"/>
                <w:lang w:val="en-US" w:eastAsia="zh-CN" w:bidi="ar-SA"/>
              </w:rPr>
              <w:t>挤出废气、烘干废气、测试废气、破碎粉尘</w:t>
            </w:r>
            <w:r>
              <w:rPr>
                <w:color w:val="auto"/>
                <w:szCs w:val="21"/>
              </w:rPr>
              <w:t>。</w:t>
            </w:r>
            <w:bookmarkEnd w:id="14"/>
            <w:bookmarkEnd w:id="15"/>
            <w:bookmarkEnd w:id="16"/>
          </w:p>
          <w:p w14:paraId="56C7CA86">
            <w:pPr>
              <w:pStyle w:val="6"/>
              <w:spacing w:line="360" w:lineRule="auto"/>
              <w:rPr>
                <w:color w:val="auto"/>
                <w:szCs w:val="21"/>
              </w:rPr>
            </w:pPr>
            <w:r>
              <w:rPr>
                <w:color w:val="auto"/>
                <w:szCs w:val="21"/>
              </w:rPr>
              <w:t>（1）</w:t>
            </w:r>
            <w:r>
              <w:rPr>
                <w:rFonts w:hint="eastAsia" w:cs="Times New Roman"/>
                <w:color w:val="auto"/>
                <w:sz w:val="21"/>
                <w:szCs w:val="21"/>
                <w:lang w:val="en-US" w:eastAsia="zh-CN"/>
              </w:rPr>
              <w:t>配料</w:t>
            </w:r>
            <w:r>
              <w:rPr>
                <w:rFonts w:hint="eastAsia" w:ascii="Times New Roman" w:hAnsi="Times New Roman" w:eastAsia="宋体" w:cs="Times New Roman"/>
                <w:color w:val="auto"/>
                <w:sz w:val="21"/>
                <w:szCs w:val="21"/>
                <w:lang w:val="en-US" w:eastAsia="zh-CN"/>
              </w:rPr>
              <w:t>粉尘</w:t>
            </w:r>
            <w:r>
              <w:rPr>
                <w:rFonts w:hint="eastAsia" w:cs="Times New Roman"/>
                <w:color w:val="auto"/>
                <w:sz w:val="21"/>
                <w:szCs w:val="21"/>
                <w:lang w:val="en-US" w:eastAsia="zh-CN"/>
              </w:rPr>
              <w:t>、投料粉尘</w:t>
            </w:r>
            <w:r>
              <w:rPr>
                <w:rFonts w:hint="eastAsia"/>
                <w:color w:val="auto"/>
                <w:szCs w:val="21"/>
                <w:lang w:eastAsia="zh-CN"/>
              </w:rPr>
              <w:t>（</w:t>
            </w:r>
            <w:r>
              <w:rPr>
                <w:rFonts w:hint="eastAsia"/>
                <w:color w:val="auto"/>
                <w:szCs w:val="21"/>
                <w:lang w:val="en-US" w:eastAsia="zh-CN"/>
              </w:rPr>
              <w:t>颗粒物</w:t>
            </w:r>
            <w:r>
              <w:rPr>
                <w:rFonts w:hint="eastAsia"/>
                <w:color w:val="auto"/>
                <w:szCs w:val="21"/>
                <w:lang w:eastAsia="zh-CN"/>
              </w:rPr>
              <w:t>）</w:t>
            </w:r>
          </w:p>
          <w:p w14:paraId="6EC1FB95">
            <w:pPr>
              <w:pStyle w:val="6"/>
              <w:spacing w:line="360" w:lineRule="auto"/>
              <w:rPr>
                <w:rFonts w:hint="default"/>
                <w:color w:val="auto"/>
                <w:kern w:val="2"/>
                <w:sz w:val="21"/>
                <w:szCs w:val="21"/>
                <w:lang w:val="en-US" w:eastAsia="zh-CN"/>
              </w:rPr>
            </w:pPr>
            <w:r>
              <w:rPr>
                <w:rFonts w:hint="eastAsia"/>
                <w:color w:val="auto"/>
                <w:kern w:val="2"/>
                <w:sz w:val="21"/>
                <w:szCs w:val="21"/>
                <w:lang w:val="en-US" w:eastAsia="zh-CN"/>
              </w:rPr>
              <w:t>本项目配料过程为人工称量方式，轻拿轻放，产生粉尘量极少，不定量分析，配料区上方设置半密闭集气罩收集进布袋除尘器处理后通过1根15米高排气筒DA001排放。</w:t>
            </w:r>
          </w:p>
          <w:p w14:paraId="0E93ABA5">
            <w:pPr>
              <w:pStyle w:val="6"/>
              <w:spacing w:line="360" w:lineRule="auto"/>
              <w:rPr>
                <w:rFonts w:hint="default" w:eastAsia="宋体"/>
                <w:color w:val="auto"/>
                <w:szCs w:val="21"/>
                <w:lang w:val="en-US" w:eastAsia="zh-CN"/>
              </w:rPr>
            </w:pPr>
            <w:r>
              <w:rPr>
                <w:rFonts w:hint="eastAsia"/>
                <w:color w:val="auto"/>
                <w:kern w:val="2"/>
                <w:sz w:val="21"/>
                <w:szCs w:val="21"/>
                <w:lang w:val="en-US" w:eastAsia="zh-CN"/>
              </w:rPr>
              <w:t>原料滑石粉和三元乙丙橡胶为粉末状，因此在投料时会产生粉尘。参考《逸散性工业粉尘控制技术》中石灰生产逸散尘源排放系数，卸料产污系数为0.015~0.2kg/t，本项目以0.2kg/t计。本项目粉料用量</w:t>
            </w:r>
            <w:r>
              <w:rPr>
                <w:rFonts w:hint="eastAsia"/>
                <w:color w:val="0000FF"/>
                <w:kern w:val="2"/>
                <w:sz w:val="21"/>
                <w:szCs w:val="21"/>
                <w:lang w:val="en-US" w:eastAsia="zh-CN"/>
              </w:rPr>
              <w:t>971t/a（滑石粉用量198t/a、三元乙丙橡胶用量773t/a）</w:t>
            </w:r>
            <w:r>
              <w:rPr>
                <w:rFonts w:hint="eastAsia"/>
                <w:color w:val="auto"/>
                <w:kern w:val="2"/>
                <w:sz w:val="21"/>
                <w:szCs w:val="21"/>
                <w:lang w:val="en-US" w:eastAsia="zh-CN"/>
              </w:rPr>
              <w:t>，则此工程中粉尘产生量为</w:t>
            </w:r>
            <w:r>
              <w:rPr>
                <w:rFonts w:hint="eastAsia"/>
                <w:color w:val="0000FF"/>
                <w:kern w:val="2"/>
                <w:sz w:val="21"/>
                <w:szCs w:val="21"/>
                <w:lang w:val="en-US" w:eastAsia="zh-CN"/>
              </w:rPr>
              <w:t>0.1942t/a。</w:t>
            </w:r>
            <w:r>
              <w:rPr>
                <w:rFonts w:hint="eastAsia"/>
                <w:color w:val="auto"/>
                <w:kern w:val="2"/>
                <w:sz w:val="21"/>
                <w:szCs w:val="21"/>
                <w:lang w:val="en-US" w:eastAsia="zh-CN"/>
              </w:rPr>
              <w:t>投料区上方设置集气罩收集进布袋除尘器处理后通过1根15米高排气筒DA001排放，收集、处理效率分别为90%、95%；则配料粉尘有组织产生量</w:t>
            </w:r>
            <w:r>
              <w:rPr>
                <w:rFonts w:hint="eastAsia"/>
                <w:color w:val="0000FF"/>
                <w:kern w:val="2"/>
                <w:sz w:val="21"/>
                <w:szCs w:val="21"/>
                <w:lang w:val="en-US" w:eastAsia="zh-CN"/>
              </w:rPr>
              <w:t>0.1748t/a</w:t>
            </w:r>
            <w:r>
              <w:rPr>
                <w:rFonts w:hint="eastAsia"/>
                <w:color w:val="auto"/>
                <w:kern w:val="2"/>
                <w:sz w:val="21"/>
                <w:szCs w:val="21"/>
                <w:lang w:val="en-US" w:eastAsia="zh-CN"/>
              </w:rPr>
              <w:t>，有组织排放量</w:t>
            </w:r>
            <w:r>
              <w:rPr>
                <w:rFonts w:hint="eastAsia"/>
                <w:color w:val="0000FF"/>
                <w:kern w:val="2"/>
                <w:sz w:val="21"/>
                <w:szCs w:val="21"/>
                <w:lang w:val="en-US" w:eastAsia="zh-CN"/>
              </w:rPr>
              <w:t>0.0087t/a</w:t>
            </w:r>
            <w:r>
              <w:rPr>
                <w:rFonts w:hint="eastAsia"/>
                <w:color w:val="auto"/>
                <w:kern w:val="2"/>
                <w:sz w:val="21"/>
                <w:szCs w:val="21"/>
                <w:lang w:val="en-US" w:eastAsia="zh-CN"/>
              </w:rPr>
              <w:t>，无组织排放量</w:t>
            </w:r>
            <w:r>
              <w:rPr>
                <w:rFonts w:hint="eastAsia"/>
                <w:color w:val="0000FF"/>
                <w:kern w:val="2"/>
                <w:sz w:val="21"/>
                <w:szCs w:val="21"/>
                <w:lang w:val="en-US" w:eastAsia="zh-CN"/>
              </w:rPr>
              <w:t>0.0194t/a</w:t>
            </w:r>
            <w:r>
              <w:rPr>
                <w:rFonts w:hint="eastAsia" w:eastAsia="宋体"/>
                <w:color w:val="0000FF"/>
                <w:szCs w:val="21"/>
                <w:lang w:val="en-US" w:eastAsia="zh-CN"/>
              </w:rPr>
              <w:t>。</w:t>
            </w:r>
          </w:p>
          <w:p w14:paraId="68E81ADC">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挤出废气（非甲烷总烃</w:t>
            </w:r>
            <w:r>
              <w:rPr>
                <w:rFonts w:hint="eastAsia" w:cs="Times New Roman"/>
                <w:color w:val="auto"/>
                <w:sz w:val="21"/>
                <w:szCs w:val="21"/>
                <w:lang w:val="en-US" w:eastAsia="zh-CN"/>
              </w:rPr>
              <w:t>、油雾（以非甲烷总烃计）</w:t>
            </w:r>
            <w:r>
              <w:rPr>
                <w:rFonts w:hint="default" w:ascii="Times New Roman" w:hAnsi="Times New Roman" w:eastAsia="宋体" w:cs="Times New Roman"/>
                <w:color w:val="auto"/>
                <w:sz w:val="21"/>
                <w:szCs w:val="21"/>
                <w:lang w:val="en-US" w:eastAsia="zh-CN"/>
              </w:rPr>
              <w:t>）</w:t>
            </w:r>
          </w:p>
          <w:p w14:paraId="2DD0D2C1">
            <w:pPr>
              <w:pStyle w:val="18"/>
              <w:keepNext w:val="0"/>
              <w:keepLines w:val="0"/>
              <w:pageBreakBefore w:val="0"/>
              <w:widowControl w:val="0"/>
              <w:kinsoku/>
              <w:wordWrap/>
              <w:overflowPunct/>
              <w:topLinePunct w:val="0"/>
              <w:autoSpaceDE/>
              <w:autoSpaceDN/>
              <w:bidi w:val="0"/>
              <w:adjustRightInd w:val="0"/>
              <w:snapToGrid w:val="0"/>
              <w:spacing w:before="0" w:line="360" w:lineRule="auto"/>
              <w:ind w:firstLine="496"/>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项目所用</w:t>
            </w:r>
            <w:r>
              <w:rPr>
                <w:rFonts w:hint="eastAsia" w:ascii="Times New Roman" w:hAnsi="Times New Roman" w:eastAsia="宋体" w:cs="Times New Roman"/>
                <w:bCs/>
                <w:color w:val="auto"/>
                <w:sz w:val="21"/>
                <w:szCs w:val="21"/>
                <w:lang w:val="en-US" w:eastAsia="zh-CN"/>
              </w:rPr>
              <w:t>原料</w:t>
            </w:r>
            <w:r>
              <w:rPr>
                <w:rFonts w:hint="default" w:ascii="Times New Roman" w:hAnsi="Times New Roman" w:eastAsia="宋体" w:cs="Times New Roman"/>
                <w:bCs/>
                <w:color w:val="auto"/>
                <w:sz w:val="21"/>
                <w:szCs w:val="21"/>
              </w:rPr>
              <w:t>其分解起始温度约为：聚丙烯</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色母粒料：330℃，三元乙丙橡胶：</w:t>
            </w:r>
            <w:r>
              <w:rPr>
                <w:rFonts w:hint="eastAsia" w:ascii="Times New Roman" w:cs="Times New Roman"/>
                <w:bCs/>
                <w:color w:val="auto"/>
                <w:sz w:val="21"/>
                <w:szCs w:val="21"/>
                <w:lang w:val="en-US" w:eastAsia="zh-CN"/>
              </w:rPr>
              <w:t>200</w:t>
            </w:r>
            <w:r>
              <w:rPr>
                <w:rFonts w:hint="default"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一小部分产品</w:t>
            </w:r>
            <w:r>
              <w:rPr>
                <w:rFonts w:ascii="Times New Roman" w:hAnsi="Times New Roman"/>
                <w:bCs/>
                <w:color w:val="auto"/>
                <w:sz w:val="21"/>
                <w:szCs w:val="21"/>
              </w:rPr>
              <w:t>热塑性弹性体</w:t>
            </w:r>
            <w:r>
              <w:rPr>
                <w:rFonts w:hint="eastAsia" w:ascii="Times New Roman" w:hAnsi="Times New Roman"/>
                <w:bCs/>
                <w:color w:val="auto"/>
                <w:sz w:val="21"/>
                <w:szCs w:val="21"/>
                <w:lang w:val="en-US" w:eastAsia="zh-CN"/>
              </w:rPr>
              <w:t>颗粒TPE作为汽车密封件的原料</w:t>
            </w:r>
            <w:r>
              <w:rPr>
                <w:rFonts w:hint="default" w:ascii="Times New Roman" w:hAnsi="Times New Roman" w:eastAsia="宋体" w:cs="Times New Roman"/>
                <w:bCs/>
                <w:color w:val="auto"/>
                <w:sz w:val="21"/>
                <w:szCs w:val="21"/>
              </w:rPr>
              <w:t>，挤出过程加热温度</w:t>
            </w:r>
            <w:r>
              <w:rPr>
                <w:rFonts w:hint="eastAsia" w:ascii="Times New Roman" w:hAnsi="Times New Roman" w:eastAsia="宋体" w:cs="Times New Roman"/>
                <w:bCs/>
                <w:color w:val="auto"/>
                <w:sz w:val="21"/>
                <w:szCs w:val="21"/>
                <w:lang w:val="en-US" w:eastAsia="zh-CN"/>
              </w:rPr>
              <w:t>约</w:t>
            </w:r>
            <w:r>
              <w:rPr>
                <w:rFonts w:hint="default" w:ascii="Times New Roman" w:hAnsi="Times New Roman" w:eastAsia="宋体" w:cs="Times New Roman"/>
                <w:bCs/>
                <w:color w:val="auto"/>
                <w:sz w:val="21"/>
                <w:szCs w:val="21"/>
              </w:rPr>
              <w:t>：180~200</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rPr>
              <w:t>均未达到其分解温度。</w:t>
            </w:r>
          </w:p>
          <w:p w14:paraId="199A1CB8">
            <w:pPr>
              <w:pStyle w:val="18"/>
              <w:keepNext w:val="0"/>
              <w:keepLines w:val="0"/>
              <w:pageBreakBefore w:val="0"/>
              <w:widowControl w:val="0"/>
              <w:kinsoku/>
              <w:wordWrap/>
              <w:overflowPunct/>
              <w:topLinePunct w:val="0"/>
              <w:autoSpaceDE/>
              <w:autoSpaceDN/>
              <w:bidi w:val="0"/>
              <w:adjustRightInd w:val="0"/>
              <w:snapToGrid w:val="0"/>
              <w:spacing w:before="0" w:line="360" w:lineRule="auto"/>
              <w:ind w:firstLine="496"/>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塑料粒子PP、三元乙丙橡胶、色母粒、抗氧化剂、环保增塑剂、热塑性弹性体TPE在</w:t>
            </w:r>
            <w:r>
              <w:rPr>
                <w:rFonts w:hint="eastAsia" w:ascii="Times New Roman" w:hAnsi="Times New Roman" w:eastAsia="宋体" w:cs="Times New Roman"/>
                <w:bCs/>
                <w:color w:val="auto"/>
                <w:sz w:val="21"/>
                <w:szCs w:val="21"/>
                <w:lang w:val="en-US" w:eastAsia="zh-CN"/>
              </w:rPr>
              <w:t>造粒</w:t>
            </w:r>
            <w:r>
              <w:rPr>
                <w:rFonts w:hint="default" w:ascii="Times New Roman" w:hAnsi="Times New Roman" w:eastAsia="宋体" w:cs="Times New Roman"/>
                <w:bCs/>
                <w:color w:val="auto"/>
                <w:sz w:val="21"/>
                <w:szCs w:val="21"/>
              </w:rPr>
              <w:t>挤出</w:t>
            </w:r>
            <w:r>
              <w:rPr>
                <w:rFonts w:hint="eastAsia" w:ascii="Times New Roman" w:hAnsi="Times New Roman" w:eastAsia="宋体" w:cs="Times New Roman"/>
                <w:bCs/>
                <w:color w:val="auto"/>
                <w:sz w:val="21"/>
                <w:szCs w:val="21"/>
                <w:lang w:val="en-US" w:eastAsia="zh-CN"/>
              </w:rPr>
              <w:t>和汽车密封件挤出过程</w:t>
            </w:r>
            <w:r>
              <w:rPr>
                <w:rFonts w:hint="default" w:ascii="Times New Roman" w:hAnsi="Times New Roman" w:eastAsia="宋体" w:cs="Times New Roman"/>
                <w:bCs/>
                <w:color w:val="auto"/>
                <w:sz w:val="21"/>
                <w:szCs w:val="21"/>
              </w:rPr>
              <w:t>时会产生一定的有机废气，主要是高温下少量单体的挥发，以非甲烷总烃计。</w:t>
            </w:r>
          </w:p>
          <w:p w14:paraId="64FEADEA">
            <w:pPr>
              <w:pStyle w:val="18"/>
              <w:keepNext w:val="0"/>
              <w:keepLines w:val="0"/>
              <w:pageBreakBefore w:val="0"/>
              <w:widowControl w:val="0"/>
              <w:kinsoku/>
              <w:wordWrap/>
              <w:overflowPunct/>
              <w:topLinePunct w:val="0"/>
              <w:autoSpaceDE/>
              <w:autoSpaceDN/>
              <w:bidi w:val="0"/>
              <w:adjustRightInd w:val="0"/>
              <w:snapToGrid w:val="0"/>
              <w:spacing w:before="0" w:line="360" w:lineRule="auto"/>
              <w:ind w:firstLine="496"/>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参照《江苏省重点行业挥发性有机物排放量计算暂行办法》中“表2.5-2石油化学工业生产产品VOCs产污系数”，聚丙烯</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色母粒</w:t>
            </w:r>
            <w:r>
              <w:rPr>
                <w:rFonts w:hint="eastAsia" w:ascii="Times New Roman" w:cs="Times New Roman"/>
                <w:bCs/>
                <w:color w:val="auto"/>
                <w:sz w:val="21"/>
                <w:szCs w:val="21"/>
                <w:lang w:eastAsia="zh-CN"/>
              </w:rPr>
              <w:t>、</w:t>
            </w:r>
            <w:r>
              <w:rPr>
                <w:rFonts w:hint="eastAsia" w:ascii="Times New Roman" w:cs="Times New Roman"/>
                <w:bCs/>
                <w:color w:val="auto"/>
                <w:sz w:val="21"/>
                <w:szCs w:val="21"/>
                <w:lang w:val="en-US" w:eastAsia="zh-CN"/>
              </w:rPr>
              <w:t>热塑性弹性体</w:t>
            </w:r>
            <w:r>
              <w:rPr>
                <w:rFonts w:hint="default" w:ascii="Times New Roman" w:hAnsi="Times New Roman" w:eastAsia="宋体" w:cs="Times New Roman"/>
                <w:bCs/>
                <w:color w:val="auto"/>
                <w:sz w:val="21"/>
                <w:szCs w:val="21"/>
              </w:rPr>
              <w:t>TPE非甲烷总烃产污系数以0.35kg/吨原料计，抗氧化剂有机废气产生量按照1.872kg/吨原料计，</w:t>
            </w:r>
            <w:r>
              <w:rPr>
                <w:rFonts w:hint="eastAsia" w:ascii="Times New Roman" w:cs="Times New Roman"/>
                <w:bCs/>
                <w:color w:val="auto"/>
                <w:sz w:val="21"/>
                <w:szCs w:val="21"/>
                <w:lang w:eastAsia="zh-CN"/>
              </w:rPr>
              <w:t>环保增塑剂为石蜡油，生产时会产生少量油雾废气，以非甲烷总烃计（</w:t>
            </w:r>
            <w:r>
              <w:rPr>
                <w:rFonts w:hint="default" w:ascii="Times New Roman" w:hAnsi="Times New Roman" w:eastAsia="宋体" w:cs="Times New Roman"/>
                <w:bCs/>
                <w:color w:val="auto"/>
                <w:sz w:val="21"/>
                <w:szCs w:val="21"/>
              </w:rPr>
              <w:t>环保增塑剂</w:t>
            </w:r>
            <w:r>
              <w:rPr>
                <w:rFonts w:hint="default" w:ascii="Times New Roman" w:hAnsi="Times New Roman" w:eastAsia="宋体" w:cs="Times New Roman"/>
                <w:color w:val="auto"/>
                <w:sz w:val="21"/>
                <w:szCs w:val="21"/>
              </w:rPr>
              <w:t>为生产石油的有机原料，产物系数按照其他塑料系数0.021</w:t>
            </w:r>
            <w:r>
              <w:rPr>
                <w:rFonts w:hint="default" w:ascii="Times New Roman" w:hAnsi="Times New Roman" w:eastAsia="宋体" w:cs="Times New Roman"/>
                <w:bCs/>
                <w:color w:val="auto"/>
                <w:sz w:val="21"/>
                <w:szCs w:val="21"/>
              </w:rPr>
              <w:t>kg/吨原料计</w:t>
            </w:r>
            <w:r>
              <w:rPr>
                <w:rFonts w:hint="eastAsia" w:ascii="Times New Roman" w:cs="Times New Roman"/>
                <w:bCs/>
                <w:color w:val="auto"/>
                <w:sz w:val="21"/>
                <w:szCs w:val="21"/>
                <w:lang w:eastAsia="zh-CN"/>
              </w:rPr>
              <w:t>）</w:t>
            </w:r>
            <w:r>
              <w:rPr>
                <w:rFonts w:hint="default" w:ascii="Times New Roman" w:hAnsi="Times New Roman" w:eastAsia="宋体" w:cs="Times New Roman"/>
                <w:bCs/>
                <w:color w:val="auto"/>
                <w:sz w:val="21"/>
                <w:szCs w:val="21"/>
              </w:rPr>
              <w:t>；</w:t>
            </w:r>
          </w:p>
          <w:p w14:paraId="16FF5200">
            <w:pPr>
              <w:pStyle w:val="18"/>
              <w:keepNext w:val="0"/>
              <w:keepLines w:val="0"/>
              <w:pageBreakBefore w:val="0"/>
              <w:widowControl w:val="0"/>
              <w:kinsoku/>
              <w:wordWrap/>
              <w:overflowPunct/>
              <w:topLinePunct w:val="0"/>
              <w:autoSpaceDE/>
              <w:autoSpaceDN/>
              <w:bidi w:val="0"/>
              <w:adjustRightInd w:val="0"/>
              <w:snapToGrid w:val="0"/>
              <w:spacing w:before="0" w:line="360" w:lineRule="auto"/>
              <w:ind w:firstLine="496"/>
              <w:textAlignment w:val="auto"/>
              <w:rPr>
                <w:rFonts w:ascii="Times New Roman" w:hAnsi="Times New Roman"/>
                <w:bCs/>
                <w:color w:val="auto"/>
                <w:szCs w:val="22"/>
              </w:rPr>
            </w:pPr>
            <w:r>
              <w:rPr>
                <w:rFonts w:hint="default" w:ascii="Times New Roman" w:hAnsi="Times New Roman" w:eastAsia="宋体" w:cs="Times New Roman"/>
                <w:bCs/>
                <w:color w:val="auto"/>
                <w:sz w:val="21"/>
                <w:szCs w:val="21"/>
              </w:rPr>
              <w:t>引用文献《橡胶制品生产过程中有机废气的排放系数》</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伊尔姆环境资源管理咨询</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上海</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有限公司，张芝兰</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w:t>
            </w:r>
            <w:r>
              <w:rPr>
                <w:rFonts w:ascii="Times New Roman" w:hAnsi="Times New Roman"/>
                <w:bCs/>
                <w:color w:val="auto"/>
                <w:sz w:val="21"/>
                <w:szCs w:val="21"/>
              </w:rPr>
              <w:t>三元乙丙橡胶</w:t>
            </w:r>
            <w:r>
              <w:rPr>
                <w:rFonts w:hint="default" w:ascii="Times New Roman" w:hAnsi="Times New Roman" w:eastAsia="宋体" w:cs="Times New Roman"/>
                <w:bCs/>
                <w:color w:val="auto"/>
                <w:sz w:val="21"/>
                <w:szCs w:val="21"/>
              </w:rPr>
              <w:t>非甲烷总烃产污系数以0.16kg/t计</w:t>
            </w:r>
            <w:r>
              <w:rPr>
                <w:rFonts w:ascii="Times New Roman" w:hAnsi="Times New Roman"/>
                <w:bCs/>
                <w:color w:val="auto"/>
                <w:szCs w:val="22"/>
              </w:rPr>
              <w:t>；</w:t>
            </w:r>
          </w:p>
          <w:p w14:paraId="17E65DCA">
            <w:pPr>
              <w:pStyle w:val="18"/>
              <w:spacing w:before="0" w:line="240" w:lineRule="auto"/>
              <w:ind w:firstLine="0" w:firstLineChars="0"/>
              <w:jc w:val="center"/>
              <w:rPr>
                <w:rFonts w:ascii="Times New Roman" w:hAnsi="Times New Roman"/>
                <w:b/>
                <w:color w:val="auto"/>
                <w:sz w:val="21"/>
                <w:szCs w:val="21"/>
              </w:rPr>
            </w:pPr>
          </w:p>
          <w:p w14:paraId="159AB4CF">
            <w:pPr>
              <w:pStyle w:val="18"/>
              <w:spacing w:before="0" w:line="240" w:lineRule="auto"/>
              <w:ind w:firstLine="0" w:firstLineChars="0"/>
              <w:jc w:val="center"/>
              <w:rPr>
                <w:rFonts w:ascii="Times New Roman" w:hAnsi="Times New Roman"/>
                <w:b/>
                <w:color w:val="auto"/>
                <w:sz w:val="21"/>
                <w:szCs w:val="21"/>
              </w:rPr>
            </w:pPr>
          </w:p>
          <w:p w14:paraId="358E49E9">
            <w:pPr>
              <w:pStyle w:val="18"/>
              <w:spacing w:before="0" w:line="240" w:lineRule="auto"/>
              <w:ind w:firstLine="0" w:firstLineChars="0"/>
              <w:jc w:val="center"/>
              <w:rPr>
                <w:rFonts w:ascii="Times New Roman" w:hAnsi="Times New Roman"/>
                <w:b/>
                <w:color w:val="auto"/>
                <w:sz w:val="21"/>
                <w:szCs w:val="21"/>
              </w:rPr>
            </w:pPr>
          </w:p>
          <w:p w14:paraId="7EA16848">
            <w:pPr>
              <w:pStyle w:val="18"/>
              <w:spacing w:before="0"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表4-</w:t>
            </w:r>
            <w:r>
              <w:rPr>
                <w:rFonts w:hint="eastAsia" w:ascii="Times New Roman" w:hAnsi="Times New Roman"/>
                <w:b/>
                <w:color w:val="auto"/>
                <w:sz w:val="21"/>
                <w:szCs w:val="21"/>
                <w:lang w:val="en-US" w:eastAsia="zh-CN"/>
              </w:rPr>
              <w:t>1</w:t>
            </w:r>
            <w:r>
              <w:rPr>
                <w:rFonts w:ascii="Times New Roman" w:hAnsi="Times New Roman"/>
                <w:b/>
                <w:color w:val="auto"/>
                <w:sz w:val="21"/>
                <w:szCs w:val="21"/>
              </w:rPr>
              <w:t xml:space="preserve"> </w:t>
            </w:r>
            <w:r>
              <w:rPr>
                <w:rFonts w:hint="eastAsia" w:ascii="Times New Roman" w:hAnsi="Times New Roman"/>
                <w:b/>
                <w:color w:val="auto"/>
                <w:sz w:val="21"/>
                <w:szCs w:val="21"/>
                <w:lang w:val="en-US" w:eastAsia="zh-CN"/>
              </w:rPr>
              <w:t>非甲烷总烃</w:t>
            </w:r>
            <w:r>
              <w:rPr>
                <w:rFonts w:ascii="Times New Roman" w:hAnsi="Times New Roman"/>
                <w:b/>
                <w:color w:val="auto"/>
                <w:sz w:val="21"/>
                <w:szCs w:val="21"/>
              </w:rPr>
              <w:t>废气产生情况</w:t>
            </w:r>
          </w:p>
          <w:tbl>
            <w:tblPr>
              <w:tblStyle w:val="28"/>
              <w:tblW w:w="497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1194"/>
              <w:gridCol w:w="2108"/>
              <w:gridCol w:w="1996"/>
            </w:tblGrid>
            <w:tr w14:paraId="581CE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2" w:type="pct"/>
                  <w:noWrap w:val="0"/>
                  <w:tcMar>
                    <w:top w:w="0" w:type="dxa"/>
                    <w:left w:w="0" w:type="dxa"/>
                    <w:bottom w:w="0" w:type="dxa"/>
                    <w:right w:w="0" w:type="dxa"/>
                  </w:tcMar>
                  <w:vAlign w:val="center"/>
                </w:tcPr>
                <w:p w14:paraId="79A43EEC">
                  <w:pPr>
                    <w:pStyle w:val="18"/>
                    <w:spacing w:before="0"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原材料</w:t>
                  </w:r>
                </w:p>
              </w:tc>
              <w:tc>
                <w:tcPr>
                  <w:tcW w:w="716" w:type="pct"/>
                  <w:noWrap w:val="0"/>
                  <w:tcMar>
                    <w:top w:w="0" w:type="dxa"/>
                    <w:left w:w="0" w:type="dxa"/>
                    <w:bottom w:w="0" w:type="dxa"/>
                    <w:right w:w="0" w:type="dxa"/>
                  </w:tcMar>
                  <w:vAlign w:val="center"/>
                </w:tcPr>
                <w:p w14:paraId="0BDCF86A">
                  <w:pPr>
                    <w:pStyle w:val="18"/>
                    <w:spacing w:before="0"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年用量</w:t>
                  </w:r>
                </w:p>
              </w:tc>
              <w:tc>
                <w:tcPr>
                  <w:tcW w:w="1264" w:type="pct"/>
                  <w:noWrap w:val="0"/>
                  <w:tcMar>
                    <w:top w:w="0" w:type="dxa"/>
                    <w:left w:w="0" w:type="dxa"/>
                    <w:bottom w:w="0" w:type="dxa"/>
                    <w:right w:w="0" w:type="dxa"/>
                  </w:tcMar>
                  <w:vAlign w:val="center"/>
                </w:tcPr>
                <w:p w14:paraId="4E23F58B">
                  <w:pPr>
                    <w:pStyle w:val="18"/>
                    <w:spacing w:before="0"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产生系数kg/t-原料</w:t>
                  </w:r>
                </w:p>
              </w:tc>
              <w:tc>
                <w:tcPr>
                  <w:tcW w:w="1197" w:type="pct"/>
                  <w:noWrap w:val="0"/>
                  <w:tcMar>
                    <w:top w:w="0" w:type="dxa"/>
                    <w:left w:w="0" w:type="dxa"/>
                    <w:bottom w:w="0" w:type="dxa"/>
                    <w:right w:w="0" w:type="dxa"/>
                  </w:tcMar>
                  <w:vAlign w:val="center"/>
                </w:tcPr>
                <w:p w14:paraId="5B3325AD">
                  <w:pPr>
                    <w:pStyle w:val="18"/>
                    <w:spacing w:before="0"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挤出工序产生量t/a</w:t>
                  </w:r>
                </w:p>
              </w:tc>
            </w:tr>
            <w:tr w14:paraId="4A5CE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2" w:type="pct"/>
                  <w:noWrap w:val="0"/>
                  <w:tcMar>
                    <w:top w:w="0" w:type="dxa"/>
                    <w:left w:w="0" w:type="dxa"/>
                    <w:bottom w:w="0" w:type="dxa"/>
                    <w:right w:w="0" w:type="dxa"/>
                  </w:tcMar>
                  <w:vAlign w:val="center"/>
                </w:tcPr>
                <w:p w14:paraId="0E26095E">
                  <w:pPr>
                    <w:pStyle w:val="18"/>
                    <w:spacing w:before="0" w:line="240" w:lineRule="auto"/>
                    <w:ind w:firstLine="0" w:firstLineChars="0"/>
                    <w:jc w:val="center"/>
                    <w:rPr>
                      <w:rFonts w:ascii="Times New Roman" w:hAnsi="Times New Roman"/>
                      <w:bCs/>
                      <w:color w:val="auto"/>
                      <w:sz w:val="21"/>
                      <w:szCs w:val="21"/>
                    </w:rPr>
                  </w:pPr>
                  <w:r>
                    <w:rPr>
                      <w:rFonts w:hint="default" w:ascii="Times New Roman" w:hAnsi="Times New Roman" w:eastAsia="宋体" w:cs="Times New Roman"/>
                      <w:bCs/>
                      <w:color w:val="auto"/>
                      <w:sz w:val="21"/>
                      <w:szCs w:val="21"/>
                    </w:rPr>
                    <w:t>聚丙烯</w:t>
                  </w:r>
                </w:p>
              </w:tc>
              <w:tc>
                <w:tcPr>
                  <w:tcW w:w="716" w:type="pct"/>
                  <w:noWrap w:val="0"/>
                  <w:tcMar>
                    <w:top w:w="0" w:type="dxa"/>
                    <w:left w:w="0" w:type="dxa"/>
                    <w:bottom w:w="0" w:type="dxa"/>
                    <w:right w:w="0" w:type="dxa"/>
                  </w:tcMar>
                  <w:vAlign w:val="center"/>
                </w:tcPr>
                <w:p w14:paraId="520C85A1">
                  <w:pPr>
                    <w:pStyle w:val="18"/>
                    <w:spacing w:before="0" w:line="240" w:lineRule="auto"/>
                    <w:ind w:firstLine="0" w:firstLineChars="0"/>
                    <w:jc w:val="center"/>
                    <w:rPr>
                      <w:rFonts w:hint="default" w:ascii="Times New Roman" w:hAnsi="Times New Roman" w:eastAsia="宋体"/>
                      <w:bCs/>
                      <w:color w:val="auto"/>
                      <w:sz w:val="21"/>
                      <w:szCs w:val="21"/>
                      <w:lang w:val="en-US" w:eastAsia="zh-CN"/>
                    </w:rPr>
                  </w:pPr>
                  <w:r>
                    <w:rPr>
                      <w:rFonts w:hint="eastAsia" w:ascii="Times New Roman"/>
                      <w:bCs/>
                      <w:color w:val="0000FF"/>
                      <w:sz w:val="21"/>
                      <w:szCs w:val="21"/>
                      <w:lang w:val="en-US" w:eastAsia="zh-CN"/>
                    </w:rPr>
                    <w:t>820</w:t>
                  </w:r>
                </w:p>
              </w:tc>
              <w:tc>
                <w:tcPr>
                  <w:tcW w:w="1264" w:type="pct"/>
                  <w:noWrap w:val="0"/>
                  <w:tcMar>
                    <w:top w:w="0" w:type="dxa"/>
                    <w:left w:w="0" w:type="dxa"/>
                    <w:bottom w:w="0" w:type="dxa"/>
                    <w:right w:w="0" w:type="dxa"/>
                  </w:tcMar>
                  <w:vAlign w:val="center"/>
                </w:tcPr>
                <w:p w14:paraId="04C87527">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0.35</w:t>
                  </w:r>
                </w:p>
              </w:tc>
              <w:tc>
                <w:tcPr>
                  <w:tcW w:w="1996" w:type="dxa"/>
                  <w:noWrap w:val="0"/>
                  <w:tcMar>
                    <w:top w:w="0" w:type="dxa"/>
                    <w:left w:w="0" w:type="dxa"/>
                    <w:bottom w:w="0" w:type="dxa"/>
                    <w:right w:w="0" w:type="dxa"/>
                  </w:tcMar>
                  <w:vAlign w:val="center"/>
                </w:tcPr>
                <w:p w14:paraId="396C79F2">
                  <w:pPr>
                    <w:pStyle w:val="18"/>
                    <w:spacing w:before="0"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cs="Times New Roman"/>
                      <w:bCs/>
                      <w:color w:val="0000FF"/>
                      <w:sz w:val="21"/>
                      <w:szCs w:val="21"/>
                      <w:lang w:val="en-US" w:eastAsia="zh-CN"/>
                    </w:rPr>
                    <w:t>0.287</w:t>
                  </w:r>
                </w:p>
              </w:tc>
            </w:tr>
            <w:tr w14:paraId="5A6D5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2" w:type="pct"/>
                  <w:noWrap w:val="0"/>
                  <w:tcMar>
                    <w:top w:w="0" w:type="dxa"/>
                    <w:left w:w="0" w:type="dxa"/>
                    <w:bottom w:w="0" w:type="dxa"/>
                    <w:right w:w="0" w:type="dxa"/>
                  </w:tcMar>
                  <w:vAlign w:val="center"/>
                </w:tcPr>
                <w:p w14:paraId="75CB27B6">
                  <w:pPr>
                    <w:pStyle w:val="18"/>
                    <w:spacing w:before="0"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色母粒</w:t>
                  </w:r>
                </w:p>
              </w:tc>
              <w:tc>
                <w:tcPr>
                  <w:tcW w:w="716" w:type="pct"/>
                  <w:noWrap w:val="0"/>
                  <w:tcMar>
                    <w:top w:w="0" w:type="dxa"/>
                    <w:left w:w="0" w:type="dxa"/>
                    <w:bottom w:w="0" w:type="dxa"/>
                    <w:right w:w="0" w:type="dxa"/>
                  </w:tcMar>
                  <w:vAlign w:val="center"/>
                </w:tcPr>
                <w:p w14:paraId="7716E768">
                  <w:pPr>
                    <w:pStyle w:val="18"/>
                    <w:spacing w:before="0" w:line="240" w:lineRule="auto"/>
                    <w:ind w:firstLine="0" w:firstLineChars="0"/>
                    <w:jc w:val="center"/>
                    <w:rPr>
                      <w:rFonts w:hint="default" w:ascii="Times New Roman" w:hAnsi="Times New Roman"/>
                      <w:bCs/>
                      <w:color w:val="auto"/>
                      <w:sz w:val="21"/>
                      <w:szCs w:val="21"/>
                      <w:lang w:val="en-US" w:eastAsia="zh-CN"/>
                    </w:rPr>
                  </w:pPr>
                  <w:r>
                    <w:rPr>
                      <w:rFonts w:hint="eastAsia" w:ascii="Times New Roman"/>
                      <w:bCs/>
                      <w:color w:val="auto"/>
                      <w:sz w:val="21"/>
                      <w:szCs w:val="21"/>
                      <w:lang w:val="en-US" w:eastAsia="zh-CN"/>
                    </w:rPr>
                    <w:t>9</w:t>
                  </w:r>
                </w:p>
              </w:tc>
              <w:tc>
                <w:tcPr>
                  <w:tcW w:w="1264" w:type="pct"/>
                  <w:noWrap w:val="0"/>
                  <w:tcMar>
                    <w:top w:w="0" w:type="dxa"/>
                    <w:left w:w="0" w:type="dxa"/>
                    <w:bottom w:w="0" w:type="dxa"/>
                    <w:right w:w="0" w:type="dxa"/>
                  </w:tcMar>
                  <w:vAlign w:val="center"/>
                </w:tcPr>
                <w:p w14:paraId="7E797E46">
                  <w:pPr>
                    <w:pStyle w:val="18"/>
                    <w:spacing w:before="0" w:line="240" w:lineRule="auto"/>
                    <w:ind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bCs/>
                      <w:color w:val="auto"/>
                      <w:sz w:val="21"/>
                      <w:szCs w:val="21"/>
                      <w:lang w:val="en-US" w:eastAsia="zh-CN"/>
                    </w:rPr>
                    <w:t>0.35</w:t>
                  </w:r>
                </w:p>
              </w:tc>
              <w:tc>
                <w:tcPr>
                  <w:tcW w:w="1996" w:type="dxa"/>
                  <w:noWrap w:val="0"/>
                  <w:tcMar>
                    <w:top w:w="0" w:type="dxa"/>
                    <w:left w:w="0" w:type="dxa"/>
                    <w:bottom w:w="0" w:type="dxa"/>
                    <w:right w:w="0" w:type="dxa"/>
                  </w:tcMar>
                  <w:vAlign w:val="center"/>
                </w:tcPr>
                <w:p w14:paraId="2164E330">
                  <w:pPr>
                    <w:pStyle w:val="18"/>
                    <w:spacing w:before="0"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0.0032</w:t>
                  </w:r>
                </w:p>
              </w:tc>
            </w:tr>
            <w:tr w14:paraId="33D15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2" w:type="pct"/>
                  <w:shd w:val="clear" w:color="auto" w:fill="auto"/>
                  <w:noWrap w:val="0"/>
                  <w:tcMar>
                    <w:top w:w="0" w:type="dxa"/>
                    <w:left w:w="0" w:type="dxa"/>
                    <w:bottom w:w="0" w:type="dxa"/>
                    <w:right w:w="0" w:type="dxa"/>
                  </w:tcMar>
                  <w:vAlign w:val="center"/>
                </w:tcPr>
                <w:p w14:paraId="4FB1247B">
                  <w:pPr>
                    <w:pStyle w:val="18"/>
                    <w:spacing w:before="0" w:line="240" w:lineRule="auto"/>
                    <w:ind w:firstLine="0" w:firstLineChars="0"/>
                    <w:jc w:val="center"/>
                    <w:rPr>
                      <w:rFonts w:hint="eastAsia" w:ascii="Times New Roman" w:hAnsi="Times New Roman" w:eastAsia="宋体" w:cs="Times New Roman"/>
                      <w:bCs/>
                      <w:color w:val="auto"/>
                      <w:spacing w:val="4"/>
                      <w:kern w:val="2"/>
                      <w:sz w:val="21"/>
                      <w:szCs w:val="21"/>
                      <w:lang w:val="en-US" w:eastAsia="zh-CN" w:bidi="ar-SA"/>
                    </w:rPr>
                  </w:pPr>
                  <w:r>
                    <w:rPr>
                      <w:rFonts w:ascii="Times New Roman" w:hAnsi="Times New Roman"/>
                      <w:bCs/>
                      <w:color w:val="auto"/>
                      <w:sz w:val="21"/>
                      <w:szCs w:val="21"/>
                    </w:rPr>
                    <w:t>热塑性弹性体</w:t>
                  </w:r>
                  <w:r>
                    <w:rPr>
                      <w:rFonts w:hint="eastAsia" w:ascii="Times New Roman" w:hAnsi="Times New Roman"/>
                      <w:bCs/>
                      <w:color w:val="auto"/>
                      <w:sz w:val="21"/>
                      <w:szCs w:val="21"/>
                      <w:lang w:val="en-US" w:eastAsia="zh-CN"/>
                    </w:rPr>
                    <w:t>颗粒</w:t>
                  </w:r>
                  <w:r>
                    <w:rPr>
                      <w:rFonts w:ascii="Times New Roman" w:hAnsi="Times New Roman"/>
                      <w:bCs/>
                      <w:color w:val="auto"/>
                      <w:sz w:val="21"/>
                      <w:szCs w:val="21"/>
                    </w:rPr>
                    <w:t>TPE</w:t>
                  </w:r>
                </w:p>
              </w:tc>
              <w:tc>
                <w:tcPr>
                  <w:tcW w:w="716" w:type="pct"/>
                  <w:shd w:val="clear" w:color="auto" w:fill="auto"/>
                  <w:noWrap w:val="0"/>
                  <w:tcMar>
                    <w:top w:w="0" w:type="dxa"/>
                    <w:left w:w="0" w:type="dxa"/>
                    <w:bottom w:w="0" w:type="dxa"/>
                    <w:right w:w="0" w:type="dxa"/>
                  </w:tcMar>
                  <w:vAlign w:val="center"/>
                </w:tcPr>
                <w:p w14:paraId="67472456">
                  <w:pPr>
                    <w:pStyle w:val="18"/>
                    <w:spacing w:before="0" w:line="240" w:lineRule="auto"/>
                    <w:ind w:firstLine="0" w:firstLineChars="0"/>
                    <w:jc w:val="center"/>
                    <w:rPr>
                      <w:rFonts w:hint="eastAsia" w:ascii="Times New Roman" w:hAnsi="Times New Roman" w:eastAsia="宋体" w:cs="Times New Roman"/>
                      <w:bCs/>
                      <w:color w:val="auto"/>
                      <w:spacing w:val="4"/>
                      <w:kern w:val="2"/>
                      <w:sz w:val="21"/>
                      <w:szCs w:val="21"/>
                      <w:lang w:val="en-US" w:eastAsia="zh-CN" w:bidi="ar-SA"/>
                    </w:rPr>
                  </w:pPr>
                  <w:r>
                    <w:rPr>
                      <w:rFonts w:hint="eastAsia" w:ascii="Times New Roman" w:hAnsi="Times New Roman"/>
                      <w:bCs/>
                      <w:color w:val="auto"/>
                      <w:sz w:val="21"/>
                      <w:szCs w:val="21"/>
                      <w:lang w:val="en-US" w:eastAsia="zh-CN"/>
                    </w:rPr>
                    <w:t>30</w:t>
                  </w:r>
                </w:p>
              </w:tc>
              <w:tc>
                <w:tcPr>
                  <w:tcW w:w="1264" w:type="pct"/>
                  <w:noWrap w:val="0"/>
                  <w:tcMar>
                    <w:top w:w="0" w:type="dxa"/>
                    <w:left w:w="0" w:type="dxa"/>
                    <w:bottom w:w="0" w:type="dxa"/>
                    <w:right w:w="0" w:type="dxa"/>
                  </w:tcMar>
                  <w:vAlign w:val="center"/>
                </w:tcPr>
                <w:p w14:paraId="0525E9CF">
                  <w:pPr>
                    <w:pStyle w:val="18"/>
                    <w:spacing w:before="0" w:line="240" w:lineRule="auto"/>
                    <w:ind w:firstLine="0" w:firstLineChars="0"/>
                    <w:jc w:val="center"/>
                    <w:rPr>
                      <w:rFonts w:hint="eastAsia" w:ascii="Times New Roman" w:hAnsi="Times New Roman"/>
                      <w:bCs/>
                      <w:color w:val="auto"/>
                      <w:sz w:val="21"/>
                      <w:szCs w:val="21"/>
                      <w:lang w:val="en-US" w:eastAsia="zh-CN"/>
                    </w:rPr>
                  </w:pPr>
                  <w:r>
                    <w:rPr>
                      <w:rFonts w:hint="eastAsia" w:ascii="Times New Roman" w:hAnsi="Times New Roman"/>
                      <w:bCs/>
                      <w:color w:val="auto"/>
                      <w:sz w:val="21"/>
                      <w:szCs w:val="21"/>
                      <w:lang w:val="en-US" w:eastAsia="zh-CN"/>
                    </w:rPr>
                    <w:t>0.35</w:t>
                  </w:r>
                </w:p>
              </w:tc>
              <w:tc>
                <w:tcPr>
                  <w:tcW w:w="1996" w:type="dxa"/>
                  <w:noWrap w:val="0"/>
                  <w:tcMar>
                    <w:top w:w="0" w:type="dxa"/>
                    <w:left w:w="0" w:type="dxa"/>
                    <w:bottom w:w="0" w:type="dxa"/>
                    <w:right w:w="0" w:type="dxa"/>
                  </w:tcMar>
                  <w:vAlign w:val="center"/>
                </w:tcPr>
                <w:p w14:paraId="1424682A">
                  <w:pPr>
                    <w:pStyle w:val="18"/>
                    <w:spacing w:before="0"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0.0105</w:t>
                  </w:r>
                </w:p>
              </w:tc>
            </w:tr>
            <w:tr w14:paraId="72DFB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822" w:type="pct"/>
                  <w:noWrap w:val="0"/>
                  <w:tcMar>
                    <w:top w:w="0" w:type="dxa"/>
                    <w:left w:w="0" w:type="dxa"/>
                    <w:bottom w:w="0" w:type="dxa"/>
                    <w:right w:w="0" w:type="dxa"/>
                  </w:tcMar>
                  <w:vAlign w:val="center"/>
                </w:tcPr>
                <w:p w14:paraId="5966B8BD">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三元乙丙橡胶</w:t>
                  </w:r>
                </w:p>
              </w:tc>
              <w:tc>
                <w:tcPr>
                  <w:tcW w:w="716" w:type="pct"/>
                  <w:noWrap w:val="0"/>
                  <w:tcMar>
                    <w:top w:w="0" w:type="dxa"/>
                    <w:left w:w="0" w:type="dxa"/>
                    <w:bottom w:w="0" w:type="dxa"/>
                    <w:right w:w="0" w:type="dxa"/>
                  </w:tcMar>
                  <w:vAlign w:val="center"/>
                </w:tcPr>
                <w:p w14:paraId="5B8A1B96">
                  <w:pPr>
                    <w:pStyle w:val="18"/>
                    <w:spacing w:before="0" w:line="240" w:lineRule="auto"/>
                    <w:ind w:firstLine="0" w:firstLineChars="0"/>
                    <w:jc w:val="center"/>
                    <w:rPr>
                      <w:rFonts w:hint="default" w:ascii="Times New Roman" w:hAnsi="Times New Roman" w:eastAsia="宋体"/>
                      <w:bCs/>
                      <w:color w:val="auto"/>
                      <w:sz w:val="21"/>
                      <w:szCs w:val="21"/>
                      <w:lang w:val="en-US" w:eastAsia="zh-CN"/>
                    </w:rPr>
                  </w:pPr>
                  <w:r>
                    <w:rPr>
                      <w:rFonts w:hint="eastAsia" w:ascii="Times New Roman"/>
                      <w:bCs/>
                      <w:color w:val="0000FF"/>
                      <w:sz w:val="21"/>
                      <w:szCs w:val="21"/>
                      <w:lang w:val="en-US" w:eastAsia="zh-CN"/>
                    </w:rPr>
                    <w:t>773</w:t>
                  </w:r>
                </w:p>
              </w:tc>
              <w:tc>
                <w:tcPr>
                  <w:tcW w:w="1264" w:type="pct"/>
                  <w:noWrap w:val="0"/>
                  <w:tcMar>
                    <w:top w:w="0" w:type="dxa"/>
                    <w:left w:w="0" w:type="dxa"/>
                    <w:bottom w:w="0" w:type="dxa"/>
                    <w:right w:w="0" w:type="dxa"/>
                  </w:tcMar>
                  <w:vAlign w:val="center"/>
                </w:tcPr>
                <w:p w14:paraId="681D9EB8">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0.16</w:t>
                  </w:r>
                </w:p>
              </w:tc>
              <w:tc>
                <w:tcPr>
                  <w:tcW w:w="1996" w:type="dxa"/>
                  <w:noWrap w:val="0"/>
                  <w:tcMar>
                    <w:top w:w="0" w:type="dxa"/>
                    <w:left w:w="0" w:type="dxa"/>
                    <w:bottom w:w="0" w:type="dxa"/>
                    <w:right w:w="0" w:type="dxa"/>
                  </w:tcMar>
                  <w:vAlign w:val="center"/>
                </w:tcPr>
                <w:p w14:paraId="2C49CB54">
                  <w:pPr>
                    <w:pStyle w:val="18"/>
                    <w:spacing w:before="0"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cs="Times New Roman"/>
                      <w:bCs/>
                      <w:color w:val="0000FF"/>
                      <w:sz w:val="21"/>
                      <w:szCs w:val="21"/>
                      <w:lang w:val="en-US" w:eastAsia="zh-CN"/>
                    </w:rPr>
                    <w:t>0.1237</w:t>
                  </w:r>
                </w:p>
              </w:tc>
            </w:tr>
            <w:tr w14:paraId="459AF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2" w:type="pct"/>
                  <w:noWrap w:val="0"/>
                  <w:tcMar>
                    <w:top w:w="0" w:type="dxa"/>
                    <w:left w:w="0" w:type="dxa"/>
                    <w:bottom w:w="0" w:type="dxa"/>
                    <w:right w:w="0" w:type="dxa"/>
                  </w:tcMar>
                  <w:vAlign w:val="center"/>
                </w:tcPr>
                <w:p w14:paraId="6149504C">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抗氧化剂</w:t>
                  </w:r>
                </w:p>
              </w:tc>
              <w:tc>
                <w:tcPr>
                  <w:tcW w:w="716" w:type="pct"/>
                  <w:noWrap w:val="0"/>
                  <w:tcMar>
                    <w:top w:w="0" w:type="dxa"/>
                    <w:left w:w="0" w:type="dxa"/>
                    <w:bottom w:w="0" w:type="dxa"/>
                    <w:right w:w="0" w:type="dxa"/>
                  </w:tcMar>
                  <w:vAlign w:val="center"/>
                </w:tcPr>
                <w:p w14:paraId="4F25E54D">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2</w:t>
                  </w:r>
                </w:p>
              </w:tc>
              <w:tc>
                <w:tcPr>
                  <w:tcW w:w="1264" w:type="pct"/>
                  <w:noWrap w:val="0"/>
                  <w:tcMar>
                    <w:top w:w="0" w:type="dxa"/>
                    <w:left w:w="0" w:type="dxa"/>
                    <w:bottom w:w="0" w:type="dxa"/>
                    <w:right w:w="0" w:type="dxa"/>
                  </w:tcMar>
                  <w:vAlign w:val="center"/>
                </w:tcPr>
                <w:p w14:paraId="00C68523">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1.872</w:t>
                  </w:r>
                </w:p>
              </w:tc>
              <w:tc>
                <w:tcPr>
                  <w:tcW w:w="1996" w:type="dxa"/>
                  <w:noWrap w:val="0"/>
                  <w:tcMar>
                    <w:top w:w="0" w:type="dxa"/>
                    <w:left w:w="0" w:type="dxa"/>
                    <w:bottom w:w="0" w:type="dxa"/>
                    <w:right w:w="0" w:type="dxa"/>
                  </w:tcMar>
                  <w:vAlign w:val="center"/>
                </w:tcPr>
                <w:p w14:paraId="50E5BA03">
                  <w:pPr>
                    <w:pStyle w:val="18"/>
                    <w:spacing w:before="0"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0.0037</w:t>
                  </w:r>
                </w:p>
              </w:tc>
            </w:tr>
            <w:tr w14:paraId="50418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2" w:type="pct"/>
                  <w:noWrap w:val="0"/>
                  <w:tcMar>
                    <w:top w:w="0" w:type="dxa"/>
                    <w:left w:w="0" w:type="dxa"/>
                    <w:bottom w:w="0" w:type="dxa"/>
                    <w:right w:w="0" w:type="dxa"/>
                  </w:tcMar>
                  <w:vAlign w:val="center"/>
                </w:tcPr>
                <w:p w14:paraId="198CE417">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其他有机原料（环保增塑剂）</w:t>
                  </w:r>
                </w:p>
              </w:tc>
              <w:tc>
                <w:tcPr>
                  <w:tcW w:w="716" w:type="pct"/>
                  <w:noWrap w:val="0"/>
                  <w:tcMar>
                    <w:top w:w="0" w:type="dxa"/>
                    <w:left w:w="0" w:type="dxa"/>
                    <w:bottom w:w="0" w:type="dxa"/>
                    <w:right w:w="0" w:type="dxa"/>
                  </w:tcMar>
                  <w:vAlign w:val="center"/>
                </w:tcPr>
                <w:p w14:paraId="6572439D">
                  <w:pPr>
                    <w:pStyle w:val="18"/>
                    <w:spacing w:before="0" w:line="240" w:lineRule="auto"/>
                    <w:ind w:firstLine="0" w:firstLineChars="0"/>
                    <w:jc w:val="center"/>
                    <w:rPr>
                      <w:rFonts w:hint="default" w:ascii="Times New Roman" w:hAnsi="Times New Roman" w:eastAsia="宋体"/>
                      <w:bCs/>
                      <w:color w:val="auto"/>
                      <w:sz w:val="21"/>
                      <w:szCs w:val="21"/>
                      <w:lang w:val="en-US" w:eastAsia="zh-CN"/>
                    </w:rPr>
                  </w:pPr>
                  <w:r>
                    <w:rPr>
                      <w:rFonts w:hint="eastAsia" w:ascii="Times New Roman"/>
                      <w:bCs/>
                      <w:color w:val="0000FF"/>
                      <w:sz w:val="21"/>
                      <w:szCs w:val="21"/>
                      <w:lang w:val="en-US" w:eastAsia="zh-CN"/>
                    </w:rPr>
                    <w:t>198</w:t>
                  </w:r>
                </w:p>
              </w:tc>
              <w:tc>
                <w:tcPr>
                  <w:tcW w:w="1264" w:type="pct"/>
                  <w:noWrap w:val="0"/>
                  <w:tcMar>
                    <w:top w:w="0" w:type="dxa"/>
                    <w:left w:w="0" w:type="dxa"/>
                    <w:bottom w:w="0" w:type="dxa"/>
                    <w:right w:w="0" w:type="dxa"/>
                  </w:tcMar>
                  <w:vAlign w:val="center"/>
                </w:tcPr>
                <w:p w14:paraId="1C122869">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0.021</w:t>
                  </w:r>
                </w:p>
              </w:tc>
              <w:tc>
                <w:tcPr>
                  <w:tcW w:w="1996" w:type="dxa"/>
                  <w:noWrap w:val="0"/>
                  <w:tcMar>
                    <w:top w:w="0" w:type="dxa"/>
                    <w:left w:w="0" w:type="dxa"/>
                    <w:bottom w:w="0" w:type="dxa"/>
                    <w:right w:w="0" w:type="dxa"/>
                  </w:tcMar>
                  <w:vAlign w:val="center"/>
                </w:tcPr>
                <w:p w14:paraId="7C70ABD1">
                  <w:pPr>
                    <w:pStyle w:val="18"/>
                    <w:spacing w:before="0"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0000FF"/>
                      <w:sz w:val="21"/>
                      <w:szCs w:val="21"/>
                      <w:lang w:val="en-US" w:eastAsia="zh-CN"/>
                    </w:rPr>
                    <w:t>0.0042</w:t>
                  </w:r>
                </w:p>
              </w:tc>
            </w:tr>
            <w:tr w14:paraId="25846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02" w:type="pct"/>
                  <w:gridSpan w:val="3"/>
                  <w:noWrap w:val="0"/>
                  <w:tcMar>
                    <w:top w:w="0" w:type="dxa"/>
                    <w:left w:w="0" w:type="dxa"/>
                    <w:bottom w:w="0" w:type="dxa"/>
                    <w:right w:w="0" w:type="dxa"/>
                  </w:tcMar>
                  <w:vAlign w:val="center"/>
                </w:tcPr>
                <w:p w14:paraId="061BEB26">
                  <w:pPr>
                    <w:pStyle w:val="18"/>
                    <w:spacing w:before="0" w:line="240" w:lineRule="auto"/>
                    <w:ind w:firstLine="0" w:firstLineChars="0"/>
                    <w:jc w:val="center"/>
                    <w:rPr>
                      <w:rFonts w:ascii="Times New Roman" w:hAnsi="Times New Roman"/>
                      <w:bCs/>
                      <w:color w:val="auto"/>
                      <w:sz w:val="21"/>
                      <w:szCs w:val="21"/>
                    </w:rPr>
                  </w:pPr>
                  <w:r>
                    <w:rPr>
                      <w:rFonts w:ascii="Times New Roman" w:hAnsi="Times New Roman"/>
                      <w:bCs/>
                      <w:color w:val="auto"/>
                      <w:sz w:val="21"/>
                      <w:szCs w:val="21"/>
                    </w:rPr>
                    <w:t>合计</w:t>
                  </w:r>
                </w:p>
              </w:tc>
              <w:tc>
                <w:tcPr>
                  <w:tcW w:w="1197" w:type="pct"/>
                  <w:noWrap w:val="0"/>
                  <w:tcMar>
                    <w:top w:w="0" w:type="dxa"/>
                    <w:left w:w="0" w:type="dxa"/>
                    <w:bottom w:w="0" w:type="dxa"/>
                    <w:right w:w="0" w:type="dxa"/>
                  </w:tcMar>
                  <w:vAlign w:val="center"/>
                </w:tcPr>
                <w:p w14:paraId="195CD41A">
                  <w:pPr>
                    <w:pStyle w:val="18"/>
                    <w:spacing w:before="0" w:line="240" w:lineRule="auto"/>
                    <w:ind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bCs/>
                      <w:color w:val="0000FF"/>
                      <w:sz w:val="21"/>
                      <w:szCs w:val="21"/>
                      <w:lang w:val="en-US" w:eastAsia="zh-CN"/>
                    </w:rPr>
                    <w:t>0</w:t>
                  </w:r>
                  <w:r>
                    <w:rPr>
                      <w:rFonts w:hint="eastAsia" w:ascii="Times New Roman"/>
                      <w:bCs/>
                      <w:color w:val="0000FF"/>
                      <w:sz w:val="21"/>
                      <w:szCs w:val="21"/>
                      <w:lang w:val="en-US" w:eastAsia="zh-CN"/>
                    </w:rPr>
                    <w:t>4323</w:t>
                  </w:r>
                </w:p>
              </w:tc>
            </w:tr>
          </w:tbl>
          <w:p w14:paraId="6022079F">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szCs w:val="21"/>
                <w:lang w:val="en-US"/>
              </w:rPr>
            </w:pPr>
            <w:r>
              <w:rPr>
                <w:rFonts w:hint="eastAsia"/>
                <w:color w:val="auto"/>
                <w:szCs w:val="21"/>
                <w:lang w:val="en-US" w:eastAsia="zh-CN"/>
              </w:rPr>
              <w:t>挤出废气经半密闭集气罩收集至1套“水喷淋塔+除湿器+二级活性炭吸附装置”处理后通过1根15米高排气筒DA002排放，收集效率和处理效率以90%计。非甲烷总烃有组织产生量</w:t>
            </w:r>
            <w:r>
              <w:rPr>
                <w:rFonts w:hint="eastAsia"/>
                <w:color w:val="0000FF"/>
                <w:szCs w:val="21"/>
                <w:lang w:val="en-US" w:eastAsia="zh-CN"/>
              </w:rPr>
              <w:t>0.3891t/a</w:t>
            </w:r>
            <w:r>
              <w:rPr>
                <w:rFonts w:hint="eastAsia"/>
                <w:color w:val="auto"/>
                <w:szCs w:val="21"/>
                <w:lang w:val="en-US" w:eastAsia="zh-CN"/>
              </w:rPr>
              <w:t>，有组织排放量</w:t>
            </w:r>
            <w:r>
              <w:rPr>
                <w:rFonts w:hint="eastAsia"/>
                <w:color w:val="0000FF"/>
                <w:szCs w:val="21"/>
                <w:lang w:val="en-US" w:eastAsia="zh-CN"/>
              </w:rPr>
              <w:t>0.0389t/a</w:t>
            </w:r>
            <w:r>
              <w:rPr>
                <w:rFonts w:hint="eastAsia"/>
                <w:color w:val="auto"/>
                <w:szCs w:val="21"/>
                <w:lang w:val="en-US" w:eastAsia="zh-CN"/>
              </w:rPr>
              <w:t>，无组织排放量</w:t>
            </w:r>
            <w:r>
              <w:rPr>
                <w:rFonts w:hint="eastAsia"/>
                <w:color w:val="0000FF"/>
                <w:szCs w:val="21"/>
                <w:lang w:val="en-US" w:eastAsia="zh-CN"/>
              </w:rPr>
              <w:t>0.0432t/a</w:t>
            </w:r>
            <w:r>
              <w:rPr>
                <w:rFonts w:hint="eastAsia"/>
                <w:color w:val="auto"/>
                <w:szCs w:val="21"/>
                <w:lang w:val="en-US" w:eastAsia="zh-CN"/>
              </w:rPr>
              <w:t>。</w:t>
            </w:r>
          </w:p>
          <w:p w14:paraId="1860CF76">
            <w:pPr>
              <w:pStyle w:val="6"/>
              <w:numPr>
                <w:ilvl w:val="0"/>
                <w:numId w:val="0"/>
              </w:numPr>
              <w:spacing w:line="360" w:lineRule="auto"/>
              <w:ind w:firstLine="420" w:firstLineChars="200"/>
              <w:rPr>
                <w:rFonts w:hint="default"/>
                <w:color w:val="auto"/>
                <w:szCs w:val="21"/>
                <w:lang w:val="en-US" w:eastAsia="zh-CN"/>
              </w:rPr>
            </w:pPr>
            <w:r>
              <w:rPr>
                <w:rFonts w:hint="eastAsia"/>
                <w:color w:val="auto"/>
                <w:szCs w:val="21"/>
                <w:lang w:val="en-US" w:eastAsia="zh-CN"/>
              </w:rPr>
              <w:t>（3）烘干废气（非甲烷总烃）</w:t>
            </w:r>
          </w:p>
          <w:p w14:paraId="343255B6">
            <w:pPr>
              <w:pStyle w:val="6"/>
              <w:spacing w:line="360" w:lineRule="auto"/>
              <w:rPr>
                <w:rFonts w:hint="default" w:eastAsia="宋体"/>
                <w:color w:val="auto"/>
                <w:szCs w:val="21"/>
                <w:lang w:val="en-US" w:eastAsia="zh-CN"/>
              </w:rPr>
            </w:pPr>
            <w:r>
              <w:rPr>
                <w:rFonts w:hint="eastAsia"/>
                <w:color w:val="auto"/>
                <w:szCs w:val="21"/>
                <w:lang w:val="en-US" w:eastAsia="zh-CN"/>
              </w:rPr>
              <w:t>本项目生产的</w:t>
            </w:r>
            <w:r>
              <w:rPr>
                <w:rFonts w:ascii="Times New Roman" w:hAnsi="Times New Roman"/>
                <w:bCs/>
                <w:color w:val="auto"/>
                <w:sz w:val="21"/>
                <w:szCs w:val="21"/>
              </w:rPr>
              <w:t>热塑性弹性体</w:t>
            </w:r>
            <w:r>
              <w:rPr>
                <w:rFonts w:hint="eastAsia" w:ascii="Times New Roman" w:hAnsi="Times New Roman"/>
                <w:bCs/>
                <w:color w:val="auto"/>
                <w:sz w:val="21"/>
                <w:szCs w:val="21"/>
                <w:lang w:val="en-US" w:eastAsia="zh-CN"/>
              </w:rPr>
              <w:t>颗粒，需要利用烘干机进行除湿，电加热，温度80~90℃，该过程会产生微量有机废气（以非甲烷总烃计），不进行定量分析，</w:t>
            </w:r>
            <w:r>
              <w:rPr>
                <w:rFonts w:hint="eastAsia"/>
                <w:color w:val="auto"/>
                <w:szCs w:val="21"/>
                <w:lang w:val="en-US" w:eastAsia="zh-CN"/>
              </w:rPr>
              <w:t>废气经半密闭集气罩收集至1套“水喷淋塔+除湿器+二级活性炭吸附装置”处理后通过1根15米高排气筒DA002排放。</w:t>
            </w:r>
          </w:p>
          <w:p w14:paraId="1694D40E">
            <w:pPr>
              <w:pStyle w:val="6"/>
              <w:spacing w:line="360" w:lineRule="auto"/>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4</w:t>
            </w:r>
            <w:r>
              <w:rPr>
                <w:rFonts w:hint="eastAsia"/>
                <w:color w:val="auto"/>
                <w:szCs w:val="21"/>
                <w:lang w:eastAsia="zh-CN"/>
              </w:rPr>
              <w:t>）</w:t>
            </w:r>
            <w:r>
              <w:rPr>
                <w:rFonts w:hint="eastAsia"/>
                <w:color w:val="auto"/>
                <w:szCs w:val="21"/>
                <w:lang w:val="en-US" w:eastAsia="zh-CN"/>
              </w:rPr>
              <w:t>测试废气（非甲烷总烃、油雾（以非甲烷总烃计））</w:t>
            </w:r>
          </w:p>
          <w:p w14:paraId="5AFBC4C3">
            <w:pPr>
              <w:pStyle w:val="6"/>
              <w:spacing w:line="360" w:lineRule="auto"/>
              <w:rPr>
                <w:rFonts w:hint="default" w:eastAsia="宋体"/>
                <w:color w:val="auto"/>
                <w:szCs w:val="21"/>
                <w:lang w:val="en-US" w:eastAsia="zh-CN"/>
              </w:rPr>
            </w:pPr>
            <w:r>
              <w:rPr>
                <w:rFonts w:hint="eastAsia"/>
                <w:color w:val="auto"/>
                <w:szCs w:val="21"/>
                <w:lang w:val="en-US" w:eastAsia="zh-CN"/>
              </w:rPr>
              <w:t>本项目</w:t>
            </w:r>
            <w:r>
              <w:rPr>
                <w:rFonts w:hint="eastAsia" w:ascii="Times New Roman" w:hAnsi="Times New Roman"/>
                <w:bCs/>
                <w:color w:val="auto"/>
                <w:sz w:val="21"/>
                <w:szCs w:val="21"/>
                <w:lang w:val="en-US" w:eastAsia="zh-CN"/>
              </w:rPr>
              <w:t>利用注塑机和烘箱</w:t>
            </w:r>
            <w:r>
              <w:rPr>
                <w:rFonts w:hint="eastAsia"/>
                <w:color w:val="auto"/>
                <w:szCs w:val="21"/>
                <w:lang w:val="en-US" w:eastAsia="zh-CN"/>
              </w:rPr>
              <w:t>测试</w:t>
            </w:r>
            <w:r>
              <w:rPr>
                <w:rFonts w:ascii="Times New Roman" w:hAnsi="Times New Roman"/>
                <w:bCs/>
                <w:color w:val="auto"/>
                <w:sz w:val="21"/>
                <w:szCs w:val="21"/>
              </w:rPr>
              <w:t>热塑性弹性体</w:t>
            </w:r>
            <w:r>
              <w:rPr>
                <w:rFonts w:hint="eastAsia" w:ascii="Times New Roman" w:hAnsi="Times New Roman"/>
                <w:bCs/>
                <w:color w:val="auto"/>
                <w:sz w:val="21"/>
                <w:szCs w:val="21"/>
                <w:lang w:val="en-US" w:eastAsia="zh-CN"/>
              </w:rPr>
              <w:t>颗粒过程会产生测试废气（有机废气以非甲烷总烃、油雾废气以非甲烷总烃计），月检测次数10次、每次测试量200g，年测试量24kg，测试过程非甲烷总烃产生量极低不定量分析，</w:t>
            </w:r>
            <w:r>
              <w:rPr>
                <w:rFonts w:hint="eastAsia"/>
                <w:color w:val="auto"/>
                <w:szCs w:val="21"/>
                <w:lang w:val="en-US" w:eastAsia="zh-CN"/>
              </w:rPr>
              <w:t>废气经半密闭集气罩收集至1套“水喷淋塔+除湿器+二级活性炭吸附装置”处理后通过1根15米高排气筒DA002排放。</w:t>
            </w:r>
          </w:p>
          <w:p w14:paraId="5A44720F">
            <w:pPr>
              <w:pStyle w:val="6"/>
              <w:spacing w:line="360" w:lineRule="auto"/>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5</w:t>
            </w:r>
            <w:r>
              <w:rPr>
                <w:rFonts w:hint="eastAsia"/>
                <w:color w:val="auto"/>
                <w:szCs w:val="21"/>
                <w:lang w:eastAsia="zh-CN"/>
              </w:rPr>
              <w:t>）</w:t>
            </w:r>
            <w:r>
              <w:rPr>
                <w:rFonts w:hint="eastAsia"/>
                <w:color w:val="auto"/>
                <w:szCs w:val="21"/>
                <w:lang w:val="en-US" w:eastAsia="zh-CN"/>
              </w:rPr>
              <w:t>破碎粉尘</w:t>
            </w:r>
            <w:r>
              <w:rPr>
                <w:rFonts w:hint="eastAsia"/>
                <w:color w:val="auto"/>
                <w:szCs w:val="21"/>
                <w:lang w:eastAsia="zh-CN"/>
              </w:rPr>
              <w:t>（</w:t>
            </w:r>
            <w:r>
              <w:rPr>
                <w:rFonts w:hint="eastAsia"/>
                <w:color w:val="auto"/>
                <w:szCs w:val="21"/>
                <w:lang w:val="en-US" w:eastAsia="zh-CN"/>
              </w:rPr>
              <w:t>颗粒物</w:t>
            </w:r>
            <w:r>
              <w:rPr>
                <w:rFonts w:hint="eastAsia"/>
                <w:color w:val="auto"/>
                <w:szCs w:val="21"/>
                <w:lang w:eastAsia="zh-CN"/>
              </w:rPr>
              <w:t>）</w:t>
            </w:r>
          </w:p>
          <w:p w14:paraId="6835B4E7">
            <w:pPr>
              <w:pStyle w:val="6"/>
              <w:spacing w:line="360" w:lineRule="auto"/>
              <w:rPr>
                <w:rFonts w:hint="eastAsia" w:eastAsia="宋体"/>
                <w:color w:val="auto"/>
                <w:szCs w:val="21"/>
                <w:lang w:eastAsia="zh-CN"/>
              </w:rPr>
            </w:pPr>
            <w:r>
              <w:rPr>
                <w:color w:val="auto"/>
                <w:szCs w:val="21"/>
              </w:rPr>
              <w:t>本项目</w:t>
            </w:r>
            <w:r>
              <w:rPr>
                <w:rFonts w:hint="eastAsia"/>
                <w:color w:val="auto"/>
                <w:szCs w:val="21"/>
              </w:rPr>
              <w:t>拟</w:t>
            </w:r>
            <w:r>
              <w:rPr>
                <w:color w:val="auto"/>
                <w:szCs w:val="21"/>
              </w:rPr>
              <w:t>设置</w:t>
            </w:r>
            <w:r>
              <w:rPr>
                <w:rFonts w:hint="eastAsia"/>
                <w:color w:val="auto"/>
                <w:szCs w:val="21"/>
                <w:lang w:val="en-US" w:eastAsia="zh-CN"/>
              </w:rPr>
              <w:t>破碎</w:t>
            </w:r>
            <w:r>
              <w:rPr>
                <w:rFonts w:hint="eastAsia"/>
                <w:color w:val="auto"/>
                <w:szCs w:val="21"/>
              </w:rPr>
              <w:t>机</w:t>
            </w:r>
            <w:r>
              <w:rPr>
                <w:color w:val="auto"/>
                <w:szCs w:val="21"/>
              </w:rPr>
              <w:t>，对</w:t>
            </w:r>
            <w:r>
              <w:rPr>
                <w:rFonts w:hint="eastAsia"/>
                <w:color w:val="auto"/>
                <w:szCs w:val="21"/>
                <w:lang w:val="en-US" w:eastAsia="zh-CN"/>
              </w:rPr>
              <w:t>生产过程的</w:t>
            </w:r>
            <w:r>
              <w:rPr>
                <w:rFonts w:hint="eastAsia"/>
                <w:color w:val="auto"/>
                <w:szCs w:val="21"/>
              </w:rPr>
              <w:t>不合格品、</w:t>
            </w:r>
            <w:r>
              <w:rPr>
                <w:rFonts w:hint="eastAsia"/>
                <w:color w:val="auto"/>
                <w:szCs w:val="21"/>
                <w:lang w:val="en-US" w:eastAsia="zh-CN"/>
              </w:rPr>
              <w:t>废</w:t>
            </w:r>
            <w:r>
              <w:rPr>
                <w:rFonts w:hint="eastAsia"/>
                <w:color w:val="auto"/>
                <w:szCs w:val="21"/>
              </w:rPr>
              <w:t>边角料</w:t>
            </w:r>
            <w:r>
              <w:rPr>
                <w:color w:val="auto"/>
                <w:szCs w:val="21"/>
              </w:rPr>
              <w:t>进行</w:t>
            </w:r>
            <w:r>
              <w:rPr>
                <w:rFonts w:hint="eastAsia"/>
                <w:color w:val="auto"/>
                <w:szCs w:val="21"/>
                <w:lang w:val="en-US" w:eastAsia="zh-CN"/>
              </w:rPr>
              <w:t>破碎</w:t>
            </w:r>
            <w:r>
              <w:rPr>
                <w:color w:val="auto"/>
                <w:szCs w:val="21"/>
              </w:rPr>
              <w:t>，</w:t>
            </w:r>
            <w:r>
              <w:rPr>
                <w:rFonts w:hint="eastAsia"/>
                <w:color w:val="auto"/>
                <w:szCs w:val="21"/>
              </w:rPr>
              <w:t>本项目使用</w:t>
            </w:r>
            <w:r>
              <w:rPr>
                <w:rFonts w:hint="eastAsia"/>
                <w:color w:val="auto"/>
                <w:szCs w:val="21"/>
                <w:lang w:val="en-US" w:eastAsia="zh-CN"/>
              </w:rPr>
              <w:t>破碎</w:t>
            </w:r>
            <w:r>
              <w:rPr>
                <w:rFonts w:hint="eastAsia"/>
                <w:color w:val="auto"/>
                <w:szCs w:val="21"/>
              </w:rPr>
              <w:t>机为密闭装置，进料口设置挡板、出料口为抽拉式箱体，在粉碎过程中进、出口可全封闭，待</w:t>
            </w:r>
            <w:r>
              <w:rPr>
                <w:rFonts w:hint="eastAsia"/>
                <w:color w:val="auto"/>
                <w:szCs w:val="21"/>
                <w:lang w:val="en-US" w:eastAsia="zh-CN"/>
              </w:rPr>
              <w:t>破碎</w:t>
            </w:r>
            <w:r>
              <w:rPr>
                <w:rFonts w:hint="eastAsia"/>
                <w:color w:val="auto"/>
                <w:szCs w:val="21"/>
              </w:rPr>
              <w:t>完成物料沉降后再将物料取出；且项目原料使用量低，</w:t>
            </w:r>
            <w:r>
              <w:rPr>
                <w:rFonts w:hint="eastAsia"/>
                <w:color w:val="auto"/>
                <w:szCs w:val="21"/>
                <w:lang w:val="en-US" w:eastAsia="zh-CN"/>
              </w:rPr>
              <w:t>废</w:t>
            </w:r>
            <w:r>
              <w:rPr>
                <w:rFonts w:hint="eastAsia"/>
                <w:color w:val="auto"/>
                <w:szCs w:val="21"/>
              </w:rPr>
              <w:t>边角料、不合格品产生量较低，</w:t>
            </w:r>
            <w:r>
              <w:rPr>
                <w:rFonts w:hint="eastAsia"/>
                <w:color w:val="auto"/>
                <w:szCs w:val="21"/>
                <w:lang w:val="en-US" w:eastAsia="zh-CN"/>
              </w:rPr>
              <w:t>破碎</w:t>
            </w:r>
            <w:r>
              <w:rPr>
                <w:rFonts w:hint="eastAsia"/>
                <w:color w:val="auto"/>
                <w:szCs w:val="21"/>
              </w:rPr>
              <w:t>机不连续运行，因此此工序产生粉尘可忽略不计，本次仅</w:t>
            </w:r>
            <w:r>
              <w:rPr>
                <w:rFonts w:hint="eastAsia"/>
                <w:color w:val="auto"/>
                <w:szCs w:val="21"/>
                <w:lang w:val="en-US" w:eastAsia="zh-CN"/>
              </w:rPr>
              <w:t>作</w:t>
            </w:r>
            <w:r>
              <w:rPr>
                <w:rFonts w:hint="eastAsia"/>
                <w:color w:val="auto"/>
                <w:szCs w:val="21"/>
              </w:rPr>
              <w:t>定性分析，不做定量核算</w:t>
            </w:r>
            <w:r>
              <w:rPr>
                <w:rFonts w:hint="eastAsia"/>
                <w:color w:val="auto"/>
                <w:szCs w:val="21"/>
                <w:lang w:eastAsia="zh-CN"/>
              </w:rPr>
              <w:t>。</w:t>
            </w:r>
          </w:p>
          <w:p w14:paraId="06AC5F7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本项目有组织废气产生源强见表4-</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，无组织废气产生源强见表4-</w:t>
            </w:r>
            <w:r>
              <w:rPr>
                <w:rFonts w:hint="eastAsia" w:ascii="Times New Roman" w:hAnsi="Times New Roman" w:eastAsia="宋体" w:cs="Times New Roman"/>
                <w:bCs/>
                <w:color w:val="auto"/>
                <w:sz w:val="21"/>
                <w:szCs w:val="21"/>
                <w:lang w:val="en-US" w:eastAsia="zh-CN"/>
              </w:rPr>
              <w:t>3</w:t>
            </w:r>
            <w:r>
              <w:rPr>
                <w:rFonts w:hint="default" w:ascii="Times New Roman" w:hAnsi="Times New Roman" w:eastAsia="宋体" w:cs="Times New Roman"/>
                <w:b w:val="0"/>
                <w:bCs w:val="0"/>
                <w:color w:val="auto"/>
                <w:szCs w:val="21"/>
                <w:lang w:val="en-US" w:eastAsia="zh-CN"/>
              </w:rPr>
              <w:t>。</w:t>
            </w:r>
          </w:p>
          <w:p w14:paraId="3F53F1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bookmarkStart w:id="17" w:name="_Toc68895591"/>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本项目有组织废气产生源强表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5"/>
              <w:gridCol w:w="2139"/>
              <w:gridCol w:w="1415"/>
              <w:gridCol w:w="1260"/>
              <w:gridCol w:w="1299"/>
              <w:gridCol w:w="1237"/>
            </w:tblGrid>
            <w:tr w14:paraId="562D1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1" w:type="pct"/>
                  <w:noWrap w:val="0"/>
                  <w:vAlign w:val="center"/>
                </w:tcPr>
                <w:p w14:paraId="5490D343">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点源名称</w:t>
                  </w:r>
                </w:p>
              </w:tc>
              <w:tc>
                <w:tcPr>
                  <w:tcW w:w="1277" w:type="pct"/>
                  <w:noWrap w:val="0"/>
                  <w:vAlign w:val="center"/>
                </w:tcPr>
                <w:p w14:paraId="0F9FCBB9">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产生环节</w:t>
                  </w:r>
                </w:p>
              </w:tc>
              <w:tc>
                <w:tcPr>
                  <w:tcW w:w="844" w:type="pct"/>
                  <w:noWrap w:val="0"/>
                  <w:vAlign w:val="center"/>
                </w:tcPr>
                <w:p w14:paraId="3580A840">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752" w:type="pct"/>
                  <w:noWrap w:val="0"/>
                  <w:vAlign w:val="center"/>
                </w:tcPr>
                <w:p w14:paraId="4E012EC6">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775" w:type="pct"/>
                  <w:noWrap w:val="0"/>
                  <w:vAlign w:val="center"/>
                </w:tcPr>
                <w:p w14:paraId="7B80E817">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产生速率kg/h</w:t>
                  </w:r>
                </w:p>
              </w:tc>
              <w:tc>
                <w:tcPr>
                  <w:tcW w:w="738" w:type="pct"/>
                  <w:noWrap w:val="0"/>
                  <w:vAlign w:val="center"/>
                </w:tcPr>
                <w:p w14:paraId="6D4F13A2">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排放时间h</w:t>
                  </w:r>
                </w:p>
              </w:tc>
            </w:tr>
            <w:tr w14:paraId="1A1B0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1" w:type="pct"/>
                  <w:noWrap w:val="0"/>
                  <w:vAlign w:val="center"/>
                </w:tcPr>
                <w:p w14:paraId="1E4481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DA001</w:t>
                  </w:r>
                </w:p>
              </w:tc>
              <w:tc>
                <w:tcPr>
                  <w:tcW w:w="1277" w:type="pct"/>
                  <w:noWrap w:val="0"/>
                  <w:vAlign w:val="center"/>
                </w:tcPr>
                <w:p w14:paraId="1AA8DE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配料、投料废气</w:t>
                  </w:r>
                </w:p>
              </w:tc>
              <w:tc>
                <w:tcPr>
                  <w:tcW w:w="844" w:type="pct"/>
                  <w:noWrap w:val="0"/>
                  <w:vAlign w:val="center"/>
                </w:tcPr>
                <w:p w14:paraId="2B69E7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752" w:type="pct"/>
                  <w:noWrap w:val="0"/>
                  <w:tcMar>
                    <w:left w:w="28" w:type="dxa"/>
                    <w:right w:w="28" w:type="dxa"/>
                  </w:tcMar>
                  <w:vAlign w:val="center"/>
                </w:tcPr>
                <w:p w14:paraId="07F25B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eastAsia="zh-CN"/>
                    </w:rPr>
                  </w:pPr>
                  <w:r>
                    <w:rPr>
                      <w:rFonts w:hint="eastAsia"/>
                      <w:color w:val="0000FF"/>
                      <w:kern w:val="2"/>
                      <w:sz w:val="21"/>
                      <w:szCs w:val="21"/>
                      <w:lang w:val="en-US" w:eastAsia="zh-CN"/>
                    </w:rPr>
                    <w:t>0.1748</w:t>
                  </w:r>
                </w:p>
              </w:tc>
              <w:tc>
                <w:tcPr>
                  <w:tcW w:w="775" w:type="pct"/>
                  <w:noWrap w:val="0"/>
                  <w:vAlign w:val="center"/>
                </w:tcPr>
                <w:p w14:paraId="4CCC30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0.291</w:t>
                  </w:r>
                </w:p>
              </w:tc>
              <w:tc>
                <w:tcPr>
                  <w:tcW w:w="738" w:type="pct"/>
                  <w:noWrap w:val="0"/>
                  <w:vAlign w:val="center"/>
                </w:tcPr>
                <w:p w14:paraId="2828EF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r>
            <w:tr w14:paraId="333C8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1" w:type="pct"/>
                  <w:noWrap w:val="0"/>
                  <w:vAlign w:val="center"/>
                </w:tcPr>
                <w:p w14:paraId="395F7C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DA002</w:t>
                  </w:r>
                </w:p>
              </w:tc>
              <w:tc>
                <w:tcPr>
                  <w:tcW w:w="1277" w:type="pct"/>
                  <w:noWrap w:val="0"/>
                  <w:vAlign w:val="center"/>
                </w:tcPr>
                <w:p w14:paraId="1CC9EC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挤出、烘干、测试废气</w:t>
                  </w:r>
                </w:p>
              </w:tc>
              <w:tc>
                <w:tcPr>
                  <w:tcW w:w="844" w:type="pct"/>
                  <w:noWrap w:val="0"/>
                  <w:vAlign w:val="center"/>
                </w:tcPr>
                <w:p w14:paraId="6DB3C5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752" w:type="pct"/>
                  <w:noWrap w:val="0"/>
                  <w:tcMar>
                    <w:left w:w="28" w:type="dxa"/>
                    <w:right w:w="28" w:type="dxa"/>
                  </w:tcMar>
                  <w:vAlign w:val="center"/>
                </w:tcPr>
                <w:p w14:paraId="1B8237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0.3891</w:t>
                  </w:r>
                </w:p>
              </w:tc>
              <w:tc>
                <w:tcPr>
                  <w:tcW w:w="775" w:type="pct"/>
                  <w:noWrap w:val="0"/>
                  <w:vAlign w:val="center"/>
                </w:tcPr>
                <w:p w14:paraId="1D56DF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0.162</w:t>
                  </w:r>
                </w:p>
              </w:tc>
              <w:tc>
                <w:tcPr>
                  <w:tcW w:w="738" w:type="pct"/>
                  <w:noWrap w:val="0"/>
                  <w:vAlign w:val="center"/>
                </w:tcPr>
                <w:p w14:paraId="12C0679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2400</w:t>
                  </w:r>
                </w:p>
              </w:tc>
            </w:tr>
          </w:tbl>
          <w:p w14:paraId="7A83290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p>
          <w:p w14:paraId="41B16F1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p>
          <w:p w14:paraId="2845413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p>
          <w:p w14:paraId="53CE5C3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本项目无组织废气污染物产生源强表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31"/>
              <w:gridCol w:w="1703"/>
              <w:gridCol w:w="1393"/>
              <w:gridCol w:w="1093"/>
              <w:gridCol w:w="1281"/>
              <w:gridCol w:w="966"/>
              <w:gridCol w:w="1011"/>
            </w:tblGrid>
            <w:tr w14:paraId="608F3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555" w:type="pct"/>
                  <w:noWrap w:val="0"/>
                  <w:vAlign w:val="center"/>
                </w:tcPr>
                <w:p w14:paraId="371843B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面源名称</w:t>
                  </w:r>
                </w:p>
              </w:tc>
              <w:tc>
                <w:tcPr>
                  <w:tcW w:w="1016" w:type="pct"/>
                  <w:noWrap w:val="0"/>
                  <w:vAlign w:val="center"/>
                </w:tcPr>
                <w:p w14:paraId="1CAC630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产污环节</w:t>
                  </w:r>
                </w:p>
              </w:tc>
              <w:tc>
                <w:tcPr>
                  <w:tcW w:w="831" w:type="pct"/>
                  <w:noWrap w:val="0"/>
                  <w:vAlign w:val="center"/>
                </w:tcPr>
                <w:p w14:paraId="3FB1B3F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652" w:type="pct"/>
                  <w:noWrap w:val="0"/>
                  <w:vAlign w:val="center"/>
                </w:tcPr>
                <w:p w14:paraId="23395B6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污染物产生量t/a</w:t>
                  </w:r>
                </w:p>
              </w:tc>
              <w:tc>
                <w:tcPr>
                  <w:tcW w:w="764" w:type="pct"/>
                  <w:noWrap w:val="0"/>
                  <w:vAlign w:val="center"/>
                </w:tcPr>
                <w:p w14:paraId="23C7819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污染物产生速率kg/h</w:t>
                  </w:r>
                </w:p>
              </w:tc>
              <w:tc>
                <w:tcPr>
                  <w:tcW w:w="576" w:type="pct"/>
                  <w:noWrap w:val="0"/>
                  <w:vAlign w:val="center"/>
                </w:tcPr>
                <w:p w14:paraId="5D3387D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面源面积（m</w:t>
                  </w:r>
                  <w:r>
                    <w:rPr>
                      <w:rFonts w:hint="default" w:ascii="Times New Roman" w:hAnsi="Times New Roman" w:eastAsia="宋体" w:cs="Times New Roman"/>
                      <w:b/>
                      <w:color w:val="auto"/>
                      <w:sz w:val="21"/>
                      <w:szCs w:val="21"/>
                      <w:vertAlign w:val="superscript"/>
                    </w:rPr>
                    <w:t>2</w:t>
                  </w:r>
                  <w:r>
                    <w:rPr>
                      <w:rFonts w:hint="default" w:ascii="Times New Roman" w:hAnsi="Times New Roman" w:eastAsia="宋体" w:cs="Times New Roman"/>
                      <w:b/>
                      <w:color w:val="auto"/>
                      <w:sz w:val="21"/>
                      <w:szCs w:val="21"/>
                    </w:rPr>
                    <w:t>）</w:t>
                  </w:r>
                </w:p>
              </w:tc>
              <w:tc>
                <w:tcPr>
                  <w:tcW w:w="603" w:type="pct"/>
                  <w:noWrap w:val="0"/>
                  <w:vAlign w:val="center"/>
                </w:tcPr>
                <w:p w14:paraId="31030B0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面源高度（m）</w:t>
                  </w:r>
                </w:p>
              </w:tc>
            </w:tr>
            <w:tr w14:paraId="2E14A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555" w:type="pct"/>
                  <w:vMerge w:val="restart"/>
                  <w:noWrap w:val="0"/>
                  <w:vAlign w:val="center"/>
                </w:tcPr>
                <w:p w14:paraId="240C947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p>
              </w:tc>
              <w:tc>
                <w:tcPr>
                  <w:tcW w:w="1016" w:type="pct"/>
                  <w:noWrap w:val="0"/>
                  <w:vAlign w:val="center"/>
                </w:tcPr>
                <w:p w14:paraId="579B48C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配料、投料废气</w:t>
                  </w:r>
                </w:p>
              </w:tc>
              <w:tc>
                <w:tcPr>
                  <w:tcW w:w="831" w:type="pct"/>
                  <w:noWrap w:val="0"/>
                  <w:vAlign w:val="center"/>
                </w:tcPr>
                <w:p w14:paraId="78DE97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652" w:type="pct"/>
                  <w:noWrap w:val="0"/>
                  <w:vAlign w:val="center"/>
                </w:tcPr>
                <w:p w14:paraId="1A5FE5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0.0194</w:t>
                  </w:r>
                </w:p>
              </w:tc>
              <w:tc>
                <w:tcPr>
                  <w:tcW w:w="764" w:type="pct"/>
                  <w:noWrap w:val="0"/>
                  <w:vAlign w:val="center"/>
                </w:tcPr>
                <w:p w14:paraId="0AC49E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0.0323</w:t>
                  </w:r>
                </w:p>
              </w:tc>
              <w:tc>
                <w:tcPr>
                  <w:tcW w:w="576" w:type="pct"/>
                  <w:vMerge w:val="restart"/>
                  <w:noWrap w:val="0"/>
                  <w:vAlign w:val="center"/>
                </w:tcPr>
                <w:p w14:paraId="08376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2"/>
                      <w:kern w:val="28"/>
                      <w:szCs w:val="21"/>
                      <w:lang w:val="en-US" w:eastAsia="zh-CN"/>
                    </w:rPr>
                    <w:t>1660</w:t>
                  </w:r>
                </w:p>
              </w:tc>
              <w:tc>
                <w:tcPr>
                  <w:tcW w:w="603" w:type="pct"/>
                  <w:vMerge w:val="restart"/>
                  <w:noWrap w:val="0"/>
                  <w:vAlign w:val="center"/>
                </w:tcPr>
                <w:p w14:paraId="1928F9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r>
            <w:tr w14:paraId="3C756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555" w:type="pct"/>
                  <w:vMerge w:val="continue"/>
                  <w:noWrap w:val="0"/>
                  <w:vAlign w:val="center"/>
                </w:tcPr>
                <w:p w14:paraId="582ABC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6" w:type="pct"/>
                  <w:noWrap w:val="0"/>
                  <w:vAlign w:val="center"/>
                </w:tcPr>
                <w:p w14:paraId="1CCDCAD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挤出</w:t>
                  </w:r>
                  <w:r>
                    <w:rPr>
                      <w:rFonts w:hint="eastAsia" w:ascii="Times New Roman" w:hAnsi="Times New Roman" w:eastAsia="宋体" w:cs="Times New Roman"/>
                      <w:color w:val="auto"/>
                      <w:kern w:val="2"/>
                      <w:sz w:val="21"/>
                      <w:szCs w:val="21"/>
                      <w:lang w:val="en-US" w:eastAsia="zh-CN" w:bidi="ar-SA"/>
                    </w:rPr>
                    <w:t>废气</w:t>
                  </w:r>
                </w:p>
              </w:tc>
              <w:tc>
                <w:tcPr>
                  <w:tcW w:w="831" w:type="pct"/>
                  <w:noWrap w:val="0"/>
                  <w:vAlign w:val="center"/>
                </w:tcPr>
                <w:p w14:paraId="4BBFC8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52" w:type="pct"/>
                  <w:noWrap w:val="0"/>
                  <w:vAlign w:val="center"/>
                </w:tcPr>
                <w:p w14:paraId="5190B7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0.0432</w:t>
                  </w:r>
                </w:p>
              </w:tc>
              <w:tc>
                <w:tcPr>
                  <w:tcW w:w="764" w:type="pct"/>
                  <w:noWrap w:val="0"/>
                  <w:vAlign w:val="center"/>
                </w:tcPr>
                <w:p w14:paraId="273B0C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0.018</w:t>
                  </w:r>
                </w:p>
              </w:tc>
              <w:tc>
                <w:tcPr>
                  <w:tcW w:w="576" w:type="pct"/>
                  <w:vMerge w:val="continue"/>
                  <w:noWrap w:val="0"/>
                  <w:vAlign w:val="center"/>
                </w:tcPr>
                <w:p w14:paraId="4A668D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03" w:type="pct"/>
                  <w:vMerge w:val="continue"/>
                  <w:noWrap w:val="0"/>
                  <w:vAlign w:val="center"/>
                </w:tcPr>
                <w:p w14:paraId="3694A6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bookmarkEnd w:id="17"/>
          </w:tbl>
          <w:p w14:paraId="2F5EF922">
            <w:pPr>
              <w:pStyle w:val="6"/>
              <w:keepNext w:val="0"/>
              <w:keepLines w:val="0"/>
              <w:pageBreakBefore w:val="0"/>
              <w:widowControl w:val="0"/>
              <w:kinsoku/>
              <w:wordWrap/>
              <w:overflowPunct/>
              <w:topLinePunct w:val="0"/>
              <w:bidi w:val="0"/>
              <w:adjustRightInd w:val="0"/>
              <w:snapToGrid w:val="0"/>
              <w:spacing w:before="120" w:beforeLines="50" w:line="360" w:lineRule="auto"/>
              <w:ind w:firstLine="422"/>
              <w:textAlignment w:val="auto"/>
              <w:rPr>
                <w:b/>
                <w:bCs/>
                <w:color w:val="auto"/>
                <w:szCs w:val="21"/>
              </w:rPr>
            </w:pPr>
            <w:r>
              <w:rPr>
                <w:b/>
                <w:bCs/>
                <w:color w:val="auto"/>
                <w:szCs w:val="21"/>
              </w:rPr>
              <w:t>2、污染治理措施可行性分析</w:t>
            </w:r>
          </w:p>
          <w:p w14:paraId="2F9DE687">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b/>
                <w:bCs/>
                <w:color w:val="auto"/>
                <w:kern w:val="0"/>
                <w:szCs w:val="21"/>
              </w:rPr>
            </w:pPr>
            <w:r>
              <w:rPr>
                <w:b w:val="0"/>
                <w:bCs w:val="0"/>
                <w:color w:val="auto"/>
                <w:kern w:val="0"/>
                <w:szCs w:val="21"/>
              </w:rPr>
              <w:t>（1）废气治理措施简述</w:t>
            </w:r>
          </w:p>
          <w:p w14:paraId="2DDB981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bCs/>
                <w:color w:val="auto"/>
                <w:szCs w:val="21"/>
              </w:rPr>
            </w:pPr>
            <w:r>
              <w:rPr>
                <w:rFonts w:hint="eastAsia" w:ascii="Times New Roman" w:hAnsi="Times New Roman" w:eastAsia="宋体" w:cs="Times New Roman"/>
                <w:color w:val="auto"/>
                <w:szCs w:val="21"/>
              </w:rPr>
              <w:t>本项目废气包括</w:t>
            </w:r>
            <w:r>
              <w:rPr>
                <w:rFonts w:hint="eastAsia" w:cs="Times New Roman"/>
                <w:color w:val="auto"/>
                <w:sz w:val="21"/>
                <w:szCs w:val="21"/>
                <w:lang w:val="en-US" w:eastAsia="zh-CN"/>
              </w:rPr>
              <w:t>配料粉尘、</w:t>
            </w:r>
            <w:r>
              <w:rPr>
                <w:rFonts w:hint="eastAsia" w:ascii="Times New Roman" w:hAnsi="Times New Roman" w:eastAsia="宋体" w:cs="Times New Roman"/>
                <w:color w:val="auto"/>
                <w:sz w:val="21"/>
                <w:szCs w:val="21"/>
                <w:highlight w:val="none"/>
                <w:lang w:val="en-US" w:eastAsia="zh-CN"/>
              </w:rPr>
              <w:t>投料粉尘、</w:t>
            </w:r>
            <w:r>
              <w:rPr>
                <w:rFonts w:hint="eastAsia" w:ascii="Times New Roman" w:hAnsi="Times New Roman" w:eastAsia="宋体" w:cs="Times New Roman"/>
                <w:bCs/>
                <w:color w:val="auto"/>
                <w:kern w:val="2"/>
                <w:sz w:val="21"/>
                <w:szCs w:val="21"/>
                <w:lang w:val="en-US" w:eastAsia="zh-CN" w:bidi="ar-SA"/>
              </w:rPr>
              <w:t>挤出废气、烘干废气、测试废气、破碎粉尘</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配料、投料粉尘集气罩</w:t>
            </w:r>
            <w:r>
              <w:rPr>
                <w:rFonts w:hint="eastAsia"/>
                <w:color w:val="auto"/>
                <w:kern w:val="2"/>
                <w:sz w:val="21"/>
                <w:szCs w:val="21"/>
                <w:lang w:val="en-US" w:eastAsia="zh-CN"/>
              </w:rPr>
              <w:t>收集</w:t>
            </w:r>
            <w:r>
              <w:rPr>
                <w:rFonts w:hint="eastAsia"/>
                <w:color w:val="auto"/>
                <w:szCs w:val="21"/>
                <w:lang w:val="en-US" w:eastAsia="zh-CN"/>
              </w:rPr>
              <w:t>至</w:t>
            </w:r>
            <w:r>
              <w:rPr>
                <w:rFonts w:hint="eastAsia"/>
                <w:color w:val="auto"/>
                <w:kern w:val="2"/>
                <w:sz w:val="21"/>
                <w:szCs w:val="21"/>
                <w:lang w:val="en-US" w:eastAsia="zh-CN"/>
              </w:rPr>
              <w:t>布袋除尘器处理后通过1根15米高排气筒DA001排放，挤出、烘干、</w:t>
            </w:r>
            <w:r>
              <w:rPr>
                <w:rFonts w:hint="eastAsia" w:ascii="Times New Roman" w:hAnsi="Times New Roman" w:eastAsia="宋体" w:cs="Times New Roman"/>
                <w:bCs/>
                <w:color w:val="auto"/>
                <w:kern w:val="2"/>
                <w:sz w:val="21"/>
                <w:szCs w:val="21"/>
                <w:lang w:val="en-US" w:eastAsia="zh-CN" w:bidi="ar-SA"/>
              </w:rPr>
              <w:t>测试</w:t>
            </w:r>
            <w:r>
              <w:rPr>
                <w:rFonts w:hint="eastAsia"/>
                <w:color w:val="auto"/>
                <w:kern w:val="2"/>
                <w:sz w:val="21"/>
                <w:szCs w:val="21"/>
                <w:lang w:val="en-US" w:eastAsia="zh-CN"/>
              </w:rPr>
              <w:t>废气</w:t>
            </w:r>
            <w:r>
              <w:rPr>
                <w:rFonts w:hint="eastAsia"/>
                <w:color w:val="auto"/>
                <w:szCs w:val="21"/>
                <w:lang w:val="en-US" w:eastAsia="zh-CN"/>
              </w:rPr>
              <w:t>半密闭收集至1套“水喷淋塔+除湿器+二级活性炭吸附装置”处理后通过1根15米高排气筒DA002排放，</w:t>
            </w:r>
            <w:r>
              <w:rPr>
                <w:rFonts w:hint="eastAsia" w:ascii="Times New Roman" w:hAnsi="Times New Roman" w:eastAsia="宋体" w:cs="Times New Roman"/>
                <w:color w:val="auto"/>
                <w:sz w:val="21"/>
                <w:szCs w:val="21"/>
                <w:lang w:val="en-US" w:eastAsia="zh-CN"/>
              </w:rPr>
              <w:t>破碎</w:t>
            </w:r>
            <w:r>
              <w:rPr>
                <w:rFonts w:hint="default" w:ascii="Times New Roman" w:hAnsi="Times New Roman" w:eastAsia="宋体" w:cs="Times New Roman"/>
                <w:color w:val="auto"/>
                <w:sz w:val="21"/>
                <w:szCs w:val="21"/>
                <w:lang w:val="en-US" w:eastAsia="zh-CN"/>
              </w:rPr>
              <w:t>过程密闭操作，产生的微量粉尘无组织排放</w:t>
            </w:r>
            <w:r>
              <w:rPr>
                <w:rFonts w:hint="eastAsia"/>
                <w:bCs/>
                <w:color w:val="auto"/>
                <w:szCs w:val="21"/>
              </w:rPr>
              <w:t>。</w:t>
            </w:r>
          </w:p>
          <w:p w14:paraId="7F8087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rPr>
            </w:pPr>
            <w:r>
              <w:rPr>
                <w:rFonts w:hint="default" w:ascii="Times New Roman" w:hAnsi="Times New Roman" w:eastAsia="宋体" w:cs="Times New Roman"/>
                <w:bCs/>
                <w:color w:val="auto"/>
                <w:sz w:val="21"/>
                <w:szCs w:val="21"/>
                <w:lang w:val="en-US" w:eastAsia="zh-CN"/>
              </w:rPr>
              <w:object>
                <v:shape id="_x0000_i1028" o:spt="75" type="#_x0000_t75" style="height:104.25pt;width:416.65pt;" o:ole="t" filled="f" o:preferrelative="t" stroked="f" coordsize="21600,21600">
                  <v:path/>
                  <v:fill on="f" focussize="0,0"/>
                  <v:stroke on="f"/>
                  <v:imagedata r:id="rId20" cropbottom="28017f" o:title=""/>
                  <o:lock v:ext="edit" aspectratio="f"/>
                  <w10:wrap type="none"/>
                  <w10:anchorlock/>
                </v:shape>
                <o:OLEObject Type="Embed" ProgID="Visio.Drawing.11" ShapeID="_x0000_i1028" DrawAspect="Content" ObjectID="_1468075728" r:id="rId19">
                  <o:LockedField>false</o:LockedField>
                </o:OLEObject>
              </w:object>
            </w:r>
          </w:p>
          <w:p w14:paraId="55E139A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auto"/>
                <w:szCs w:val="21"/>
              </w:rPr>
            </w:pPr>
            <w:r>
              <w:rPr>
                <w:b/>
                <w:bCs/>
                <w:color w:val="auto"/>
                <w:szCs w:val="21"/>
              </w:rPr>
              <w:t>图4-1 本项目废气收集及处理工艺示意图</w:t>
            </w:r>
          </w:p>
          <w:p w14:paraId="317B3E7C">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b/>
                <w:color w:val="auto"/>
                <w:szCs w:val="21"/>
              </w:rPr>
              <w:t>表4-</w:t>
            </w:r>
            <w:r>
              <w:rPr>
                <w:rFonts w:hint="eastAsia"/>
                <w:b/>
                <w:color w:val="auto"/>
                <w:szCs w:val="21"/>
                <w:lang w:val="en-US" w:eastAsia="zh-CN"/>
              </w:rPr>
              <w:t>4</w:t>
            </w:r>
            <w:r>
              <w:rPr>
                <w:b/>
                <w:color w:val="auto"/>
                <w:szCs w:val="21"/>
              </w:rPr>
              <w:t xml:space="preserve"> 本项目废气收集、处置方案一览表</w:t>
            </w:r>
          </w:p>
          <w:tbl>
            <w:tblPr>
              <w:tblStyle w:val="2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739"/>
              <w:gridCol w:w="891"/>
              <w:gridCol w:w="957"/>
              <w:gridCol w:w="2016"/>
              <w:gridCol w:w="886"/>
              <w:gridCol w:w="1410"/>
            </w:tblGrid>
            <w:tr w14:paraId="1E8CC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pct"/>
                  <w:noWrap w:val="0"/>
                  <w:tcMar>
                    <w:top w:w="0" w:type="dxa"/>
                    <w:left w:w="0" w:type="dxa"/>
                    <w:bottom w:w="0" w:type="dxa"/>
                    <w:right w:w="0" w:type="dxa"/>
                  </w:tcMar>
                  <w:vAlign w:val="center"/>
                </w:tcPr>
                <w:p w14:paraId="422A7F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产生环节</w:t>
                  </w:r>
                </w:p>
              </w:tc>
              <w:tc>
                <w:tcPr>
                  <w:tcW w:w="441" w:type="pct"/>
                  <w:noWrap w:val="0"/>
                  <w:tcMar>
                    <w:top w:w="0" w:type="dxa"/>
                    <w:left w:w="0" w:type="dxa"/>
                    <w:bottom w:w="0" w:type="dxa"/>
                    <w:right w:w="0" w:type="dxa"/>
                  </w:tcMar>
                  <w:vAlign w:val="center"/>
                </w:tcPr>
                <w:p w14:paraId="78D88A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532" w:type="pct"/>
                  <w:noWrap w:val="0"/>
                  <w:tcMar>
                    <w:top w:w="0" w:type="dxa"/>
                    <w:left w:w="0" w:type="dxa"/>
                    <w:bottom w:w="0" w:type="dxa"/>
                    <w:right w:w="0" w:type="dxa"/>
                  </w:tcMar>
                  <w:vAlign w:val="center"/>
                </w:tcPr>
                <w:p w14:paraId="177ED5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收集方式</w:t>
                  </w:r>
                </w:p>
              </w:tc>
              <w:tc>
                <w:tcPr>
                  <w:tcW w:w="571" w:type="pct"/>
                  <w:noWrap w:val="0"/>
                  <w:tcMar>
                    <w:top w:w="0" w:type="dxa"/>
                    <w:left w:w="0" w:type="dxa"/>
                    <w:bottom w:w="0" w:type="dxa"/>
                    <w:right w:w="0" w:type="dxa"/>
                  </w:tcMar>
                  <w:vAlign w:val="center"/>
                </w:tcPr>
                <w:p w14:paraId="16DADE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收集效率</w:t>
                  </w:r>
                </w:p>
              </w:tc>
              <w:tc>
                <w:tcPr>
                  <w:tcW w:w="1204" w:type="pct"/>
                  <w:noWrap w:val="0"/>
                  <w:tcMar>
                    <w:top w:w="0" w:type="dxa"/>
                    <w:left w:w="0" w:type="dxa"/>
                    <w:bottom w:w="0" w:type="dxa"/>
                    <w:right w:w="0" w:type="dxa"/>
                  </w:tcMar>
                  <w:vAlign w:val="center"/>
                </w:tcPr>
                <w:p w14:paraId="4E59CC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治理措施</w:t>
                  </w:r>
                </w:p>
              </w:tc>
              <w:tc>
                <w:tcPr>
                  <w:tcW w:w="529" w:type="pct"/>
                  <w:noWrap w:val="0"/>
                  <w:tcMar>
                    <w:top w:w="0" w:type="dxa"/>
                    <w:left w:w="0" w:type="dxa"/>
                    <w:bottom w:w="0" w:type="dxa"/>
                    <w:right w:w="0" w:type="dxa"/>
                  </w:tcMar>
                  <w:vAlign w:val="center"/>
                </w:tcPr>
                <w:p w14:paraId="79744D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处理效率</w:t>
                  </w:r>
                </w:p>
              </w:tc>
              <w:tc>
                <w:tcPr>
                  <w:tcW w:w="842" w:type="pct"/>
                  <w:noWrap w:val="0"/>
                  <w:tcMar>
                    <w:top w:w="0" w:type="dxa"/>
                    <w:left w:w="0" w:type="dxa"/>
                    <w:bottom w:w="0" w:type="dxa"/>
                    <w:right w:w="0" w:type="dxa"/>
                  </w:tcMar>
                  <w:vAlign w:val="center"/>
                </w:tcPr>
                <w:p w14:paraId="6369EE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排放方式</w:t>
                  </w:r>
                </w:p>
              </w:tc>
            </w:tr>
            <w:tr w14:paraId="318CD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pct"/>
                  <w:noWrap w:val="0"/>
                  <w:tcMar>
                    <w:top w:w="0" w:type="dxa"/>
                    <w:left w:w="0" w:type="dxa"/>
                    <w:bottom w:w="0" w:type="dxa"/>
                    <w:right w:w="0" w:type="dxa"/>
                  </w:tcMar>
                  <w:vAlign w:val="center"/>
                </w:tcPr>
                <w:p w14:paraId="7F396E8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挤出、烘干、测试</w:t>
                  </w:r>
                  <w:r>
                    <w:rPr>
                      <w:rFonts w:hint="default" w:ascii="Times New Roman" w:hAnsi="Times New Roman" w:eastAsia="宋体" w:cs="Times New Roman"/>
                      <w:bCs/>
                      <w:color w:val="auto"/>
                      <w:kern w:val="2"/>
                      <w:sz w:val="21"/>
                      <w:szCs w:val="21"/>
                      <w:lang w:val="en-US" w:eastAsia="zh-CN" w:bidi="ar-SA"/>
                    </w:rPr>
                    <w:t>废气</w:t>
                  </w:r>
                </w:p>
              </w:tc>
              <w:tc>
                <w:tcPr>
                  <w:tcW w:w="441" w:type="pct"/>
                  <w:noWrap w:val="0"/>
                  <w:tcMar>
                    <w:top w:w="0" w:type="dxa"/>
                    <w:left w:w="0" w:type="dxa"/>
                    <w:bottom w:w="0" w:type="dxa"/>
                    <w:right w:w="0" w:type="dxa"/>
                  </w:tcMar>
                  <w:vAlign w:val="center"/>
                </w:tcPr>
                <w:p w14:paraId="09C8DD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非甲烷总烃</w:t>
                  </w:r>
                </w:p>
              </w:tc>
              <w:tc>
                <w:tcPr>
                  <w:tcW w:w="532" w:type="pct"/>
                  <w:noWrap w:val="0"/>
                  <w:tcMar>
                    <w:top w:w="0" w:type="dxa"/>
                    <w:left w:w="0" w:type="dxa"/>
                    <w:bottom w:w="0" w:type="dxa"/>
                    <w:right w:w="0" w:type="dxa"/>
                  </w:tcMar>
                  <w:vAlign w:val="center"/>
                </w:tcPr>
                <w:p w14:paraId="6F5CB68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集气罩</w:t>
                  </w:r>
                </w:p>
              </w:tc>
              <w:tc>
                <w:tcPr>
                  <w:tcW w:w="571" w:type="pct"/>
                  <w:noWrap w:val="0"/>
                  <w:tcMar>
                    <w:top w:w="0" w:type="dxa"/>
                    <w:left w:w="0" w:type="dxa"/>
                    <w:bottom w:w="0" w:type="dxa"/>
                    <w:right w:w="0" w:type="dxa"/>
                  </w:tcMar>
                  <w:vAlign w:val="center"/>
                </w:tcPr>
                <w:p w14:paraId="4BE851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90%</w:t>
                  </w:r>
                </w:p>
              </w:tc>
              <w:tc>
                <w:tcPr>
                  <w:tcW w:w="1204" w:type="pct"/>
                  <w:noWrap w:val="0"/>
                  <w:tcMar>
                    <w:top w:w="0" w:type="dxa"/>
                    <w:left w:w="0" w:type="dxa"/>
                    <w:bottom w:w="0" w:type="dxa"/>
                    <w:right w:w="0" w:type="dxa"/>
                  </w:tcMar>
                  <w:vAlign w:val="center"/>
                </w:tcPr>
                <w:p w14:paraId="01AC21E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olor w:val="auto"/>
                      <w:szCs w:val="21"/>
                      <w:lang w:val="en-US" w:eastAsia="zh-CN"/>
                    </w:rPr>
                    <w:t>水喷淋塔+除湿器+二级活性炭吸附装置</w:t>
                  </w:r>
                </w:p>
              </w:tc>
              <w:tc>
                <w:tcPr>
                  <w:tcW w:w="529" w:type="pct"/>
                  <w:noWrap w:val="0"/>
                  <w:tcMar>
                    <w:top w:w="0" w:type="dxa"/>
                    <w:left w:w="0" w:type="dxa"/>
                    <w:bottom w:w="0" w:type="dxa"/>
                    <w:right w:w="0" w:type="dxa"/>
                  </w:tcMar>
                  <w:vAlign w:val="center"/>
                </w:tcPr>
                <w:p w14:paraId="66276E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90%</w:t>
                  </w:r>
                </w:p>
              </w:tc>
              <w:tc>
                <w:tcPr>
                  <w:tcW w:w="842" w:type="pct"/>
                  <w:noWrap w:val="0"/>
                  <w:tcMar>
                    <w:top w:w="0" w:type="dxa"/>
                    <w:left w:w="0" w:type="dxa"/>
                    <w:bottom w:w="0" w:type="dxa"/>
                    <w:right w:w="0" w:type="dxa"/>
                  </w:tcMar>
                  <w:vAlign w:val="center"/>
                </w:tcPr>
                <w:p w14:paraId="366838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1根</w:t>
                  </w:r>
                  <w:r>
                    <w:rPr>
                      <w:rFonts w:hint="default"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米高排气筒</w:t>
                  </w: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val="en-US" w:eastAsia="zh-CN"/>
                    </w:rPr>
                    <w:t>）</w:t>
                  </w:r>
                </w:p>
              </w:tc>
            </w:tr>
            <w:tr w14:paraId="52975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pct"/>
                  <w:noWrap w:val="0"/>
                  <w:tcMar>
                    <w:top w:w="0" w:type="dxa"/>
                    <w:left w:w="0" w:type="dxa"/>
                    <w:bottom w:w="0" w:type="dxa"/>
                    <w:right w:w="0" w:type="dxa"/>
                  </w:tcMar>
                  <w:vAlign w:val="center"/>
                </w:tcPr>
                <w:p w14:paraId="4162EF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配料、投料废气</w:t>
                  </w:r>
                </w:p>
              </w:tc>
              <w:tc>
                <w:tcPr>
                  <w:tcW w:w="441" w:type="pct"/>
                  <w:shd w:val="clear" w:color="auto" w:fill="auto"/>
                  <w:noWrap w:val="0"/>
                  <w:tcMar>
                    <w:top w:w="0" w:type="dxa"/>
                    <w:left w:w="0" w:type="dxa"/>
                    <w:bottom w:w="0" w:type="dxa"/>
                    <w:right w:w="0" w:type="dxa"/>
                  </w:tcMar>
                  <w:vAlign w:val="center"/>
                </w:tcPr>
                <w:p w14:paraId="7AEBAE9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颗粒物</w:t>
                  </w:r>
                </w:p>
              </w:tc>
              <w:tc>
                <w:tcPr>
                  <w:tcW w:w="532" w:type="pct"/>
                  <w:shd w:val="clear" w:color="auto" w:fill="auto"/>
                  <w:noWrap w:val="0"/>
                  <w:tcMar>
                    <w:top w:w="0" w:type="dxa"/>
                    <w:left w:w="0" w:type="dxa"/>
                    <w:bottom w:w="0" w:type="dxa"/>
                    <w:right w:w="0" w:type="dxa"/>
                  </w:tcMar>
                  <w:vAlign w:val="center"/>
                </w:tcPr>
                <w:p w14:paraId="7802F31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集气罩</w:t>
                  </w:r>
                </w:p>
              </w:tc>
              <w:tc>
                <w:tcPr>
                  <w:tcW w:w="571" w:type="pct"/>
                  <w:shd w:val="clear" w:color="auto" w:fill="auto"/>
                  <w:noWrap w:val="0"/>
                  <w:tcMar>
                    <w:top w:w="0" w:type="dxa"/>
                    <w:left w:w="0" w:type="dxa"/>
                    <w:bottom w:w="0" w:type="dxa"/>
                    <w:right w:w="0" w:type="dxa"/>
                  </w:tcMar>
                  <w:vAlign w:val="center"/>
                </w:tcPr>
                <w:p w14:paraId="2897CA6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90</w:t>
                  </w:r>
                  <w:r>
                    <w:rPr>
                      <w:rFonts w:hint="default" w:ascii="Times New Roman" w:hAnsi="Times New Roman" w:eastAsia="宋体" w:cs="Times New Roman"/>
                      <w:bCs/>
                      <w:color w:val="auto"/>
                      <w:sz w:val="21"/>
                      <w:szCs w:val="21"/>
                      <w:lang w:val="en-US" w:eastAsia="zh-CN"/>
                    </w:rPr>
                    <w:t>%</w:t>
                  </w:r>
                </w:p>
              </w:tc>
              <w:tc>
                <w:tcPr>
                  <w:tcW w:w="1204" w:type="pct"/>
                  <w:shd w:val="clear" w:color="auto" w:fill="auto"/>
                  <w:noWrap w:val="0"/>
                  <w:tcMar>
                    <w:top w:w="0" w:type="dxa"/>
                    <w:left w:w="0" w:type="dxa"/>
                    <w:bottom w:w="0" w:type="dxa"/>
                    <w:right w:w="0" w:type="dxa"/>
                  </w:tcMar>
                  <w:vAlign w:val="center"/>
                </w:tcPr>
                <w:p w14:paraId="114B1F8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olor w:val="auto"/>
                      <w:kern w:val="2"/>
                      <w:sz w:val="21"/>
                      <w:szCs w:val="21"/>
                      <w:lang w:val="en-US" w:eastAsia="zh-CN"/>
                    </w:rPr>
                    <w:t>布袋除尘器</w:t>
                  </w:r>
                </w:p>
              </w:tc>
              <w:tc>
                <w:tcPr>
                  <w:tcW w:w="529" w:type="pct"/>
                  <w:noWrap w:val="0"/>
                  <w:tcMar>
                    <w:top w:w="0" w:type="dxa"/>
                    <w:left w:w="0" w:type="dxa"/>
                    <w:bottom w:w="0" w:type="dxa"/>
                    <w:right w:w="0" w:type="dxa"/>
                  </w:tcMar>
                  <w:vAlign w:val="center"/>
                </w:tcPr>
                <w:p w14:paraId="1B41952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95</w:t>
                  </w:r>
                  <w:r>
                    <w:rPr>
                      <w:rFonts w:hint="default" w:ascii="Times New Roman" w:hAnsi="Times New Roman" w:eastAsia="宋体" w:cs="Times New Roman"/>
                      <w:bCs/>
                      <w:color w:val="auto"/>
                      <w:sz w:val="21"/>
                      <w:szCs w:val="21"/>
                      <w:lang w:val="en-US" w:eastAsia="zh-CN"/>
                    </w:rPr>
                    <w:t>%</w:t>
                  </w:r>
                </w:p>
              </w:tc>
              <w:tc>
                <w:tcPr>
                  <w:tcW w:w="842" w:type="pct"/>
                  <w:noWrap w:val="0"/>
                  <w:tcMar>
                    <w:top w:w="0" w:type="dxa"/>
                    <w:left w:w="0" w:type="dxa"/>
                    <w:bottom w:w="0" w:type="dxa"/>
                    <w:right w:w="0" w:type="dxa"/>
                  </w:tcMar>
                  <w:vAlign w:val="center"/>
                </w:tcPr>
                <w:p w14:paraId="224DACC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1根</w:t>
                  </w:r>
                  <w:r>
                    <w:rPr>
                      <w:rFonts w:hint="default"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米高排气筒</w:t>
                  </w:r>
                  <w:r>
                    <w:rPr>
                      <w:rFonts w:hint="default" w:ascii="Times New Roman" w:hAnsi="Times New Roman" w:eastAsia="宋体" w:cs="Times New Roman"/>
                      <w:color w:val="auto"/>
                      <w:szCs w:val="21"/>
                      <w:lang w:val="en-US" w:eastAsia="zh-CN"/>
                    </w:rPr>
                    <w:t>（DA0</w:t>
                  </w:r>
                  <w:r>
                    <w:rPr>
                      <w:rFonts w:hint="eastAsia" w:ascii="Times New Roman" w:hAnsi="Times New Roman" w:eastAsia="宋体" w:cs="Times New Roman"/>
                      <w:color w:val="auto"/>
                      <w:szCs w:val="21"/>
                      <w:lang w:val="en-US" w:eastAsia="zh-CN"/>
                    </w:rPr>
                    <w:t>01</w:t>
                  </w:r>
                  <w:r>
                    <w:rPr>
                      <w:rFonts w:hint="default" w:ascii="Times New Roman" w:hAnsi="Times New Roman" w:eastAsia="宋体" w:cs="Times New Roman"/>
                      <w:color w:val="auto"/>
                      <w:szCs w:val="21"/>
                      <w:lang w:val="en-US" w:eastAsia="zh-CN"/>
                    </w:rPr>
                    <w:t>）</w:t>
                  </w:r>
                </w:p>
              </w:tc>
            </w:tr>
            <w:tr w14:paraId="43D48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pct"/>
                  <w:noWrap w:val="0"/>
                  <w:tcMar>
                    <w:top w:w="0" w:type="dxa"/>
                    <w:left w:w="0" w:type="dxa"/>
                    <w:bottom w:w="0" w:type="dxa"/>
                    <w:right w:w="0" w:type="dxa"/>
                  </w:tcMar>
                  <w:vAlign w:val="center"/>
                </w:tcPr>
                <w:p w14:paraId="1443359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破碎粉尘废气</w:t>
                  </w:r>
                </w:p>
              </w:tc>
              <w:tc>
                <w:tcPr>
                  <w:tcW w:w="441" w:type="pct"/>
                  <w:noWrap w:val="0"/>
                  <w:tcMar>
                    <w:top w:w="0" w:type="dxa"/>
                    <w:left w:w="0" w:type="dxa"/>
                    <w:bottom w:w="0" w:type="dxa"/>
                    <w:right w:w="0" w:type="dxa"/>
                  </w:tcMar>
                  <w:vAlign w:val="center"/>
                </w:tcPr>
                <w:p w14:paraId="6B5D950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532" w:type="pct"/>
                  <w:noWrap w:val="0"/>
                  <w:tcMar>
                    <w:top w:w="0" w:type="dxa"/>
                    <w:left w:w="0" w:type="dxa"/>
                    <w:bottom w:w="0" w:type="dxa"/>
                    <w:right w:w="0" w:type="dxa"/>
                  </w:tcMar>
                  <w:vAlign w:val="center"/>
                </w:tcPr>
                <w:p w14:paraId="256194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571" w:type="pct"/>
                  <w:noWrap w:val="0"/>
                  <w:tcMar>
                    <w:top w:w="0" w:type="dxa"/>
                    <w:left w:w="0" w:type="dxa"/>
                    <w:bottom w:w="0" w:type="dxa"/>
                    <w:right w:w="0" w:type="dxa"/>
                  </w:tcMar>
                  <w:vAlign w:val="center"/>
                </w:tcPr>
                <w:p w14:paraId="04941FE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204" w:type="pct"/>
                  <w:noWrap w:val="0"/>
                  <w:tcMar>
                    <w:top w:w="0" w:type="dxa"/>
                    <w:left w:w="0" w:type="dxa"/>
                    <w:bottom w:w="0" w:type="dxa"/>
                    <w:right w:w="0" w:type="dxa"/>
                  </w:tcMar>
                  <w:vAlign w:val="center"/>
                </w:tcPr>
                <w:p w14:paraId="6A4DBAB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密闭操作</w:t>
                  </w:r>
                </w:p>
              </w:tc>
              <w:tc>
                <w:tcPr>
                  <w:tcW w:w="529" w:type="pct"/>
                  <w:noWrap w:val="0"/>
                  <w:tcMar>
                    <w:top w:w="0" w:type="dxa"/>
                    <w:left w:w="0" w:type="dxa"/>
                    <w:bottom w:w="0" w:type="dxa"/>
                    <w:right w:w="0" w:type="dxa"/>
                  </w:tcMar>
                  <w:vAlign w:val="center"/>
                </w:tcPr>
                <w:p w14:paraId="1462C6A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842" w:type="pct"/>
                  <w:noWrap w:val="0"/>
                  <w:tcMar>
                    <w:top w:w="0" w:type="dxa"/>
                    <w:left w:w="0" w:type="dxa"/>
                    <w:bottom w:w="0" w:type="dxa"/>
                    <w:right w:w="0" w:type="dxa"/>
                  </w:tcMar>
                  <w:vAlign w:val="center"/>
                </w:tcPr>
                <w:p w14:paraId="1722897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无组织排放</w:t>
                  </w:r>
                </w:p>
              </w:tc>
            </w:tr>
          </w:tbl>
          <w:p w14:paraId="50CB4CCD">
            <w:pPr>
              <w:keepNext w:val="0"/>
              <w:keepLines w:val="0"/>
              <w:pageBreakBefore w:val="0"/>
              <w:widowControl/>
              <w:suppressLineNumbers w:val="0"/>
              <w:kinsoku/>
              <w:wordWrap w:val="0"/>
              <w:overflowPunct/>
              <w:topLinePunct w:val="0"/>
              <w:autoSpaceDE/>
              <w:autoSpaceDN/>
              <w:bidi w:val="0"/>
              <w:adjustRightInd w:val="0"/>
              <w:snapToGrid w:val="0"/>
              <w:spacing w:before="157" w:beforeLines="50" w:beforeAutospacing="0" w:after="0" w:afterAutospacing="0" w:line="360" w:lineRule="auto"/>
              <w:ind w:left="0" w:right="0" w:firstLine="422" w:firstLineChars="20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w:t>
            </w:r>
            <w:r>
              <w:rPr>
                <w:rFonts w:hint="default" w:ascii="Times New Roman" w:hAnsi="Times New Roman" w:eastAsia="宋体" w:cs="Times New Roman"/>
                <w:b/>
                <w:bCs w:val="0"/>
                <w:color w:val="auto"/>
                <w:sz w:val="21"/>
                <w:szCs w:val="21"/>
                <w:lang w:val="en-US" w:eastAsia="zh-CN"/>
              </w:rPr>
              <w:t>2</w:t>
            </w:r>
            <w:r>
              <w:rPr>
                <w:rFonts w:hint="default" w:ascii="Times New Roman" w:hAnsi="Times New Roman" w:eastAsia="宋体" w:cs="Times New Roman"/>
                <w:b/>
                <w:bCs w:val="0"/>
                <w:color w:val="auto"/>
                <w:sz w:val="21"/>
                <w:szCs w:val="21"/>
              </w:rPr>
              <w:t>）废气收集设计参数</w:t>
            </w:r>
          </w:p>
          <w:p w14:paraId="18BC958A">
            <w:pPr>
              <w:adjustRightInd w:val="0"/>
              <w:snapToGrid w:val="0"/>
              <w:spacing w:line="360" w:lineRule="auto"/>
              <w:ind w:firstLine="420" w:firstLineChars="200"/>
              <w:jc w:val="left"/>
              <w:rPr>
                <w:bCs/>
                <w:color w:val="auto"/>
                <w:szCs w:val="21"/>
              </w:rPr>
            </w:pPr>
            <w:r>
              <w:rPr>
                <w:rFonts w:hint="eastAsia"/>
                <w:bCs/>
                <w:color w:val="auto"/>
                <w:szCs w:val="21"/>
              </w:rPr>
              <w:t>①</w:t>
            </w:r>
            <w:r>
              <w:rPr>
                <w:bCs/>
                <w:color w:val="auto"/>
                <w:szCs w:val="21"/>
              </w:rPr>
              <w:t>根据《工业通风（第四版修订本）》（孙一坚，沈恒根主编）中外部集气罩排风量计算公式：</w:t>
            </w:r>
          </w:p>
          <w:p w14:paraId="49DC0593">
            <w:pPr>
              <w:adjustRightInd w:val="0"/>
              <w:snapToGrid w:val="0"/>
              <w:spacing w:line="360" w:lineRule="auto"/>
              <w:ind w:firstLine="420" w:firstLineChars="200"/>
              <w:jc w:val="center"/>
              <w:rPr>
                <w:bCs/>
                <w:color w:val="auto"/>
                <w:szCs w:val="21"/>
              </w:rPr>
            </w:pPr>
            <w:r>
              <w:rPr>
                <w:bCs/>
                <w:color w:val="auto"/>
                <w:szCs w:val="21"/>
              </w:rPr>
              <w:t>L=K·P·H·Vx*3600</w:t>
            </w:r>
          </w:p>
          <w:p w14:paraId="6D3C5C88">
            <w:pPr>
              <w:adjustRightInd w:val="0"/>
              <w:snapToGrid w:val="0"/>
              <w:spacing w:line="360" w:lineRule="auto"/>
              <w:ind w:firstLine="420" w:firstLineChars="200"/>
              <w:jc w:val="left"/>
              <w:rPr>
                <w:rFonts w:hint="eastAsia"/>
                <w:bCs/>
                <w:color w:val="auto"/>
                <w:szCs w:val="21"/>
              </w:rPr>
            </w:pPr>
            <w:r>
              <w:rPr>
                <w:bCs/>
                <w:color w:val="auto"/>
                <w:szCs w:val="21"/>
              </w:rPr>
              <w:t>式中：L——集气罩排风量，m</w:t>
            </w:r>
            <w:r>
              <w:rPr>
                <w:bCs/>
                <w:color w:val="auto"/>
                <w:szCs w:val="21"/>
                <w:vertAlign w:val="superscript"/>
              </w:rPr>
              <w:t>3</w:t>
            </w:r>
            <w:r>
              <w:rPr>
                <w:bCs/>
                <w:color w:val="auto"/>
                <w:szCs w:val="21"/>
              </w:rPr>
              <w:t>/h</w:t>
            </w:r>
            <w:r>
              <w:rPr>
                <w:rFonts w:hint="eastAsia"/>
                <w:bCs/>
                <w:color w:val="auto"/>
                <w:szCs w:val="21"/>
              </w:rPr>
              <w:t>；</w:t>
            </w:r>
          </w:p>
          <w:p w14:paraId="4EC4C004">
            <w:pPr>
              <w:adjustRightInd w:val="0"/>
              <w:snapToGrid w:val="0"/>
              <w:spacing w:line="360" w:lineRule="auto"/>
              <w:ind w:firstLine="420" w:firstLineChars="200"/>
              <w:jc w:val="left"/>
              <w:rPr>
                <w:rFonts w:hint="eastAsia"/>
                <w:bCs/>
                <w:color w:val="auto"/>
                <w:szCs w:val="21"/>
              </w:rPr>
            </w:pPr>
            <w:r>
              <w:rPr>
                <w:bCs/>
                <w:color w:val="auto"/>
                <w:szCs w:val="21"/>
              </w:rPr>
              <w:t>K——安全系数，通常取1.4</w:t>
            </w:r>
            <w:r>
              <w:rPr>
                <w:rFonts w:hint="eastAsia"/>
                <w:bCs/>
                <w:color w:val="auto"/>
                <w:szCs w:val="21"/>
              </w:rPr>
              <w:t>；</w:t>
            </w:r>
          </w:p>
          <w:p w14:paraId="6F06A7F5">
            <w:pPr>
              <w:adjustRightInd w:val="0"/>
              <w:snapToGrid w:val="0"/>
              <w:spacing w:line="360" w:lineRule="auto"/>
              <w:ind w:firstLine="420" w:firstLineChars="200"/>
              <w:jc w:val="left"/>
              <w:rPr>
                <w:rFonts w:hint="eastAsia"/>
                <w:bCs/>
                <w:color w:val="auto"/>
                <w:szCs w:val="21"/>
              </w:rPr>
            </w:pPr>
            <w:r>
              <w:rPr>
                <w:bCs/>
                <w:color w:val="auto"/>
                <w:szCs w:val="21"/>
              </w:rPr>
              <w:t>P——排风罩口敞口面的周长</w:t>
            </w:r>
            <w:r>
              <w:rPr>
                <w:rFonts w:hint="eastAsia"/>
                <w:bCs/>
                <w:color w:val="auto"/>
                <w:szCs w:val="21"/>
              </w:rPr>
              <w:t>；</w:t>
            </w:r>
          </w:p>
          <w:p w14:paraId="213C1095">
            <w:pPr>
              <w:adjustRightInd w:val="0"/>
              <w:snapToGrid w:val="0"/>
              <w:spacing w:line="360" w:lineRule="auto"/>
              <w:ind w:firstLine="420" w:firstLineChars="200"/>
              <w:jc w:val="left"/>
              <w:rPr>
                <w:rFonts w:hint="eastAsia"/>
                <w:bCs/>
                <w:color w:val="auto"/>
                <w:szCs w:val="21"/>
              </w:rPr>
            </w:pPr>
            <w:r>
              <w:rPr>
                <w:bCs/>
                <w:color w:val="auto"/>
                <w:szCs w:val="21"/>
              </w:rPr>
              <w:t>H——罩点到污染物的距离</w:t>
            </w:r>
            <w:r>
              <w:rPr>
                <w:rFonts w:hint="eastAsia"/>
                <w:bCs/>
                <w:color w:val="auto"/>
                <w:szCs w:val="21"/>
              </w:rPr>
              <w:t>；</w:t>
            </w:r>
          </w:p>
          <w:p w14:paraId="365CF3BF">
            <w:pPr>
              <w:adjustRightInd w:val="0"/>
              <w:snapToGrid w:val="0"/>
              <w:spacing w:line="360" w:lineRule="auto"/>
              <w:ind w:firstLine="420" w:firstLineChars="200"/>
              <w:jc w:val="left"/>
              <w:rPr>
                <w:rFonts w:hint="eastAsia"/>
                <w:bCs/>
                <w:color w:val="auto"/>
                <w:szCs w:val="21"/>
              </w:rPr>
            </w:pPr>
            <w:r>
              <w:rPr>
                <w:bCs/>
                <w:color w:val="auto"/>
                <w:szCs w:val="21"/>
              </w:rPr>
              <w:t>Vx——污染源气体流速，m/s，一般在0.5-1.5m/s</w:t>
            </w:r>
            <w:r>
              <w:rPr>
                <w:rFonts w:hint="eastAsia"/>
                <w:bCs/>
                <w:color w:val="auto"/>
                <w:szCs w:val="21"/>
              </w:rPr>
              <w:t>；</w:t>
            </w:r>
          </w:p>
          <w:p w14:paraId="6ADAF632">
            <w:pPr>
              <w:adjustRightInd w:val="0"/>
              <w:snapToGrid w:val="0"/>
              <w:spacing w:line="360" w:lineRule="auto"/>
              <w:ind w:firstLine="420" w:firstLineChars="200"/>
              <w:jc w:val="left"/>
              <w:rPr>
                <w:rFonts w:hint="eastAsia"/>
                <w:bCs/>
                <w:color w:val="auto"/>
                <w:szCs w:val="21"/>
              </w:rPr>
            </w:pPr>
            <w:r>
              <w:rPr>
                <w:bCs/>
                <w:color w:val="auto"/>
                <w:szCs w:val="21"/>
              </w:rPr>
              <w:t>根据《2020年挥发性有机物治理攻坚方案》（环大气〔2020〕33号）要求：按照</w:t>
            </w:r>
            <w:r>
              <w:rPr>
                <w:rFonts w:hint="eastAsia"/>
                <w:bCs/>
                <w:color w:val="auto"/>
                <w:szCs w:val="21"/>
              </w:rPr>
              <w:t>“</w:t>
            </w:r>
            <w:r>
              <w:rPr>
                <w:bCs/>
                <w:color w:val="auto"/>
                <w:szCs w:val="21"/>
              </w:rPr>
              <w:t>应收尽收</w:t>
            </w:r>
            <w:r>
              <w:rPr>
                <w:rFonts w:hint="eastAsia"/>
                <w:bCs/>
                <w:color w:val="auto"/>
                <w:szCs w:val="21"/>
              </w:rPr>
              <w:t>”</w:t>
            </w:r>
            <w:r>
              <w:rPr>
                <w:bCs/>
                <w:color w:val="auto"/>
                <w:szCs w:val="21"/>
              </w:rPr>
              <w:t>的原则提升废气收集率。对于采用局部集气罩的，应根据废气排放特点合理选择收集点位，距集气罩开口面最远处的VOCs无组织排放位置，控制风速不低于0.3米/秒，本次Vx取0.5m/s</w:t>
            </w:r>
            <w:r>
              <w:rPr>
                <w:rFonts w:hint="eastAsia"/>
                <w:bCs/>
                <w:color w:val="auto"/>
                <w:szCs w:val="21"/>
              </w:rPr>
              <w:t>。</w:t>
            </w:r>
          </w:p>
          <w:p w14:paraId="35972D74">
            <w:pPr>
              <w:keepNext w:val="0"/>
              <w:keepLines w:val="0"/>
              <w:pageBreakBefore w:val="0"/>
              <w:suppressLineNumbers w:val="0"/>
              <w:kinsoku/>
              <w:overflowPunct/>
              <w:topLinePunct w:val="0"/>
              <w:bidi w:val="0"/>
              <w:adjustRightInd w:val="0"/>
              <w:snapToGrid w:val="0"/>
              <w:spacing w:beforeAutospacing="0" w:after="0" w:afterAutospacing="0" w:line="360" w:lineRule="auto"/>
              <w:ind w:left="0" w:right="0" w:firstLine="420" w:firstLineChars="200"/>
              <w:jc w:val="left"/>
              <w:textAlignment w:val="auto"/>
              <w:rPr>
                <w:rFonts w:hint="eastAsia" w:ascii="Times New Roman" w:hAnsi="Times New Roman" w:eastAsia="宋体" w:cs="Times New Roman"/>
                <w:bCs/>
                <w:color w:val="auto"/>
                <w:sz w:val="21"/>
                <w:szCs w:val="21"/>
                <w:lang w:val="en-US" w:eastAsia="zh-CN"/>
              </w:rPr>
            </w:pPr>
            <w:r>
              <w:rPr>
                <w:bCs/>
                <w:color w:val="auto"/>
                <w:szCs w:val="21"/>
              </w:rPr>
              <w:t>本项目废气收集相关设计参数如下表</w:t>
            </w:r>
            <w:r>
              <w:rPr>
                <w:rFonts w:hint="eastAsia"/>
                <w:bCs/>
                <w:color w:val="auto"/>
                <w:szCs w:val="21"/>
                <w:lang w:eastAsia="zh-CN"/>
              </w:rPr>
              <w:t>。</w:t>
            </w:r>
          </w:p>
          <w:p w14:paraId="4FDA3697">
            <w:pPr>
              <w:jc w:val="center"/>
              <w:rPr>
                <w:b/>
                <w:color w:val="auto"/>
                <w:szCs w:val="21"/>
              </w:rPr>
            </w:pPr>
            <w:r>
              <w:rPr>
                <w:b/>
                <w:color w:val="auto"/>
                <w:szCs w:val="21"/>
              </w:rPr>
              <w:t>表4-</w:t>
            </w:r>
            <w:r>
              <w:rPr>
                <w:rFonts w:hint="eastAsia"/>
                <w:b/>
                <w:color w:val="auto"/>
                <w:szCs w:val="21"/>
                <w:lang w:val="en-US" w:eastAsia="zh-CN"/>
              </w:rPr>
              <w:t>5</w:t>
            </w:r>
            <w:r>
              <w:rPr>
                <w:b/>
                <w:color w:val="auto"/>
                <w:szCs w:val="21"/>
              </w:rPr>
              <w:t xml:space="preserve"> 本项目废气收集设计参数</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887"/>
              <w:gridCol w:w="783"/>
              <w:gridCol w:w="939"/>
              <w:gridCol w:w="1027"/>
              <w:gridCol w:w="1203"/>
              <w:gridCol w:w="1215"/>
              <w:gridCol w:w="826"/>
            </w:tblGrid>
            <w:tr w14:paraId="20BC5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noWrap w:val="0"/>
                  <w:tcMar>
                    <w:top w:w="0" w:type="dxa"/>
                    <w:left w:w="0" w:type="dxa"/>
                    <w:bottom w:w="0" w:type="dxa"/>
                    <w:right w:w="0" w:type="dxa"/>
                  </w:tcMar>
                  <w:vAlign w:val="center"/>
                </w:tcPr>
                <w:p w14:paraId="141E7227">
                  <w:pPr>
                    <w:jc w:val="center"/>
                    <w:rPr>
                      <w:b/>
                      <w:bCs/>
                      <w:color w:val="auto"/>
                      <w:szCs w:val="21"/>
                    </w:rPr>
                  </w:pPr>
                  <w:r>
                    <w:rPr>
                      <w:b/>
                      <w:bCs/>
                      <w:color w:val="auto"/>
                      <w:szCs w:val="21"/>
                    </w:rPr>
                    <w:t>废气来源</w:t>
                  </w:r>
                </w:p>
              </w:tc>
              <w:tc>
                <w:tcPr>
                  <w:tcW w:w="1126" w:type="pct"/>
                  <w:noWrap w:val="0"/>
                  <w:tcMar>
                    <w:top w:w="0" w:type="dxa"/>
                    <w:left w:w="0" w:type="dxa"/>
                    <w:bottom w:w="0" w:type="dxa"/>
                    <w:right w:w="0" w:type="dxa"/>
                  </w:tcMar>
                  <w:vAlign w:val="center"/>
                </w:tcPr>
                <w:p w14:paraId="26532B41">
                  <w:pPr>
                    <w:jc w:val="center"/>
                    <w:rPr>
                      <w:b/>
                      <w:bCs/>
                      <w:color w:val="auto"/>
                      <w:szCs w:val="21"/>
                    </w:rPr>
                  </w:pPr>
                  <w:r>
                    <w:rPr>
                      <w:b/>
                      <w:bCs/>
                      <w:color w:val="auto"/>
                      <w:szCs w:val="21"/>
                    </w:rPr>
                    <w:t>收集参数</w:t>
                  </w:r>
                </w:p>
              </w:tc>
              <w:tc>
                <w:tcPr>
                  <w:tcW w:w="467" w:type="pct"/>
                  <w:noWrap w:val="0"/>
                  <w:tcMar>
                    <w:top w:w="0" w:type="dxa"/>
                    <w:left w:w="0" w:type="dxa"/>
                    <w:bottom w:w="0" w:type="dxa"/>
                    <w:right w:w="0" w:type="dxa"/>
                  </w:tcMar>
                  <w:vAlign w:val="center"/>
                </w:tcPr>
                <w:p w14:paraId="51F6F6B4">
                  <w:pPr>
                    <w:jc w:val="center"/>
                    <w:rPr>
                      <w:b/>
                      <w:bCs/>
                      <w:color w:val="auto"/>
                      <w:szCs w:val="21"/>
                    </w:rPr>
                  </w:pPr>
                  <w:r>
                    <w:rPr>
                      <w:b/>
                      <w:bCs/>
                      <w:color w:val="auto"/>
                      <w:szCs w:val="21"/>
                    </w:rPr>
                    <w:t>各环节废气量（m</w:t>
                  </w:r>
                  <w:r>
                    <w:rPr>
                      <w:b/>
                      <w:bCs/>
                      <w:color w:val="auto"/>
                      <w:szCs w:val="21"/>
                      <w:vertAlign w:val="superscript"/>
                    </w:rPr>
                    <w:t>3</w:t>
                  </w:r>
                  <w:r>
                    <w:rPr>
                      <w:b/>
                      <w:bCs/>
                      <w:color w:val="auto"/>
                      <w:szCs w:val="21"/>
                    </w:rPr>
                    <w:t>/h）</w:t>
                  </w:r>
                </w:p>
              </w:tc>
              <w:tc>
                <w:tcPr>
                  <w:tcW w:w="560" w:type="pct"/>
                  <w:noWrap w:val="0"/>
                  <w:tcMar>
                    <w:top w:w="0" w:type="dxa"/>
                    <w:left w:w="0" w:type="dxa"/>
                    <w:bottom w:w="0" w:type="dxa"/>
                    <w:right w:w="0" w:type="dxa"/>
                  </w:tcMar>
                  <w:vAlign w:val="center"/>
                </w:tcPr>
                <w:p w14:paraId="01CD0152">
                  <w:pPr>
                    <w:jc w:val="center"/>
                    <w:rPr>
                      <w:b/>
                      <w:bCs/>
                      <w:color w:val="auto"/>
                      <w:szCs w:val="21"/>
                    </w:rPr>
                  </w:pPr>
                  <w:r>
                    <w:rPr>
                      <w:rFonts w:hint="eastAsia"/>
                      <w:b/>
                      <w:bCs/>
                      <w:color w:val="auto"/>
                      <w:szCs w:val="21"/>
                    </w:rPr>
                    <w:t>理论</w:t>
                  </w:r>
                  <w:r>
                    <w:rPr>
                      <w:b/>
                      <w:bCs/>
                      <w:color w:val="auto"/>
                      <w:szCs w:val="21"/>
                    </w:rPr>
                    <w:t>废气量合计（m</w:t>
                  </w:r>
                  <w:r>
                    <w:rPr>
                      <w:b/>
                      <w:bCs/>
                      <w:color w:val="auto"/>
                      <w:szCs w:val="21"/>
                      <w:vertAlign w:val="superscript"/>
                    </w:rPr>
                    <w:t>3</w:t>
                  </w:r>
                  <w:r>
                    <w:rPr>
                      <w:b/>
                      <w:bCs/>
                      <w:color w:val="auto"/>
                      <w:szCs w:val="21"/>
                    </w:rPr>
                    <w:t>/h）</w:t>
                  </w:r>
                </w:p>
              </w:tc>
              <w:tc>
                <w:tcPr>
                  <w:tcW w:w="613" w:type="pct"/>
                  <w:noWrap w:val="0"/>
                  <w:tcMar>
                    <w:top w:w="0" w:type="dxa"/>
                    <w:left w:w="0" w:type="dxa"/>
                    <w:bottom w:w="0" w:type="dxa"/>
                    <w:right w:w="0" w:type="dxa"/>
                  </w:tcMar>
                  <w:vAlign w:val="center"/>
                </w:tcPr>
                <w:p w14:paraId="1030F488">
                  <w:pPr>
                    <w:jc w:val="center"/>
                    <w:rPr>
                      <w:rFonts w:hint="eastAsia"/>
                      <w:b/>
                      <w:bCs/>
                      <w:color w:val="auto"/>
                      <w:szCs w:val="21"/>
                    </w:rPr>
                  </w:pPr>
                  <w:r>
                    <w:rPr>
                      <w:rFonts w:hint="eastAsia"/>
                      <w:b/>
                      <w:bCs/>
                      <w:color w:val="auto"/>
                      <w:szCs w:val="21"/>
                    </w:rPr>
                    <w:t>本次设计废气量</w:t>
                  </w:r>
                  <w:r>
                    <w:rPr>
                      <w:b/>
                      <w:bCs/>
                      <w:color w:val="auto"/>
                      <w:szCs w:val="21"/>
                    </w:rPr>
                    <w:t>合计（m</w:t>
                  </w:r>
                  <w:r>
                    <w:rPr>
                      <w:b/>
                      <w:bCs/>
                      <w:color w:val="auto"/>
                      <w:szCs w:val="21"/>
                      <w:vertAlign w:val="superscript"/>
                    </w:rPr>
                    <w:t>3</w:t>
                  </w:r>
                  <w:r>
                    <w:rPr>
                      <w:b/>
                      <w:bCs/>
                      <w:color w:val="auto"/>
                      <w:szCs w:val="21"/>
                    </w:rPr>
                    <w:t>/h</w:t>
                  </w:r>
                  <w:r>
                    <w:rPr>
                      <w:rFonts w:hint="eastAsia"/>
                      <w:b/>
                      <w:bCs/>
                      <w:color w:val="auto"/>
                      <w:szCs w:val="21"/>
                    </w:rPr>
                    <w:t>）</w:t>
                  </w:r>
                </w:p>
              </w:tc>
              <w:tc>
                <w:tcPr>
                  <w:tcW w:w="718" w:type="pct"/>
                  <w:noWrap w:val="0"/>
                  <w:tcMar>
                    <w:top w:w="0" w:type="dxa"/>
                    <w:left w:w="0" w:type="dxa"/>
                    <w:bottom w:w="0" w:type="dxa"/>
                    <w:right w:w="0" w:type="dxa"/>
                  </w:tcMar>
                  <w:vAlign w:val="center"/>
                </w:tcPr>
                <w:p w14:paraId="43E401F5">
                  <w:pPr>
                    <w:jc w:val="center"/>
                    <w:rPr>
                      <w:rFonts w:hint="eastAsia"/>
                      <w:b/>
                      <w:bCs/>
                      <w:color w:val="auto"/>
                      <w:szCs w:val="21"/>
                    </w:rPr>
                  </w:pPr>
                  <w:r>
                    <w:rPr>
                      <w:rFonts w:hint="eastAsia"/>
                      <w:b/>
                      <w:bCs/>
                      <w:color w:val="auto"/>
                      <w:szCs w:val="21"/>
                    </w:rPr>
                    <w:t>备注</w:t>
                  </w:r>
                </w:p>
              </w:tc>
              <w:tc>
                <w:tcPr>
                  <w:tcW w:w="725" w:type="pct"/>
                  <w:noWrap w:val="0"/>
                  <w:tcMar>
                    <w:top w:w="0" w:type="dxa"/>
                    <w:left w:w="0" w:type="dxa"/>
                    <w:bottom w:w="0" w:type="dxa"/>
                    <w:right w:w="0" w:type="dxa"/>
                  </w:tcMar>
                  <w:vAlign w:val="center"/>
                </w:tcPr>
                <w:p w14:paraId="4A924E12">
                  <w:pPr>
                    <w:jc w:val="center"/>
                    <w:rPr>
                      <w:b/>
                      <w:bCs/>
                      <w:color w:val="auto"/>
                      <w:szCs w:val="21"/>
                    </w:rPr>
                  </w:pPr>
                  <w:r>
                    <w:rPr>
                      <w:b/>
                      <w:bCs/>
                      <w:color w:val="auto"/>
                      <w:szCs w:val="21"/>
                    </w:rPr>
                    <w:t>处理措施</w:t>
                  </w:r>
                </w:p>
              </w:tc>
              <w:tc>
                <w:tcPr>
                  <w:tcW w:w="493" w:type="pct"/>
                  <w:noWrap w:val="0"/>
                  <w:tcMar>
                    <w:top w:w="0" w:type="dxa"/>
                    <w:left w:w="0" w:type="dxa"/>
                    <w:bottom w:w="0" w:type="dxa"/>
                    <w:right w:w="0" w:type="dxa"/>
                  </w:tcMar>
                  <w:vAlign w:val="center"/>
                </w:tcPr>
                <w:p w14:paraId="6A4335B9">
                  <w:pPr>
                    <w:jc w:val="center"/>
                    <w:rPr>
                      <w:b/>
                      <w:bCs/>
                      <w:color w:val="auto"/>
                      <w:szCs w:val="21"/>
                    </w:rPr>
                  </w:pPr>
                  <w:r>
                    <w:rPr>
                      <w:b/>
                      <w:bCs/>
                      <w:color w:val="auto"/>
                      <w:szCs w:val="21"/>
                    </w:rPr>
                    <w:t>排放口编号</w:t>
                  </w:r>
                </w:p>
              </w:tc>
            </w:tr>
            <w:tr w14:paraId="3E6BB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noWrap w:val="0"/>
                  <w:tcMar>
                    <w:top w:w="0" w:type="dxa"/>
                    <w:left w:w="0" w:type="dxa"/>
                    <w:bottom w:w="0" w:type="dxa"/>
                    <w:right w:w="0" w:type="dxa"/>
                  </w:tcMar>
                  <w:vAlign w:val="center"/>
                </w:tcPr>
                <w:p w14:paraId="6CF18634">
                  <w:pPr>
                    <w:jc w:val="center"/>
                    <w:rPr>
                      <w:rFonts w:hint="default"/>
                      <w:bCs/>
                      <w:color w:val="auto"/>
                      <w:szCs w:val="21"/>
                      <w:lang w:val="en-US"/>
                    </w:rPr>
                  </w:pPr>
                  <w:r>
                    <w:rPr>
                      <w:rFonts w:hint="eastAsia" w:ascii="Times New Roman" w:hAnsi="Times New Roman" w:eastAsia="宋体" w:cs="Times New Roman"/>
                      <w:color w:val="auto"/>
                      <w:sz w:val="21"/>
                      <w:szCs w:val="21"/>
                      <w:lang w:val="en-US" w:eastAsia="zh-CN"/>
                    </w:rPr>
                    <w:t>挤出</w:t>
                  </w:r>
                </w:p>
              </w:tc>
              <w:tc>
                <w:tcPr>
                  <w:tcW w:w="1126" w:type="pct"/>
                  <w:noWrap w:val="0"/>
                  <w:tcMar>
                    <w:top w:w="0" w:type="dxa"/>
                    <w:left w:w="0" w:type="dxa"/>
                    <w:bottom w:w="0" w:type="dxa"/>
                    <w:right w:w="0" w:type="dxa"/>
                  </w:tcMar>
                  <w:vAlign w:val="center"/>
                </w:tcPr>
                <w:p w14:paraId="130B87AB">
                  <w:pPr>
                    <w:jc w:val="center"/>
                    <w:rPr>
                      <w:bCs/>
                      <w:color w:val="auto"/>
                      <w:szCs w:val="21"/>
                    </w:rPr>
                  </w:pPr>
                  <w:r>
                    <w:rPr>
                      <w:rFonts w:hint="eastAsia"/>
                      <w:bCs/>
                      <w:color w:val="auto"/>
                      <w:szCs w:val="21"/>
                      <w:lang w:val="en-US" w:eastAsia="zh-CN"/>
                    </w:rPr>
                    <w:t>挤出</w:t>
                  </w:r>
                  <w:r>
                    <w:rPr>
                      <w:rFonts w:hint="eastAsia"/>
                      <w:bCs/>
                      <w:color w:val="auto"/>
                      <w:szCs w:val="21"/>
                    </w:rPr>
                    <w:t>机</w:t>
                  </w:r>
                  <w:r>
                    <w:rPr>
                      <w:bCs/>
                      <w:color w:val="auto"/>
                      <w:szCs w:val="21"/>
                    </w:rPr>
                    <w:t>上方设</w:t>
                  </w:r>
                  <w:r>
                    <w:rPr>
                      <w:rFonts w:hint="eastAsia"/>
                      <w:bCs/>
                      <w:color w:val="auto"/>
                      <w:szCs w:val="21"/>
                    </w:rPr>
                    <w:t>1</w:t>
                  </w:r>
                  <w:r>
                    <w:rPr>
                      <w:bCs/>
                      <w:color w:val="auto"/>
                      <w:szCs w:val="21"/>
                    </w:rPr>
                    <w:t>个集气罩，为</w:t>
                  </w:r>
                  <w:r>
                    <w:rPr>
                      <w:rFonts w:hint="eastAsia"/>
                      <w:bCs/>
                      <w:color w:val="auto"/>
                      <w:szCs w:val="21"/>
                    </w:rPr>
                    <w:t>方形</w:t>
                  </w:r>
                  <w:r>
                    <w:rPr>
                      <w:bCs/>
                      <w:color w:val="auto"/>
                      <w:szCs w:val="21"/>
                    </w:rPr>
                    <w:t>，</w:t>
                  </w:r>
                  <w:r>
                    <w:rPr>
                      <w:rFonts w:hint="eastAsia"/>
                      <w:bCs/>
                      <w:color w:val="auto"/>
                      <w:szCs w:val="21"/>
                    </w:rPr>
                    <w:t>长×宽</w:t>
                  </w:r>
                  <w:r>
                    <w:rPr>
                      <w:rFonts w:hint="eastAsia"/>
                      <w:bCs/>
                      <w:color w:val="auto"/>
                      <w:szCs w:val="21"/>
                      <w:lang w:val="en-US" w:eastAsia="zh-CN"/>
                    </w:rPr>
                    <w:t>3</w:t>
                  </w:r>
                  <w:r>
                    <w:rPr>
                      <w:rFonts w:hint="eastAsia"/>
                      <w:bCs/>
                      <w:color w:val="auto"/>
                      <w:szCs w:val="21"/>
                    </w:rPr>
                    <w:t>00×</w:t>
                  </w:r>
                  <w:r>
                    <w:rPr>
                      <w:rFonts w:hint="eastAsia"/>
                      <w:bCs/>
                      <w:color w:val="auto"/>
                      <w:szCs w:val="21"/>
                      <w:lang w:val="en-US" w:eastAsia="zh-CN"/>
                    </w:rPr>
                    <w:t>3</w:t>
                  </w:r>
                  <w:r>
                    <w:rPr>
                      <w:rFonts w:hint="eastAsia"/>
                      <w:bCs/>
                      <w:color w:val="auto"/>
                      <w:szCs w:val="21"/>
                    </w:rPr>
                    <w:t>00</w:t>
                  </w:r>
                  <w:r>
                    <w:rPr>
                      <w:bCs/>
                      <w:color w:val="auto"/>
                      <w:szCs w:val="21"/>
                    </w:rPr>
                    <w:t>mm，距污染源距离为</w:t>
                  </w:r>
                  <w:r>
                    <w:rPr>
                      <w:rFonts w:hint="eastAsia"/>
                      <w:bCs/>
                      <w:color w:val="auto"/>
                      <w:szCs w:val="21"/>
                    </w:rPr>
                    <w:t>0.</w:t>
                  </w:r>
                  <w:r>
                    <w:rPr>
                      <w:rFonts w:hint="eastAsia"/>
                      <w:bCs/>
                      <w:color w:val="auto"/>
                      <w:szCs w:val="21"/>
                      <w:lang w:val="en-US" w:eastAsia="zh-CN"/>
                    </w:rPr>
                    <w:t>2</w:t>
                  </w:r>
                  <w:r>
                    <w:rPr>
                      <w:rFonts w:hint="eastAsia"/>
                      <w:bCs/>
                      <w:color w:val="auto"/>
                      <w:szCs w:val="21"/>
                    </w:rPr>
                    <w:t>m，建设单位设置</w:t>
                  </w:r>
                  <w:r>
                    <w:rPr>
                      <w:rFonts w:hint="eastAsia"/>
                      <w:bCs/>
                      <w:color w:val="auto"/>
                      <w:szCs w:val="21"/>
                      <w:lang w:val="en-US" w:eastAsia="zh-CN"/>
                    </w:rPr>
                    <w:t>10台挤出</w:t>
                  </w:r>
                  <w:r>
                    <w:rPr>
                      <w:rFonts w:hint="eastAsia"/>
                      <w:bCs/>
                      <w:color w:val="auto"/>
                      <w:szCs w:val="21"/>
                    </w:rPr>
                    <w:t>机</w:t>
                  </w:r>
                </w:p>
              </w:tc>
              <w:tc>
                <w:tcPr>
                  <w:tcW w:w="467" w:type="pct"/>
                  <w:noWrap w:val="0"/>
                  <w:tcMar>
                    <w:top w:w="0" w:type="dxa"/>
                    <w:left w:w="0" w:type="dxa"/>
                    <w:bottom w:w="0" w:type="dxa"/>
                    <w:right w:w="0" w:type="dxa"/>
                  </w:tcMar>
                  <w:vAlign w:val="center"/>
                </w:tcPr>
                <w:p w14:paraId="6CC91BD7">
                  <w:pPr>
                    <w:jc w:val="center"/>
                    <w:rPr>
                      <w:rFonts w:hint="default" w:eastAsia="宋体"/>
                      <w:bCs/>
                      <w:color w:val="auto"/>
                      <w:szCs w:val="21"/>
                      <w:lang w:val="en-US" w:eastAsia="zh-CN"/>
                    </w:rPr>
                  </w:pPr>
                  <w:r>
                    <w:rPr>
                      <w:rFonts w:hint="eastAsia"/>
                      <w:bCs/>
                      <w:color w:val="auto"/>
                      <w:szCs w:val="21"/>
                      <w:lang w:val="en-US" w:eastAsia="zh-CN"/>
                    </w:rPr>
                    <w:t>6048</w:t>
                  </w:r>
                </w:p>
              </w:tc>
              <w:tc>
                <w:tcPr>
                  <w:tcW w:w="560" w:type="pct"/>
                  <w:shd w:val="clear" w:color="auto" w:fill="auto"/>
                  <w:noWrap w:val="0"/>
                  <w:tcMar>
                    <w:top w:w="0" w:type="dxa"/>
                    <w:left w:w="0" w:type="dxa"/>
                    <w:bottom w:w="0" w:type="dxa"/>
                    <w:right w:w="0" w:type="dxa"/>
                  </w:tcMar>
                  <w:vAlign w:val="center"/>
                </w:tcPr>
                <w:p w14:paraId="6E9B4C33">
                  <w:pPr>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6048</w:t>
                  </w:r>
                </w:p>
              </w:tc>
              <w:tc>
                <w:tcPr>
                  <w:tcW w:w="613" w:type="pct"/>
                  <w:vMerge w:val="restart"/>
                  <w:noWrap w:val="0"/>
                  <w:tcMar>
                    <w:top w:w="0" w:type="dxa"/>
                    <w:left w:w="0" w:type="dxa"/>
                    <w:bottom w:w="0" w:type="dxa"/>
                    <w:right w:w="0" w:type="dxa"/>
                  </w:tcMar>
                  <w:vAlign w:val="center"/>
                </w:tcPr>
                <w:p w14:paraId="0FFD0F69">
                  <w:pPr>
                    <w:jc w:val="center"/>
                    <w:rPr>
                      <w:rFonts w:hint="default" w:eastAsia="宋体"/>
                      <w:color w:val="auto"/>
                      <w:lang w:val="en-US" w:eastAsia="zh-CN"/>
                    </w:rPr>
                  </w:pPr>
                  <w:r>
                    <w:rPr>
                      <w:rFonts w:hint="eastAsia" w:eastAsia="宋体"/>
                      <w:color w:val="auto"/>
                      <w:lang w:val="en-US" w:eastAsia="zh-CN"/>
                    </w:rPr>
                    <w:t>8064</w:t>
                  </w:r>
                </w:p>
              </w:tc>
              <w:tc>
                <w:tcPr>
                  <w:tcW w:w="718" w:type="pct"/>
                  <w:vMerge w:val="restart"/>
                  <w:noWrap w:val="0"/>
                  <w:tcMar>
                    <w:top w:w="0" w:type="dxa"/>
                    <w:left w:w="0" w:type="dxa"/>
                    <w:bottom w:w="0" w:type="dxa"/>
                    <w:right w:w="0" w:type="dxa"/>
                  </w:tcMar>
                  <w:vAlign w:val="center"/>
                </w:tcPr>
                <w:p w14:paraId="64B0EDA9">
                  <w:pPr>
                    <w:jc w:val="center"/>
                    <w:rPr>
                      <w:bCs/>
                      <w:color w:val="auto"/>
                      <w:szCs w:val="21"/>
                    </w:rPr>
                  </w:pPr>
                  <w:r>
                    <w:rPr>
                      <w:bCs/>
                      <w:color w:val="auto"/>
                      <w:szCs w:val="21"/>
                    </w:rPr>
                    <w:t>考虑到在废气管道和处理装置中的风量损失，故本项目废气处理装置设计风量确定为</w:t>
                  </w:r>
                  <w:r>
                    <w:rPr>
                      <w:rFonts w:hint="eastAsia"/>
                      <w:bCs/>
                      <w:color w:val="auto"/>
                      <w:szCs w:val="21"/>
                      <w:lang w:val="en-US" w:eastAsia="zh-CN"/>
                    </w:rPr>
                    <w:t>10000</w:t>
                  </w:r>
                  <w:r>
                    <w:rPr>
                      <w:color w:val="auto"/>
                      <w:szCs w:val="21"/>
                    </w:rPr>
                    <w:t>m</w:t>
                  </w:r>
                  <w:r>
                    <w:rPr>
                      <w:color w:val="auto"/>
                      <w:szCs w:val="21"/>
                      <w:vertAlign w:val="superscript"/>
                    </w:rPr>
                    <w:t>3</w:t>
                  </w:r>
                  <w:r>
                    <w:rPr>
                      <w:color w:val="auto"/>
                      <w:szCs w:val="21"/>
                    </w:rPr>
                    <w:t>/h</w:t>
                  </w:r>
                </w:p>
              </w:tc>
              <w:tc>
                <w:tcPr>
                  <w:tcW w:w="725" w:type="pct"/>
                  <w:vMerge w:val="restart"/>
                  <w:noWrap w:val="0"/>
                  <w:tcMar>
                    <w:top w:w="0" w:type="dxa"/>
                    <w:left w:w="0" w:type="dxa"/>
                    <w:bottom w:w="0" w:type="dxa"/>
                    <w:right w:w="0" w:type="dxa"/>
                  </w:tcMar>
                  <w:vAlign w:val="center"/>
                </w:tcPr>
                <w:p w14:paraId="0DDB70BF">
                  <w:pPr>
                    <w:jc w:val="center"/>
                    <w:rPr>
                      <w:bCs/>
                      <w:color w:val="auto"/>
                      <w:szCs w:val="21"/>
                    </w:rPr>
                  </w:pPr>
                  <w:r>
                    <w:rPr>
                      <w:rFonts w:hint="eastAsia"/>
                      <w:color w:val="auto"/>
                      <w:szCs w:val="21"/>
                      <w:lang w:val="en-US" w:eastAsia="zh-CN"/>
                    </w:rPr>
                    <w:t>水喷淋塔+除湿器+二级活性炭吸附装置</w:t>
                  </w:r>
                </w:p>
              </w:tc>
              <w:tc>
                <w:tcPr>
                  <w:tcW w:w="493" w:type="pct"/>
                  <w:vMerge w:val="restart"/>
                  <w:noWrap w:val="0"/>
                  <w:tcMar>
                    <w:top w:w="0" w:type="dxa"/>
                    <w:left w:w="0" w:type="dxa"/>
                    <w:bottom w:w="0" w:type="dxa"/>
                    <w:right w:w="0" w:type="dxa"/>
                  </w:tcMar>
                  <w:vAlign w:val="center"/>
                </w:tcPr>
                <w:p w14:paraId="17EE95AF">
                  <w:pPr>
                    <w:jc w:val="center"/>
                    <w:rPr>
                      <w:rFonts w:hint="eastAsia" w:eastAsia="宋体"/>
                      <w:bCs/>
                      <w:color w:val="auto"/>
                      <w:szCs w:val="21"/>
                      <w:lang w:eastAsia="zh-CN"/>
                    </w:rPr>
                  </w:pPr>
                  <w:r>
                    <w:rPr>
                      <w:rFonts w:hint="eastAsia"/>
                      <w:bCs/>
                      <w:color w:val="auto"/>
                      <w:szCs w:val="21"/>
                    </w:rPr>
                    <w:t>通过</w:t>
                  </w:r>
                  <w:r>
                    <w:rPr>
                      <w:bCs/>
                      <w:color w:val="auto"/>
                      <w:szCs w:val="21"/>
                    </w:rPr>
                    <w:t>1根</w:t>
                  </w:r>
                  <w:r>
                    <w:rPr>
                      <w:rFonts w:hint="eastAsia"/>
                      <w:bCs/>
                      <w:color w:val="auto"/>
                      <w:szCs w:val="21"/>
                      <w:lang w:val="en-US" w:eastAsia="zh-CN"/>
                    </w:rPr>
                    <w:t>15</w:t>
                  </w:r>
                  <w:r>
                    <w:rPr>
                      <w:bCs/>
                      <w:color w:val="auto"/>
                      <w:szCs w:val="21"/>
                    </w:rPr>
                    <w:t>米高排气筒</w:t>
                  </w:r>
                  <w:r>
                    <w:rPr>
                      <w:rFonts w:hint="eastAsia"/>
                      <w:bCs/>
                      <w:color w:val="auto"/>
                      <w:szCs w:val="21"/>
                    </w:rPr>
                    <w:t>DA00</w:t>
                  </w:r>
                  <w:r>
                    <w:rPr>
                      <w:rFonts w:hint="eastAsia"/>
                      <w:bCs/>
                      <w:color w:val="auto"/>
                      <w:szCs w:val="21"/>
                      <w:lang w:val="en-US" w:eastAsia="zh-CN"/>
                    </w:rPr>
                    <w:t>2</w:t>
                  </w:r>
                </w:p>
              </w:tc>
            </w:tr>
            <w:tr w14:paraId="6836E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noWrap w:val="0"/>
                  <w:tcMar>
                    <w:top w:w="0" w:type="dxa"/>
                    <w:left w:w="0" w:type="dxa"/>
                    <w:bottom w:w="0" w:type="dxa"/>
                    <w:right w:w="0" w:type="dxa"/>
                  </w:tcMar>
                  <w:vAlign w:val="center"/>
                </w:tcPr>
                <w:p w14:paraId="23E68A7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烘干</w:t>
                  </w:r>
                </w:p>
              </w:tc>
              <w:tc>
                <w:tcPr>
                  <w:tcW w:w="1126" w:type="pct"/>
                  <w:noWrap w:val="0"/>
                  <w:tcMar>
                    <w:top w:w="0" w:type="dxa"/>
                    <w:left w:w="0" w:type="dxa"/>
                    <w:bottom w:w="0" w:type="dxa"/>
                    <w:right w:w="0" w:type="dxa"/>
                  </w:tcMar>
                  <w:vAlign w:val="center"/>
                </w:tcPr>
                <w:p w14:paraId="32F9B90B">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烘干机</w:t>
                  </w:r>
                  <w:r>
                    <w:rPr>
                      <w:bCs/>
                      <w:color w:val="auto"/>
                      <w:szCs w:val="21"/>
                    </w:rPr>
                    <w:t>上方设</w:t>
                  </w:r>
                  <w:r>
                    <w:rPr>
                      <w:rFonts w:hint="eastAsia"/>
                      <w:bCs/>
                      <w:color w:val="auto"/>
                      <w:szCs w:val="21"/>
                    </w:rPr>
                    <w:t>1</w:t>
                  </w:r>
                  <w:r>
                    <w:rPr>
                      <w:bCs/>
                      <w:color w:val="auto"/>
                      <w:szCs w:val="21"/>
                    </w:rPr>
                    <w:t>个集气罩，为</w:t>
                  </w:r>
                  <w:r>
                    <w:rPr>
                      <w:rFonts w:hint="eastAsia"/>
                      <w:bCs/>
                      <w:color w:val="auto"/>
                      <w:szCs w:val="21"/>
                    </w:rPr>
                    <w:t>方形</w:t>
                  </w:r>
                  <w:r>
                    <w:rPr>
                      <w:bCs/>
                      <w:color w:val="auto"/>
                      <w:szCs w:val="21"/>
                    </w:rPr>
                    <w:t>，</w:t>
                  </w:r>
                  <w:r>
                    <w:rPr>
                      <w:rFonts w:hint="eastAsia"/>
                      <w:bCs/>
                      <w:color w:val="auto"/>
                      <w:szCs w:val="21"/>
                    </w:rPr>
                    <w:t>长×宽</w:t>
                  </w:r>
                  <w:r>
                    <w:rPr>
                      <w:rFonts w:hint="eastAsia"/>
                      <w:bCs/>
                      <w:color w:val="auto"/>
                      <w:szCs w:val="21"/>
                      <w:lang w:val="en-US" w:eastAsia="zh-CN"/>
                    </w:rPr>
                    <w:t>2</w:t>
                  </w:r>
                  <w:r>
                    <w:rPr>
                      <w:rFonts w:hint="eastAsia"/>
                      <w:bCs/>
                      <w:color w:val="auto"/>
                      <w:szCs w:val="21"/>
                    </w:rPr>
                    <w:t>00×</w:t>
                  </w:r>
                  <w:r>
                    <w:rPr>
                      <w:rFonts w:hint="eastAsia"/>
                      <w:bCs/>
                      <w:color w:val="auto"/>
                      <w:szCs w:val="21"/>
                      <w:lang w:val="en-US" w:eastAsia="zh-CN"/>
                    </w:rPr>
                    <w:t>2</w:t>
                  </w:r>
                  <w:r>
                    <w:rPr>
                      <w:rFonts w:hint="eastAsia"/>
                      <w:bCs/>
                      <w:color w:val="auto"/>
                      <w:szCs w:val="21"/>
                    </w:rPr>
                    <w:t>00</w:t>
                  </w:r>
                  <w:r>
                    <w:rPr>
                      <w:bCs/>
                      <w:color w:val="auto"/>
                      <w:szCs w:val="21"/>
                    </w:rPr>
                    <w:t>mm，距污染源距离为</w:t>
                  </w:r>
                  <w:r>
                    <w:rPr>
                      <w:rFonts w:hint="eastAsia"/>
                      <w:bCs/>
                      <w:color w:val="auto"/>
                      <w:szCs w:val="21"/>
                    </w:rPr>
                    <w:t>0.</w:t>
                  </w:r>
                  <w:r>
                    <w:rPr>
                      <w:rFonts w:hint="eastAsia"/>
                      <w:bCs/>
                      <w:color w:val="auto"/>
                      <w:szCs w:val="21"/>
                      <w:lang w:val="en-US" w:eastAsia="zh-CN"/>
                    </w:rPr>
                    <w:t>2</w:t>
                  </w:r>
                  <w:r>
                    <w:rPr>
                      <w:rFonts w:hint="eastAsia"/>
                      <w:bCs/>
                      <w:color w:val="auto"/>
                      <w:szCs w:val="21"/>
                    </w:rPr>
                    <w:t>m，建设单位设置</w:t>
                  </w:r>
                  <w:r>
                    <w:rPr>
                      <w:rFonts w:hint="eastAsia"/>
                      <w:bCs/>
                      <w:color w:val="auto"/>
                      <w:szCs w:val="21"/>
                      <w:lang w:val="en-US" w:eastAsia="zh-CN"/>
                    </w:rPr>
                    <w:t>3</w:t>
                  </w:r>
                  <w:r>
                    <w:rPr>
                      <w:rFonts w:hint="eastAsia"/>
                      <w:bCs/>
                      <w:color w:val="auto"/>
                      <w:szCs w:val="21"/>
                    </w:rPr>
                    <w:t>台</w:t>
                  </w:r>
                  <w:r>
                    <w:rPr>
                      <w:rFonts w:hint="eastAsia"/>
                      <w:bCs/>
                      <w:color w:val="auto"/>
                      <w:szCs w:val="21"/>
                      <w:lang w:val="en-US" w:eastAsia="zh-CN"/>
                    </w:rPr>
                    <w:t>烘干</w:t>
                  </w:r>
                  <w:r>
                    <w:rPr>
                      <w:rFonts w:hint="eastAsia"/>
                      <w:bCs/>
                      <w:color w:val="auto"/>
                      <w:szCs w:val="21"/>
                    </w:rPr>
                    <w:t>机</w:t>
                  </w:r>
                </w:p>
              </w:tc>
              <w:tc>
                <w:tcPr>
                  <w:tcW w:w="467" w:type="pct"/>
                  <w:noWrap w:val="0"/>
                  <w:tcMar>
                    <w:top w:w="0" w:type="dxa"/>
                    <w:left w:w="0" w:type="dxa"/>
                    <w:bottom w:w="0" w:type="dxa"/>
                    <w:right w:w="0" w:type="dxa"/>
                  </w:tcMar>
                  <w:vAlign w:val="center"/>
                </w:tcPr>
                <w:p w14:paraId="205DFDA3">
                  <w:pPr>
                    <w:jc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bCs/>
                      <w:color w:val="auto"/>
                      <w:kern w:val="2"/>
                      <w:sz w:val="21"/>
                      <w:szCs w:val="21"/>
                      <w:lang w:val="en-US" w:eastAsia="zh-CN" w:bidi="ar-SA"/>
                    </w:rPr>
                    <w:t>1209.6</w:t>
                  </w:r>
                </w:p>
              </w:tc>
              <w:tc>
                <w:tcPr>
                  <w:tcW w:w="560" w:type="pct"/>
                  <w:noWrap w:val="0"/>
                  <w:tcMar>
                    <w:top w:w="0" w:type="dxa"/>
                    <w:left w:w="0" w:type="dxa"/>
                    <w:bottom w:w="0" w:type="dxa"/>
                    <w:right w:w="0" w:type="dxa"/>
                  </w:tcMar>
                  <w:vAlign w:val="center"/>
                </w:tcPr>
                <w:p w14:paraId="10C409FF">
                  <w:pPr>
                    <w:jc w:val="center"/>
                    <w:rPr>
                      <w:rFonts w:hint="eastAsia" w:ascii="Times New Roman" w:hAnsi="Times New Roman" w:eastAsia="宋体" w:cs="Times New Roman"/>
                      <w:bCs/>
                      <w:color w:val="auto"/>
                      <w:kern w:val="2"/>
                      <w:sz w:val="21"/>
                      <w:szCs w:val="21"/>
                      <w:lang w:val="en-US" w:eastAsia="zh-CN" w:bidi="ar-SA"/>
                    </w:rPr>
                  </w:pPr>
                  <w:r>
                    <w:rPr>
                      <w:rFonts w:hint="eastAsia" w:eastAsia="宋体" w:cs="Times New Roman"/>
                      <w:bCs/>
                      <w:color w:val="auto"/>
                      <w:kern w:val="2"/>
                      <w:sz w:val="21"/>
                      <w:szCs w:val="21"/>
                      <w:lang w:val="en-US" w:eastAsia="zh-CN" w:bidi="ar-SA"/>
                    </w:rPr>
                    <w:t>1209.6</w:t>
                  </w:r>
                </w:p>
              </w:tc>
              <w:tc>
                <w:tcPr>
                  <w:tcW w:w="613" w:type="pct"/>
                  <w:vMerge w:val="continue"/>
                  <w:noWrap w:val="0"/>
                  <w:tcMar>
                    <w:top w:w="0" w:type="dxa"/>
                    <w:left w:w="0" w:type="dxa"/>
                    <w:bottom w:w="0" w:type="dxa"/>
                    <w:right w:w="0" w:type="dxa"/>
                  </w:tcMar>
                  <w:vAlign w:val="center"/>
                </w:tcPr>
                <w:p w14:paraId="2802BB8D">
                  <w:pPr>
                    <w:jc w:val="center"/>
                    <w:rPr>
                      <w:rFonts w:hint="eastAsia"/>
                      <w:color w:val="auto"/>
                    </w:rPr>
                  </w:pPr>
                </w:p>
              </w:tc>
              <w:tc>
                <w:tcPr>
                  <w:tcW w:w="718" w:type="pct"/>
                  <w:vMerge w:val="continue"/>
                  <w:noWrap w:val="0"/>
                  <w:tcMar>
                    <w:top w:w="0" w:type="dxa"/>
                    <w:left w:w="0" w:type="dxa"/>
                    <w:bottom w:w="0" w:type="dxa"/>
                    <w:right w:w="0" w:type="dxa"/>
                  </w:tcMar>
                  <w:vAlign w:val="center"/>
                </w:tcPr>
                <w:p w14:paraId="0D469BDC">
                  <w:pPr>
                    <w:jc w:val="center"/>
                    <w:rPr>
                      <w:bCs/>
                      <w:color w:val="auto"/>
                      <w:szCs w:val="21"/>
                    </w:rPr>
                  </w:pPr>
                </w:p>
              </w:tc>
              <w:tc>
                <w:tcPr>
                  <w:tcW w:w="725" w:type="pct"/>
                  <w:vMerge w:val="continue"/>
                  <w:noWrap w:val="0"/>
                  <w:tcMar>
                    <w:top w:w="0" w:type="dxa"/>
                    <w:left w:w="0" w:type="dxa"/>
                    <w:bottom w:w="0" w:type="dxa"/>
                    <w:right w:w="0" w:type="dxa"/>
                  </w:tcMar>
                  <w:vAlign w:val="center"/>
                </w:tcPr>
                <w:p w14:paraId="167460A7">
                  <w:pPr>
                    <w:jc w:val="center"/>
                    <w:rPr>
                      <w:rFonts w:hint="eastAsia"/>
                      <w:color w:val="auto"/>
                      <w:szCs w:val="21"/>
                      <w:lang w:val="en-US" w:eastAsia="zh-CN"/>
                    </w:rPr>
                  </w:pPr>
                </w:p>
              </w:tc>
              <w:tc>
                <w:tcPr>
                  <w:tcW w:w="493" w:type="pct"/>
                  <w:vMerge w:val="continue"/>
                  <w:noWrap w:val="0"/>
                  <w:tcMar>
                    <w:top w:w="0" w:type="dxa"/>
                    <w:left w:w="0" w:type="dxa"/>
                    <w:bottom w:w="0" w:type="dxa"/>
                    <w:right w:w="0" w:type="dxa"/>
                  </w:tcMar>
                  <w:vAlign w:val="center"/>
                </w:tcPr>
                <w:p w14:paraId="4D391119">
                  <w:pPr>
                    <w:jc w:val="center"/>
                    <w:rPr>
                      <w:rFonts w:hint="eastAsia"/>
                      <w:bCs/>
                      <w:color w:val="auto"/>
                      <w:szCs w:val="21"/>
                    </w:rPr>
                  </w:pPr>
                </w:p>
              </w:tc>
            </w:tr>
            <w:tr w14:paraId="43654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noWrap w:val="0"/>
                  <w:tcMar>
                    <w:top w:w="0" w:type="dxa"/>
                    <w:left w:w="0" w:type="dxa"/>
                    <w:bottom w:w="0" w:type="dxa"/>
                    <w:right w:w="0" w:type="dxa"/>
                  </w:tcMar>
                  <w:vAlign w:val="center"/>
                </w:tcPr>
                <w:p w14:paraId="7C059F71">
                  <w:pPr>
                    <w:jc w:val="center"/>
                    <w:rPr>
                      <w:rFonts w:hint="default" w:eastAsia="宋体"/>
                      <w:bCs/>
                      <w:color w:val="auto"/>
                      <w:szCs w:val="21"/>
                      <w:lang w:val="en-US" w:eastAsia="zh-CN"/>
                    </w:rPr>
                  </w:pPr>
                  <w:r>
                    <w:rPr>
                      <w:rFonts w:hint="eastAsia"/>
                      <w:bCs/>
                      <w:color w:val="auto"/>
                      <w:szCs w:val="21"/>
                      <w:lang w:val="en-US" w:eastAsia="zh-CN"/>
                    </w:rPr>
                    <w:t>测试</w:t>
                  </w:r>
                </w:p>
              </w:tc>
              <w:tc>
                <w:tcPr>
                  <w:tcW w:w="1126" w:type="pct"/>
                  <w:noWrap w:val="0"/>
                  <w:tcMar>
                    <w:top w:w="0" w:type="dxa"/>
                    <w:left w:w="0" w:type="dxa"/>
                    <w:bottom w:w="0" w:type="dxa"/>
                    <w:right w:w="0" w:type="dxa"/>
                  </w:tcMar>
                  <w:vAlign w:val="center"/>
                </w:tcPr>
                <w:p w14:paraId="19B5734E">
                  <w:pPr>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注塑机</w:t>
                  </w:r>
                  <w:r>
                    <w:rPr>
                      <w:bCs/>
                      <w:color w:val="auto"/>
                      <w:szCs w:val="21"/>
                    </w:rPr>
                    <w:t>上方设</w:t>
                  </w:r>
                  <w:r>
                    <w:rPr>
                      <w:rFonts w:hint="eastAsia"/>
                      <w:bCs/>
                      <w:color w:val="auto"/>
                      <w:szCs w:val="21"/>
                    </w:rPr>
                    <w:t>1</w:t>
                  </w:r>
                  <w:r>
                    <w:rPr>
                      <w:bCs/>
                      <w:color w:val="auto"/>
                      <w:szCs w:val="21"/>
                    </w:rPr>
                    <w:t>个集气罩，共设</w:t>
                  </w:r>
                  <w:r>
                    <w:rPr>
                      <w:rFonts w:hint="eastAsia"/>
                      <w:bCs/>
                      <w:color w:val="auto"/>
                      <w:szCs w:val="21"/>
                    </w:rPr>
                    <w:t>1</w:t>
                  </w:r>
                  <w:r>
                    <w:rPr>
                      <w:bCs/>
                      <w:color w:val="auto"/>
                      <w:szCs w:val="21"/>
                    </w:rPr>
                    <w:t>个集气罩，为</w:t>
                  </w:r>
                  <w:r>
                    <w:rPr>
                      <w:rFonts w:hint="eastAsia"/>
                      <w:bCs/>
                      <w:color w:val="auto"/>
                      <w:szCs w:val="21"/>
                    </w:rPr>
                    <w:t>方形</w:t>
                  </w:r>
                  <w:r>
                    <w:rPr>
                      <w:bCs/>
                      <w:color w:val="auto"/>
                      <w:szCs w:val="21"/>
                    </w:rPr>
                    <w:t>，</w:t>
                  </w:r>
                  <w:r>
                    <w:rPr>
                      <w:rFonts w:hint="eastAsia"/>
                      <w:bCs/>
                      <w:color w:val="auto"/>
                      <w:szCs w:val="21"/>
                    </w:rPr>
                    <w:t>长×宽</w:t>
                  </w:r>
                  <w:r>
                    <w:rPr>
                      <w:rFonts w:hint="eastAsia"/>
                      <w:bCs/>
                      <w:color w:val="auto"/>
                      <w:szCs w:val="21"/>
                      <w:lang w:val="en-US" w:eastAsia="zh-CN"/>
                    </w:rPr>
                    <w:t>2</w:t>
                  </w:r>
                  <w:r>
                    <w:rPr>
                      <w:rFonts w:hint="eastAsia"/>
                      <w:bCs/>
                      <w:color w:val="auto"/>
                      <w:szCs w:val="21"/>
                    </w:rPr>
                    <w:t>00×</w:t>
                  </w:r>
                  <w:r>
                    <w:rPr>
                      <w:rFonts w:hint="eastAsia"/>
                      <w:bCs/>
                      <w:color w:val="auto"/>
                      <w:szCs w:val="21"/>
                      <w:lang w:val="en-US" w:eastAsia="zh-CN"/>
                    </w:rPr>
                    <w:t>2</w:t>
                  </w:r>
                  <w:r>
                    <w:rPr>
                      <w:rFonts w:hint="eastAsia"/>
                      <w:bCs/>
                      <w:color w:val="auto"/>
                      <w:szCs w:val="21"/>
                    </w:rPr>
                    <w:t>00</w:t>
                  </w:r>
                  <w:r>
                    <w:rPr>
                      <w:bCs/>
                      <w:color w:val="auto"/>
                      <w:szCs w:val="21"/>
                    </w:rPr>
                    <w:t>mm，距污染源距离为</w:t>
                  </w:r>
                  <w:r>
                    <w:rPr>
                      <w:rFonts w:hint="eastAsia"/>
                      <w:bCs/>
                      <w:color w:val="auto"/>
                      <w:szCs w:val="21"/>
                    </w:rPr>
                    <w:t>0.</w:t>
                  </w:r>
                  <w:r>
                    <w:rPr>
                      <w:rFonts w:hint="eastAsia"/>
                      <w:bCs/>
                      <w:color w:val="auto"/>
                      <w:szCs w:val="21"/>
                      <w:lang w:val="en-US" w:eastAsia="zh-CN"/>
                    </w:rPr>
                    <w:t>2</w:t>
                  </w:r>
                  <w:r>
                    <w:rPr>
                      <w:rFonts w:hint="eastAsia"/>
                      <w:bCs/>
                      <w:color w:val="auto"/>
                      <w:szCs w:val="21"/>
                    </w:rPr>
                    <w:t>m，建设单位设置</w:t>
                  </w:r>
                  <w:r>
                    <w:rPr>
                      <w:rFonts w:hint="eastAsia"/>
                      <w:bCs/>
                      <w:color w:val="auto"/>
                      <w:szCs w:val="21"/>
                      <w:lang w:val="en-US" w:eastAsia="zh-CN"/>
                    </w:rPr>
                    <w:t>1台注塑机、烘箱</w:t>
                  </w:r>
                </w:p>
              </w:tc>
              <w:tc>
                <w:tcPr>
                  <w:tcW w:w="467" w:type="pct"/>
                  <w:noWrap w:val="0"/>
                  <w:tcMar>
                    <w:top w:w="0" w:type="dxa"/>
                    <w:left w:w="0" w:type="dxa"/>
                    <w:bottom w:w="0" w:type="dxa"/>
                    <w:right w:w="0" w:type="dxa"/>
                  </w:tcMar>
                  <w:vAlign w:val="center"/>
                </w:tcPr>
                <w:p w14:paraId="732DA9DB">
                  <w:pPr>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806.4</w:t>
                  </w:r>
                </w:p>
              </w:tc>
              <w:tc>
                <w:tcPr>
                  <w:tcW w:w="560" w:type="pct"/>
                  <w:shd w:val="clear" w:color="auto" w:fill="auto"/>
                  <w:noWrap w:val="0"/>
                  <w:tcMar>
                    <w:top w:w="0" w:type="dxa"/>
                    <w:left w:w="0" w:type="dxa"/>
                    <w:bottom w:w="0" w:type="dxa"/>
                    <w:right w:w="0" w:type="dxa"/>
                  </w:tcMar>
                  <w:vAlign w:val="center"/>
                </w:tcPr>
                <w:p w14:paraId="3ED231A2">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806.4</w:t>
                  </w:r>
                </w:p>
              </w:tc>
              <w:tc>
                <w:tcPr>
                  <w:tcW w:w="613" w:type="pct"/>
                  <w:vMerge w:val="continue"/>
                  <w:noWrap w:val="0"/>
                  <w:tcMar>
                    <w:top w:w="0" w:type="dxa"/>
                    <w:left w:w="0" w:type="dxa"/>
                    <w:bottom w:w="0" w:type="dxa"/>
                    <w:right w:w="0" w:type="dxa"/>
                  </w:tcMar>
                  <w:vAlign w:val="center"/>
                </w:tcPr>
                <w:p w14:paraId="78112E6F">
                  <w:pPr>
                    <w:jc w:val="center"/>
                    <w:rPr>
                      <w:rFonts w:hint="eastAsia"/>
                      <w:color w:val="auto"/>
                    </w:rPr>
                  </w:pPr>
                </w:p>
              </w:tc>
              <w:tc>
                <w:tcPr>
                  <w:tcW w:w="718" w:type="pct"/>
                  <w:vMerge w:val="continue"/>
                  <w:noWrap w:val="0"/>
                  <w:tcMar>
                    <w:top w:w="0" w:type="dxa"/>
                    <w:left w:w="0" w:type="dxa"/>
                    <w:bottom w:w="0" w:type="dxa"/>
                    <w:right w:w="0" w:type="dxa"/>
                  </w:tcMar>
                  <w:vAlign w:val="center"/>
                </w:tcPr>
                <w:p w14:paraId="1F3B9800">
                  <w:pPr>
                    <w:jc w:val="center"/>
                    <w:rPr>
                      <w:bCs/>
                      <w:color w:val="auto"/>
                      <w:szCs w:val="21"/>
                    </w:rPr>
                  </w:pPr>
                </w:p>
              </w:tc>
              <w:tc>
                <w:tcPr>
                  <w:tcW w:w="725" w:type="pct"/>
                  <w:vMerge w:val="continue"/>
                  <w:noWrap w:val="0"/>
                  <w:tcMar>
                    <w:top w:w="0" w:type="dxa"/>
                    <w:left w:w="0" w:type="dxa"/>
                    <w:bottom w:w="0" w:type="dxa"/>
                    <w:right w:w="0" w:type="dxa"/>
                  </w:tcMar>
                  <w:vAlign w:val="center"/>
                </w:tcPr>
                <w:p w14:paraId="793377B0">
                  <w:pPr>
                    <w:jc w:val="center"/>
                    <w:rPr>
                      <w:rFonts w:hint="eastAsia"/>
                      <w:color w:val="auto"/>
                      <w:szCs w:val="21"/>
                      <w:lang w:val="en-US" w:eastAsia="zh-CN"/>
                    </w:rPr>
                  </w:pPr>
                </w:p>
              </w:tc>
              <w:tc>
                <w:tcPr>
                  <w:tcW w:w="493" w:type="pct"/>
                  <w:vMerge w:val="continue"/>
                  <w:noWrap w:val="0"/>
                  <w:tcMar>
                    <w:top w:w="0" w:type="dxa"/>
                    <w:left w:w="0" w:type="dxa"/>
                    <w:bottom w:w="0" w:type="dxa"/>
                    <w:right w:w="0" w:type="dxa"/>
                  </w:tcMar>
                  <w:vAlign w:val="center"/>
                </w:tcPr>
                <w:p w14:paraId="139BE4E7">
                  <w:pPr>
                    <w:jc w:val="center"/>
                    <w:rPr>
                      <w:rFonts w:hint="eastAsia"/>
                      <w:bCs/>
                      <w:color w:val="auto"/>
                      <w:szCs w:val="21"/>
                    </w:rPr>
                  </w:pPr>
                </w:p>
              </w:tc>
            </w:tr>
            <w:tr w14:paraId="2CD8F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noWrap w:val="0"/>
                  <w:tcMar>
                    <w:top w:w="0" w:type="dxa"/>
                    <w:left w:w="0" w:type="dxa"/>
                    <w:bottom w:w="0" w:type="dxa"/>
                    <w:right w:w="0" w:type="dxa"/>
                  </w:tcMar>
                  <w:vAlign w:val="center"/>
                </w:tcPr>
                <w:p w14:paraId="21E4633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配料、投料</w:t>
                  </w:r>
                </w:p>
              </w:tc>
              <w:tc>
                <w:tcPr>
                  <w:tcW w:w="1126" w:type="pct"/>
                  <w:noWrap w:val="0"/>
                  <w:tcMar>
                    <w:top w:w="0" w:type="dxa"/>
                    <w:left w:w="0" w:type="dxa"/>
                    <w:bottom w:w="0" w:type="dxa"/>
                    <w:right w:w="0" w:type="dxa"/>
                  </w:tcMar>
                  <w:vAlign w:val="center"/>
                </w:tcPr>
                <w:p w14:paraId="156360C6">
                  <w:pPr>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混料机、</w:t>
                  </w:r>
                  <w:r>
                    <w:rPr>
                      <w:rFonts w:hint="eastAsia"/>
                      <w:lang w:val="en-US" w:eastAsia="zh-CN"/>
                    </w:rPr>
                    <w:t>高速</w:t>
                  </w:r>
                  <w:r>
                    <w:rPr>
                      <w:rFonts w:hint="eastAsia"/>
                      <w:bCs/>
                      <w:color w:val="auto"/>
                      <w:szCs w:val="21"/>
                      <w:lang w:val="en-US" w:eastAsia="zh-CN"/>
                    </w:rPr>
                    <w:t>搅拌机</w:t>
                  </w:r>
                  <w:r>
                    <w:rPr>
                      <w:bCs/>
                      <w:color w:val="auto"/>
                      <w:szCs w:val="21"/>
                    </w:rPr>
                    <w:t>上方设</w:t>
                  </w:r>
                  <w:r>
                    <w:rPr>
                      <w:rFonts w:hint="eastAsia"/>
                      <w:bCs/>
                      <w:color w:val="auto"/>
                      <w:szCs w:val="21"/>
                    </w:rPr>
                    <w:t>1</w:t>
                  </w:r>
                  <w:r>
                    <w:rPr>
                      <w:bCs/>
                      <w:color w:val="auto"/>
                      <w:szCs w:val="21"/>
                    </w:rPr>
                    <w:t>个集气罩，为</w:t>
                  </w:r>
                  <w:r>
                    <w:rPr>
                      <w:rFonts w:hint="eastAsia"/>
                      <w:bCs/>
                      <w:color w:val="auto"/>
                      <w:szCs w:val="21"/>
                    </w:rPr>
                    <w:t>方形</w:t>
                  </w:r>
                  <w:r>
                    <w:rPr>
                      <w:bCs/>
                      <w:color w:val="auto"/>
                      <w:szCs w:val="21"/>
                    </w:rPr>
                    <w:t>，</w:t>
                  </w:r>
                  <w:r>
                    <w:rPr>
                      <w:rFonts w:hint="eastAsia"/>
                      <w:bCs/>
                      <w:color w:val="auto"/>
                      <w:szCs w:val="21"/>
                    </w:rPr>
                    <w:t>长×宽</w:t>
                  </w:r>
                  <w:r>
                    <w:rPr>
                      <w:rFonts w:hint="eastAsia"/>
                      <w:bCs/>
                      <w:color w:val="auto"/>
                      <w:szCs w:val="21"/>
                      <w:lang w:val="en-US" w:eastAsia="zh-CN"/>
                    </w:rPr>
                    <w:t>2</w:t>
                  </w:r>
                  <w:r>
                    <w:rPr>
                      <w:rFonts w:hint="eastAsia"/>
                      <w:bCs/>
                      <w:color w:val="auto"/>
                      <w:szCs w:val="21"/>
                    </w:rPr>
                    <w:t>00×</w:t>
                  </w:r>
                  <w:r>
                    <w:rPr>
                      <w:rFonts w:hint="eastAsia"/>
                      <w:bCs/>
                      <w:color w:val="auto"/>
                      <w:szCs w:val="21"/>
                      <w:lang w:val="en-US" w:eastAsia="zh-CN"/>
                    </w:rPr>
                    <w:t>2</w:t>
                  </w:r>
                  <w:r>
                    <w:rPr>
                      <w:rFonts w:hint="eastAsia"/>
                      <w:bCs/>
                      <w:color w:val="auto"/>
                      <w:szCs w:val="21"/>
                    </w:rPr>
                    <w:t>00</w:t>
                  </w:r>
                  <w:r>
                    <w:rPr>
                      <w:bCs/>
                      <w:color w:val="auto"/>
                      <w:szCs w:val="21"/>
                    </w:rPr>
                    <w:t>mm，距污染源距离为</w:t>
                  </w:r>
                  <w:r>
                    <w:rPr>
                      <w:rFonts w:hint="eastAsia"/>
                      <w:bCs/>
                      <w:color w:val="auto"/>
                      <w:szCs w:val="21"/>
                      <w:lang w:val="en-US" w:eastAsia="zh-CN"/>
                    </w:rPr>
                    <w:t>0.5</w:t>
                  </w:r>
                  <w:r>
                    <w:rPr>
                      <w:rFonts w:hint="eastAsia"/>
                      <w:bCs/>
                      <w:color w:val="auto"/>
                      <w:szCs w:val="21"/>
                    </w:rPr>
                    <w:t>m，</w:t>
                  </w:r>
                  <w:r>
                    <w:rPr>
                      <w:rFonts w:hint="eastAsia"/>
                      <w:bCs/>
                      <w:color w:val="auto"/>
                      <w:szCs w:val="21"/>
                      <w:lang w:val="en-US" w:eastAsia="zh-CN"/>
                    </w:rPr>
                    <w:t>共6台设备</w:t>
                  </w:r>
                </w:p>
              </w:tc>
              <w:tc>
                <w:tcPr>
                  <w:tcW w:w="467" w:type="pct"/>
                  <w:noWrap w:val="0"/>
                  <w:tcMar>
                    <w:top w:w="0" w:type="dxa"/>
                    <w:left w:w="0" w:type="dxa"/>
                    <w:bottom w:w="0" w:type="dxa"/>
                    <w:right w:w="0" w:type="dxa"/>
                  </w:tcMar>
                  <w:vAlign w:val="center"/>
                </w:tcPr>
                <w:p w14:paraId="363D938F">
                  <w:pPr>
                    <w:jc w:val="center"/>
                    <w:rPr>
                      <w:rFonts w:hint="default"/>
                      <w:bCs/>
                      <w:color w:val="auto"/>
                      <w:szCs w:val="21"/>
                      <w:lang w:val="en-US" w:eastAsia="zh-CN"/>
                    </w:rPr>
                  </w:pPr>
                  <w:r>
                    <w:rPr>
                      <w:rFonts w:hint="eastAsia"/>
                      <w:bCs/>
                      <w:color w:val="auto"/>
                      <w:szCs w:val="21"/>
                      <w:lang w:val="en-US" w:eastAsia="zh-CN"/>
                    </w:rPr>
                    <w:t>2419.2</w:t>
                  </w:r>
                </w:p>
              </w:tc>
              <w:tc>
                <w:tcPr>
                  <w:tcW w:w="560" w:type="pct"/>
                  <w:shd w:val="clear" w:color="auto" w:fill="auto"/>
                  <w:noWrap w:val="0"/>
                  <w:tcMar>
                    <w:top w:w="0" w:type="dxa"/>
                    <w:left w:w="0" w:type="dxa"/>
                    <w:bottom w:w="0" w:type="dxa"/>
                    <w:right w:w="0" w:type="dxa"/>
                  </w:tcMar>
                  <w:vAlign w:val="center"/>
                </w:tcPr>
                <w:p w14:paraId="759CEF37">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2419.2</w:t>
                  </w:r>
                </w:p>
              </w:tc>
              <w:tc>
                <w:tcPr>
                  <w:tcW w:w="613" w:type="pct"/>
                  <w:noWrap w:val="0"/>
                  <w:tcMar>
                    <w:top w:w="0" w:type="dxa"/>
                    <w:left w:w="0" w:type="dxa"/>
                    <w:bottom w:w="0" w:type="dxa"/>
                    <w:right w:w="0" w:type="dxa"/>
                  </w:tcMar>
                  <w:vAlign w:val="center"/>
                </w:tcPr>
                <w:p w14:paraId="2F39A652">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3000</w:t>
                  </w:r>
                </w:p>
              </w:tc>
              <w:tc>
                <w:tcPr>
                  <w:tcW w:w="718" w:type="pct"/>
                  <w:noWrap w:val="0"/>
                  <w:tcMar>
                    <w:top w:w="0" w:type="dxa"/>
                    <w:left w:w="0" w:type="dxa"/>
                    <w:bottom w:w="0" w:type="dxa"/>
                    <w:right w:w="0" w:type="dxa"/>
                  </w:tcMar>
                  <w:vAlign w:val="center"/>
                </w:tcPr>
                <w:p w14:paraId="43705A38">
                  <w:pPr>
                    <w:jc w:val="center"/>
                    <w:rPr>
                      <w:rFonts w:ascii="Times New Roman" w:hAnsi="Times New Roman" w:eastAsia="宋体" w:cs="Times New Roman"/>
                      <w:bCs/>
                      <w:color w:val="auto"/>
                      <w:kern w:val="2"/>
                      <w:sz w:val="21"/>
                      <w:szCs w:val="21"/>
                      <w:lang w:val="en-US" w:eastAsia="zh-CN" w:bidi="ar-SA"/>
                    </w:rPr>
                  </w:pPr>
                  <w:r>
                    <w:rPr>
                      <w:bCs/>
                      <w:color w:val="auto"/>
                      <w:szCs w:val="21"/>
                    </w:rPr>
                    <w:t>考虑到在废气管道和处理装置中的风量损失，故本项目废气处理装置设计风量确定为</w:t>
                  </w:r>
                  <w:r>
                    <w:rPr>
                      <w:rFonts w:hint="eastAsia"/>
                      <w:bCs/>
                      <w:color w:val="auto"/>
                      <w:szCs w:val="21"/>
                      <w:lang w:val="en-US" w:eastAsia="zh-CN"/>
                    </w:rPr>
                    <w:t>3000</w:t>
                  </w:r>
                  <w:r>
                    <w:rPr>
                      <w:color w:val="auto"/>
                      <w:szCs w:val="21"/>
                    </w:rPr>
                    <w:t>m</w:t>
                  </w:r>
                  <w:r>
                    <w:rPr>
                      <w:color w:val="auto"/>
                      <w:szCs w:val="21"/>
                      <w:vertAlign w:val="superscript"/>
                    </w:rPr>
                    <w:t>3</w:t>
                  </w:r>
                  <w:r>
                    <w:rPr>
                      <w:color w:val="auto"/>
                      <w:szCs w:val="21"/>
                    </w:rPr>
                    <w:t>/h</w:t>
                  </w:r>
                </w:p>
              </w:tc>
              <w:tc>
                <w:tcPr>
                  <w:tcW w:w="725" w:type="pct"/>
                  <w:noWrap w:val="0"/>
                  <w:tcMar>
                    <w:top w:w="0" w:type="dxa"/>
                    <w:left w:w="0" w:type="dxa"/>
                    <w:bottom w:w="0" w:type="dxa"/>
                    <w:right w:w="0" w:type="dxa"/>
                  </w:tcMar>
                  <w:vAlign w:val="center"/>
                </w:tcPr>
                <w:p w14:paraId="6C0E7F59">
                  <w:pPr>
                    <w:jc w:val="center"/>
                    <w:rPr>
                      <w:rFonts w:hint="eastAsia" w:ascii="Times New Roman" w:hAnsi="Times New Roman" w:eastAsia="宋体" w:cs="Times New Roman"/>
                      <w:bCs/>
                      <w:color w:val="auto"/>
                      <w:kern w:val="2"/>
                      <w:sz w:val="21"/>
                      <w:szCs w:val="21"/>
                      <w:lang w:val="en-US" w:eastAsia="zh-CN" w:bidi="ar-SA"/>
                    </w:rPr>
                  </w:pPr>
                  <w:r>
                    <w:rPr>
                      <w:rFonts w:hint="eastAsia"/>
                      <w:color w:val="auto"/>
                      <w:kern w:val="2"/>
                      <w:sz w:val="21"/>
                      <w:szCs w:val="21"/>
                      <w:lang w:val="en-US" w:eastAsia="zh-CN"/>
                    </w:rPr>
                    <w:t>布袋除尘器</w:t>
                  </w:r>
                </w:p>
              </w:tc>
              <w:tc>
                <w:tcPr>
                  <w:tcW w:w="493" w:type="pct"/>
                  <w:noWrap w:val="0"/>
                  <w:tcMar>
                    <w:top w:w="0" w:type="dxa"/>
                    <w:left w:w="0" w:type="dxa"/>
                    <w:bottom w:w="0" w:type="dxa"/>
                    <w:right w:w="0" w:type="dxa"/>
                  </w:tcMar>
                  <w:vAlign w:val="center"/>
                </w:tcPr>
                <w:p w14:paraId="6917EFC8">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通过</w:t>
                  </w:r>
                  <w:r>
                    <w:rPr>
                      <w:bCs/>
                      <w:color w:val="auto"/>
                      <w:szCs w:val="21"/>
                    </w:rPr>
                    <w:t>1根</w:t>
                  </w:r>
                  <w:r>
                    <w:rPr>
                      <w:rFonts w:hint="eastAsia"/>
                      <w:bCs/>
                      <w:color w:val="auto"/>
                      <w:szCs w:val="21"/>
                      <w:lang w:val="en-US" w:eastAsia="zh-CN"/>
                    </w:rPr>
                    <w:t>15</w:t>
                  </w:r>
                  <w:r>
                    <w:rPr>
                      <w:bCs/>
                      <w:color w:val="auto"/>
                      <w:szCs w:val="21"/>
                    </w:rPr>
                    <w:t>米高排气筒</w:t>
                  </w:r>
                  <w:r>
                    <w:rPr>
                      <w:rFonts w:hint="eastAsia"/>
                      <w:bCs/>
                      <w:color w:val="auto"/>
                      <w:szCs w:val="21"/>
                    </w:rPr>
                    <w:t>DA00</w:t>
                  </w:r>
                  <w:r>
                    <w:rPr>
                      <w:rFonts w:hint="eastAsia"/>
                      <w:bCs/>
                      <w:color w:val="auto"/>
                      <w:szCs w:val="21"/>
                      <w:lang w:val="en-US" w:eastAsia="zh-CN"/>
                    </w:rPr>
                    <w:t>1</w:t>
                  </w:r>
                </w:p>
              </w:tc>
            </w:tr>
          </w:tbl>
          <w:p w14:paraId="361EDDD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rFonts w:ascii="Times New Roman" w:hAnsi="Times New Roman" w:eastAsia="宋体" w:cs="Times New Roman"/>
                <w:b w:val="0"/>
                <w:bCs w:val="0"/>
                <w:color w:val="auto"/>
                <w:kern w:val="0"/>
                <w:szCs w:val="21"/>
              </w:rPr>
            </w:pPr>
            <w:r>
              <w:rPr>
                <w:rFonts w:ascii="Times New Roman" w:hAnsi="Times New Roman" w:eastAsia="宋体" w:cs="Times New Roman"/>
                <w:b w:val="0"/>
                <w:bCs w:val="0"/>
                <w:color w:val="auto"/>
                <w:kern w:val="0"/>
                <w:szCs w:val="21"/>
              </w:rPr>
              <w:t>（</w:t>
            </w:r>
            <w:r>
              <w:rPr>
                <w:rFonts w:hint="eastAsia" w:cs="Times New Roman"/>
                <w:b w:val="0"/>
                <w:bCs w:val="0"/>
                <w:color w:val="auto"/>
                <w:kern w:val="0"/>
                <w:szCs w:val="21"/>
                <w:lang w:val="en-US" w:eastAsia="zh-CN"/>
              </w:rPr>
              <w:t>3</w:t>
            </w:r>
            <w:r>
              <w:rPr>
                <w:rFonts w:ascii="Times New Roman" w:hAnsi="Times New Roman" w:eastAsia="宋体" w:cs="Times New Roman"/>
                <w:b w:val="0"/>
                <w:bCs w:val="0"/>
                <w:color w:val="auto"/>
                <w:kern w:val="0"/>
                <w:szCs w:val="21"/>
              </w:rPr>
              <w:t>）技术可行性分析</w:t>
            </w:r>
          </w:p>
          <w:p w14:paraId="7BE1A6FA">
            <w:pPr>
              <w:keepNext w:val="0"/>
              <w:keepLines w:val="0"/>
              <w:pageBreakBefore w:val="0"/>
              <w:suppressLineNumbers w:val="0"/>
              <w:kinsoku/>
              <w:overflowPunct/>
              <w:topLinePunct w:val="0"/>
              <w:bidi w:val="0"/>
              <w:spacing w:beforeAutospacing="0" w:after="0" w:afterAutospacing="0" w:line="360" w:lineRule="auto"/>
              <w:ind w:left="0" w:right="0" w:firstLine="420" w:firstLineChars="20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1）二级</w:t>
            </w:r>
            <w:r>
              <w:rPr>
                <w:rFonts w:hint="default" w:ascii="Times New Roman" w:hAnsi="Times New Roman" w:eastAsia="宋体" w:cs="Times New Roman"/>
                <w:bCs/>
                <w:color w:val="auto"/>
                <w:sz w:val="21"/>
                <w:szCs w:val="21"/>
              </w:rPr>
              <w:t>活性炭吸附装置</w:t>
            </w:r>
            <w:r>
              <w:rPr>
                <w:rFonts w:hint="default" w:ascii="Times New Roman" w:hAnsi="Times New Roman" w:eastAsia="宋体" w:cs="Times New Roman"/>
                <w:bCs/>
                <w:color w:val="auto"/>
                <w:sz w:val="21"/>
                <w:szCs w:val="21"/>
                <w:lang w:val="en-US" w:eastAsia="zh-CN"/>
              </w:rPr>
              <w:t>参数</w:t>
            </w:r>
          </w:p>
          <w:p w14:paraId="6EC8CD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活性炭技术参数</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82"/>
              <w:gridCol w:w="2988"/>
              <w:gridCol w:w="1404"/>
              <w:gridCol w:w="3003"/>
            </w:tblGrid>
            <w:tr w14:paraId="5941EC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2299239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783" w:type="pct"/>
                  <w:noWrap w:val="0"/>
                  <w:tcMar>
                    <w:top w:w="0" w:type="dxa"/>
                    <w:left w:w="0" w:type="dxa"/>
                    <w:bottom w:w="0" w:type="dxa"/>
                    <w:right w:w="0" w:type="dxa"/>
                  </w:tcMar>
                  <w:vAlign w:val="center"/>
                </w:tcPr>
                <w:p w14:paraId="0FF4845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项目</w:t>
                  </w:r>
                </w:p>
              </w:tc>
              <w:tc>
                <w:tcPr>
                  <w:tcW w:w="838" w:type="pct"/>
                  <w:noWrap w:val="0"/>
                  <w:tcMar>
                    <w:top w:w="0" w:type="dxa"/>
                    <w:left w:w="0" w:type="dxa"/>
                    <w:bottom w:w="0" w:type="dxa"/>
                    <w:right w:w="0" w:type="dxa"/>
                  </w:tcMar>
                  <w:vAlign w:val="center"/>
                </w:tcPr>
                <w:p w14:paraId="30A89C2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单位</w:t>
                  </w:r>
                </w:p>
              </w:tc>
              <w:tc>
                <w:tcPr>
                  <w:tcW w:w="1791" w:type="pct"/>
                  <w:noWrap w:val="0"/>
                  <w:tcMar>
                    <w:top w:w="0" w:type="dxa"/>
                    <w:left w:w="0" w:type="dxa"/>
                    <w:bottom w:w="0" w:type="dxa"/>
                    <w:right w:w="0" w:type="dxa"/>
                  </w:tcMar>
                  <w:vAlign w:val="center"/>
                </w:tcPr>
                <w:p w14:paraId="602D029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TA00</w:t>
                  </w:r>
                  <w:r>
                    <w:rPr>
                      <w:rFonts w:hint="eastAsia" w:ascii="Times New Roman" w:hAnsi="Times New Roman" w:eastAsia="宋体" w:cs="Times New Roman"/>
                      <w:b/>
                      <w:color w:val="auto"/>
                      <w:szCs w:val="21"/>
                      <w:lang w:val="en-US" w:eastAsia="zh-CN"/>
                    </w:rPr>
                    <w:t>1</w:t>
                  </w:r>
                  <w:r>
                    <w:rPr>
                      <w:rFonts w:hint="default" w:ascii="Times New Roman" w:hAnsi="Times New Roman" w:eastAsia="宋体" w:cs="Times New Roman"/>
                      <w:b/>
                      <w:color w:val="auto"/>
                      <w:szCs w:val="21"/>
                    </w:rPr>
                    <w:t>技术指标</w:t>
                  </w:r>
                </w:p>
              </w:tc>
            </w:tr>
            <w:tr w14:paraId="2EE0D6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0D46B5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783" w:type="pct"/>
                  <w:noWrap w:val="0"/>
                  <w:tcMar>
                    <w:top w:w="0" w:type="dxa"/>
                    <w:left w:w="0" w:type="dxa"/>
                    <w:bottom w:w="0" w:type="dxa"/>
                    <w:right w:w="0" w:type="dxa"/>
                  </w:tcMar>
                  <w:vAlign w:val="center"/>
                </w:tcPr>
                <w:p w14:paraId="346B94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单级活性炭吸附箱尺寸</w:t>
                  </w:r>
                </w:p>
              </w:tc>
              <w:tc>
                <w:tcPr>
                  <w:tcW w:w="838" w:type="pct"/>
                  <w:noWrap w:val="0"/>
                  <w:tcMar>
                    <w:top w:w="0" w:type="dxa"/>
                    <w:left w:w="0" w:type="dxa"/>
                    <w:bottom w:w="0" w:type="dxa"/>
                    <w:right w:w="0" w:type="dxa"/>
                  </w:tcMar>
                  <w:vAlign w:val="center"/>
                </w:tcPr>
                <w:p w14:paraId="377A35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m</w:t>
                  </w:r>
                </w:p>
              </w:tc>
              <w:tc>
                <w:tcPr>
                  <w:tcW w:w="1791" w:type="pct"/>
                  <w:noWrap w:val="0"/>
                  <w:tcMar>
                    <w:top w:w="0" w:type="dxa"/>
                    <w:left w:w="0" w:type="dxa"/>
                    <w:bottom w:w="0" w:type="dxa"/>
                    <w:right w:w="0" w:type="dxa"/>
                  </w:tcMar>
                  <w:vAlign w:val="center"/>
                </w:tcPr>
                <w:p w14:paraId="2C7F79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m*</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rPr>
                    <w:t>m</w:t>
                  </w:r>
                </w:p>
              </w:tc>
            </w:tr>
            <w:tr w14:paraId="396476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652222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783" w:type="pct"/>
                  <w:noWrap w:val="0"/>
                  <w:tcMar>
                    <w:top w:w="0" w:type="dxa"/>
                    <w:left w:w="0" w:type="dxa"/>
                    <w:bottom w:w="0" w:type="dxa"/>
                    <w:right w:w="0" w:type="dxa"/>
                  </w:tcMar>
                  <w:vAlign w:val="center"/>
                </w:tcPr>
                <w:p w14:paraId="537893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填充物</w:t>
                  </w:r>
                </w:p>
              </w:tc>
              <w:tc>
                <w:tcPr>
                  <w:tcW w:w="838" w:type="pct"/>
                  <w:noWrap w:val="0"/>
                  <w:tcMar>
                    <w:top w:w="0" w:type="dxa"/>
                    <w:left w:w="0" w:type="dxa"/>
                    <w:bottom w:w="0" w:type="dxa"/>
                    <w:right w:w="0" w:type="dxa"/>
                  </w:tcMar>
                  <w:vAlign w:val="center"/>
                </w:tcPr>
                <w:p w14:paraId="5BEBC3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w:t>
                  </w:r>
                </w:p>
              </w:tc>
              <w:tc>
                <w:tcPr>
                  <w:tcW w:w="1791" w:type="pct"/>
                  <w:noWrap w:val="0"/>
                  <w:tcMar>
                    <w:top w:w="0" w:type="dxa"/>
                    <w:left w:w="0" w:type="dxa"/>
                    <w:bottom w:w="0" w:type="dxa"/>
                    <w:right w:w="0" w:type="dxa"/>
                  </w:tcMar>
                  <w:vAlign w:val="center"/>
                </w:tcPr>
                <w:p w14:paraId="4FB629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蜂窝式活性炭</w:t>
                  </w:r>
                </w:p>
              </w:tc>
            </w:tr>
            <w:tr w14:paraId="39A745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03E0FC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783" w:type="pct"/>
                  <w:noWrap w:val="0"/>
                  <w:tcMar>
                    <w:top w:w="0" w:type="dxa"/>
                    <w:left w:w="0" w:type="dxa"/>
                    <w:bottom w:w="0" w:type="dxa"/>
                    <w:right w:w="0" w:type="dxa"/>
                  </w:tcMar>
                  <w:vAlign w:val="center"/>
                </w:tcPr>
                <w:p w14:paraId="2D29C2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活性炭</w:t>
                  </w:r>
                  <w:r>
                    <w:rPr>
                      <w:rFonts w:hint="default" w:ascii="Times New Roman" w:hAnsi="Times New Roman" w:eastAsia="宋体" w:cs="Times New Roman"/>
                      <w:color w:val="auto"/>
                      <w:szCs w:val="21"/>
                    </w:rPr>
                    <w:t>碘值</w:t>
                  </w:r>
                </w:p>
              </w:tc>
              <w:tc>
                <w:tcPr>
                  <w:tcW w:w="838" w:type="pct"/>
                  <w:noWrap w:val="0"/>
                  <w:tcMar>
                    <w:top w:w="0" w:type="dxa"/>
                    <w:left w:w="0" w:type="dxa"/>
                    <w:bottom w:w="0" w:type="dxa"/>
                    <w:right w:w="0" w:type="dxa"/>
                  </w:tcMar>
                  <w:vAlign w:val="center"/>
                </w:tcPr>
                <w:p w14:paraId="63DE7F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mg/g</w:t>
                  </w:r>
                </w:p>
              </w:tc>
              <w:tc>
                <w:tcPr>
                  <w:tcW w:w="1791" w:type="pct"/>
                  <w:noWrap w:val="0"/>
                  <w:tcMar>
                    <w:top w:w="0" w:type="dxa"/>
                    <w:left w:w="0" w:type="dxa"/>
                    <w:bottom w:w="0" w:type="dxa"/>
                    <w:right w:w="0" w:type="dxa"/>
                  </w:tcMar>
                  <w:vAlign w:val="center"/>
                </w:tcPr>
                <w:p w14:paraId="0D2592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650</w:t>
                  </w:r>
                </w:p>
              </w:tc>
            </w:tr>
            <w:tr w14:paraId="4E45B0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29821C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783" w:type="pct"/>
                  <w:noWrap w:val="0"/>
                  <w:tcMar>
                    <w:top w:w="0" w:type="dxa"/>
                    <w:left w:w="0" w:type="dxa"/>
                    <w:bottom w:w="0" w:type="dxa"/>
                    <w:right w:w="0" w:type="dxa"/>
                  </w:tcMar>
                  <w:vAlign w:val="center"/>
                </w:tcPr>
                <w:p w14:paraId="580351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活性炭</w:t>
                  </w:r>
                  <w:r>
                    <w:rPr>
                      <w:rFonts w:hint="default" w:ascii="Times New Roman" w:hAnsi="Times New Roman" w:eastAsia="宋体" w:cs="Times New Roman"/>
                      <w:color w:val="auto"/>
                      <w:szCs w:val="21"/>
                    </w:rPr>
                    <w:t>密度</w:t>
                  </w:r>
                </w:p>
              </w:tc>
              <w:tc>
                <w:tcPr>
                  <w:tcW w:w="838" w:type="pct"/>
                  <w:noWrap w:val="0"/>
                  <w:tcMar>
                    <w:top w:w="0" w:type="dxa"/>
                    <w:left w:w="0" w:type="dxa"/>
                    <w:bottom w:w="0" w:type="dxa"/>
                    <w:right w:w="0" w:type="dxa"/>
                  </w:tcMar>
                  <w:vAlign w:val="center"/>
                </w:tcPr>
                <w:p w14:paraId="19CDEF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g/cm</w:t>
                  </w:r>
                  <w:r>
                    <w:rPr>
                      <w:rFonts w:hint="default" w:ascii="Times New Roman" w:hAnsi="Times New Roman" w:eastAsia="宋体" w:cs="Times New Roman"/>
                      <w:color w:val="auto"/>
                      <w:szCs w:val="21"/>
                      <w:vertAlign w:val="superscript"/>
                    </w:rPr>
                    <w:t>3</w:t>
                  </w:r>
                </w:p>
              </w:tc>
              <w:tc>
                <w:tcPr>
                  <w:tcW w:w="1791" w:type="pct"/>
                  <w:noWrap w:val="0"/>
                  <w:tcMar>
                    <w:top w:w="0" w:type="dxa"/>
                    <w:left w:w="0" w:type="dxa"/>
                    <w:bottom w:w="0" w:type="dxa"/>
                    <w:right w:w="0" w:type="dxa"/>
                  </w:tcMar>
                  <w:vAlign w:val="center"/>
                </w:tcPr>
                <w:p w14:paraId="46748E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w:t>
                  </w:r>
                </w:p>
              </w:tc>
            </w:tr>
            <w:tr w14:paraId="1A61C2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3C7EEA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1783" w:type="pct"/>
                  <w:noWrap w:val="0"/>
                  <w:tcMar>
                    <w:top w:w="0" w:type="dxa"/>
                    <w:left w:w="0" w:type="dxa"/>
                    <w:bottom w:w="0" w:type="dxa"/>
                    <w:right w:w="0" w:type="dxa"/>
                  </w:tcMar>
                  <w:vAlign w:val="center"/>
                </w:tcPr>
                <w:p w14:paraId="6355AA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过滤风速</w:t>
                  </w:r>
                </w:p>
              </w:tc>
              <w:tc>
                <w:tcPr>
                  <w:tcW w:w="838" w:type="pct"/>
                  <w:noWrap w:val="0"/>
                  <w:tcMar>
                    <w:top w:w="0" w:type="dxa"/>
                    <w:left w:w="0" w:type="dxa"/>
                    <w:bottom w:w="0" w:type="dxa"/>
                    <w:right w:w="0" w:type="dxa"/>
                  </w:tcMar>
                  <w:vAlign w:val="center"/>
                </w:tcPr>
                <w:p w14:paraId="33EF29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m/s</w:t>
                  </w:r>
                </w:p>
              </w:tc>
              <w:tc>
                <w:tcPr>
                  <w:tcW w:w="1791" w:type="pct"/>
                  <w:noWrap w:val="0"/>
                  <w:tcMar>
                    <w:top w:w="0" w:type="dxa"/>
                    <w:left w:w="0" w:type="dxa"/>
                    <w:bottom w:w="0" w:type="dxa"/>
                    <w:right w:w="0" w:type="dxa"/>
                  </w:tcMar>
                  <w:vAlign w:val="center"/>
                </w:tcPr>
                <w:p w14:paraId="00180D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0.93</w:t>
                  </w:r>
                </w:p>
              </w:tc>
            </w:tr>
            <w:tr w14:paraId="265FE4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60B25B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783" w:type="pct"/>
                  <w:noWrap w:val="0"/>
                  <w:tcMar>
                    <w:top w:w="0" w:type="dxa"/>
                    <w:left w:w="0" w:type="dxa"/>
                    <w:bottom w:w="0" w:type="dxa"/>
                    <w:right w:w="0" w:type="dxa"/>
                  </w:tcMar>
                  <w:vAlign w:val="center"/>
                </w:tcPr>
                <w:p w14:paraId="209C25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设备数量</w:t>
                  </w:r>
                </w:p>
              </w:tc>
              <w:tc>
                <w:tcPr>
                  <w:tcW w:w="838" w:type="pct"/>
                  <w:noWrap w:val="0"/>
                  <w:tcMar>
                    <w:top w:w="0" w:type="dxa"/>
                    <w:left w:w="0" w:type="dxa"/>
                    <w:bottom w:w="0" w:type="dxa"/>
                    <w:right w:w="0" w:type="dxa"/>
                  </w:tcMar>
                  <w:vAlign w:val="center"/>
                </w:tcPr>
                <w:p w14:paraId="409189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台</w:t>
                  </w:r>
                </w:p>
              </w:tc>
              <w:tc>
                <w:tcPr>
                  <w:tcW w:w="1791" w:type="pct"/>
                  <w:noWrap w:val="0"/>
                  <w:tcMar>
                    <w:top w:w="0" w:type="dxa"/>
                    <w:left w:w="0" w:type="dxa"/>
                    <w:bottom w:w="0" w:type="dxa"/>
                    <w:right w:w="0" w:type="dxa"/>
                  </w:tcMar>
                  <w:vAlign w:val="center"/>
                </w:tcPr>
                <w:p w14:paraId="1838D0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w:t>
                  </w:r>
                </w:p>
              </w:tc>
            </w:tr>
            <w:tr w14:paraId="04FD2C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2AF1A4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783" w:type="pct"/>
                  <w:noWrap w:val="0"/>
                  <w:tcMar>
                    <w:top w:w="0" w:type="dxa"/>
                    <w:left w:w="0" w:type="dxa"/>
                    <w:bottom w:w="0" w:type="dxa"/>
                    <w:right w:w="0" w:type="dxa"/>
                  </w:tcMar>
                  <w:vAlign w:val="center"/>
                </w:tcPr>
                <w:p w14:paraId="4DFBA2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填充量</w:t>
                  </w:r>
                </w:p>
              </w:tc>
              <w:tc>
                <w:tcPr>
                  <w:tcW w:w="838" w:type="pct"/>
                  <w:noWrap w:val="0"/>
                  <w:tcMar>
                    <w:top w:w="0" w:type="dxa"/>
                    <w:left w:w="0" w:type="dxa"/>
                    <w:bottom w:w="0" w:type="dxa"/>
                    <w:right w:w="0" w:type="dxa"/>
                  </w:tcMar>
                  <w:vAlign w:val="center"/>
                </w:tcPr>
                <w:p w14:paraId="419CB9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t/a</w:t>
                  </w:r>
                </w:p>
              </w:tc>
              <w:tc>
                <w:tcPr>
                  <w:tcW w:w="1791" w:type="pct"/>
                  <w:noWrap w:val="0"/>
                  <w:tcMar>
                    <w:top w:w="0" w:type="dxa"/>
                    <w:left w:w="0" w:type="dxa"/>
                    <w:bottom w:w="0" w:type="dxa"/>
                    <w:right w:w="0" w:type="dxa"/>
                  </w:tcMar>
                  <w:vAlign w:val="center"/>
                </w:tcPr>
                <w:p w14:paraId="1B17D5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w:t>
                  </w:r>
                  <w:r>
                    <w:rPr>
                      <w:rFonts w:hint="default" w:ascii="Times New Roman" w:hAnsi="Times New Roman" w:eastAsia="宋体" w:cs="Times New Roman"/>
                      <w:color w:val="auto"/>
                      <w:kern w:val="2"/>
                      <w:sz w:val="21"/>
                      <w:szCs w:val="21"/>
                      <w:lang w:val="en-US" w:eastAsia="zh-CN" w:bidi="ar-SA"/>
                    </w:rPr>
                    <w:t>级，</w:t>
                  </w:r>
                  <w:r>
                    <w:rPr>
                      <w:rFonts w:hint="eastAsia" w:ascii="Times New Roman" w:hAnsi="Times New Roman" w:eastAsia="宋体" w:cs="Times New Roman"/>
                      <w:color w:val="auto"/>
                      <w:kern w:val="2"/>
                      <w:sz w:val="21"/>
                      <w:szCs w:val="21"/>
                      <w:lang w:val="en-US" w:eastAsia="zh-CN" w:bidi="ar-SA"/>
                    </w:rPr>
                    <w:t>1.4</w:t>
                  </w:r>
                  <w:r>
                    <w:rPr>
                      <w:rFonts w:hint="default" w:ascii="Times New Roman" w:hAnsi="Times New Roman" w:eastAsia="宋体" w:cs="Times New Roman"/>
                      <w:color w:val="auto"/>
                      <w:kern w:val="2"/>
                      <w:sz w:val="21"/>
                      <w:szCs w:val="21"/>
                      <w:lang w:val="en-US" w:eastAsia="zh-CN" w:bidi="ar-SA"/>
                    </w:rPr>
                    <w:t>t</w:t>
                  </w:r>
                </w:p>
              </w:tc>
            </w:tr>
            <w:tr w14:paraId="3D4BF8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197603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1783" w:type="pct"/>
                  <w:noWrap w:val="0"/>
                  <w:tcMar>
                    <w:top w:w="0" w:type="dxa"/>
                    <w:left w:w="0" w:type="dxa"/>
                    <w:bottom w:w="0" w:type="dxa"/>
                    <w:right w:w="0" w:type="dxa"/>
                  </w:tcMar>
                  <w:vAlign w:val="center"/>
                </w:tcPr>
                <w:p w14:paraId="1B6C26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填充层</w:t>
                  </w:r>
                </w:p>
              </w:tc>
              <w:tc>
                <w:tcPr>
                  <w:tcW w:w="838" w:type="pct"/>
                  <w:noWrap w:val="0"/>
                  <w:tcMar>
                    <w:top w:w="0" w:type="dxa"/>
                    <w:left w:w="0" w:type="dxa"/>
                    <w:bottom w:w="0" w:type="dxa"/>
                    <w:right w:w="0" w:type="dxa"/>
                  </w:tcMar>
                  <w:vAlign w:val="center"/>
                </w:tcPr>
                <w:p w14:paraId="0A3BDA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层</w:t>
                  </w:r>
                </w:p>
              </w:tc>
              <w:tc>
                <w:tcPr>
                  <w:tcW w:w="1791" w:type="pct"/>
                  <w:noWrap w:val="0"/>
                  <w:tcMar>
                    <w:top w:w="0" w:type="dxa"/>
                    <w:left w:w="0" w:type="dxa"/>
                    <w:bottom w:w="0" w:type="dxa"/>
                    <w:right w:w="0" w:type="dxa"/>
                  </w:tcMar>
                  <w:vAlign w:val="center"/>
                </w:tcPr>
                <w:p w14:paraId="6F4E62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w:t>
                  </w:r>
                </w:p>
              </w:tc>
            </w:tr>
            <w:tr w14:paraId="780B2F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11613E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w:t>
                  </w:r>
                </w:p>
              </w:tc>
              <w:tc>
                <w:tcPr>
                  <w:tcW w:w="1783" w:type="pct"/>
                  <w:noWrap w:val="0"/>
                  <w:tcMar>
                    <w:top w:w="0" w:type="dxa"/>
                    <w:left w:w="0" w:type="dxa"/>
                    <w:bottom w:w="0" w:type="dxa"/>
                    <w:right w:w="0" w:type="dxa"/>
                  </w:tcMar>
                  <w:vAlign w:val="center"/>
                </w:tcPr>
                <w:p w14:paraId="256E69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更换周期</w:t>
                  </w:r>
                </w:p>
              </w:tc>
              <w:tc>
                <w:tcPr>
                  <w:tcW w:w="838" w:type="pct"/>
                  <w:noWrap w:val="0"/>
                  <w:tcMar>
                    <w:top w:w="0" w:type="dxa"/>
                    <w:left w:w="0" w:type="dxa"/>
                    <w:bottom w:w="0" w:type="dxa"/>
                    <w:right w:w="0" w:type="dxa"/>
                  </w:tcMar>
                  <w:vAlign w:val="center"/>
                </w:tcPr>
                <w:p w14:paraId="54E47A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w:t>
                  </w:r>
                </w:p>
              </w:tc>
              <w:tc>
                <w:tcPr>
                  <w:tcW w:w="1791" w:type="pct"/>
                  <w:noWrap w:val="0"/>
                  <w:tcMar>
                    <w:top w:w="0" w:type="dxa"/>
                    <w:left w:w="0" w:type="dxa"/>
                    <w:bottom w:w="0" w:type="dxa"/>
                    <w:right w:w="0" w:type="dxa"/>
                  </w:tcMar>
                  <w:vAlign w:val="center"/>
                </w:tcPr>
                <w:p w14:paraId="1F6BB1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每</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月更换</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次</w:t>
                  </w:r>
                </w:p>
              </w:tc>
            </w:tr>
            <w:tr w14:paraId="741E6F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2197E2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10</w:t>
                  </w:r>
                </w:p>
              </w:tc>
              <w:tc>
                <w:tcPr>
                  <w:tcW w:w="1783" w:type="pct"/>
                  <w:vMerge w:val="restart"/>
                  <w:noWrap w:val="0"/>
                  <w:tcMar>
                    <w:top w:w="0" w:type="dxa"/>
                    <w:left w:w="0" w:type="dxa"/>
                    <w:bottom w:w="0" w:type="dxa"/>
                    <w:right w:w="0" w:type="dxa"/>
                  </w:tcMar>
                  <w:vAlign w:val="center"/>
                </w:tcPr>
                <w:p w14:paraId="7B656D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eastAsia="zh-CN"/>
                    </w:rPr>
                    <w:t>排气筒参数</w:t>
                  </w:r>
                </w:p>
              </w:tc>
              <w:tc>
                <w:tcPr>
                  <w:tcW w:w="838" w:type="pct"/>
                  <w:noWrap w:val="0"/>
                  <w:tcMar>
                    <w:top w:w="0" w:type="dxa"/>
                    <w:left w:w="0" w:type="dxa"/>
                    <w:bottom w:w="0" w:type="dxa"/>
                    <w:right w:w="0" w:type="dxa"/>
                  </w:tcMar>
                  <w:vAlign w:val="center"/>
                </w:tcPr>
                <w:p w14:paraId="723C47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高度</w:t>
                  </w:r>
                </w:p>
              </w:tc>
              <w:tc>
                <w:tcPr>
                  <w:tcW w:w="1791" w:type="pct"/>
                  <w:noWrap w:val="0"/>
                  <w:tcMar>
                    <w:top w:w="0" w:type="dxa"/>
                    <w:left w:w="0" w:type="dxa"/>
                    <w:bottom w:w="0" w:type="dxa"/>
                    <w:right w:w="0" w:type="dxa"/>
                  </w:tcMar>
                  <w:vAlign w:val="center"/>
                </w:tcPr>
                <w:p w14:paraId="73624A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r>
            <w:tr w14:paraId="0FF2A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73CD1D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11</w:t>
                  </w:r>
                </w:p>
              </w:tc>
              <w:tc>
                <w:tcPr>
                  <w:tcW w:w="1783" w:type="pct"/>
                  <w:vMerge w:val="continue"/>
                  <w:noWrap w:val="0"/>
                  <w:tcMar>
                    <w:top w:w="0" w:type="dxa"/>
                    <w:left w:w="0" w:type="dxa"/>
                    <w:bottom w:w="0" w:type="dxa"/>
                    <w:right w:w="0" w:type="dxa"/>
                  </w:tcMar>
                  <w:vAlign w:val="center"/>
                </w:tcPr>
                <w:p w14:paraId="02EB8D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838" w:type="pct"/>
                  <w:noWrap w:val="0"/>
                  <w:tcMar>
                    <w:top w:w="0" w:type="dxa"/>
                    <w:left w:w="0" w:type="dxa"/>
                    <w:bottom w:w="0" w:type="dxa"/>
                    <w:right w:w="0" w:type="dxa"/>
                  </w:tcMar>
                  <w:vAlign w:val="center"/>
                </w:tcPr>
                <w:p w14:paraId="504EC4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直径</w:t>
                  </w:r>
                </w:p>
              </w:tc>
              <w:tc>
                <w:tcPr>
                  <w:tcW w:w="1791" w:type="pct"/>
                  <w:noWrap w:val="0"/>
                  <w:tcMar>
                    <w:top w:w="0" w:type="dxa"/>
                    <w:left w:w="0" w:type="dxa"/>
                    <w:bottom w:w="0" w:type="dxa"/>
                    <w:right w:w="0" w:type="dxa"/>
                  </w:tcMar>
                  <w:vAlign w:val="center"/>
                </w:tcPr>
                <w:p w14:paraId="6D36AFD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Cs/>
                      <w:color w:val="auto"/>
                      <w:sz w:val="21"/>
                      <w:szCs w:val="21"/>
                      <w:lang w:val="en-US" w:eastAsia="zh-CN"/>
                    </w:rPr>
                    <w:t>0.5</w:t>
                  </w:r>
                  <w:r>
                    <w:rPr>
                      <w:rFonts w:hint="default" w:ascii="Times New Roman" w:hAnsi="Times New Roman" w:eastAsia="宋体" w:cs="Times New Roman"/>
                      <w:b w:val="0"/>
                      <w:bCs w:val="0"/>
                      <w:color w:val="auto"/>
                      <w:sz w:val="21"/>
                      <w:szCs w:val="21"/>
                      <w:vertAlign w:val="baseline"/>
                      <w:lang w:val="en-US" w:eastAsia="zh-CN"/>
                    </w:rPr>
                    <w:t>m</w:t>
                  </w:r>
                </w:p>
              </w:tc>
            </w:tr>
            <w:tr w14:paraId="28EE89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noWrap w:val="0"/>
                  <w:tcMar>
                    <w:top w:w="0" w:type="dxa"/>
                    <w:left w:w="0" w:type="dxa"/>
                    <w:bottom w:w="0" w:type="dxa"/>
                    <w:right w:w="0" w:type="dxa"/>
                  </w:tcMar>
                  <w:vAlign w:val="center"/>
                </w:tcPr>
                <w:p w14:paraId="4A2E16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12</w:t>
                  </w:r>
                </w:p>
              </w:tc>
              <w:tc>
                <w:tcPr>
                  <w:tcW w:w="1783" w:type="pct"/>
                  <w:vMerge w:val="continue"/>
                  <w:noWrap w:val="0"/>
                  <w:tcMar>
                    <w:top w:w="0" w:type="dxa"/>
                    <w:left w:w="0" w:type="dxa"/>
                    <w:bottom w:w="0" w:type="dxa"/>
                    <w:right w:w="0" w:type="dxa"/>
                  </w:tcMar>
                  <w:vAlign w:val="center"/>
                </w:tcPr>
                <w:p w14:paraId="76107C7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838" w:type="pct"/>
                  <w:noWrap w:val="0"/>
                  <w:tcMar>
                    <w:top w:w="0" w:type="dxa"/>
                    <w:left w:w="0" w:type="dxa"/>
                    <w:bottom w:w="0" w:type="dxa"/>
                    <w:right w:w="0" w:type="dxa"/>
                  </w:tcMar>
                  <w:vAlign w:val="center"/>
                </w:tcPr>
                <w:p w14:paraId="3E12026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eastAsia="zh-CN"/>
                    </w:rPr>
                    <w:t>风量</w:t>
                  </w:r>
                </w:p>
              </w:tc>
              <w:tc>
                <w:tcPr>
                  <w:tcW w:w="1791" w:type="pct"/>
                  <w:noWrap w:val="0"/>
                  <w:tcMar>
                    <w:top w:w="0" w:type="dxa"/>
                    <w:left w:w="0" w:type="dxa"/>
                    <w:bottom w:w="0" w:type="dxa"/>
                    <w:right w:w="0" w:type="dxa"/>
                  </w:tcMar>
                  <w:vAlign w:val="center"/>
                </w:tcPr>
                <w:p w14:paraId="68912C1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baseline"/>
                      <w:lang w:val="en-US" w:eastAsia="zh-CN"/>
                    </w:rPr>
                    <w:t>000m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/h</w:t>
                  </w:r>
                </w:p>
              </w:tc>
            </w:tr>
          </w:tbl>
          <w:p w14:paraId="38FC73E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20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2）废气处理设施可行性分析</w:t>
            </w:r>
          </w:p>
          <w:p w14:paraId="299535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本项目废气处理措施评价表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905"/>
              <w:gridCol w:w="1360"/>
              <w:gridCol w:w="5115"/>
            </w:tblGrid>
            <w:tr w14:paraId="51F55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noWrap w:val="0"/>
                  <w:tcMar>
                    <w:top w:w="0" w:type="dxa"/>
                    <w:left w:w="0" w:type="dxa"/>
                    <w:bottom w:w="0" w:type="dxa"/>
                    <w:right w:w="0" w:type="dxa"/>
                  </w:tcMar>
                  <w:vAlign w:val="center"/>
                </w:tcPr>
                <w:p w14:paraId="136216FD">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工序</w:t>
                  </w:r>
                </w:p>
              </w:tc>
              <w:tc>
                <w:tcPr>
                  <w:tcW w:w="539" w:type="pct"/>
                  <w:noWrap w:val="0"/>
                  <w:tcMar>
                    <w:top w:w="0" w:type="dxa"/>
                    <w:left w:w="0" w:type="dxa"/>
                    <w:bottom w:w="0" w:type="dxa"/>
                    <w:right w:w="0" w:type="dxa"/>
                  </w:tcMar>
                  <w:vAlign w:val="center"/>
                </w:tcPr>
                <w:p w14:paraId="3596238F">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811" w:type="pct"/>
                  <w:noWrap w:val="0"/>
                  <w:tcMar>
                    <w:top w:w="0" w:type="dxa"/>
                    <w:left w:w="0" w:type="dxa"/>
                    <w:bottom w:w="0" w:type="dxa"/>
                    <w:right w:w="0" w:type="dxa"/>
                  </w:tcMar>
                  <w:vAlign w:val="center"/>
                </w:tcPr>
                <w:p w14:paraId="20AD95AD">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处理措施</w:t>
                  </w:r>
                </w:p>
              </w:tc>
              <w:tc>
                <w:tcPr>
                  <w:tcW w:w="3051" w:type="pct"/>
                  <w:noWrap w:val="0"/>
                  <w:tcMar>
                    <w:top w:w="0" w:type="dxa"/>
                    <w:left w:w="0" w:type="dxa"/>
                    <w:bottom w:w="0" w:type="dxa"/>
                    <w:right w:w="0" w:type="dxa"/>
                  </w:tcMar>
                  <w:vAlign w:val="center"/>
                </w:tcPr>
                <w:p w14:paraId="12E60ADC">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可行技术</w:t>
                  </w:r>
                </w:p>
              </w:tc>
            </w:tr>
            <w:tr w14:paraId="56C85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96" w:type="pct"/>
                  <w:noWrap w:val="0"/>
                  <w:tcMar>
                    <w:top w:w="0" w:type="dxa"/>
                    <w:left w:w="0" w:type="dxa"/>
                    <w:bottom w:w="0" w:type="dxa"/>
                    <w:right w:w="0" w:type="dxa"/>
                  </w:tcMar>
                  <w:vAlign w:val="center"/>
                </w:tcPr>
                <w:p w14:paraId="27BD3E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挤出、烘干、测试</w:t>
                  </w:r>
                </w:p>
              </w:tc>
              <w:tc>
                <w:tcPr>
                  <w:tcW w:w="539" w:type="pct"/>
                  <w:noWrap w:val="0"/>
                  <w:tcMar>
                    <w:top w:w="0" w:type="dxa"/>
                    <w:left w:w="0" w:type="dxa"/>
                    <w:bottom w:w="0" w:type="dxa"/>
                    <w:right w:w="0" w:type="dxa"/>
                  </w:tcMar>
                  <w:vAlign w:val="center"/>
                </w:tcPr>
                <w:p w14:paraId="6899FC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非甲烷总烃</w:t>
                  </w:r>
                </w:p>
              </w:tc>
              <w:tc>
                <w:tcPr>
                  <w:tcW w:w="811" w:type="pct"/>
                  <w:noWrap w:val="0"/>
                  <w:tcMar>
                    <w:top w:w="0" w:type="dxa"/>
                    <w:left w:w="0" w:type="dxa"/>
                    <w:bottom w:w="0" w:type="dxa"/>
                    <w:right w:w="0" w:type="dxa"/>
                  </w:tcMar>
                  <w:vAlign w:val="center"/>
                </w:tcPr>
                <w:p w14:paraId="4E97947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eastAsia"/>
                      <w:color w:val="auto"/>
                      <w:szCs w:val="21"/>
                      <w:lang w:val="en-US" w:eastAsia="zh-CN"/>
                    </w:rPr>
                    <w:t>水喷淋塔+除湿器+二级活性炭吸附装置</w:t>
                  </w:r>
                </w:p>
              </w:tc>
              <w:tc>
                <w:tcPr>
                  <w:tcW w:w="3051" w:type="pct"/>
                  <w:noWrap w:val="0"/>
                  <w:tcMar>
                    <w:top w:w="0" w:type="dxa"/>
                    <w:left w:w="0" w:type="dxa"/>
                    <w:bottom w:w="0" w:type="dxa"/>
                    <w:right w:w="0" w:type="dxa"/>
                  </w:tcMar>
                  <w:vAlign w:val="center"/>
                </w:tcPr>
                <w:p w14:paraId="7471A9E9">
                  <w:pPr>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bCs/>
                      <w:color w:val="auto"/>
                      <w:sz w:val="21"/>
                      <w:szCs w:val="21"/>
                    </w:rPr>
                    <w:t>参考《排污许可证申请与核发技术规范 橡胶和塑料制品工业》（HJ1122-2020）中附录A.2塑料制品工业排污单位废气污染防治可行技术参考表，处理注塑</w:t>
                  </w:r>
                  <w:r>
                    <w:rPr>
                      <w:rFonts w:hint="default" w:ascii="Times New Roman" w:hAnsi="Times New Roman" w:eastAsia="宋体" w:cs="Times New Roman"/>
                      <w:bCs/>
                      <w:color w:val="auto"/>
                      <w:sz w:val="21"/>
                      <w:szCs w:val="21"/>
                      <w:lang w:val="en-US" w:eastAsia="zh-CN"/>
                    </w:rPr>
                    <w:t>等</w:t>
                  </w:r>
                  <w:r>
                    <w:rPr>
                      <w:rFonts w:hint="default" w:ascii="Times New Roman" w:hAnsi="Times New Roman" w:eastAsia="宋体" w:cs="Times New Roman"/>
                      <w:bCs/>
                      <w:color w:val="auto"/>
                      <w:sz w:val="21"/>
                      <w:szCs w:val="21"/>
                    </w:rPr>
                    <w:t>废气（非甲烷总烃）的可行技术为“喷淋；吸附；吸附浓缩+热力燃烧/催化燃烧”。本项目采用</w:t>
                  </w:r>
                  <w:r>
                    <w:rPr>
                      <w:rFonts w:hint="eastAsia"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级活性炭</w:t>
                  </w:r>
                  <w:r>
                    <w:rPr>
                      <w:rFonts w:hint="default" w:ascii="Times New Roman" w:hAnsi="Times New Roman" w:eastAsia="宋体" w:cs="Times New Roman"/>
                      <w:bCs/>
                      <w:color w:val="auto"/>
                      <w:sz w:val="21"/>
                      <w:szCs w:val="21"/>
                    </w:rPr>
                    <w:t>吸附装置处理</w:t>
                  </w:r>
                  <w:r>
                    <w:rPr>
                      <w:rFonts w:hint="eastAsia" w:ascii="Times New Roman" w:hAnsi="Times New Roman" w:eastAsia="宋体" w:cs="Times New Roman"/>
                      <w:bCs/>
                      <w:color w:val="auto"/>
                      <w:sz w:val="21"/>
                      <w:szCs w:val="21"/>
                      <w:lang w:val="en-US" w:eastAsia="zh-CN"/>
                    </w:rPr>
                    <w:t>非甲烷总烃</w:t>
                  </w:r>
                  <w:r>
                    <w:rPr>
                      <w:rFonts w:hint="default" w:ascii="Times New Roman" w:hAnsi="Times New Roman" w:eastAsia="宋体" w:cs="Times New Roman"/>
                      <w:bCs/>
                      <w:color w:val="auto"/>
                      <w:sz w:val="21"/>
                      <w:szCs w:val="21"/>
                    </w:rPr>
                    <w:t>，属于可行技术</w:t>
                  </w:r>
                </w:p>
              </w:tc>
            </w:tr>
            <w:tr w14:paraId="702CF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shd w:val="clear" w:color="auto" w:fill="auto"/>
                  <w:noWrap w:val="0"/>
                  <w:tcMar>
                    <w:top w:w="0" w:type="dxa"/>
                    <w:left w:w="0" w:type="dxa"/>
                    <w:bottom w:w="0" w:type="dxa"/>
                    <w:right w:w="0" w:type="dxa"/>
                  </w:tcMar>
                  <w:vAlign w:val="center"/>
                </w:tcPr>
                <w:p w14:paraId="03433A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配料、投料</w:t>
                  </w:r>
                </w:p>
              </w:tc>
              <w:tc>
                <w:tcPr>
                  <w:tcW w:w="539" w:type="pct"/>
                  <w:shd w:val="clear" w:color="auto" w:fill="auto"/>
                  <w:noWrap w:val="0"/>
                  <w:tcMar>
                    <w:top w:w="0" w:type="dxa"/>
                    <w:left w:w="0" w:type="dxa"/>
                    <w:bottom w:w="0" w:type="dxa"/>
                    <w:right w:w="0" w:type="dxa"/>
                  </w:tcMar>
                  <w:vAlign w:val="center"/>
                </w:tcPr>
                <w:p w14:paraId="76F4C8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颗粒物</w:t>
                  </w:r>
                </w:p>
              </w:tc>
              <w:tc>
                <w:tcPr>
                  <w:tcW w:w="811" w:type="pct"/>
                  <w:shd w:val="clear" w:color="auto" w:fill="auto"/>
                  <w:noWrap w:val="0"/>
                  <w:tcMar>
                    <w:top w:w="0" w:type="dxa"/>
                    <w:left w:w="0" w:type="dxa"/>
                    <w:bottom w:w="0" w:type="dxa"/>
                    <w:right w:w="0" w:type="dxa"/>
                  </w:tcMar>
                  <w:vAlign w:val="center"/>
                </w:tcPr>
                <w:p w14:paraId="0513239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lang w:val="en-US" w:eastAsia="zh-CN"/>
                    </w:rPr>
                    <w:t>布袋除尘器</w:t>
                  </w:r>
                </w:p>
              </w:tc>
              <w:tc>
                <w:tcPr>
                  <w:tcW w:w="3051" w:type="pct"/>
                  <w:shd w:val="clear" w:color="auto" w:fill="auto"/>
                  <w:noWrap w:val="0"/>
                  <w:tcMar>
                    <w:top w:w="0" w:type="dxa"/>
                    <w:left w:w="0" w:type="dxa"/>
                    <w:bottom w:w="0" w:type="dxa"/>
                    <w:right w:w="0" w:type="dxa"/>
                  </w:tcMar>
                  <w:vAlign w:val="center"/>
                </w:tcPr>
                <w:p w14:paraId="6A85AA3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《排污许可证申请与核发技术规范 铁路、船舶、航空航天和其他运输设备制造业（HJ1124-2020）》</w:t>
                  </w:r>
                </w:p>
              </w:tc>
            </w:tr>
          </w:tbl>
          <w:p w14:paraId="64BAEA46">
            <w:pPr>
              <w:spacing w:before="120" w:beforeLines="50" w:line="360" w:lineRule="auto"/>
              <w:ind w:firstLine="420" w:firstLineChars="200"/>
              <w:rPr>
                <w:bCs/>
                <w:color w:val="auto"/>
                <w:szCs w:val="21"/>
              </w:rPr>
            </w:pPr>
            <w:r>
              <w:rPr>
                <w:bCs/>
                <w:color w:val="auto"/>
                <w:szCs w:val="21"/>
              </w:rPr>
              <w:t>综上所述，本项目废气污染防治措施设置可行。</w:t>
            </w:r>
          </w:p>
          <w:p w14:paraId="2175D9D5">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排气筒设置合理性分析</w:t>
            </w:r>
          </w:p>
          <w:p w14:paraId="3C7A76AF">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本项目新增</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根</w:t>
            </w:r>
            <w:r>
              <w:rPr>
                <w:rFonts w:hint="default"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米高排气筒，排气筒参数详见下表。</w:t>
            </w:r>
          </w:p>
          <w:p w14:paraId="2715CB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本项目排气筒参数</w:t>
            </w:r>
          </w:p>
          <w:tbl>
            <w:tblPr>
              <w:tblStyle w:val="29"/>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32"/>
              <w:gridCol w:w="2077"/>
              <w:gridCol w:w="1233"/>
              <w:gridCol w:w="1625"/>
              <w:gridCol w:w="1405"/>
            </w:tblGrid>
            <w:tr w14:paraId="5BDFC1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3" w:type="pct"/>
                  <w:tcBorders>
                    <w:tl2br w:val="nil"/>
                    <w:tr2bl w:val="nil"/>
                  </w:tcBorders>
                  <w:noWrap w:val="0"/>
                  <w:tcMar>
                    <w:top w:w="0" w:type="dxa"/>
                    <w:left w:w="0" w:type="dxa"/>
                    <w:bottom w:w="0" w:type="dxa"/>
                    <w:right w:w="0" w:type="dxa"/>
                  </w:tcMar>
                  <w:vAlign w:val="center"/>
                </w:tcPr>
                <w:p w14:paraId="3AC66A3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排气筒名称</w:t>
                  </w:r>
                </w:p>
              </w:tc>
              <w:tc>
                <w:tcPr>
                  <w:tcW w:w="1240" w:type="pct"/>
                  <w:tcBorders>
                    <w:tl2br w:val="nil"/>
                    <w:tr2bl w:val="nil"/>
                  </w:tcBorders>
                  <w:noWrap w:val="0"/>
                  <w:tcMar>
                    <w:top w:w="0" w:type="dxa"/>
                    <w:left w:w="0" w:type="dxa"/>
                    <w:bottom w:w="0" w:type="dxa"/>
                    <w:right w:w="0" w:type="dxa"/>
                  </w:tcMar>
                  <w:vAlign w:val="center"/>
                </w:tcPr>
                <w:p w14:paraId="2F68D5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污染源名称</w:t>
                  </w:r>
                </w:p>
              </w:tc>
              <w:tc>
                <w:tcPr>
                  <w:tcW w:w="736" w:type="pct"/>
                  <w:tcBorders>
                    <w:tl2br w:val="nil"/>
                    <w:tr2bl w:val="nil"/>
                  </w:tcBorders>
                  <w:noWrap w:val="0"/>
                  <w:tcMar>
                    <w:top w:w="0" w:type="dxa"/>
                    <w:left w:w="0" w:type="dxa"/>
                    <w:bottom w:w="0" w:type="dxa"/>
                    <w:right w:w="0" w:type="dxa"/>
                  </w:tcMar>
                  <w:vAlign w:val="center"/>
                </w:tcPr>
                <w:p w14:paraId="4E85D2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废气量(m</w:t>
                  </w:r>
                  <w:r>
                    <w:rPr>
                      <w:rFonts w:hint="default" w:ascii="Times New Roman" w:hAnsi="Times New Roman" w:eastAsia="宋体" w:cs="Times New Roman"/>
                      <w:b/>
                      <w:bCs/>
                      <w:color w:val="auto"/>
                      <w:sz w:val="21"/>
                      <w:szCs w:val="21"/>
                      <w:vertAlign w:val="superscript"/>
                      <w:lang w:bidi="ar"/>
                    </w:rPr>
                    <w:t>3</w:t>
                  </w:r>
                  <w:r>
                    <w:rPr>
                      <w:rFonts w:hint="default" w:ascii="Times New Roman" w:hAnsi="Times New Roman" w:eastAsia="宋体" w:cs="Times New Roman"/>
                      <w:b/>
                      <w:bCs/>
                      <w:color w:val="auto"/>
                      <w:sz w:val="21"/>
                      <w:szCs w:val="21"/>
                      <w:lang w:bidi="ar"/>
                    </w:rPr>
                    <w:t>/h)</w:t>
                  </w:r>
                </w:p>
              </w:tc>
              <w:tc>
                <w:tcPr>
                  <w:tcW w:w="970" w:type="pct"/>
                  <w:tcBorders>
                    <w:tl2br w:val="nil"/>
                    <w:tr2bl w:val="nil"/>
                  </w:tcBorders>
                  <w:noWrap w:val="0"/>
                  <w:tcMar>
                    <w:top w:w="0" w:type="dxa"/>
                    <w:left w:w="0" w:type="dxa"/>
                    <w:bottom w:w="0" w:type="dxa"/>
                    <w:right w:w="0" w:type="dxa"/>
                  </w:tcMar>
                  <w:vAlign w:val="center"/>
                </w:tcPr>
                <w:p w14:paraId="325960D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排气筒内径（m）</w:t>
                  </w:r>
                </w:p>
              </w:tc>
              <w:tc>
                <w:tcPr>
                  <w:tcW w:w="839" w:type="pct"/>
                  <w:tcBorders>
                    <w:tl2br w:val="nil"/>
                    <w:tr2bl w:val="nil"/>
                  </w:tcBorders>
                  <w:noWrap w:val="0"/>
                  <w:tcMar>
                    <w:top w:w="0" w:type="dxa"/>
                    <w:left w:w="0" w:type="dxa"/>
                    <w:bottom w:w="0" w:type="dxa"/>
                    <w:right w:w="0" w:type="dxa"/>
                  </w:tcMar>
                  <w:vAlign w:val="center"/>
                </w:tcPr>
                <w:p w14:paraId="2A6BE7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烟气流速（m/s）</w:t>
                  </w:r>
                </w:p>
              </w:tc>
            </w:tr>
            <w:tr w14:paraId="0DBCFA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3" w:type="pct"/>
                  <w:tcBorders>
                    <w:tl2br w:val="nil"/>
                    <w:tr2bl w:val="nil"/>
                  </w:tcBorders>
                  <w:noWrap w:val="0"/>
                  <w:tcMar>
                    <w:top w:w="0" w:type="dxa"/>
                    <w:left w:w="0" w:type="dxa"/>
                    <w:bottom w:w="0" w:type="dxa"/>
                    <w:right w:w="0" w:type="dxa"/>
                  </w:tcMar>
                  <w:vAlign w:val="center"/>
                </w:tcPr>
                <w:p w14:paraId="33B0E91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lang w:val="en-US" w:eastAsia="zh-CN"/>
                    </w:rPr>
                    <w:t>15</w:t>
                  </w:r>
                  <w:r>
                    <w:rPr>
                      <w:rFonts w:hint="default" w:ascii="Times New Roman" w:hAnsi="Times New Roman" w:eastAsia="宋体" w:cs="Times New Roman"/>
                      <w:b w:val="0"/>
                      <w:bCs/>
                      <w:color w:val="auto"/>
                      <w:sz w:val="21"/>
                      <w:szCs w:val="21"/>
                    </w:rPr>
                    <w:t>米排气筒</w:t>
                  </w:r>
                  <w:r>
                    <w:rPr>
                      <w:rFonts w:hint="default" w:ascii="Times New Roman" w:hAnsi="Times New Roman" w:eastAsia="宋体" w:cs="Times New Roman"/>
                      <w:b w:val="0"/>
                      <w:bCs/>
                      <w:color w:val="auto"/>
                      <w:szCs w:val="21"/>
                      <w:lang w:val="en-US" w:eastAsia="zh-CN"/>
                    </w:rPr>
                    <w:t>（DA00</w:t>
                  </w:r>
                  <w:r>
                    <w:rPr>
                      <w:rFonts w:hint="eastAsia" w:ascii="Times New Roman" w:hAnsi="Times New Roman" w:eastAsia="宋体" w:cs="Times New Roman"/>
                      <w:b w:val="0"/>
                      <w:bCs/>
                      <w:color w:val="auto"/>
                      <w:szCs w:val="21"/>
                      <w:lang w:val="en-US" w:eastAsia="zh-CN"/>
                    </w:rPr>
                    <w:t>1</w:t>
                  </w:r>
                  <w:r>
                    <w:rPr>
                      <w:rFonts w:hint="default" w:ascii="Times New Roman" w:hAnsi="Times New Roman" w:eastAsia="宋体" w:cs="Times New Roman"/>
                      <w:b w:val="0"/>
                      <w:bCs/>
                      <w:color w:val="auto"/>
                      <w:szCs w:val="21"/>
                      <w:lang w:val="en-US" w:eastAsia="zh-CN"/>
                    </w:rPr>
                    <w:t>）</w:t>
                  </w:r>
                </w:p>
              </w:tc>
              <w:tc>
                <w:tcPr>
                  <w:tcW w:w="1240" w:type="pct"/>
                  <w:tcBorders>
                    <w:tl2br w:val="nil"/>
                    <w:tr2bl w:val="nil"/>
                  </w:tcBorders>
                  <w:shd w:val="clear" w:color="auto" w:fill="auto"/>
                  <w:noWrap w:val="0"/>
                  <w:tcMar>
                    <w:top w:w="0" w:type="dxa"/>
                    <w:left w:w="0" w:type="dxa"/>
                    <w:bottom w:w="0" w:type="dxa"/>
                    <w:right w:w="0" w:type="dxa"/>
                  </w:tcMar>
                  <w:vAlign w:val="center"/>
                </w:tcPr>
                <w:p w14:paraId="629A29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配料、投料</w:t>
                  </w:r>
                </w:p>
              </w:tc>
              <w:tc>
                <w:tcPr>
                  <w:tcW w:w="736" w:type="pct"/>
                  <w:tcBorders>
                    <w:tl2br w:val="nil"/>
                    <w:tr2bl w:val="nil"/>
                  </w:tcBorders>
                  <w:shd w:val="clear" w:color="auto" w:fill="auto"/>
                  <w:noWrap w:val="0"/>
                  <w:tcMar>
                    <w:top w:w="0" w:type="dxa"/>
                    <w:left w:w="0" w:type="dxa"/>
                    <w:bottom w:w="0" w:type="dxa"/>
                    <w:right w:w="0" w:type="dxa"/>
                  </w:tcMar>
                  <w:vAlign w:val="center"/>
                </w:tcPr>
                <w:p w14:paraId="5F24AE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3000</w:t>
                  </w:r>
                </w:p>
              </w:tc>
              <w:tc>
                <w:tcPr>
                  <w:tcW w:w="970" w:type="pct"/>
                  <w:tcBorders>
                    <w:tl2br w:val="nil"/>
                    <w:tr2bl w:val="nil"/>
                  </w:tcBorders>
                  <w:shd w:val="clear" w:color="auto" w:fill="auto"/>
                  <w:noWrap w:val="0"/>
                  <w:tcMar>
                    <w:top w:w="0" w:type="dxa"/>
                    <w:left w:w="0" w:type="dxa"/>
                    <w:bottom w:w="0" w:type="dxa"/>
                    <w:right w:w="0" w:type="dxa"/>
                  </w:tcMar>
                  <w:vAlign w:val="center"/>
                </w:tcPr>
                <w:p w14:paraId="6E021F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0.3</w:t>
                  </w:r>
                </w:p>
              </w:tc>
              <w:tc>
                <w:tcPr>
                  <w:tcW w:w="839" w:type="pct"/>
                  <w:tcBorders>
                    <w:tl2br w:val="nil"/>
                    <w:tr2bl w:val="nil"/>
                  </w:tcBorders>
                  <w:shd w:val="clear" w:color="auto" w:fill="auto"/>
                  <w:noWrap w:val="0"/>
                  <w:tcMar>
                    <w:top w:w="0" w:type="dxa"/>
                    <w:left w:w="0" w:type="dxa"/>
                    <w:bottom w:w="0" w:type="dxa"/>
                    <w:right w:w="0" w:type="dxa"/>
                  </w:tcMar>
                  <w:vAlign w:val="center"/>
                </w:tcPr>
                <w:p w14:paraId="4E9396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11.8</w:t>
                  </w:r>
                </w:p>
              </w:tc>
            </w:tr>
            <w:tr w14:paraId="1D7ACF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3" w:type="pct"/>
                  <w:tcBorders>
                    <w:tl2br w:val="nil"/>
                    <w:tr2bl w:val="nil"/>
                  </w:tcBorders>
                  <w:noWrap w:val="0"/>
                  <w:tcMar>
                    <w:top w:w="0" w:type="dxa"/>
                    <w:left w:w="0" w:type="dxa"/>
                    <w:bottom w:w="0" w:type="dxa"/>
                    <w:right w:w="0" w:type="dxa"/>
                  </w:tcMar>
                  <w:vAlign w:val="center"/>
                </w:tcPr>
                <w:p w14:paraId="4B3198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sz w:val="21"/>
                      <w:szCs w:val="21"/>
                      <w:lang w:val="en-US" w:eastAsia="zh-CN"/>
                    </w:rPr>
                    <w:t>15</w:t>
                  </w:r>
                  <w:r>
                    <w:rPr>
                      <w:rFonts w:hint="default" w:ascii="Times New Roman" w:hAnsi="Times New Roman" w:eastAsia="宋体" w:cs="Times New Roman"/>
                      <w:b w:val="0"/>
                      <w:bCs/>
                      <w:color w:val="auto"/>
                      <w:sz w:val="21"/>
                      <w:szCs w:val="21"/>
                    </w:rPr>
                    <w:t>米排气筒</w:t>
                  </w:r>
                  <w:r>
                    <w:rPr>
                      <w:rFonts w:hint="default" w:ascii="Times New Roman" w:hAnsi="Times New Roman" w:eastAsia="宋体" w:cs="Times New Roman"/>
                      <w:b w:val="0"/>
                      <w:bCs/>
                      <w:color w:val="auto"/>
                      <w:szCs w:val="21"/>
                      <w:lang w:val="en-US" w:eastAsia="zh-CN"/>
                    </w:rPr>
                    <w:t>（DA00</w:t>
                  </w:r>
                  <w:r>
                    <w:rPr>
                      <w:rFonts w:hint="eastAsia" w:ascii="Times New Roman" w:hAnsi="Times New Roman" w:eastAsia="宋体" w:cs="Times New Roman"/>
                      <w:b w:val="0"/>
                      <w:bCs/>
                      <w:color w:val="auto"/>
                      <w:szCs w:val="21"/>
                      <w:lang w:val="en-US" w:eastAsia="zh-CN"/>
                    </w:rPr>
                    <w:t>2</w:t>
                  </w:r>
                  <w:r>
                    <w:rPr>
                      <w:rFonts w:hint="default" w:ascii="Times New Roman" w:hAnsi="Times New Roman" w:eastAsia="宋体" w:cs="Times New Roman"/>
                      <w:b w:val="0"/>
                      <w:bCs/>
                      <w:color w:val="auto"/>
                      <w:szCs w:val="21"/>
                      <w:lang w:val="en-US" w:eastAsia="zh-CN"/>
                    </w:rPr>
                    <w:t>）</w:t>
                  </w:r>
                </w:p>
              </w:tc>
              <w:tc>
                <w:tcPr>
                  <w:tcW w:w="1240" w:type="pct"/>
                  <w:tcBorders>
                    <w:tl2br w:val="nil"/>
                    <w:tr2bl w:val="nil"/>
                  </w:tcBorders>
                  <w:shd w:val="clear" w:color="auto" w:fill="auto"/>
                  <w:noWrap w:val="0"/>
                  <w:tcMar>
                    <w:top w:w="0" w:type="dxa"/>
                    <w:left w:w="0" w:type="dxa"/>
                    <w:bottom w:w="0" w:type="dxa"/>
                    <w:right w:w="0" w:type="dxa"/>
                  </w:tcMar>
                  <w:vAlign w:val="center"/>
                </w:tcPr>
                <w:p w14:paraId="6EEF67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挤出、烘干、测试</w:t>
                  </w:r>
                </w:p>
              </w:tc>
              <w:tc>
                <w:tcPr>
                  <w:tcW w:w="736" w:type="pct"/>
                  <w:tcBorders>
                    <w:tl2br w:val="nil"/>
                    <w:tr2bl w:val="nil"/>
                  </w:tcBorders>
                  <w:shd w:val="clear" w:color="auto" w:fill="auto"/>
                  <w:noWrap w:val="0"/>
                  <w:tcMar>
                    <w:top w:w="0" w:type="dxa"/>
                    <w:left w:w="0" w:type="dxa"/>
                    <w:bottom w:w="0" w:type="dxa"/>
                    <w:right w:w="0" w:type="dxa"/>
                  </w:tcMar>
                  <w:vAlign w:val="center"/>
                </w:tcPr>
                <w:p w14:paraId="2F0479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10000</w:t>
                  </w:r>
                </w:p>
              </w:tc>
              <w:tc>
                <w:tcPr>
                  <w:tcW w:w="970" w:type="pct"/>
                  <w:tcBorders>
                    <w:tl2br w:val="nil"/>
                    <w:tr2bl w:val="nil"/>
                  </w:tcBorders>
                  <w:shd w:val="clear" w:color="auto" w:fill="auto"/>
                  <w:noWrap w:val="0"/>
                  <w:tcMar>
                    <w:top w:w="0" w:type="dxa"/>
                    <w:left w:w="0" w:type="dxa"/>
                    <w:bottom w:w="0" w:type="dxa"/>
                    <w:right w:w="0" w:type="dxa"/>
                  </w:tcMar>
                  <w:vAlign w:val="center"/>
                </w:tcPr>
                <w:p w14:paraId="7F57FD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0.5</w:t>
                  </w:r>
                </w:p>
              </w:tc>
              <w:tc>
                <w:tcPr>
                  <w:tcW w:w="839" w:type="pct"/>
                  <w:tcBorders>
                    <w:tl2br w:val="nil"/>
                    <w:tr2bl w:val="nil"/>
                  </w:tcBorders>
                  <w:shd w:val="clear" w:color="auto" w:fill="auto"/>
                  <w:noWrap w:val="0"/>
                  <w:tcMar>
                    <w:top w:w="0" w:type="dxa"/>
                    <w:left w:w="0" w:type="dxa"/>
                    <w:bottom w:w="0" w:type="dxa"/>
                    <w:right w:w="0" w:type="dxa"/>
                  </w:tcMar>
                  <w:vAlign w:val="center"/>
                </w:tcPr>
                <w:p w14:paraId="287FE98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14.2</w:t>
                  </w:r>
                </w:p>
              </w:tc>
            </w:tr>
          </w:tbl>
          <w:p w14:paraId="5AFC4DE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各排气筒的内径设置均保证废气流速在合适的范围内，根据《大气污染治理工程技术导则》（HJ2000-2010），排气筒的出口直径应根据出口流速确定，流速宜取15m/s左右。当采用钢管烟囱且高度较高时或烟气量较大时，可适当提高出口流速至20～25m/s。根据上表本项目烟气流速在合适的范围内，可满足废气治理的技术要求。</w:t>
            </w:r>
          </w:p>
          <w:p w14:paraId="60C77522">
            <w:pPr>
              <w:keepNext w:val="0"/>
              <w:keepLines w:val="0"/>
              <w:pageBreakBefore w:val="0"/>
              <w:widowControl w:val="0"/>
              <w:suppressLineNumbers w:val="0"/>
              <w:kinsoku/>
              <w:wordWrap/>
              <w:overflowPunct/>
              <w:topLinePunct w:val="0"/>
              <w:bidi w:val="0"/>
              <w:spacing w:beforeAutospacing="0" w:after="0" w:afterAutospacing="0" w:line="360" w:lineRule="auto"/>
              <w:ind w:left="0" w:right="0"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建设单位在设计过程中综合考虑工艺要求、废气风量、对周围环境的影响等前提下，合理设置排气筒的数量，减少对周边环境的影响。</w:t>
            </w:r>
          </w:p>
          <w:p w14:paraId="0C277E85">
            <w:pPr>
              <w:keepNext w:val="0"/>
              <w:keepLines w:val="0"/>
              <w:pageBreakBefore w:val="0"/>
              <w:widowControl w:val="0"/>
              <w:suppressLineNumbers w:val="0"/>
              <w:kinsoku/>
              <w:wordWrap/>
              <w:overflowPunct/>
              <w:topLinePunct w:val="0"/>
              <w:bidi w:val="0"/>
              <w:spacing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4</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1"/>
                <w:szCs w:val="21"/>
              </w:rPr>
              <w:t>达标排放分析</w:t>
            </w:r>
          </w:p>
          <w:p w14:paraId="2771227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outlineLvl w:val="3"/>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lang w:val="en-US" w:eastAsia="zh-CN"/>
              </w:rPr>
              <w:t>①</w:t>
            </w:r>
            <w:r>
              <w:rPr>
                <w:rFonts w:hint="default" w:ascii="Times New Roman" w:hAnsi="Times New Roman" w:eastAsia="宋体" w:cs="Times New Roman"/>
                <w:bCs/>
                <w:color w:val="auto"/>
                <w:sz w:val="21"/>
                <w:szCs w:val="21"/>
              </w:rPr>
              <w:t>本项目有组织废气产生、排放情况见</w:t>
            </w:r>
            <w:r>
              <w:rPr>
                <w:rFonts w:hint="eastAsia" w:ascii="Times New Roman" w:hAnsi="Times New Roman" w:eastAsia="宋体" w:cs="Times New Roman"/>
                <w:bCs/>
                <w:color w:val="auto"/>
                <w:sz w:val="21"/>
                <w:szCs w:val="21"/>
                <w:lang w:val="en-US" w:eastAsia="zh-CN"/>
              </w:rPr>
              <w:t>下表</w:t>
            </w:r>
            <w:r>
              <w:rPr>
                <w:rFonts w:hint="default" w:ascii="Times New Roman" w:hAnsi="Times New Roman" w:eastAsia="宋体" w:cs="Times New Roman"/>
                <w:bCs/>
                <w:color w:val="auto"/>
                <w:sz w:val="21"/>
                <w:szCs w:val="21"/>
                <w:lang w:val="en-US" w:eastAsia="zh-CN"/>
              </w:rPr>
              <w:t>。</w:t>
            </w:r>
          </w:p>
          <w:p w14:paraId="3B2411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p w14:paraId="5E68B4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p w14:paraId="0D28BE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p w14:paraId="622A4F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p w14:paraId="1D126D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本项目有组织废气排放源强表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1"/>
              <w:gridCol w:w="532"/>
              <w:gridCol w:w="505"/>
              <w:gridCol w:w="555"/>
              <w:gridCol w:w="575"/>
              <w:gridCol w:w="599"/>
              <w:gridCol w:w="660"/>
              <w:gridCol w:w="314"/>
              <w:gridCol w:w="616"/>
              <w:gridCol w:w="650"/>
              <w:gridCol w:w="537"/>
              <w:gridCol w:w="609"/>
              <w:gridCol w:w="483"/>
              <w:gridCol w:w="714"/>
              <w:gridCol w:w="528"/>
            </w:tblGrid>
            <w:tr w14:paraId="0B729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8" w:type="pct"/>
                  <w:vMerge w:val="restart"/>
                  <w:noWrap w:val="0"/>
                  <w:vAlign w:val="center"/>
                </w:tcPr>
                <w:p w14:paraId="7F73CA41">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污染源名称及编号</w:t>
                  </w:r>
                </w:p>
              </w:tc>
              <w:tc>
                <w:tcPr>
                  <w:tcW w:w="317" w:type="pct"/>
                  <w:vMerge w:val="restart"/>
                  <w:noWrap w:val="0"/>
                  <w:vAlign w:val="center"/>
                </w:tcPr>
                <w:p w14:paraId="35AD6151">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废气量m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/h</w:t>
                  </w:r>
                </w:p>
              </w:tc>
              <w:tc>
                <w:tcPr>
                  <w:tcW w:w="301" w:type="pct"/>
                  <w:vMerge w:val="restart"/>
                  <w:noWrap w:val="0"/>
                  <w:vAlign w:val="center"/>
                </w:tcPr>
                <w:p w14:paraId="5470375A">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污染物名称</w:t>
                  </w:r>
                </w:p>
              </w:tc>
              <w:tc>
                <w:tcPr>
                  <w:tcW w:w="1031" w:type="pct"/>
                  <w:gridSpan w:val="3"/>
                  <w:noWrap w:val="0"/>
                  <w:vAlign w:val="center"/>
                </w:tcPr>
                <w:p w14:paraId="3A98A429">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产生情况</w:t>
                  </w:r>
                </w:p>
              </w:tc>
              <w:tc>
                <w:tcPr>
                  <w:tcW w:w="393" w:type="pct"/>
                  <w:vMerge w:val="restart"/>
                  <w:noWrap w:val="0"/>
                  <w:vAlign w:val="center"/>
                </w:tcPr>
                <w:p w14:paraId="1CE2E3CD">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治理</w:t>
                  </w:r>
                </w:p>
                <w:p w14:paraId="0D632A77">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措施</w:t>
                  </w:r>
                </w:p>
              </w:tc>
              <w:tc>
                <w:tcPr>
                  <w:tcW w:w="187" w:type="pct"/>
                  <w:vMerge w:val="restart"/>
                  <w:noWrap w:val="0"/>
                  <w:vAlign w:val="center"/>
                </w:tcPr>
                <w:p w14:paraId="0649C334">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去除率％</w:t>
                  </w:r>
                </w:p>
              </w:tc>
              <w:tc>
                <w:tcPr>
                  <w:tcW w:w="1076" w:type="pct"/>
                  <w:gridSpan w:val="3"/>
                  <w:noWrap w:val="0"/>
                  <w:vAlign w:val="center"/>
                </w:tcPr>
                <w:p w14:paraId="574737C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排放情况</w:t>
                  </w:r>
                </w:p>
              </w:tc>
              <w:tc>
                <w:tcPr>
                  <w:tcW w:w="651" w:type="pct"/>
                  <w:gridSpan w:val="2"/>
                  <w:noWrap w:val="0"/>
                  <w:vAlign w:val="center"/>
                </w:tcPr>
                <w:p w14:paraId="17C2B417">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c>
                <w:tcPr>
                  <w:tcW w:w="426" w:type="pct"/>
                  <w:vMerge w:val="restart"/>
                  <w:noWrap w:val="0"/>
                  <w:vAlign w:val="center"/>
                </w:tcPr>
                <w:p w14:paraId="39549B4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排气筒名称及编号</w:t>
                  </w:r>
                </w:p>
              </w:tc>
              <w:tc>
                <w:tcPr>
                  <w:tcW w:w="315" w:type="pct"/>
                  <w:vMerge w:val="restart"/>
                  <w:noWrap w:val="0"/>
                  <w:vAlign w:val="center"/>
                </w:tcPr>
                <w:p w14:paraId="295C08C6">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w:t>
                  </w:r>
                </w:p>
                <w:p w14:paraId="50F4EA2D">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方式</w:t>
                  </w:r>
                </w:p>
              </w:tc>
            </w:tr>
            <w:tr w14:paraId="5933C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8" w:type="pct"/>
                  <w:vMerge w:val="continue"/>
                  <w:noWrap w:val="0"/>
                  <w:vAlign w:val="center"/>
                </w:tcPr>
                <w:p w14:paraId="3FFDC7EF">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p>
              </w:tc>
              <w:tc>
                <w:tcPr>
                  <w:tcW w:w="317" w:type="pct"/>
                  <w:vMerge w:val="continue"/>
                  <w:noWrap w:val="0"/>
                  <w:vAlign w:val="center"/>
                </w:tcPr>
                <w:p w14:paraId="076E9DA9">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p>
              </w:tc>
              <w:tc>
                <w:tcPr>
                  <w:tcW w:w="301" w:type="pct"/>
                  <w:vMerge w:val="continue"/>
                  <w:noWrap w:val="0"/>
                  <w:vAlign w:val="center"/>
                </w:tcPr>
                <w:p w14:paraId="791BC31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p>
              </w:tc>
              <w:tc>
                <w:tcPr>
                  <w:tcW w:w="331" w:type="pct"/>
                  <w:noWrap w:val="0"/>
                  <w:tcMar>
                    <w:top w:w="0" w:type="dxa"/>
                    <w:left w:w="28" w:type="dxa"/>
                    <w:bottom w:w="0" w:type="dxa"/>
                    <w:right w:w="28" w:type="dxa"/>
                  </w:tcMar>
                  <w:vAlign w:val="center"/>
                </w:tcPr>
                <w:p w14:paraId="567AE24E">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产生量t/a</w:t>
                  </w:r>
                </w:p>
              </w:tc>
              <w:tc>
                <w:tcPr>
                  <w:tcW w:w="343" w:type="pct"/>
                  <w:noWrap w:val="0"/>
                  <w:tcMar>
                    <w:top w:w="0" w:type="dxa"/>
                    <w:left w:w="28" w:type="dxa"/>
                    <w:bottom w:w="0" w:type="dxa"/>
                    <w:right w:w="28" w:type="dxa"/>
                  </w:tcMar>
                  <w:vAlign w:val="center"/>
                </w:tcPr>
                <w:p w14:paraId="7707A20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浓度mg/m</w:t>
                  </w:r>
                  <w:r>
                    <w:rPr>
                      <w:rFonts w:hint="default" w:ascii="Times New Roman" w:hAnsi="Times New Roman" w:eastAsia="宋体" w:cs="Times New Roman"/>
                      <w:b/>
                      <w:bCs/>
                      <w:color w:val="auto"/>
                      <w:szCs w:val="21"/>
                      <w:vertAlign w:val="superscript"/>
                    </w:rPr>
                    <w:t>3</w:t>
                  </w:r>
                </w:p>
              </w:tc>
              <w:tc>
                <w:tcPr>
                  <w:tcW w:w="357" w:type="pct"/>
                  <w:noWrap w:val="0"/>
                  <w:vAlign w:val="center"/>
                </w:tcPr>
                <w:p w14:paraId="695F6FCF">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速率kg/h</w:t>
                  </w:r>
                </w:p>
              </w:tc>
              <w:tc>
                <w:tcPr>
                  <w:tcW w:w="393" w:type="pct"/>
                  <w:vMerge w:val="continue"/>
                  <w:noWrap w:val="0"/>
                  <w:vAlign w:val="center"/>
                </w:tcPr>
                <w:p w14:paraId="040861A7">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p>
              </w:tc>
              <w:tc>
                <w:tcPr>
                  <w:tcW w:w="187" w:type="pct"/>
                  <w:vMerge w:val="continue"/>
                  <w:noWrap w:val="0"/>
                  <w:vAlign w:val="center"/>
                </w:tcPr>
                <w:p w14:paraId="1D567835">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p>
              </w:tc>
              <w:tc>
                <w:tcPr>
                  <w:tcW w:w="367" w:type="pct"/>
                  <w:noWrap w:val="0"/>
                  <w:vAlign w:val="center"/>
                </w:tcPr>
                <w:p w14:paraId="44E224D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排放量t/a</w:t>
                  </w:r>
                </w:p>
              </w:tc>
              <w:tc>
                <w:tcPr>
                  <w:tcW w:w="387" w:type="pct"/>
                  <w:noWrap w:val="0"/>
                  <w:vAlign w:val="center"/>
                </w:tcPr>
                <w:p w14:paraId="29B20B89">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浓度mg/m</w:t>
                  </w:r>
                  <w:r>
                    <w:rPr>
                      <w:rFonts w:hint="default" w:ascii="Times New Roman" w:hAnsi="Times New Roman" w:eastAsia="宋体" w:cs="Times New Roman"/>
                      <w:b/>
                      <w:bCs/>
                      <w:color w:val="auto"/>
                      <w:szCs w:val="21"/>
                      <w:vertAlign w:val="superscript"/>
                    </w:rPr>
                    <w:t>3</w:t>
                  </w:r>
                </w:p>
              </w:tc>
              <w:tc>
                <w:tcPr>
                  <w:tcW w:w="320" w:type="pct"/>
                  <w:noWrap w:val="0"/>
                  <w:vAlign w:val="center"/>
                </w:tcPr>
                <w:p w14:paraId="357F5611">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速率kg/h</w:t>
                  </w:r>
                </w:p>
              </w:tc>
              <w:tc>
                <w:tcPr>
                  <w:tcW w:w="363" w:type="pct"/>
                  <w:noWrap w:val="0"/>
                  <w:vAlign w:val="center"/>
                </w:tcPr>
                <w:p w14:paraId="74148D8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浓度mg/m</w:t>
                  </w:r>
                  <w:r>
                    <w:rPr>
                      <w:rFonts w:hint="default" w:ascii="Times New Roman" w:hAnsi="Times New Roman" w:eastAsia="宋体" w:cs="Times New Roman"/>
                      <w:b/>
                      <w:bCs/>
                      <w:color w:val="auto"/>
                      <w:szCs w:val="21"/>
                      <w:vertAlign w:val="superscript"/>
                    </w:rPr>
                    <w:t>3</w:t>
                  </w:r>
                </w:p>
              </w:tc>
              <w:tc>
                <w:tcPr>
                  <w:tcW w:w="288" w:type="pct"/>
                  <w:noWrap w:val="0"/>
                  <w:vAlign w:val="center"/>
                </w:tcPr>
                <w:p w14:paraId="2634BE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速率kg/h</w:t>
                  </w:r>
                </w:p>
              </w:tc>
              <w:tc>
                <w:tcPr>
                  <w:tcW w:w="426" w:type="pct"/>
                  <w:vMerge w:val="continue"/>
                  <w:noWrap w:val="0"/>
                  <w:vAlign w:val="center"/>
                </w:tcPr>
                <w:p w14:paraId="5DC61F4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p>
              </w:tc>
              <w:tc>
                <w:tcPr>
                  <w:tcW w:w="315" w:type="pct"/>
                  <w:vMerge w:val="continue"/>
                  <w:noWrap w:val="0"/>
                  <w:vAlign w:val="center"/>
                </w:tcPr>
                <w:p w14:paraId="3FF22A7C">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rPr>
                  </w:pPr>
                </w:p>
              </w:tc>
            </w:tr>
            <w:tr w14:paraId="27C9A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8" w:type="pct"/>
                  <w:shd w:val="clear" w:color="auto" w:fill="auto"/>
                  <w:noWrap w:val="0"/>
                  <w:vAlign w:val="center"/>
                </w:tcPr>
                <w:p w14:paraId="03C504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挤出、烘干、测试</w:t>
                  </w:r>
                </w:p>
              </w:tc>
              <w:tc>
                <w:tcPr>
                  <w:tcW w:w="317" w:type="pct"/>
                  <w:noWrap w:val="0"/>
                  <w:vAlign w:val="center"/>
                </w:tcPr>
                <w:p w14:paraId="473BC4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10000</w:t>
                  </w:r>
                </w:p>
              </w:tc>
              <w:tc>
                <w:tcPr>
                  <w:tcW w:w="301" w:type="pct"/>
                  <w:noWrap w:val="0"/>
                  <w:vAlign w:val="center"/>
                </w:tcPr>
                <w:p w14:paraId="275C24D6">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非甲烷总烃</w:t>
                  </w:r>
                </w:p>
              </w:tc>
              <w:tc>
                <w:tcPr>
                  <w:tcW w:w="331" w:type="pct"/>
                  <w:shd w:val="clear" w:color="auto" w:fill="auto"/>
                  <w:noWrap w:val="0"/>
                  <w:tcMar>
                    <w:top w:w="0" w:type="dxa"/>
                    <w:left w:w="28" w:type="dxa"/>
                    <w:bottom w:w="0" w:type="dxa"/>
                    <w:right w:w="28" w:type="dxa"/>
                  </w:tcMar>
                  <w:vAlign w:val="center"/>
                </w:tcPr>
                <w:p w14:paraId="3AE161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0.3891</w:t>
                  </w:r>
                </w:p>
              </w:tc>
              <w:tc>
                <w:tcPr>
                  <w:tcW w:w="343" w:type="pct"/>
                  <w:shd w:val="clear" w:color="auto" w:fill="auto"/>
                  <w:noWrap w:val="0"/>
                  <w:tcMar>
                    <w:top w:w="0" w:type="dxa"/>
                    <w:left w:w="28" w:type="dxa"/>
                    <w:bottom w:w="0" w:type="dxa"/>
                    <w:right w:w="28" w:type="dxa"/>
                  </w:tcMar>
                  <w:vAlign w:val="center"/>
                </w:tcPr>
                <w:p w14:paraId="729DD5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16.2</w:t>
                  </w:r>
                </w:p>
              </w:tc>
              <w:tc>
                <w:tcPr>
                  <w:tcW w:w="357" w:type="pct"/>
                  <w:shd w:val="clear" w:color="auto" w:fill="auto"/>
                  <w:noWrap w:val="0"/>
                  <w:vAlign w:val="center"/>
                </w:tcPr>
                <w:p w14:paraId="0965B6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0.162</w:t>
                  </w:r>
                </w:p>
              </w:tc>
              <w:tc>
                <w:tcPr>
                  <w:tcW w:w="393" w:type="pct"/>
                  <w:noWrap w:val="0"/>
                  <w:vAlign w:val="center"/>
                </w:tcPr>
                <w:p w14:paraId="3347404F">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rPr>
                  </w:pPr>
                  <w:r>
                    <w:rPr>
                      <w:rFonts w:hint="eastAsia"/>
                      <w:color w:val="auto"/>
                      <w:szCs w:val="21"/>
                      <w:lang w:val="en-US" w:eastAsia="zh-CN"/>
                    </w:rPr>
                    <w:t>水喷淋塔+除湿器+二级活性炭吸附装置</w:t>
                  </w:r>
                </w:p>
              </w:tc>
              <w:tc>
                <w:tcPr>
                  <w:tcW w:w="187" w:type="pct"/>
                  <w:noWrap w:val="0"/>
                  <w:vAlign w:val="center"/>
                </w:tcPr>
                <w:p w14:paraId="336E076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w:t>
                  </w:r>
                </w:p>
              </w:tc>
              <w:tc>
                <w:tcPr>
                  <w:tcW w:w="367" w:type="pct"/>
                  <w:noWrap w:val="0"/>
                  <w:vAlign w:val="center"/>
                </w:tcPr>
                <w:p w14:paraId="43C96385">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0.0389</w:t>
                  </w:r>
                </w:p>
              </w:tc>
              <w:tc>
                <w:tcPr>
                  <w:tcW w:w="387" w:type="pct"/>
                  <w:noWrap w:val="0"/>
                  <w:vAlign w:val="center"/>
                </w:tcPr>
                <w:p w14:paraId="57152C0D">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1.62</w:t>
                  </w:r>
                </w:p>
              </w:tc>
              <w:tc>
                <w:tcPr>
                  <w:tcW w:w="320" w:type="pct"/>
                  <w:noWrap w:val="0"/>
                  <w:vAlign w:val="center"/>
                </w:tcPr>
                <w:p w14:paraId="0216C776">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0.0162</w:t>
                  </w:r>
                </w:p>
              </w:tc>
              <w:tc>
                <w:tcPr>
                  <w:tcW w:w="363" w:type="pct"/>
                  <w:noWrap w:val="0"/>
                  <w:vAlign w:val="center"/>
                </w:tcPr>
                <w:p w14:paraId="4B6A1D7D">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288" w:type="pct"/>
                  <w:noWrap w:val="0"/>
                  <w:vAlign w:val="center"/>
                </w:tcPr>
                <w:p w14:paraId="2B383DD0">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26" w:type="pct"/>
                  <w:noWrap w:val="0"/>
                  <w:vAlign w:val="center"/>
                </w:tcPr>
                <w:p w14:paraId="0B9C074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rPr>
                    <w:t>米高排气筒</w:t>
                  </w: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2</w:t>
                  </w:r>
                </w:p>
              </w:tc>
              <w:tc>
                <w:tcPr>
                  <w:tcW w:w="315" w:type="pct"/>
                  <w:noWrap w:val="0"/>
                  <w:vAlign w:val="center"/>
                </w:tcPr>
                <w:p w14:paraId="6724E378">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Cs/>
                      <w:color w:val="auto"/>
                      <w:szCs w:val="21"/>
                      <w:lang w:val="en-US"/>
                    </w:rPr>
                  </w:pPr>
                  <w:r>
                    <w:rPr>
                      <w:rFonts w:hint="eastAsia" w:ascii="Times New Roman" w:hAnsi="Times New Roman" w:eastAsia="宋体" w:cs="Times New Roman"/>
                      <w:bCs/>
                      <w:color w:val="auto"/>
                      <w:szCs w:val="21"/>
                      <w:lang w:val="en-US" w:eastAsia="zh-CN"/>
                    </w:rPr>
                    <w:t>2400h</w:t>
                  </w:r>
                </w:p>
              </w:tc>
            </w:tr>
            <w:tr w14:paraId="49A54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8" w:type="pct"/>
                  <w:noWrap w:val="0"/>
                  <w:vAlign w:val="center"/>
                </w:tcPr>
                <w:p w14:paraId="2DF2E8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bidi="ar"/>
                    </w:rPr>
                  </w:pPr>
                  <w:r>
                    <w:rPr>
                      <w:rFonts w:hint="eastAsia" w:ascii="Times New Roman" w:hAnsi="Times New Roman" w:eastAsia="宋体" w:cs="Times New Roman"/>
                      <w:b w:val="0"/>
                      <w:bCs/>
                      <w:color w:val="auto"/>
                      <w:sz w:val="21"/>
                      <w:szCs w:val="21"/>
                      <w:lang w:val="en-US" w:eastAsia="zh-CN" w:bidi="ar"/>
                    </w:rPr>
                    <w:t>配料、投料</w:t>
                  </w:r>
                </w:p>
              </w:tc>
              <w:tc>
                <w:tcPr>
                  <w:tcW w:w="317" w:type="pct"/>
                  <w:noWrap w:val="0"/>
                  <w:vAlign w:val="center"/>
                </w:tcPr>
                <w:p w14:paraId="695A65F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3000</w:t>
                  </w:r>
                </w:p>
              </w:tc>
              <w:tc>
                <w:tcPr>
                  <w:tcW w:w="301" w:type="pct"/>
                  <w:noWrap w:val="0"/>
                  <w:vAlign w:val="center"/>
                </w:tcPr>
                <w:p w14:paraId="7C168D1C">
                  <w:pPr>
                    <w:keepNext w:val="0"/>
                    <w:keepLines w:val="0"/>
                    <w:suppressLineNumbers w:val="0"/>
                    <w:spacing w:before="0" w:beforeAutospacing="0" w:after="0" w:afterAutospacing="0"/>
                    <w:ind w:left="0" w:leftChars="0" w:right="0" w:rightChars="0"/>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颗粒物</w:t>
                  </w:r>
                </w:p>
              </w:tc>
              <w:tc>
                <w:tcPr>
                  <w:tcW w:w="331" w:type="pct"/>
                  <w:shd w:val="clear" w:color="auto" w:fill="auto"/>
                  <w:noWrap w:val="0"/>
                  <w:tcMar>
                    <w:top w:w="0" w:type="dxa"/>
                    <w:left w:w="28" w:type="dxa"/>
                    <w:bottom w:w="0" w:type="dxa"/>
                    <w:right w:w="28" w:type="dxa"/>
                  </w:tcMar>
                  <w:vAlign w:val="center"/>
                </w:tcPr>
                <w:p w14:paraId="01426F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0000FF"/>
                      <w:kern w:val="2"/>
                      <w:sz w:val="21"/>
                      <w:szCs w:val="21"/>
                      <w:lang w:val="en-US" w:eastAsia="zh-CN"/>
                    </w:rPr>
                    <w:t>0.1748</w:t>
                  </w:r>
                </w:p>
              </w:tc>
              <w:tc>
                <w:tcPr>
                  <w:tcW w:w="343" w:type="pct"/>
                  <w:shd w:val="clear" w:color="auto" w:fill="auto"/>
                  <w:noWrap w:val="0"/>
                  <w:tcMar>
                    <w:top w:w="0" w:type="dxa"/>
                    <w:left w:w="28" w:type="dxa"/>
                    <w:bottom w:w="0" w:type="dxa"/>
                    <w:right w:w="28" w:type="dxa"/>
                  </w:tcMar>
                  <w:vAlign w:val="center"/>
                </w:tcPr>
                <w:p w14:paraId="006D83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97</w:t>
                  </w:r>
                </w:p>
              </w:tc>
              <w:tc>
                <w:tcPr>
                  <w:tcW w:w="357" w:type="pct"/>
                  <w:shd w:val="clear" w:color="auto" w:fill="auto"/>
                  <w:noWrap w:val="0"/>
                  <w:vAlign w:val="center"/>
                </w:tcPr>
                <w:p w14:paraId="12666C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0.291</w:t>
                  </w:r>
                </w:p>
              </w:tc>
              <w:tc>
                <w:tcPr>
                  <w:tcW w:w="393" w:type="pct"/>
                  <w:noWrap w:val="0"/>
                  <w:vAlign w:val="center"/>
                </w:tcPr>
                <w:p w14:paraId="3326F20E">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布袋除尘器</w:t>
                  </w:r>
                </w:p>
              </w:tc>
              <w:tc>
                <w:tcPr>
                  <w:tcW w:w="187" w:type="pct"/>
                  <w:noWrap w:val="0"/>
                  <w:vAlign w:val="center"/>
                </w:tcPr>
                <w:p w14:paraId="40EE223E">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95</w:t>
                  </w:r>
                </w:p>
              </w:tc>
              <w:tc>
                <w:tcPr>
                  <w:tcW w:w="367" w:type="pct"/>
                  <w:noWrap w:val="0"/>
                  <w:vAlign w:val="center"/>
                </w:tcPr>
                <w:p w14:paraId="5975C962">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0.0087</w:t>
                  </w:r>
                </w:p>
              </w:tc>
              <w:tc>
                <w:tcPr>
                  <w:tcW w:w="387" w:type="pct"/>
                  <w:noWrap w:val="0"/>
                  <w:vAlign w:val="center"/>
                </w:tcPr>
                <w:p w14:paraId="3EA804C6">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4.83</w:t>
                  </w:r>
                </w:p>
              </w:tc>
              <w:tc>
                <w:tcPr>
                  <w:tcW w:w="320" w:type="pct"/>
                  <w:noWrap w:val="0"/>
                  <w:vAlign w:val="center"/>
                </w:tcPr>
                <w:p w14:paraId="7E00E3D9">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0.0145</w:t>
                  </w:r>
                </w:p>
              </w:tc>
              <w:tc>
                <w:tcPr>
                  <w:tcW w:w="363" w:type="pct"/>
                  <w:shd w:val="clear" w:color="auto" w:fill="auto"/>
                  <w:noWrap w:val="0"/>
                  <w:vAlign w:val="center"/>
                </w:tcPr>
                <w:p w14:paraId="2AEF4132">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288" w:type="pct"/>
                  <w:shd w:val="clear" w:color="auto" w:fill="auto"/>
                  <w:noWrap w:val="0"/>
                  <w:vAlign w:val="center"/>
                </w:tcPr>
                <w:p w14:paraId="7AFB94A1">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26" w:type="pct"/>
                  <w:noWrap w:val="0"/>
                  <w:vAlign w:val="center"/>
                </w:tcPr>
                <w:p w14:paraId="5EE66E1E">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rPr>
                    <w:t>米高排气筒</w:t>
                  </w: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1</w:t>
                  </w:r>
                </w:p>
              </w:tc>
              <w:tc>
                <w:tcPr>
                  <w:tcW w:w="315" w:type="pct"/>
                  <w:noWrap w:val="0"/>
                  <w:vAlign w:val="center"/>
                </w:tcPr>
                <w:p w14:paraId="093DDB82">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600h</w:t>
                  </w:r>
                </w:p>
              </w:tc>
            </w:tr>
          </w:tbl>
          <w:p w14:paraId="2D40397A">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bCs/>
                <w:color w:val="auto"/>
                <w:sz w:val="21"/>
                <w:szCs w:val="21"/>
              </w:rPr>
              <w:t>由上表可知，</w:t>
            </w:r>
            <w:r>
              <w:rPr>
                <w:rFonts w:hint="eastAsia" w:ascii="Times New Roman" w:hAnsi="Times New Roman" w:eastAsia="宋体" w:cs="Times New Roman"/>
                <w:color w:val="auto"/>
                <w:szCs w:val="21"/>
                <w:lang w:val="en-US" w:eastAsia="zh-CN"/>
              </w:rPr>
              <w:t>本项目</w:t>
            </w:r>
            <w:r>
              <w:rPr>
                <w:rFonts w:hint="default" w:ascii="Times New Roman" w:hAnsi="Times New Roman" w:eastAsia="宋体" w:cs="Times New Roman"/>
                <w:color w:val="auto"/>
                <w:szCs w:val="21"/>
              </w:rPr>
              <w:t>单位产品非甲烷总烃排放量</w:t>
            </w:r>
            <w:r>
              <w:rPr>
                <w:rFonts w:hint="eastAsia" w:ascii="Times New Roman" w:hAnsi="Times New Roman" w:eastAsia="宋体" w:cs="Times New Roman"/>
                <w:color w:val="auto"/>
                <w:szCs w:val="21"/>
                <w:lang w:val="en-US" w:eastAsia="zh-CN"/>
              </w:rPr>
              <w:t>约0.019kg/t≤0.3kg/t，</w:t>
            </w:r>
            <w:r>
              <w:rPr>
                <w:rFonts w:hint="default" w:ascii="Times New Roman" w:hAnsi="Times New Roman" w:eastAsia="宋体" w:cs="Times New Roman"/>
                <w:color w:val="auto"/>
                <w:spacing w:val="4"/>
                <w:sz w:val="21"/>
                <w:szCs w:val="21"/>
              </w:rPr>
              <w:t>排气筒排放浓度</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lang w:val="en-US" w:eastAsia="zh-CN"/>
              </w:rPr>
              <w:t>速率</w:t>
            </w:r>
            <w:r>
              <w:rPr>
                <w:rFonts w:hint="eastAsia" w:cs="Times New Roman"/>
                <w:color w:val="auto"/>
                <w:spacing w:val="4"/>
                <w:sz w:val="21"/>
                <w:szCs w:val="21"/>
                <w:lang w:val="en-US" w:eastAsia="zh-CN"/>
              </w:rPr>
              <w:t>、</w:t>
            </w:r>
            <w:r>
              <w:rPr>
                <w:rFonts w:hint="default" w:ascii="Times New Roman" w:hAnsi="Times New Roman" w:eastAsia="宋体" w:cs="Times New Roman"/>
                <w:color w:val="auto"/>
                <w:szCs w:val="21"/>
              </w:rPr>
              <w:t>单位产品非甲烷总烃排放量</w:t>
            </w:r>
            <w:r>
              <w:rPr>
                <w:rFonts w:hint="default" w:ascii="Times New Roman" w:hAnsi="Times New Roman" w:eastAsia="宋体" w:cs="Times New Roman"/>
                <w:color w:val="auto"/>
                <w:spacing w:val="4"/>
                <w:sz w:val="21"/>
                <w:szCs w:val="21"/>
                <w:lang w:val="en-US" w:eastAsia="zh-CN"/>
              </w:rPr>
              <w:t>均可满足要求</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pacing w:val="4"/>
                <w:sz w:val="21"/>
                <w:szCs w:val="21"/>
              </w:rPr>
              <w:t>本项目需切实落实提出的废气治理措施，且定期维护。</w:t>
            </w:r>
          </w:p>
          <w:p w14:paraId="55E66C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10</w:t>
            </w:r>
            <w:r>
              <w:rPr>
                <w:rFonts w:hint="default" w:ascii="Times New Roman" w:hAnsi="Times New Roman" w:eastAsia="宋体" w:cs="Times New Roman"/>
                <w:b/>
                <w:bCs/>
                <w:color w:val="auto"/>
                <w:sz w:val="21"/>
                <w:szCs w:val="21"/>
              </w:rPr>
              <w:t xml:space="preserve"> 本项目排气筒参数</w:t>
            </w:r>
          </w:p>
          <w:tbl>
            <w:tblPr>
              <w:tblStyle w:val="2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075"/>
              <w:gridCol w:w="992"/>
              <w:gridCol w:w="1320"/>
              <w:gridCol w:w="801"/>
              <w:gridCol w:w="689"/>
              <w:gridCol w:w="766"/>
              <w:gridCol w:w="930"/>
              <w:gridCol w:w="699"/>
            </w:tblGrid>
            <w:tr w14:paraId="2ED40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pct"/>
                  <w:vMerge w:val="restart"/>
                  <w:noWrap w:val="0"/>
                  <w:tcMar>
                    <w:top w:w="0" w:type="dxa"/>
                    <w:left w:w="0" w:type="dxa"/>
                    <w:bottom w:w="0" w:type="dxa"/>
                    <w:right w:w="0" w:type="dxa"/>
                  </w:tcMar>
                  <w:vAlign w:val="center"/>
                </w:tcPr>
                <w:p w14:paraId="629337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排气筒名称</w:t>
                  </w:r>
                </w:p>
              </w:tc>
              <w:tc>
                <w:tcPr>
                  <w:tcW w:w="1234" w:type="pct"/>
                  <w:gridSpan w:val="2"/>
                  <w:noWrap w:val="0"/>
                  <w:tcMar>
                    <w:top w:w="0" w:type="dxa"/>
                    <w:left w:w="0" w:type="dxa"/>
                    <w:bottom w:w="0" w:type="dxa"/>
                    <w:right w:w="0" w:type="dxa"/>
                  </w:tcMar>
                  <w:vAlign w:val="center"/>
                </w:tcPr>
                <w:p w14:paraId="52F937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排气筒底部坐标</w:t>
                  </w:r>
                </w:p>
              </w:tc>
              <w:tc>
                <w:tcPr>
                  <w:tcW w:w="788" w:type="pct"/>
                  <w:vMerge w:val="restart"/>
                  <w:noWrap w:val="0"/>
                  <w:tcMar>
                    <w:top w:w="0" w:type="dxa"/>
                    <w:left w:w="0" w:type="dxa"/>
                    <w:bottom w:w="0" w:type="dxa"/>
                    <w:right w:w="0" w:type="dxa"/>
                  </w:tcMar>
                  <w:vAlign w:val="center"/>
                </w:tcPr>
                <w:p w14:paraId="160B83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排气筒底部海拔高度（m）</w:t>
                  </w:r>
                </w:p>
              </w:tc>
              <w:tc>
                <w:tcPr>
                  <w:tcW w:w="1902" w:type="pct"/>
                  <w:gridSpan w:val="4"/>
                  <w:noWrap w:val="0"/>
                  <w:tcMar>
                    <w:top w:w="0" w:type="dxa"/>
                    <w:left w:w="0" w:type="dxa"/>
                    <w:bottom w:w="0" w:type="dxa"/>
                    <w:right w:w="0" w:type="dxa"/>
                  </w:tcMar>
                  <w:vAlign w:val="center"/>
                </w:tcPr>
                <w:p w14:paraId="43EB32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排气筒参数</w:t>
                  </w:r>
                </w:p>
              </w:tc>
              <w:tc>
                <w:tcPr>
                  <w:tcW w:w="417" w:type="pct"/>
                  <w:vMerge w:val="restart"/>
                  <w:noWrap w:val="0"/>
                  <w:tcMar>
                    <w:top w:w="0" w:type="dxa"/>
                    <w:left w:w="0" w:type="dxa"/>
                    <w:bottom w:w="0" w:type="dxa"/>
                    <w:right w:w="0" w:type="dxa"/>
                  </w:tcMar>
                  <w:vAlign w:val="center"/>
                </w:tcPr>
                <w:p w14:paraId="0EA6D6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r>
            <w:tr w14:paraId="0A5EF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6" w:type="pct"/>
                  <w:vMerge w:val="continue"/>
                  <w:noWrap w:val="0"/>
                  <w:tcMar>
                    <w:top w:w="0" w:type="dxa"/>
                    <w:left w:w="0" w:type="dxa"/>
                    <w:bottom w:w="0" w:type="dxa"/>
                    <w:right w:w="0" w:type="dxa"/>
                  </w:tcMar>
                  <w:vAlign w:val="center"/>
                </w:tcPr>
                <w:p w14:paraId="572892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42" w:type="pct"/>
                  <w:noWrap w:val="0"/>
                  <w:tcMar>
                    <w:top w:w="0" w:type="dxa"/>
                    <w:left w:w="0" w:type="dxa"/>
                    <w:bottom w:w="0" w:type="dxa"/>
                    <w:right w:w="0" w:type="dxa"/>
                  </w:tcMar>
                  <w:vAlign w:val="center"/>
                </w:tcPr>
                <w:p w14:paraId="2F0C4B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经度（°）</w:t>
                  </w:r>
                </w:p>
              </w:tc>
              <w:tc>
                <w:tcPr>
                  <w:tcW w:w="592" w:type="pct"/>
                  <w:noWrap w:val="0"/>
                  <w:tcMar>
                    <w:top w:w="0" w:type="dxa"/>
                    <w:left w:w="0" w:type="dxa"/>
                    <w:bottom w:w="0" w:type="dxa"/>
                    <w:right w:w="0" w:type="dxa"/>
                  </w:tcMar>
                  <w:vAlign w:val="center"/>
                </w:tcPr>
                <w:p w14:paraId="237D9D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纬度（°）</w:t>
                  </w:r>
                </w:p>
              </w:tc>
              <w:tc>
                <w:tcPr>
                  <w:tcW w:w="788" w:type="pct"/>
                  <w:vMerge w:val="continue"/>
                  <w:noWrap w:val="0"/>
                  <w:tcMar>
                    <w:top w:w="0" w:type="dxa"/>
                    <w:left w:w="0" w:type="dxa"/>
                    <w:bottom w:w="0" w:type="dxa"/>
                    <w:right w:w="0" w:type="dxa"/>
                  </w:tcMar>
                  <w:vAlign w:val="center"/>
                </w:tcPr>
                <w:p w14:paraId="2B8EC6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478" w:type="pct"/>
                  <w:noWrap w:val="0"/>
                  <w:tcMar>
                    <w:top w:w="0" w:type="dxa"/>
                    <w:left w:w="0" w:type="dxa"/>
                    <w:bottom w:w="0" w:type="dxa"/>
                    <w:right w:w="0" w:type="dxa"/>
                  </w:tcMar>
                  <w:vAlign w:val="center"/>
                </w:tcPr>
                <w:p w14:paraId="6BEB58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高度（m）</w:t>
                  </w:r>
                </w:p>
              </w:tc>
              <w:tc>
                <w:tcPr>
                  <w:tcW w:w="411" w:type="pct"/>
                  <w:noWrap w:val="0"/>
                  <w:tcMar>
                    <w:top w:w="0" w:type="dxa"/>
                    <w:left w:w="0" w:type="dxa"/>
                    <w:bottom w:w="0" w:type="dxa"/>
                    <w:right w:w="0" w:type="dxa"/>
                  </w:tcMar>
                  <w:vAlign w:val="center"/>
                </w:tcPr>
                <w:p w14:paraId="4DE6A2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出口内径（m）</w:t>
                  </w:r>
                </w:p>
              </w:tc>
              <w:tc>
                <w:tcPr>
                  <w:tcW w:w="457" w:type="pct"/>
                  <w:noWrap w:val="0"/>
                  <w:tcMar>
                    <w:top w:w="0" w:type="dxa"/>
                    <w:left w:w="0" w:type="dxa"/>
                    <w:bottom w:w="0" w:type="dxa"/>
                    <w:right w:w="0" w:type="dxa"/>
                  </w:tcMar>
                  <w:vAlign w:val="center"/>
                </w:tcPr>
                <w:p w14:paraId="3F3A7E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tc>
              <w:tc>
                <w:tcPr>
                  <w:tcW w:w="555" w:type="pct"/>
                  <w:noWrap w:val="0"/>
                  <w:tcMar>
                    <w:top w:w="0" w:type="dxa"/>
                    <w:left w:w="0" w:type="dxa"/>
                    <w:bottom w:w="0" w:type="dxa"/>
                    <w:right w:w="0" w:type="dxa"/>
                  </w:tcMar>
                  <w:vAlign w:val="center"/>
                </w:tcPr>
                <w:p w14:paraId="158AA1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烟气流速（m/s）</w:t>
                  </w:r>
                </w:p>
              </w:tc>
              <w:tc>
                <w:tcPr>
                  <w:tcW w:w="417" w:type="pct"/>
                  <w:vMerge w:val="continue"/>
                  <w:noWrap w:val="0"/>
                  <w:tcMar>
                    <w:top w:w="0" w:type="dxa"/>
                    <w:left w:w="0" w:type="dxa"/>
                    <w:bottom w:w="0" w:type="dxa"/>
                    <w:right w:w="0" w:type="dxa"/>
                  </w:tcMar>
                  <w:vAlign w:val="center"/>
                </w:tcPr>
                <w:p w14:paraId="3F985D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r>
            <w:tr w14:paraId="667FA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pct"/>
                  <w:noWrap w:val="0"/>
                  <w:tcMar>
                    <w:top w:w="0" w:type="dxa"/>
                    <w:left w:w="0" w:type="dxa"/>
                    <w:bottom w:w="0" w:type="dxa"/>
                    <w:right w:w="0" w:type="dxa"/>
                  </w:tcMar>
                  <w:vAlign w:val="center"/>
                </w:tcPr>
                <w:p w14:paraId="48C209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sz w:val="21"/>
                      <w:szCs w:val="21"/>
                      <w:lang w:val="en-US" w:eastAsia="zh-CN"/>
                    </w:rPr>
                    <w:t>15</w:t>
                  </w:r>
                  <w:r>
                    <w:rPr>
                      <w:rFonts w:hint="default" w:ascii="Times New Roman" w:hAnsi="Times New Roman" w:eastAsia="宋体" w:cs="Times New Roman"/>
                      <w:b w:val="0"/>
                      <w:bCs/>
                      <w:color w:val="auto"/>
                      <w:sz w:val="21"/>
                      <w:szCs w:val="21"/>
                    </w:rPr>
                    <w:t>米排气筒</w:t>
                  </w:r>
                  <w:r>
                    <w:rPr>
                      <w:rFonts w:hint="default" w:ascii="Times New Roman" w:hAnsi="Times New Roman" w:eastAsia="宋体" w:cs="Times New Roman"/>
                      <w:b w:val="0"/>
                      <w:bCs/>
                      <w:color w:val="auto"/>
                      <w:szCs w:val="21"/>
                      <w:lang w:val="en-US" w:eastAsia="zh-CN"/>
                    </w:rPr>
                    <w:t>（DA00</w:t>
                  </w:r>
                  <w:r>
                    <w:rPr>
                      <w:rFonts w:hint="eastAsia" w:ascii="Times New Roman" w:hAnsi="Times New Roman" w:eastAsia="宋体" w:cs="Times New Roman"/>
                      <w:b w:val="0"/>
                      <w:bCs/>
                      <w:color w:val="auto"/>
                      <w:szCs w:val="21"/>
                      <w:lang w:val="en-US" w:eastAsia="zh-CN"/>
                    </w:rPr>
                    <w:t>1</w:t>
                  </w:r>
                  <w:r>
                    <w:rPr>
                      <w:rFonts w:hint="default" w:ascii="Times New Roman" w:hAnsi="Times New Roman" w:eastAsia="宋体" w:cs="Times New Roman"/>
                      <w:b w:val="0"/>
                      <w:bCs/>
                      <w:color w:val="auto"/>
                      <w:szCs w:val="21"/>
                      <w:lang w:val="en-US" w:eastAsia="zh-CN"/>
                    </w:rPr>
                    <w:t>）</w:t>
                  </w:r>
                </w:p>
              </w:tc>
              <w:tc>
                <w:tcPr>
                  <w:tcW w:w="642" w:type="pct"/>
                  <w:noWrap w:val="0"/>
                  <w:tcMar>
                    <w:top w:w="0" w:type="dxa"/>
                    <w:left w:w="0" w:type="dxa"/>
                    <w:bottom w:w="0" w:type="dxa"/>
                    <w:right w:w="0" w:type="dxa"/>
                  </w:tcMar>
                  <w:vAlign w:val="center"/>
                </w:tcPr>
                <w:p w14:paraId="6BE8641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119.609011</w:t>
                  </w:r>
                </w:p>
              </w:tc>
              <w:tc>
                <w:tcPr>
                  <w:tcW w:w="592" w:type="pct"/>
                  <w:noWrap w:val="0"/>
                  <w:tcMar>
                    <w:top w:w="0" w:type="dxa"/>
                    <w:left w:w="0" w:type="dxa"/>
                    <w:bottom w:w="0" w:type="dxa"/>
                    <w:right w:w="0" w:type="dxa"/>
                  </w:tcMar>
                  <w:vAlign w:val="center"/>
                </w:tcPr>
                <w:p w14:paraId="28AB7B6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31.759142</w:t>
                  </w:r>
                </w:p>
              </w:tc>
              <w:tc>
                <w:tcPr>
                  <w:tcW w:w="788" w:type="pct"/>
                  <w:noWrap w:val="0"/>
                  <w:tcMar>
                    <w:top w:w="0" w:type="dxa"/>
                    <w:left w:w="0" w:type="dxa"/>
                    <w:bottom w:w="0" w:type="dxa"/>
                    <w:right w:w="0" w:type="dxa"/>
                  </w:tcMar>
                  <w:vAlign w:val="center"/>
                </w:tcPr>
                <w:p w14:paraId="3688E2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478" w:type="pct"/>
                  <w:noWrap w:val="0"/>
                  <w:tcMar>
                    <w:top w:w="0" w:type="dxa"/>
                    <w:left w:w="0" w:type="dxa"/>
                    <w:bottom w:w="0" w:type="dxa"/>
                    <w:right w:w="0" w:type="dxa"/>
                  </w:tcMar>
                  <w:vAlign w:val="center"/>
                </w:tcPr>
                <w:p w14:paraId="6B816D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411" w:type="pct"/>
                  <w:noWrap w:val="0"/>
                  <w:tcMar>
                    <w:top w:w="0" w:type="dxa"/>
                    <w:left w:w="0" w:type="dxa"/>
                    <w:bottom w:w="0" w:type="dxa"/>
                    <w:right w:w="0" w:type="dxa"/>
                  </w:tcMar>
                  <w:vAlign w:val="center"/>
                </w:tcPr>
                <w:p w14:paraId="5F6B08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0.3</w:t>
                  </w:r>
                </w:p>
              </w:tc>
              <w:tc>
                <w:tcPr>
                  <w:tcW w:w="457" w:type="pct"/>
                  <w:noWrap w:val="0"/>
                  <w:tcMar>
                    <w:top w:w="0" w:type="dxa"/>
                    <w:left w:w="0" w:type="dxa"/>
                    <w:bottom w:w="0" w:type="dxa"/>
                    <w:right w:w="0" w:type="dxa"/>
                  </w:tcMar>
                  <w:vAlign w:val="center"/>
                </w:tcPr>
                <w:p w14:paraId="0D86D3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25</w:t>
                  </w:r>
                </w:p>
              </w:tc>
              <w:tc>
                <w:tcPr>
                  <w:tcW w:w="555" w:type="pct"/>
                  <w:noWrap w:val="0"/>
                  <w:tcMar>
                    <w:top w:w="0" w:type="dxa"/>
                    <w:left w:w="0" w:type="dxa"/>
                    <w:bottom w:w="0" w:type="dxa"/>
                    <w:right w:w="0" w:type="dxa"/>
                  </w:tcMar>
                  <w:vAlign w:val="center"/>
                </w:tcPr>
                <w:p w14:paraId="256958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11.8</w:t>
                  </w:r>
                </w:p>
              </w:tc>
              <w:tc>
                <w:tcPr>
                  <w:tcW w:w="417" w:type="pct"/>
                  <w:noWrap w:val="0"/>
                  <w:tcMar>
                    <w:top w:w="0" w:type="dxa"/>
                    <w:left w:w="0" w:type="dxa"/>
                    <w:bottom w:w="0" w:type="dxa"/>
                    <w:right w:w="0" w:type="dxa"/>
                  </w:tcMar>
                  <w:vAlign w:val="center"/>
                </w:tcPr>
                <w:p w14:paraId="0A4D58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一般排放口</w:t>
                  </w:r>
                </w:p>
              </w:tc>
            </w:tr>
            <w:tr w14:paraId="1F17B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pct"/>
                  <w:noWrap w:val="0"/>
                  <w:tcMar>
                    <w:top w:w="0" w:type="dxa"/>
                    <w:left w:w="0" w:type="dxa"/>
                    <w:bottom w:w="0" w:type="dxa"/>
                    <w:right w:w="0" w:type="dxa"/>
                  </w:tcMar>
                  <w:vAlign w:val="center"/>
                </w:tcPr>
                <w:p w14:paraId="124C84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sz w:val="21"/>
                      <w:szCs w:val="21"/>
                      <w:lang w:val="en-US" w:eastAsia="zh-CN"/>
                    </w:rPr>
                    <w:t>15</w:t>
                  </w:r>
                  <w:r>
                    <w:rPr>
                      <w:rFonts w:hint="default" w:ascii="Times New Roman" w:hAnsi="Times New Roman" w:eastAsia="宋体" w:cs="Times New Roman"/>
                      <w:b w:val="0"/>
                      <w:bCs/>
                      <w:color w:val="auto"/>
                      <w:sz w:val="21"/>
                      <w:szCs w:val="21"/>
                    </w:rPr>
                    <w:t>米排气筒</w:t>
                  </w:r>
                  <w:r>
                    <w:rPr>
                      <w:rFonts w:hint="default" w:ascii="Times New Roman" w:hAnsi="Times New Roman" w:eastAsia="宋体" w:cs="Times New Roman"/>
                      <w:b w:val="0"/>
                      <w:bCs/>
                      <w:color w:val="auto"/>
                      <w:szCs w:val="21"/>
                      <w:lang w:val="en-US" w:eastAsia="zh-CN"/>
                    </w:rPr>
                    <w:t>（DA00</w:t>
                  </w:r>
                  <w:r>
                    <w:rPr>
                      <w:rFonts w:hint="eastAsia" w:ascii="Times New Roman" w:hAnsi="Times New Roman" w:eastAsia="宋体" w:cs="Times New Roman"/>
                      <w:b w:val="0"/>
                      <w:bCs/>
                      <w:color w:val="auto"/>
                      <w:szCs w:val="21"/>
                      <w:lang w:val="en-US" w:eastAsia="zh-CN"/>
                    </w:rPr>
                    <w:t>2</w:t>
                  </w:r>
                  <w:r>
                    <w:rPr>
                      <w:rFonts w:hint="default" w:ascii="Times New Roman" w:hAnsi="Times New Roman" w:eastAsia="宋体" w:cs="Times New Roman"/>
                      <w:b w:val="0"/>
                      <w:bCs/>
                      <w:color w:val="auto"/>
                      <w:szCs w:val="21"/>
                      <w:lang w:val="en-US" w:eastAsia="zh-CN"/>
                    </w:rPr>
                    <w:t>）</w:t>
                  </w:r>
                </w:p>
              </w:tc>
              <w:tc>
                <w:tcPr>
                  <w:tcW w:w="642" w:type="pct"/>
                  <w:noWrap w:val="0"/>
                  <w:tcMar>
                    <w:top w:w="0" w:type="dxa"/>
                    <w:left w:w="0" w:type="dxa"/>
                    <w:bottom w:w="0" w:type="dxa"/>
                    <w:right w:w="0" w:type="dxa"/>
                  </w:tcMar>
                  <w:vAlign w:val="center"/>
                </w:tcPr>
                <w:p w14:paraId="6207548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119.609175</w:t>
                  </w:r>
                </w:p>
              </w:tc>
              <w:tc>
                <w:tcPr>
                  <w:tcW w:w="592" w:type="pct"/>
                  <w:noWrap w:val="0"/>
                  <w:tcMar>
                    <w:top w:w="0" w:type="dxa"/>
                    <w:left w:w="0" w:type="dxa"/>
                    <w:bottom w:w="0" w:type="dxa"/>
                    <w:right w:w="0" w:type="dxa"/>
                  </w:tcMar>
                  <w:vAlign w:val="center"/>
                </w:tcPr>
                <w:p w14:paraId="2D298B2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1.759142</w:t>
                  </w:r>
                </w:p>
              </w:tc>
              <w:tc>
                <w:tcPr>
                  <w:tcW w:w="788" w:type="pct"/>
                  <w:noWrap w:val="0"/>
                  <w:tcMar>
                    <w:top w:w="0" w:type="dxa"/>
                    <w:left w:w="0" w:type="dxa"/>
                    <w:bottom w:w="0" w:type="dxa"/>
                    <w:right w:w="0" w:type="dxa"/>
                  </w:tcMar>
                  <w:vAlign w:val="center"/>
                </w:tcPr>
                <w:p w14:paraId="4C7224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478" w:type="pct"/>
                  <w:noWrap w:val="0"/>
                  <w:tcMar>
                    <w:top w:w="0" w:type="dxa"/>
                    <w:left w:w="0" w:type="dxa"/>
                    <w:bottom w:w="0" w:type="dxa"/>
                    <w:right w:w="0" w:type="dxa"/>
                  </w:tcMar>
                  <w:vAlign w:val="center"/>
                </w:tcPr>
                <w:p w14:paraId="5C0001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15</w:t>
                  </w:r>
                </w:p>
              </w:tc>
              <w:tc>
                <w:tcPr>
                  <w:tcW w:w="411" w:type="pct"/>
                  <w:noWrap w:val="0"/>
                  <w:tcMar>
                    <w:top w:w="0" w:type="dxa"/>
                    <w:left w:w="0" w:type="dxa"/>
                    <w:bottom w:w="0" w:type="dxa"/>
                    <w:right w:w="0" w:type="dxa"/>
                  </w:tcMar>
                  <w:vAlign w:val="center"/>
                </w:tcPr>
                <w:p w14:paraId="1CD685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0.5</w:t>
                  </w:r>
                </w:p>
              </w:tc>
              <w:tc>
                <w:tcPr>
                  <w:tcW w:w="457" w:type="pct"/>
                  <w:noWrap w:val="0"/>
                  <w:tcMar>
                    <w:top w:w="0" w:type="dxa"/>
                    <w:left w:w="0" w:type="dxa"/>
                    <w:bottom w:w="0" w:type="dxa"/>
                    <w:right w:w="0" w:type="dxa"/>
                  </w:tcMar>
                  <w:vAlign w:val="center"/>
                </w:tcPr>
                <w:p w14:paraId="2E37ABB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25</w:t>
                  </w:r>
                </w:p>
              </w:tc>
              <w:tc>
                <w:tcPr>
                  <w:tcW w:w="555" w:type="pct"/>
                  <w:noWrap w:val="0"/>
                  <w:tcMar>
                    <w:top w:w="0" w:type="dxa"/>
                    <w:left w:w="0" w:type="dxa"/>
                    <w:bottom w:w="0" w:type="dxa"/>
                    <w:right w:w="0" w:type="dxa"/>
                  </w:tcMar>
                  <w:vAlign w:val="center"/>
                </w:tcPr>
                <w:p w14:paraId="7EB951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14.2</w:t>
                  </w:r>
                </w:p>
              </w:tc>
              <w:tc>
                <w:tcPr>
                  <w:tcW w:w="417" w:type="pct"/>
                  <w:noWrap w:val="0"/>
                  <w:tcMar>
                    <w:top w:w="0" w:type="dxa"/>
                    <w:left w:w="0" w:type="dxa"/>
                    <w:bottom w:w="0" w:type="dxa"/>
                    <w:right w:w="0" w:type="dxa"/>
                  </w:tcMar>
                  <w:vAlign w:val="center"/>
                </w:tcPr>
                <w:p w14:paraId="633652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一般排放口</w:t>
                  </w:r>
                </w:p>
              </w:tc>
            </w:tr>
          </w:tbl>
          <w:p w14:paraId="16583C6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②</w:t>
            </w:r>
            <w:r>
              <w:rPr>
                <w:rFonts w:hint="default" w:ascii="Times New Roman" w:hAnsi="Times New Roman" w:eastAsia="宋体" w:cs="Times New Roman"/>
                <w:color w:val="auto"/>
                <w:sz w:val="21"/>
                <w:szCs w:val="21"/>
              </w:rPr>
              <w:t>无组织废气</w:t>
            </w:r>
          </w:p>
          <w:p w14:paraId="120A7F2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本项目无组织废气产生、排放情况见表4-</w:t>
            </w:r>
            <w:r>
              <w:rPr>
                <w:rFonts w:hint="eastAsia" w:ascii="Times New Roman" w:hAnsi="Times New Roman" w:eastAsia="宋体" w:cs="Times New Roman"/>
                <w:bCs/>
                <w:color w:val="auto"/>
                <w:sz w:val="21"/>
                <w:szCs w:val="21"/>
                <w:lang w:val="en-US" w:eastAsia="zh-CN"/>
              </w:rPr>
              <w:t>11</w:t>
            </w:r>
            <w:r>
              <w:rPr>
                <w:rFonts w:hint="default" w:ascii="Times New Roman" w:hAnsi="Times New Roman" w:eastAsia="宋体" w:cs="Times New Roman"/>
                <w:bCs/>
                <w:color w:val="auto"/>
                <w:sz w:val="21"/>
                <w:szCs w:val="21"/>
              </w:rPr>
              <w:t>，无组织面源参数见表4-1</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w:t>
            </w:r>
          </w:p>
          <w:p w14:paraId="437A6FFF">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11</w:t>
            </w:r>
            <w:r>
              <w:rPr>
                <w:rFonts w:hint="default" w:ascii="Times New Roman" w:hAnsi="Times New Roman" w:eastAsia="宋体" w:cs="Times New Roman"/>
                <w:b/>
                <w:bCs/>
                <w:color w:val="auto"/>
                <w:sz w:val="21"/>
                <w:szCs w:val="21"/>
              </w:rPr>
              <w:t xml:space="preserve"> 本项目无组织废气产生及排放情况表</w:t>
            </w:r>
          </w:p>
          <w:tbl>
            <w:tblPr>
              <w:tblStyle w:val="2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18"/>
              <w:gridCol w:w="910"/>
              <w:gridCol w:w="1139"/>
              <w:gridCol w:w="909"/>
              <w:gridCol w:w="761"/>
              <w:gridCol w:w="868"/>
              <w:gridCol w:w="471"/>
              <w:gridCol w:w="471"/>
              <w:gridCol w:w="890"/>
              <w:gridCol w:w="664"/>
              <w:gridCol w:w="671"/>
            </w:tblGrid>
            <w:tr w14:paraId="7B233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9" w:type="pct"/>
                  <w:noWrap w:val="0"/>
                  <w:tcMar>
                    <w:top w:w="0" w:type="dxa"/>
                    <w:left w:w="0" w:type="dxa"/>
                    <w:bottom w:w="0" w:type="dxa"/>
                    <w:right w:w="0" w:type="dxa"/>
                  </w:tcMar>
                  <w:vAlign w:val="center"/>
                </w:tcPr>
                <w:p w14:paraId="6EFD4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面源名称</w:t>
                  </w:r>
                </w:p>
              </w:tc>
              <w:tc>
                <w:tcPr>
                  <w:tcW w:w="543" w:type="pct"/>
                  <w:noWrap w:val="0"/>
                  <w:tcMar>
                    <w:top w:w="0" w:type="dxa"/>
                    <w:left w:w="0" w:type="dxa"/>
                    <w:bottom w:w="0" w:type="dxa"/>
                    <w:right w:w="0" w:type="dxa"/>
                  </w:tcMar>
                  <w:vAlign w:val="center"/>
                </w:tcPr>
                <w:p w14:paraId="4966B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污染物产生环节</w:t>
                  </w:r>
                </w:p>
              </w:tc>
              <w:tc>
                <w:tcPr>
                  <w:tcW w:w="680" w:type="pct"/>
                  <w:noWrap w:val="0"/>
                  <w:tcMar>
                    <w:top w:w="0" w:type="dxa"/>
                    <w:left w:w="0" w:type="dxa"/>
                    <w:bottom w:w="0" w:type="dxa"/>
                    <w:right w:w="0" w:type="dxa"/>
                  </w:tcMar>
                  <w:vAlign w:val="center"/>
                </w:tcPr>
                <w:p w14:paraId="22283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污染物名称</w:t>
                  </w:r>
                </w:p>
              </w:tc>
              <w:tc>
                <w:tcPr>
                  <w:tcW w:w="542" w:type="pct"/>
                  <w:noWrap w:val="0"/>
                  <w:tcMar>
                    <w:top w:w="0" w:type="dxa"/>
                    <w:left w:w="0" w:type="dxa"/>
                    <w:bottom w:w="0" w:type="dxa"/>
                    <w:right w:w="0" w:type="dxa"/>
                  </w:tcMar>
                  <w:vAlign w:val="center"/>
                </w:tcPr>
                <w:p w14:paraId="32325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污染物产生量t/a</w:t>
                  </w:r>
                </w:p>
              </w:tc>
              <w:tc>
                <w:tcPr>
                  <w:tcW w:w="454" w:type="pct"/>
                  <w:noWrap w:val="0"/>
                  <w:tcMar>
                    <w:top w:w="0" w:type="dxa"/>
                    <w:left w:w="0" w:type="dxa"/>
                    <w:bottom w:w="0" w:type="dxa"/>
                    <w:right w:w="0" w:type="dxa"/>
                  </w:tcMar>
                  <w:vAlign w:val="center"/>
                </w:tcPr>
                <w:p w14:paraId="1C7EC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产生速率kg/h</w:t>
                  </w:r>
                </w:p>
              </w:tc>
              <w:tc>
                <w:tcPr>
                  <w:tcW w:w="518" w:type="pct"/>
                  <w:noWrap w:val="0"/>
                  <w:tcMar>
                    <w:top w:w="0" w:type="dxa"/>
                    <w:left w:w="0" w:type="dxa"/>
                    <w:bottom w:w="0" w:type="dxa"/>
                    <w:right w:w="0" w:type="dxa"/>
                  </w:tcMar>
                  <w:vAlign w:val="center"/>
                </w:tcPr>
                <w:p w14:paraId="65BB0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治理措施</w:t>
                  </w:r>
                </w:p>
              </w:tc>
              <w:tc>
                <w:tcPr>
                  <w:tcW w:w="281" w:type="pct"/>
                  <w:noWrap w:val="0"/>
                  <w:tcMar>
                    <w:top w:w="0" w:type="dxa"/>
                    <w:left w:w="0" w:type="dxa"/>
                    <w:bottom w:w="0" w:type="dxa"/>
                    <w:right w:w="0" w:type="dxa"/>
                  </w:tcMar>
                  <w:vAlign w:val="center"/>
                </w:tcPr>
                <w:p w14:paraId="35D94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收集效率</w:t>
                  </w:r>
                </w:p>
              </w:tc>
              <w:tc>
                <w:tcPr>
                  <w:tcW w:w="281" w:type="pct"/>
                  <w:noWrap w:val="0"/>
                  <w:tcMar>
                    <w:top w:w="0" w:type="dxa"/>
                    <w:left w:w="0" w:type="dxa"/>
                    <w:bottom w:w="0" w:type="dxa"/>
                    <w:right w:w="0" w:type="dxa"/>
                  </w:tcMar>
                  <w:vAlign w:val="center"/>
                </w:tcPr>
                <w:p w14:paraId="44F3E5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去除效率</w:t>
                  </w:r>
                </w:p>
              </w:tc>
              <w:tc>
                <w:tcPr>
                  <w:tcW w:w="531" w:type="pct"/>
                  <w:noWrap w:val="0"/>
                  <w:tcMar>
                    <w:top w:w="0" w:type="dxa"/>
                    <w:left w:w="0" w:type="dxa"/>
                    <w:bottom w:w="0" w:type="dxa"/>
                    <w:right w:w="0" w:type="dxa"/>
                  </w:tcMar>
                  <w:vAlign w:val="center"/>
                </w:tcPr>
                <w:p w14:paraId="032FB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污染物排放量t/a</w:t>
                  </w:r>
                </w:p>
              </w:tc>
              <w:tc>
                <w:tcPr>
                  <w:tcW w:w="396" w:type="pct"/>
                  <w:noWrap w:val="0"/>
                  <w:tcMar>
                    <w:top w:w="0" w:type="dxa"/>
                    <w:left w:w="0" w:type="dxa"/>
                    <w:bottom w:w="0" w:type="dxa"/>
                    <w:right w:w="0" w:type="dxa"/>
                  </w:tcMar>
                  <w:vAlign w:val="center"/>
                </w:tcPr>
                <w:p w14:paraId="592A9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排放速率kg/h</w:t>
                  </w:r>
                </w:p>
              </w:tc>
              <w:tc>
                <w:tcPr>
                  <w:tcW w:w="400" w:type="pct"/>
                  <w:noWrap w:val="0"/>
                  <w:tcMar>
                    <w:top w:w="0" w:type="dxa"/>
                    <w:left w:w="0" w:type="dxa"/>
                    <w:bottom w:w="0" w:type="dxa"/>
                    <w:right w:w="0" w:type="dxa"/>
                  </w:tcMar>
                  <w:vAlign w:val="center"/>
                </w:tcPr>
                <w:p w14:paraId="19CAB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面源面积（m</w:t>
                  </w:r>
                  <w:r>
                    <w:rPr>
                      <w:rFonts w:hint="default" w:ascii="Times New Roman" w:hAnsi="Times New Roman" w:eastAsia="宋体" w:cs="Times New Roman"/>
                      <w:b/>
                      <w:bCs/>
                      <w:color w:val="auto"/>
                      <w:szCs w:val="21"/>
                      <w:vertAlign w:val="superscript"/>
                    </w:rPr>
                    <w:t>2</w:t>
                  </w:r>
                  <w:r>
                    <w:rPr>
                      <w:rFonts w:hint="default" w:ascii="Times New Roman" w:hAnsi="Times New Roman" w:eastAsia="宋体" w:cs="Times New Roman"/>
                      <w:b/>
                      <w:bCs/>
                      <w:color w:val="auto"/>
                      <w:szCs w:val="21"/>
                    </w:rPr>
                    <w:t>）</w:t>
                  </w:r>
                </w:p>
              </w:tc>
            </w:tr>
            <w:tr w14:paraId="1FB82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64" w:hRule="atLeast"/>
              </w:trPr>
              <w:tc>
                <w:tcPr>
                  <w:tcW w:w="369" w:type="pct"/>
                  <w:vMerge w:val="restart"/>
                  <w:noWrap w:val="0"/>
                  <w:tcMar>
                    <w:top w:w="0" w:type="dxa"/>
                    <w:left w:w="0" w:type="dxa"/>
                    <w:bottom w:w="0" w:type="dxa"/>
                    <w:right w:w="0" w:type="dxa"/>
                  </w:tcMar>
                  <w:vAlign w:val="center"/>
                </w:tcPr>
                <w:p w14:paraId="5545F1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p>
              </w:tc>
              <w:tc>
                <w:tcPr>
                  <w:tcW w:w="543" w:type="pct"/>
                  <w:vMerge w:val="restart"/>
                  <w:noWrap w:val="0"/>
                  <w:tcMar>
                    <w:top w:w="0" w:type="dxa"/>
                    <w:left w:w="0" w:type="dxa"/>
                    <w:bottom w:w="0" w:type="dxa"/>
                    <w:right w:w="0" w:type="dxa"/>
                  </w:tcMar>
                  <w:vAlign w:val="center"/>
                </w:tcPr>
                <w:p w14:paraId="6E1F7E6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未捕集</w:t>
                  </w:r>
                </w:p>
                <w:p w14:paraId="7F3023F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w:t>
                  </w:r>
                </w:p>
              </w:tc>
              <w:tc>
                <w:tcPr>
                  <w:tcW w:w="680" w:type="pct"/>
                  <w:shd w:val="clear" w:color="auto" w:fill="auto"/>
                  <w:noWrap w:val="0"/>
                  <w:tcMar>
                    <w:top w:w="0" w:type="dxa"/>
                    <w:left w:w="0" w:type="dxa"/>
                    <w:bottom w:w="0" w:type="dxa"/>
                    <w:right w:w="0" w:type="dxa"/>
                  </w:tcMar>
                  <w:vAlign w:val="center"/>
                </w:tcPr>
                <w:p w14:paraId="60C3C9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542" w:type="pct"/>
                  <w:shd w:val="clear" w:color="auto" w:fill="auto"/>
                  <w:noWrap w:val="0"/>
                  <w:tcMar>
                    <w:top w:w="0" w:type="dxa"/>
                    <w:left w:w="0" w:type="dxa"/>
                    <w:bottom w:w="0" w:type="dxa"/>
                    <w:right w:w="0" w:type="dxa"/>
                  </w:tcMar>
                  <w:vAlign w:val="center"/>
                </w:tcPr>
                <w:p w14:paraId="4E3841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0.0194</w:t>
                  </w:r>
                </w:p>
              </w:tc>
              <w:tc>
                <w:tcPr>
                  <w:tcW w:w="454" w:type="pct"/>
                  <w:shd w:val="clear" w:color="auto" w:fill="auto"/>
                  <w:noWrap w:val="0"/>
                  <w:tcMar>
                    <w:top w:w="0" w:type="dxa"/>
                    <w:left w:w="0" w:type="dxa"/>
                    <w:bottom w:w="0" w:type="dxa"/>
                    <w:right w:w="0" w:type="dxa"/>
                  </w:tcMar>
                  <w:vAlign w:val="center"/>
                </w:tcPr>
                <w:p w14:paraId="181963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0.0323</w:t>
                  </w:r>
                </w:p>
              </w:tc>
              <w:tc>
                <w:tcPr>
                  <w:tcW w:w="518" w:type="pct"/>
                  <w:noWrap w:val="0"/>
                  <w:tcMar>
                    <w:top w:w="0" w:type="dxa"/>
                    <w:left w:w="0" w:type="dxa"/>
                    <w:bottom w:w="0" w:type="dxa"/>
                    <w:right w:w="0" w:type="dxa"/>
                  </w:tcMar>
                  <w:vAlign w:val="center"/>
                </w:tcPr>
                <w:p w14:paraId="4ACFA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81" w:type="pct"/>
                  <w:noWrap w:val="0"/>
                  <w:tcMar>
                    <w:top w:w="0" w:type="dxa"/>
                    <w:left w:w="0" w:type="dxa"/>
                    <w:bottom w:w="0" w:type="dxa"/>
                    <w:right w:w="0" w:type="dxa"/>
                  </w:tcMar>
                  <w:vAlign w:val="center"/>
                </w:tcPr>
                <w:p w14:paraId="65A03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81" w:type="pct"/>
                  <w:noWrap w:val="0"/>
                  <w:tcMar>
                    <w:top w:w="0" w:type="dxa"/>
                    <w:left w:w="0" w:type="dxa"/>
                    <w:bottom w:w="0" w:type="dxa"/>
                    <w:right w:w="0" w:type="dxa"/>
                  </w:tcMar>
                  <w:vAlign w:val="center"/>
                </w:tcPr>
                <w:p w14:paraId="797BA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31" w:type="pct"/>
                  <w:shd w:val="clear" w:color="auto" w:fill="auto"/>
                  <w:noWrap w:val="0"/>
                  <w:tcMar>
                    <w:top w:w="0" w:type="dxa"/>
                    <w:left w:w="0" w:type="dxa"/>
                    <w:bottom w:w="0" w:type="dxa"/>
                    <w:right w:w="0" w:type="dxa"/>
                  </w:tcMar>
                  <w:vAlign w:val="center"/>
                </w:tcPr>
                <w:p w14:paraId="463C20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0.0194</w:t>
                  </w:r>
                </w:p>
              </w:tc>
              <w:tc>
                <w:tcPr>
                  <w:tcW w:w="396" w:type="pct"/>
                  <w:shd w:val="clear" w:color="auto" w:fill="auto"/>
                  <w:noWrap w:val="0"/>
                  <w:tcMar>
                    <w:top w:w="0" w:type="dxa"/>
                    <w:left w:w="0" w:type="dxa"/>
                    <w:bottom w:w="0" w:type="dxa"/>
                    <w:right w:w="0" w:type="dxa"/>
                  </w:tcMar>
                  <w:vAlign w:val="center"/>
                </w:tcPr>
                <w:p w14:paraId="1CFB5B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0.0323</w:t>
                  </w:r>
                </w:p>
              </w:tc>
              <w:tc>
                <w:tcPr>
                  <w:tcW w:w="400" w:type="pct"/>
                  <w:vMerge w:val="restart"/>
                  <w:noWrap w:val="0"/>
                  <w:tcMar>
                    <w:top w:w="0" w:type="dxa"/>
                    <w:left w:w="0" w:type="dxa"/>
                    <w:bottom w:w="0" w:type="dxa"/>
                    <w:right w:w="0" w:type="dxa"/>
                  </w:tcMar>
                  <w:vAlign w:val="center"/>
                </w:tcPr>
                <w:p w14:paraId="675B6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2"/>
                      <w:kern w:val="28"/>
                      <w:szCs w:val="21"/>
                      <w:lang w:val="en-US" w:eastAsia="zh-CN"/>
                    </w:rPr>
                    <w:t>1660</w:t>
                  </w:r>
                </w:p>
              </w:tc>
            </w:tr>
            <w:tr w14:paraId="321F3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9" w:type="pct"/>
                  <w:vMerge w:val="continue"/>
                  <w:noWrap w:val="0"/>
                  <w:tcMar>
                    <w:top w:w="0" w:type="dxa"/>
                    <w:left w:w="0" w:type="dxa"/>
                    <w:bottom w:w="0" w:type="dxa"/>
                    <w:right w:w="0" w:type="dxa"/>
                  </w:tcMar>
                  <w:vAlign w:val="center"/>
                </w:tcPr>
                <w:p w14:paraId="599DC2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543" w:type="pct"/>
                  <w:vMerge w:val="continue"/>
                  <w:noWrap w:val="0"/>
                  <w:tcMar>
                    <w:top w:w="0" w:type="dxa"/>
                    <w:left w:w="0" w:type="dxa"/>
                    <w:bottom w:w="0" w:type="dxa"/>
                    <w:right w:w="0" w:type="dxa"/>
                  </w:tcMar>
                  <w:vAlign w:val="center"/>
                </w:tcPr>
                <w:p w14:paraId="24D8E3E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680" w:type="pct"/>
                  <w:shd w:val="clear" w:color="auto" w:fill="auto"/>
                  <w:noWrap w:val="0"/>
                  <w:tcMar>
                    <w:top w:w="0" w:type="dxa"/>
                    <w:left w:w="0" w:type="dxa"/>
                    <w:bottom w:w="0" w:type="dxa"/>
                    <w:right w:w="0" w:type="dxa"/>
                  </w:tcMar>
                  <w:vAlign w:val="center"/>
                </w:tcPr>
                <w:p w14:paraId="32292E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542" w:type="pct"/>
                  <w:shd w:val="clear" w:color="auto" w:fill="auto"/>
                  <w:noWrap w:val="0"/>
                  <w:tcMar>
                    <w:top w:w="0" w:type="dxa"/>
                    <w:left w:w="0" w:type="dxa"/>
                    <w:bottom w:w="0" w:type="dxa"/>
                    <w:right w:w="0" w:type="dxa"/>
                  </w:tcMar>
                  <w:vAlign w:val="center"/>
                </w:tcPr>
                <w:p w14:paraId="36ECFB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0.0432</w:t>
                  </w:r>
                </w:p>
              </w:tc>
              <w:tc>
                <w:tcPr>
                  <w:tcW w:w="454" w:type="pct"/>
                  <w:shd w:val="clear" w:color="auto" w:fill="auto"/>
                  <w:noWrap w:val="0"/>
                  <w:tcMar>
                    <w:top w:w="0" w:type="dxa"/>
                    <w:left w:w="0" w:type="dxa"/>
                    <w:bottom w:w="0" w:type="dxa"/>
                    <w:right w:w="0" w:type="dxa"/>
                  </w:tcMar>
                  <w:vAlign w:val="center"/>
                </w:tcPr>
                <w:p w14:paraId="159A04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0.018</w:t>
                  </w:r>
                </w:p>
              </w:tc>
              <w:tc>
                <w:tcPr>
                  <w:tcW w:w="518" w:type="pct"/>
                  <w:noWrap w:val="0"/>
                  <w:tcMar>
                    <w:top w:w="0" w:type="dxa"/>
                    <w:left w:w="0" w:type="dxa"/>
                    <w:bottom w:w="0" w:type="dxa"/>
                    <w:right w:w="0" w:type="dxa"/>
                  </w:tcMar>
                  <w:vAlign w:val="center"/>
                </w:tcPr>
                <w:p w14:paraId="3D47D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t>
                  </w:r>
                </w:p>
              </w:tc>
              <w:tc>
                <w:tcPr>
                  <w:tcW w:w="281" w:type="pct"/>
                  <w:noWrap w:val="0"/>
                  <w:tcMar>
                    <w:top w:w="0" w:type="dxa"/>
                    <w:left w:w="0" w:type="dxa"/>
                    <w:bottom w:w="0" w:type="dxa"/>
                    <w:right w:w="0" w:type="dxa"/>
                  </w:tcMar>
                  <w:vAlign w:val="center"/>
                </w:tcPr>
                <w:p w14:paraId="4F55B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t>
                  </w:r>
                </w:p>
              </w:tc>
              <w:tc>
                <w:tcPr>
                  <w:tcW w:w="281" w:type="pct"/>
                  <w:noWrap w:val="0"/>
                  <w:tcMar>
                    <w:top w:w="0" w:type="dxa"/>
                    <w:left w:w="0" w:type="dxa"/>
                    <w:bottom w:w="0" w:type="dxa"/>
                    <w:right w:w="0" w:type="dxa"/>
                  </w:tcMar>
                  <w:vAlign w:val="center"/>
                </w:tcPr>
                <w:p w14:paraId="2F5A7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t>
                  </w:r>
                </w:p>
              </w:tc>
              <w:tc>
                <w:tcPr>
                  <w:tcW w:w="531" w:type="pct"/>
                  <w:shd w:val="clear" w:color="auto" w:fill="auto"/>
                  <w:noWrap w:val="0"/>
                  <w:tcMar>
                    <w:top w:w="0" w:type="dxa"/>
                    <w:left w:w="0" w:type="dxa"/>
                    <w:bottom w:w="0" w:type="dxa"/>
                    <w:right w:w="0" w:type="dxa"/>
                  </w:tcMar>
                  <w:vAlign w:val="center"/>
                </w:tcPr>
                <w:p w14:paraId="18FCEF2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0.0432</w:t>
                  </w:r>
                </w:p>
              </w:tc>
              <w:tc>
                <w:tcPr>
                  <w:tcW w:w="396" w:type="pct"/>
                  <w:shd w:val="clear" w:color="auto" w:fill="auto"/>
                  <w:noWrap w:val="0"/>
                  <w:tcMar>
                    <w:top w:w="0" w:type="dxa"/>
                    <w:left w:w="0" w:type="dxa"/>
                    <w:bottom w:w="0" w:type="dxa"/>
                    <w:right w:w="0" w:type="dxa"/>
                  </w:tcMar>
                  <w:vAlign w:val="center"/>
                </w:tcPr>
                <w:p w14:paraId="7D7214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0.018</w:t>
                  </w:r>
                </w:p>
              </w:tc>
              <w:tc>
                <w:tcPr>
                  <w:tcW w:w="400" w:type="pct"/>
                  <w:vMerge w:val="continue"/>
                  <w:noWrap w:val="0"/>
                  <w:tcMar>
                    <w:top w:w="0" w:type="dxa"/>
                    <w:left w:w="0" w:type="dxa"/>
                    <w:bottom w:w="0" w:type="dxa"/>
                    <w:right w:w="0" w:type="dxa"/>
                  </w:tcMar>
                  <w:vAlign w:val="center"/>
                </w:tcPr>
                <w:p w14:paraId="672DB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pacing w:val="-2"/>
                      <w:kern w:val="28"/>
                      <w:szCs w:val="21"/>
                    </w:rPr>
                  </w:pPr>
                </w:p>
              </w:tc>
            </w:tr>
          </w:tbl>
          <w:p w14:paraId="54247293">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本项目无组织面源参数</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29"/>
              <w:gridCol w:w="733"/>
              <w:gridCol w:w="765"/>
              <w:gridCol w:w="554"/>
              <w:gridCol w:w="584"/>
              <w:gridCol w:w="654"/>
              <w:gridCol w:w="896"/>
              <w:gridCol w:w="688"/>
              <w:gridCol w:w="443"/>
              <w:gridCol w:w="792"/>
              <w:gridCol w:w="722"/>
            </w:tblGrid>
            <w:tr w14:paraId="5B1C0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pct"/>
                  <w:vMerge w:val="restart"/>
                  <w:tcBorders>
                    <w:tl2br w:val="nil"/>
                    <w:tr2bl w:val="nil"/>
                  </w:tcBorders>
                  <w:noWrap w:val="0"/>
                  <w:tcMar>
                    <w:top w:w="0" w:type="dxa"/>
                    <w:left w:w="0" w:type="dxa"/>
                    <w:bottom w:w="0" w:type="dxa"/>
                    <w:right w:w="0" w:type="dxa"/>
                  </w:tcMar>
                  <w:vAlign w:val="center"/>
                </w:tcPr>
                <w:p w14:paraId="786200C2">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名称</w:t>
                  </w:r>
                </w:p>
              </w:tc>
              <w:tc>
                <w:tcPr>
                  <w:tcW w:w="931" w:type="pct"/>
                  <w:gridSpan w:val="2"/>
                  <w:tcBorders>
                    <w:tl2br w:val="nil"/>
                    <w:tr2bl w:val="nil"/>
                  </w:tcBorders>
                  <w:noWrap w:val="0"/>
                  <w:tcMar>
                    <w:top w:w="0" w:type="dxa"/>
                    <w:left w:w="0" w:type="dxa"/>
                    <w:bottom w:w="0" w:type="dxa"/>
                    <w:right w:w="0" w:type="dxa"/>
                  </w:tcMar>
                  <w:vAlign w:val="center"/>
                </w:tcPr>
                <w:p w14:paraId="7F58DDC0">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面源坐标（°）</w:t>
                  </w:r>
                </w:p>
              </w:tc>
              <w:tc>
                <w:tcPr>
                  <w:tcW w:w="456" w:type="pct"/>
                  <w:vMerge w:val="restart"/>
                  <w:tcBorders>
                    <w:tl2br w:val="nil"/>
                    <w:tr2bl w:val="nil"/>
                  </w:tcBorders>
                  <w:noWrap w:val="0"/>
                  <w:tcMar>
                    <w:top w:w="0" w:type="dxa"/>
                    <w:left w:w="0" w:type="dxa"/>
                    <w:bottom w:w="0" w:type="dxa"/>
                    <w:right w:w="0" w:type="dxa"/>
                  </w:tcMar>
                  <w:vAlign w:val="center"/>
                </w:tcPr>
                <w:p w14:paraId="17A5FE15">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面源海拔高度（m）</w:t>
                  </w:r>
                </w:p>
              </w:tc>
              <w:tc>
                <w:tcPr>
                  <w:tcW w:w="330" w:type="pct"/>
                  <w:vMerge w:val="restart"/>
                  <w:tcBorders>
                    <w:tl2br w:val="nil"/>
                    <w:tr2bl w:val="nil"/>
                  </w:tcBorders>
                  <w:noWrap w:val="0"/>
                  <w:tcMar>
                    <w:top w:w="0" w:type="dxa"/>
                    <w:left w:w="0" w:type="dxa"/>
                    <w:bottom w:w="0" w:type="dxa"/>
                    <w:right w:w="0" w:type="dxa"/>
                  </w:tcMar>
                  <w:vAlign w:val="center"/>
                </w:tcPr>
                <w:p w14:paraId="6C178F7E">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面源长度（m）</w:t>
                  </w:r>
                </w:p>
              </w:tc>
              <w:tc>
                <w:tcPr>
                  <w:tcW w:w="348" w:type="pct"/>
                  <w:vMerge w:val="restart"/>
                  <w:tcBorders>
                    <w:tl2br w:val="nil"/>
                    <w:tr2bl w:val="nil"/>
                  </w:tcBorders>
                  <w:noWrap w:val="0"/>
                  <w:tcMar>
                    <w:top w:w="0" w:type="dxa"/>
                    <w:left w:w="0" w:type="dxa"/>
                    <w:bottom w:w="0" w:type="dxa"/>
                    <w:right w:w="0" w:type="dxa"/>
                  </w:tcMar>
                  <w:vAlign w:val="center"/>
                </w:tcPr>
                <w:p w14:paraId="4DAC0AAB">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面源宽度（m）</w:t>
                  </w:r>
                </w:p>
              </w:tc>
              <w:tc>
                <w:tcPr>
                  <w:tcW w:w="390" w:type="pct"/>
                  <w:vMerge w:val="restart"/>
                  <w:tcBorders>
                    <w:tl2br w:val="nil"/>
                    <w:tr2bl w:val="nil"/>
                  </w:tcBorders>
                  <w:noWrap w:val="0"/>
                  <w:tcMar>
                    <w:top w:w="0" w:type="dxa"/>
                    <w:left w:w="0" w:type="dxa"/>
                    <w:bottom w:w="0" w:type="dxa"/>
                    <w:right w:w="0" w:type="dxa"/>
                  </w:tcMar>
                  <w:vAlign w:val="center"/>
                </w:tcPr>
                <w:p w14:paraId="52954C70">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与正北夹角(°)</w:t>
                  </w:r>
                </w:p>
              </w:tc>
              <w:tc>
                <w:tcPr>
                  <w:tcW w:w="534" w:type="pct"/>
                  <w:vMerge w:val="restart"/>
                  <w:tcBorders>
                    <w:tl2br w:val="nil"/>
                    <w:tr2bl w:val="nil"/>
                  </w:tcBorders>
                  <w:noWrap w:val="0"/>
                  <w:tcMar>
                    <w:top w:w="0" w:type="dxa"/>
                    <w:left w:w="0" w:type="dxa"/>
                    <w:bottom w:w="0" w:type="dxa"/>
                    <w:right w:w="0" w:type="dxa"/>
                  </w:tcMar>
                  <w:vAlign w:val="center"/>
                </w:tcPr>
                <w:p w14:paraId="15BB83E1">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面源有效排放高度（m）</w:t>
                  </w:r>
                </w:p>
              </w:tc>
              <w:tc>
                <w:tcPr>
                  <w:tcW w:w="410" w:type="pct"/>
                  <w:vMerge w:val="restart"/>
                  <w:tcBorders>
                    <w:tl2br w:val="nil"/>
                    <w:tr2bl w:val="nil"/>
                  </w:tcBorders>
                  <w:noWrap w:val="0"/>
                  <w:tcMar>
                    <w:top w:w="0" w:type="dxa"/>
                    <w:left w:w="0" w:type="dxa"/>
                    <w:bottom w:w="0" w:type="dxa"/>
                    <w:right w:w="0" w:type="dxa"/>
                  </w:tcMar>
                  <w:vAlign w:val="center"/>
                </w:tcPr>
                <w:p w14:paraId="07F60B18">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年排放小时数（h）</w:t>
                  </w:r>
                </w:p>
              </w:tc>
              <w:tc>
                <w:tcPr>
                  <w:tcW w:w="264" w:type="pct"/>
                  <w:vMerge w:val="restart"/>
                  <w:tcBorders>
                    <w:tl2br w:val="nil"/>
                    <w:tr2bl w:val="nil"/>
                  </w:tcBorders>
                  <w:noWrap w:val="0"/>
                  <w:tcMar>
                    <w:top w:w="0" w:type="dxa"/>
                    <w:left w:w="0" w:type="dxa"/>
                    <w:bottom w:w="0" w:type="dxa"/>
                    <w:right w:w="0" w:type="dxa"/>
                  </w:tcMar>
                  <w:vAlign w:val="center"/>
                </w:tcPr>
                <w:p w14:paraId="3F6F55EB">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排放工况</w:t>
                  </w:r>
                </w:p>
              </w:tc>
              <w:tc>
                <w:tcPr>
                  <w:tcW w:w="903" w:type="pct"/>
                  <w:gridSpan w:val="2"/>
                  <w:vMerge w:val="restart"/>
                  <w:tcBorders>
                    <w:tl2br w:val="nil"/>
                    <w:tr2bl w:val="nil"/>
                  </w:tcBorders>
                  <w:noWrap w:val="0"/>
                  <w:tcMar>
                    <w:top w:w="0" w:type="dxa"/>
                    <w:left w:w="0" w:type="dxa"/>
                    <w:bottom w:w="0" w:type="dxa"/>
                    <w:right w:w="0" w:type="dxa"/>
                  </w:tcMar>
                  <w:vAlign w:val="center"/>
                </w:tcPr>
                <w:p w14:paraId="5644E9F7">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排放速率（kg/h）</w:t>
                  </w:r>
                </w:p>
              </w:tc>
            </w:tr>
            <w:tr w14:paraId="18A9D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noWrap w:val="0"/>
                  <w:tcMar>
                    <w:top w:w="0" w:type="dxa"/>
                    <w:left w:w="0" w:type="dxa"/>
                    <w:bottom w:w="0" w:type="dxa"/>
                    <w:right w:w="0" w:type="dxa"/>
                  </w:tcMar>
                  <w:vAlign w:val="center"/>
                </w:tcPr>
                <w:p w14:paraId="07CCBB5E">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b/>
                      <w:color w:val="auto"/>
                      <w:szCs w:val="21"/>
                    </w:rPr>
                  </w:pPr>
                </w:p>
              </w:tc>
              <w:tc>
                <w:tcPr>
                  <w:tcW w:w="494" w:type="pct"/>
                  <w:tcBorders>
                    <w:tl2br w:val="nil"/>
                    <w:tr2bl w:val="nil"/>
                  </w:tcBorders>
                  <w:noWrap w:val="0"/>
                  <w:tcMar>
                    <w:top w:w="0" w:type="dxa"/>
                    <w:left w:w="0" w:type="dxa"/>
                    <w:bottom w:w="0" w:type="dxa"/>
                    <w:right w:w="0" w:type="dxa"/>
                  </w:tcMar>
                  <w:vAlign w:val="center"/>
                </w:tcPr>
                <w:p w14:paraId="1BEF1F33">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E</w:t>
                  </w:r>
                </w:p>
              </w:tc>
              <w:tc>
                <w:tcPr>
                  <w:tcW w:w="437" w:type="pct"/>
                  <w:tcBorders>
                    <w:tl2br w:val="nil"/>
                    <w:tr2bl w:val="nil"/>
                  </w:tcBorders>
                  <w:noWrap w:val="0"/>
                  <w:tcMar>
                    <w:top w:w="0" w:type="dxa"/>
                    <w:left w:w="0" w:type="dxa"/>
                    <w:bottom w:w="0" w:type="dxa"/>
                    <w:right w:w="0" w:type="dxa"/>
                  </w:tcMar>
                  <w:vAlign w:val="center"/>
                </w:tcPr>
                <w:p w14:paraId="0CA8359C">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N</w:t>
                  </w:r>
                </w:p>
              </w:tc>
              <w:tc>
                <w:tcPr>
                  <w:tcW w:w="456" w:type="pct"/>
                  <w:vMerge w:val="continue"/>
                  <w:tcBorders>
                    <w:tl2br w:val="nil"/>
                    <w:tr2bl w:val="nil"/>
                  </w:tcBorders>
                  <w:noWrap w:val="0"/>
                  <w:tcMar>
                    <w:top w:w="0" w:type="dxa"/>
                    <w:left w:w="0" w:type="dxa"/>
                    <w:bottom w:w="0" w:type="dxa"/>
                    <w:right w:w="0" w:type="dxa"/>
                  </w:tcMar>
                  <w:vAlign w:val="center"/>
                </w:tcPr>
                <w:p w14:paraId="4DA284A7">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b/>
                      <w:color w:val="auto"/>
                      <w:szCs w:val="21"/>
                    </w:rPr>
                  </w:pPr>
                </w:p>
              </w:tc>
              <w:tc>
                <w:tcPr>
                  <w:tcW w:w="330" w:type="pct"/>
                  <w:vMerge w:val="continue"/>
                  <w:tcBorders>
                    <w:tl2br w:val="nil"/>
                    <w:tr2bl w:val="nil"/>
                  </w:tcBorders>
                  <w:noWrap w:val="0"/>
                  <w:tcMar>
                    <w:top w:w="0" w:type="dxa"/>
                    <w:left w:w="0" w:type="dxa"/>
                    <w:bottom w:w="0" w:type="dxa"/>
                    <w:right w:w="0" w:type="dxa"/>
                  </w:tcMar>
                  <w:vAlign w:val="center"/>
                </w:tcPr>
                <w:p w14:paraId="3FD9664A">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b/>
                      <w:color w:val="auto"/>
                      <w:szCs w:val="21"/>
                    </w:rPr>
                  </w:pPr>
                </w:p>
              </w:tc>
              <w:tc>
                <w:tcPr>
                  <w:tcW w:w="348" w:type="pct"/>
                  <w:vMerge w:val="continue"/>
                  <w:tcBorders>
                    <w:tl2br w:val="nil"/>
                    <w:tr2bl w:val="nil"/>
                  </w:tcBorders>
                  <w:noWrap w:val="0"/>
                  <w:tcMar>
                    <w:top w:w="0" w:type="dxa"/>
                    <w:left w:w="0" w:type="dxa"/>
                    <w:bottom w:w="0" w:type="dxa"/>
                    <w:right w:w="0" w:type="dxa"/>
                  </w:tcMar>
                  <w:vAlign w:val="center"/>
                </w:tcPr>
                <w:p w14:paraId="65EFFA4A">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b/>
                      <w:color w:val="auto"/>
                      <w:szCs w:val="21"/>
                    </w:rPr>
                  </w:pPr>
                </w:p>
              </w:tc>
              <w:tc>
                <w:tcPr>
                  <w:tcW w:w="390" w:type="pct"/>
                  <w:vMerge w:val="continue"/>
                  <w:tcBorders>
                    <w:tl2br w:val="nil"/>
                    <w:tr2bl w:val="nil"/>
                  </w:tcBorders>
                  <w:noWrap w:val="0"/>
                  <w:tcMar>
                    <w:top w:w="0" w:type="dxa"/>
                    <w:left w:w="0" w:type="dxa"/>
                    <w:bottom w:w="0" w:type="dxa"/>
                    <w:right w:w="0" w:type="dxa"/>
                  </w:tcMar>
                  <w:vAlign w:val="center"/>
                </w:tcPr>
                <w:p w14:paraId="06BD48D3">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b/>
                      <w:color w:val="auto"/>
                      <w:szCs w:val="21"/>
                    </w:rPr>
                  </w:pPr>
                </w:p>
              </w:tc>
              <w:tc>
                <w:tcPr>
                  <w:tcW w:w="534" w:type="pct"/>
                  <w:vMerge w:val="continue"/>
                  <w:tcBorders>
                    <w:tl2br w:val="nil"/>
                    <w:tr2bl w:val="nil"/>
                  </w:tcBorders>
                  <w:noWrap w:val="0"/>
                  <w:tcMar>
                    <w:top w:w="0" w:type="dxa"/>
                    <w:left w:w="0" w:type="dxa"/>
                    <w:bottom w:w="0" w:type="dxa"/>
                    <w:right w:w="0" w:type="dxa"/>
                  </w:tcMar>
                  <w:vAlign w:val="center"/>
                </w:tcPr>
                <w:p w14:paraId="61D234C0">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b/>
                      <w:color w:val="auto"/>
                      <w:szCs w:val="21"/>
                    </w:rPr>
                  </w:pPr>
                </w:p>
              </w:tc>
              <w:tc>
                <w:tcPr>
                  <w:tcW w:w="410" w:type="pct"/>
                  <w:vMerge w:val="continue"/>
                  <w:tcBorders>
                    <w:tl2br w:val="nil"/>
                    <w:tr2bl w:val="nil"/>
                  </w:tcBorders>
                  <w:noWrap w:val="0"/>
                  <w:tcMar>
                    <w:top w:w="0" w:type="dxa"/>
                    <w:left w:w="0" w:type="dxa"/>
                    <w:bottom w:w="0" w:type="dxa"/>
                    <w:right w:w="0" w:type="dxa"/>
                  </w:tcMar>
                  <w:vAlign w:val="center"/>
                </w:tcPr>
                <w:p w14:paraId="49BE60A4">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b/>
                      <w:color w:val="auto"/>
                      <w:szCs w:val="21"/>
                    </w:rPr>
                  </w:pPr>
                </w:p>
              </w:tc>
              <w:tc>
                <w:tcPr>
                  <w:tcW w:w="264" w:type="pct"/>
                  <w:vMerge w:val="continue"/>
                  <w:tcBorders>
                    <w:tl2br w:val="nil"/>
                    <w:tr2bl w:val="nil"/>
                  </w:tcBorders>
                  <w:noWrap w:val="0"/>
                  <w:tcMar>
                    <w:top w:w="0" w:type="dxa"/>
                    <w:left w:w="0" w:type="dxa"/>
                    <w:bottom w:w="0" w:type="dxa"/>
                    <w:right w:w="0" w:type="dxa"/>
                  </w:tcMar>
                  <w:vAlign w:val="center"/>
                </w:tcPr>
                <w:p w14:paraId="708FE81B">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b/>
                      <w:color w:val="auto"/>
                      <w:szCs w:val="21"/>
                    </w:rPr>
                  </w:pPr>
                </w:p>
              </w:tc>
              <w:tc>
                <w:tcPr>
                  <w:tcW w:w="903" w:type="pct"/>
                  <w:gridSpan w:val="2"/>
                  <w:vMerge w:val="continue"/>
                  <w:tcBorders>
                    <w:tl2br w:val="nil"/>
                    <w:tr2bl w:val="nil"/>
                  </w:tcBorders>
                  <w:noWrap w:val="0"/>
                  <w:tcMar>
                    <w:top w:w="0" w:type="dxa"/>
                    <w:left w:w="0" w:type="dxa"/>
                    <w:bottom w:w="0" w:type="dxa"/>
                    <w:right w:w="0" w:type="dxa"/>
                  </w:tcMar>
                  <w:vAlign w:val="center"/>
                </w:tcPr>
                <w:p w14:paraId="5E0E9862">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r>
            <w:tr w14:paraId="1C05C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pct"/>
                  <w:vMerge w:val="restart"/>
                  <w:tcBorders>
                    <w:tl2br w:val="nil"/>
                    <w:tr2bl w:val="nil"/>
                  </w:tcBorders>
                  <w:noWrap w:val="0"/>
                  <w:tcMar>
                    <w:top w:w="0" w:type="dxa"/>
                    <w:left w:w="0" w:type="dxa"/>
                    <w:bottom w:w="0" w:type="dxa"/>
                    <w:right w:w="0" w:type="dxa"/>
                  </w:tcMar>
                  <w:vAlign w:val="center"/>
                </w:tcPr>
                <w:p w14:paraId="6D4468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 w:val="21"/>
                      <w:szCs w:val="21"/>
                      <w:lang w:val="en-US" w:eastAsia="zh-CN"/>
                    </w:rPr>
                    <w:t>生产车间</w:t>
                  </w:r>
                </w:p>
              </w:tc>
              <w:tc>
                <w:tcPr>
                  <w:tcW w:w="494" w:type="pct"/>
                  <w:vMerge w:val="restart"/>
                  <w:tcBorders>
                    <w:tl2br w:val="nil"/>
                    <w:tr2bl w:val="nil"/>
                  </w:tcBorders>
                  <w:noWrap w:val="0"/>
                  <w:tcMar>
                    <w:top w:w="0" w:type="dxa"/>
                    <w:left w:w="0" w:type="dxa"/>
                    <w:bottom w:w="0" w:type="dxa"/>
                    <w:right w:w="0" w:type="dxa"/>
                  </w:tcMar>
                  <w:vAlign w:val="center"/>
                </w:tcPr>
                <w:p w14:paraId="702C688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119.609105</w:t>
                  </w:r>
                </w:p>
              </w:tc>
              <w:tc>
                <w:tcPr>
                  <w:tcW w:w="437" w:type="pct"/>
                  <w:vMerge w:val="restart"/>
                  <w:tcBorders>
                    <w:tl2br w:val="nil"/>
                    <w:tr2bl w:val="nil"/>
                  </w:tcBorders>
                  <w:noWrap w:val="0"/>
                  <w:tcMar>
                    <w:top w:w="0" w:type="dxa"/>
                    <w:left w:w="0" w:type="dxa"/>
                    <w:bottom w:w="0" w:type="dxa"/>
                    <w:right w:w="0" w:type="dxa"/>
                  </w:tcMar>
                  <w:vAlign w:val="center"/>
                </w:tcPr>
                <w:p w14:paraId="641431D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31.758817</w:t>
                  </w:r>
                </w:p>
              </w:tc>
              <w:tc>
                <w:tcPr>
                  <w:tcW w:w="456" w:type="pct"/>
                  <w:vMerge w:val="restart"/>
                  <w:tcBorders>
                    <w:tl2br w:val="nil"/>
                    <w:tr2bl w:val="nil"/>
                  </w:tcBorders>
                  <w:noWrap w:val="0"/>
                  <w:tcMar>
                    <w:top w:w="0" w:type="dxa"/>
                    <w:left w:w="0" w:type="dxa"/>
                    <w:bottom w:w="0" w:type="dxa"/>
                    <w:right w:w="0" w:type="dxa"/>
                  </w:tcMar>
                  <w:vAlign w:val="center"/>
                </w:tcPr>
                <w:p w14:paraId="10899AD8">
                  <w:pPr>
                    <w:keepNext w:val="0"/>
                    <w:keepLines w:val="0"/>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330" w:type="pct"/>
                  <w:vMerge w:val="restart"/>
                  <w:tcBorders>
                    <w:tl2br w:val="nil"/>
                    <w:tr2bl w:val="nil"/>
                  </w:tcBorders>
                  <w:noWrap w:val="0"/>
                  <w:tcMar>
                    <w:top w:w="0" w:type="dxa"/>
                    <w:left w:w="0" w:type="dxa"/>
                    <w:bottom w:w="0" w:type="dxa"/>
                    <w:right w:w="0" w:type="dxa"/>
                  </w:tcMar>
                  <w:vAlign w:val="center"/>
                </w:tcPr>
                <w:p w14:paraId="09FC675E">
                  <w:pPr>
                    <w:keepNext w:val="0"/>
                    <w:keepLines w:val="0"/>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66.4</w:t>
                  </w:r>
                </w:p>
              </w:tc>
              <w:tc>
                <w:tcPr>
                  <w:tcW w:w="348" w:type="pct"/>
                  <w:vMerge w:val="restart"/>
                  <w:tcBorders>
                    <w:tl2br w:val="nil"/>
                    <w:tr2bl w:val="nil"/>
                  </w:tcBorders>
                  <w:noWrap w:val="0"/>
                  <w:tcMar>
                    <w:top w:w="0" w:type="dxa"/>
                    <w:left w:w="0" w:type="dxa"/>
                    <w:bottom w:w="0" w:type="dxa"/>
                    <w:right w:w="0" w:type="dxa"/>
                  </w:tcMar>
                  <w:vAlign w:val="center"/>
                </w:tcPr>
                <w:p w14:paraId="2466EC4F">
                  <w:pPr>
                    <w:keepNext w:val="0"/>
                    <w:keepLines w:val="0"/>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390" w:type="pct"/>
                  <w:vMerge w:val="restart"/>
                  <w:tcBorders>
                    <w:tl2br w:val="nil"/>
                    <w:tr2bl w:val="nil"/>
                  </w:tcBorders>
                  <w:noWrap w:val="0"/>
                  <w:tcMar>
                    <w:top w:w="0" w:type="dxa"/>
                    <w:left w:w="0" w:type="dxa"/>
                    <w:bottom w:w="0" w:type="dxa"/>
                    <w:right w:w="0" w:type="dxa"/>
                  </w:tcMar>
                  <w:vAlign w:val="center"/>
                </w:tcPr>
                <w:p w14:paraId="785C41CA">
                  <w:pPr>
                    <w:keepNext w:val="0"/>
                    <w:keepLines w:val="0"/>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34" w:type="pct"/>
                  <w:vMerge w:val="restart"/>
                  <w:tcBorders>
                    <w:tl2br w:val="nil"/>
                    <w:tr2bl w:val="nil"/>
                  </w:tcBorders>
                  <w:noWrap w:val="0"/>
                  <w:tcMar>
                    <w:top w:w="0" w:type="dxa"/>
                    <w:left w:w="0" w:type="dxa"/>
                    <w:bottom w:w="0" w:type="dxa"/>
                    <w:right w:w="0" w:type="dxa"/>
                  </w:tcMar>
                  <w:vAlign w:val="center"/>
                </w:tcPr>
                <w:p w14:paraId="155D6F2C">
                  <w:pPr>
                    <w:keepNext w:val="0"/>
                    <w:keepLines w:val="0"/>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410" w:type="pct"/>
                  <w:vMerge w:val="restart"/>
                  <w:tcBorders>
                    <w:tl2br w:val="nil"/>
                    <w:tr2bl w:val="nil"/>
                  </w:tcBorders>
                  <w:noWrap w:val="0"/>
                  <w:tcMar>
                    <w:top w:w="0" w:type="dxa"/>
                    <w:left w:w="0" w:type="dxa"/>
                    <w:bottom w:w="0" w:type="dxa"/>
                    <w:right w:w="0" w:type="dxa"/>
                  </w:tcMar>
                  <w:vAlign w:val="center"/>
                </w:tcPr>
                <w:p w14:paraId="2A6835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2400</w:t>
                  </w:r>
                </w:p>
              </w:tc>
              <w:tc>
                <w:tcPr>
                  <w:tcW w:w="264" w:type="pct"/>
                  <w:vMerge w:val="restart"/>
                  <w:tcBorders>
                    <w:tl2br w:val="nil"/>
                    <w:tr2bl w:val="nil"/>
                  </w:tcBorders>
                  <w:noWrap w:val="0"/>
                  <w:tcMar>
                    <w:top w:w="0" w:type="dxa"/>
                    <w:left w:w="0" w:type="dxa"/>
                    <w:bottom w:w="0" w:type="dxa"/>
                    <w:right w:w="0" w:type="dxa"/>
                  </w:tcMar>
                  <w:vAlign w:val="center"/>
                </w:tcPr>
                <w:p w14:paraId="5B0D19CF">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正常，连续</w:t>
                  </w:r>
                </w:p>
              </w:tc>
              <w:tc>
                <w:tcPr>
                  <w:tcW w:w="472" w:type="pct"/>
                  <w:tcBorders>
                    <w:tl2br w:val="nil"/>
                    <w:tr2bl w:val="nil"/>
                  </w:tcBorders>
                  <w:noWrap w:val="0"/>
                  <w:tcMar>
                    <w:top w:w="0" w:type="dxa"/>
                    <w:left w:w="0" w:type="dxa"/>
                    <w:bottom w:w="0" w:type="dxa"/>
                    <w:right w:w="0" w:type="dxa"/>
                  </w:tcMar>
                  <w:vAlign w:val="center"/>
                </w:tcPr>
                <w:p w14:paraId="28CA35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722" w:type="dxa"/>
                  <w:tcBorders>
                    <w:tl2br w:val="nil"/>
                    <w:tr2bl w:val="nil"/>
                  </w:tcBorders>
                  <w:noWrap w:val="0"/>
                  <w:tcMar>
                    <w:top w:w="0" w:type="dxa"/>
                    <w:left w:w="0" w:type="dxa"/>
                    <w:bottom w:w="0" w:type="dxa"/>
                    <w:right w:w="0" w:type="dxa"/>
                  </w:tcMar>
                  <w:vAlign w:val="center"/>
                </w:tcPr>
                <w:p w14:paraId="0D1706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0.018</w:t>
                  </w:r>
                </w:p>
              </w:tc>
            </w:tr>
            <w:tr w14:paraId="18E69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noWrap w:val="0"/>
                  <w:tcMar>
                    <w:top w:w="0" w:type="dxa"/>
                    <w:left w:w="0" w:type="dxa"/>
                    <w:bottom w:w="0" w:type="dxa"/>
                    <w:right w:w="0" w:type="dxa"/>
                  </w:tcMar>
                  <w:vAlign w:val="center"/>
                </w:tcPr>
                <w:p w14:paraId="54C992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94" w:type="pct"/>
                  <w:vMerge w:val="continue"/>
                  <w:tcBorders>
                    <w:tl2br w:val="nil"/>
                    <w:tr2bl w:val="nil"/>
                  </w:tcBorders>
                  <w:noWrap w:val="0"/>
                  <w:tcMar>
                    <w:top w:w="0" w:type="dxa"/>
                    <w:left w:w="0" w:type="dxa"/>
                    <w:bottom w:w="0" w:type="dxa"/>
                    <w:right w:w="0" w:type="dxa"/>
                  </w:tcMar>
                  <w:vAlign w:val="center"/>
                </w:tcPr>
                <w:p w14:paraId="5136CD7B">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c>
                <w:tcPr>
                  <w:tcW w:w="437" w:type="pct"/>
                  <w:vMerge w:val="continue"/>
                  <w:tcBorders>
                    <w:tl2br w:val="nil"/>
                    <w:tr2bl w:val="nil"/>
                  </w:tcBorders>
                  <w:noWrap w:val="0"/>
                  <w:tcMar>
                    <w:top w:w="0" w:type="dxa"/>
                    <w:left w:w="0" w:type="dxa"/>
                    <w:bottom w:w="0" w:type="dxa"/>
                    <w:right w:w="0" w:type="dxa"/>
                  </w:tcMar>
                  <w:vAlign w:val="center"/>
                </w:tcPr>
                <w:p w14:paraId="026982B8">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c>
                <w:tcPr>
                  <w:tcW w:w="456" w:type="pct"/>
                  <w:vMerge w:val="continue"/>
                  <w:tcBorders>
                    <w:tl2br w:val="nil"/>
                    <w:tr2bl w:val="nil"/>
                  </w:tcBorders>
                  <w:noWrap w:val="0"/>
                  <w:tcMar>
                    <w:top w:w="0" w:type="dxa"/>
                    <w:left w:w="0" w:type="dxa"/>
                    <w:bottom w:w="0" w:type="dxa"/>
                    <w:right w:w="0" w:type="dxa"/>
                  </w:tcMar>
                  <w:vAlign w:val="center"/>
                </w:tcPr>
                <w:p w14:paraId="212B29C1">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c>
                <w:tcPr>
                  <w:tcW w:w="330" w:type="pct"/>
                  <w:vMerge w:val="continue"/>
                  <w:tcBorders>
                    <w:tl2br w:val="nil"/>
                    <w:tr2bl w:val="nil"/>
                  </w:tcBorders>
                  <w:noWrap w:val="0"/>
                  <w:tcMar>
                    <w:top w:w="0" w:type="dxa"/>
                    <w:left w:w="0" w:type="dxa"/>
                    <w:bottom w:w="0" w:type="dxa"/>
                    <w:right w:w="0" w:type="dxa"/>
                  </w:tcMar>
                  <w:vAlign w:val="center"/>
                </w:tcPr>
                <w:p w14:paraId="3CEF2E4E">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c>
                <w:tcPr>
                  <w:tcW w:w="348" w:type="pct"/>
                  <w:vMerge w:val="continue"/>
                  <w:tcBorders>
                    <w:tl2br w:val="nil"/>
                    <w:tr2bl w:val="nil"/>
                  </w:tcBorders>
                  <w:noWrap w:val="0"/>
                  <w:tcMar>
                    <w:top w:w="0" w:type="dxa"/>
                    <w:left w:w="0" w:type="dxa"/>
                    <w:bottom w:w="0" w:type="dxa"/>
                    <w:right w:w="0" w:type="dxa"/>
                  </w:tcMar>
                  <w:vAlign w:val="center"/>
                </w:tcPr>
                <w:p w14:paraId="72C77858">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c>
                <w:tcPr>
                  <w:tcW w:w="390" w:type="pct"/>
                  <w:vMerge w:val="continue"/>
                  <w:tcBorders>
                    <w:tl2br w:val="nil"/>
                    <w:tr2bl w:val="nil"/>
                  </w:tcBorders>
                  <w:noWrap w:val="0"/>
                  <w:tcMar>
                    <w:top w:w="0" w:type="dxa"/>
                    <w:left w:w="0" w:type="dxa"/>
                    <w:bottom w:w="0" w:type="dxa"/>
                    <w:right w:w="0" w:type="dxa"/>
                  </w:tcMar>
                  <w:vAlign w:val="center"/>
                </w:tcPr>
                <w:p w14:paraId="5CD53BD2">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c>
                <w:tcPr>
                  <w:tcW w:w="534" w:type="pct"/>
                  <w:vMerge w:val="continue"/>
                  <w:tcBorders>
                    <w:tl2br w:val="nil"/>
                    <w:tr2bl w:val="nil"/>
                  </w:tcBorders>
                  <w:noWrap w:val="0"/>
                  <w:tcMar>
                    <w:top w:w="0" w:type="dxa"/>
                    <w:left w:w="0" w:type="dxa"/>
                    <w:bottom w:w="0" w:type="dxa"/>
                    <w:right w:w="0" w:type="dxa"/>
                  </w:tcMar>
                  <w:vAlign w:val="center"/>
                </w:tcPr>
                <w:p w14:paraId="3F8D7CCC">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c>
                <w:tcPr>
                  <w:tcW w:w="410" w:type="pct"/>
                  <w:vMerge w:val="continue"/>
                  <w:tcBorders>
                    <w:tl2br w:val="nil"/>
                    <w:tr2bl w:val="nil"/>
                  </w:tcBorders>
                  <w:noWrap w:val="0"/>
                  <w:tcMar>
                    <w:top w:w="0" w:type="dxa"/>
                    <w:left w:w="0" w:type="dxa"/>
                    <w:bottom w:w="0" w:type="dxa"/>
                    <w:right w:w="0" w:type="dxa"/>
                  </w:tcMar>
                  <w:vAlign w:val="center"/>
                </w:tcPr>
                <w:p w14:paraId="4E9A51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264" w:type="pct"/>
                  <w:vMerge w:val="continue"/>
                  <w:tcBorders>
                    <w:tl2br w:val="nil"/>
                    <w:tr2bl w:val="nil"/>
                  </w:tcBorders>
                  <w:noWrap w:val="0"/>
                  <w:tcMar>
                    <w:top w:w="0" w:type="dxa"/>
                    <w:left w:w="0" w:type="dxa"/>
                    <w:bottom w:w="0" w:type="dxa"/>
                    <w:right w:w="0" w:type="dxa"/>
                  </w:tcMar>
                  <w:vAlign w:val="center"/>
                </w:tcPr>
                <w:p w14:paraId="75D17274">
                  <w:pPr>
                    <w:keepNext w:val="0"/>
                    <w:keepLines w:val="0"/>
                    <w:widowControl/>
                    <w:suppressLineNumbers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rPr>
                  </w:pPr>
                </w:p>
              </w:tc>
              <w:tc>
                <w:tcPr>
                  <w:tcW w:w="472" w:type="pct"/>
                  <w:tcBorders>
                    <w:tl2br w:val="nil"/>
                    <w:tr2bl w:val="nil"/>
                  </w:tcBorders>
                  <w:noWrap w:val="0"/>
                  <w:tcMar>
                    <w:top w:w="0" w:type="dxa"/>
                    <w:left w:w="0" w:type="dxa"/>
                    <w:bottom w:w="0" w:type="dxa"/>
                    <w:right w:w="0" w:type="dxa"/>
                  </w:tcMar>
                  <w:vAlign w:val="center"/>
                </w:tcPr>
                <w:p w14:paraId="11E2FA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430" w:type="pct"/>
                  <w:tcBorders>
                    <w:tl2br w:val="nil"/>
                    <w:tr2bl w:val="nil"/>
                  </w:tcBorders>
                  <w:noWrap w:val="0"/>
                  <w:tcMar>
                    <w:top w:w="0" w:type="dxa"/>
                    <w:left w:w="0" w:type="dxa"/>
                    <w:bottom w:w="0" w:type="dxa"/>
                    <w:right w:w="0" w:type="dxa"/>
                  </w:tcMar>
                  <w:vAlign w:val="center"/>
                </w:tcPr>
                <w:p w14:paraId="4416FD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0.0323</w:t>
                  </w:r>
                </w:p>
              </w:tc>
            </w:tr>
          </w:tbl>
          <w:p w14:paraId="253EA6C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20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③</w:t>
            </w:r>
            <w:r>
              <w:rPr>
                <w:rFonts w:hint="default" w:ascii="Times New Roman" w:hAnsi="Times New Roman" w:eastAsia="宋体" w:cs="Times New Roman"/>
                <w:bCs/>
                <w:color w:val="auto"/>
                <w:sz w:val="21"/>
                <w:szCs w:val="21"/>
              </w:rPr>
              <w:t>非正常排放</w:t>
            </w:r>
          </w:p>
          <w:p w14:paraId="38AED7C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非正常工况是指生产设施非正常工况或污染防治（控制）设施非正常状况，其中生产设施非正常工况指开停炉（机）、设备检修、工艺设备运转异常等工况，污染防治（控制）设施非正常状况指达不到应有治理效率或同步运转率等情况。</w:t>
            </w:r>
          </w:p>
          <w:p w14:paraId="5268BDA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457B62A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一旦废气处理装置出现故障</w:t>
            </w:r>
            <w:r>
              <w:rPr>
                <w:rFonts w:hint="default" w:ascii="Times New Roman" w:hAnsi="Times New Roman" w:eastAsia="宋体" w:cs="Times New Roman"/>
                <w:color w:val="auto"/>
                <w:sz w:val="21"/>
                <w:szCs w:val="21"/>
              </w:rPr>
              <w:t>，则</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处理设施的综合治理效率将达不到规定指标。假设出现上述非正常工况时，废气排放情况如下表所示。</w:t>
            </w:r>
          </w:p>
          <w:p w14:paraId="030263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非正常工况时废气排放情况表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57"/>
              <w:gridCol w:w="850"/>
              <w:gridCol w:w="979"/>
              <w:gridCol w:w="716"/>
              <w:gridCol w:w="485"/>
              <w:gridCol w:w="548"/>
              <w:gridCol w:w="723"/>
              <w:gridCol w:w="631"/>
              <w:gridCol w:w="741"/>
              <w:gridCol w:w="600"/>
              <w:gridCol w:w="1450"/>
            </w:tblGrid>
            <w:tr w14:paraId="078887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92" w:type="pct"/>
                  <w:vMerge w:val="restart"/>
                  <w:tcBorders>
                    <w:tl2br w:val="nil"/>
                    <w:tr2bl w:val="nil"/>
                  </w:tcBorders>
                  <w:noWrap w:val="0"/>
                  <w:vAlign w:val="center"/>
                </w:tcPr>
                <w:p w14:paraId="7F4F9943">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排气筒</w:t>
                  </w:r>
                </w:p>
              </w:tc>
              <w:tc>
                <w:tcPr>
                  <w:tcW w:w="507" w:type="pct"/>
                  <w:vMerge w:val="restart"/>
                  <w:tcBorders>
                    <w:tl2br w:val="nil"/>
                    <w:tr2bl w:val="nil"/>
                  </w:tcBorders>
                  <w:noWrap w:val="0"/>
                  <w:vAlign w:val="center"/>
                </w:tcPr>
                <w:p w14:paraId="5862B1B4">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产生环节</w:t>
                  </w:r>
                </w:p>
              </w:tc>
              <w:tc>
                <w:tcPr>
                  <w:tcW w:w="584" w:type="pct"/>
                  <w:vMerge w:val="restart"/>
                  <w:tcBorders>
                    <w:tl2br w:val="nil"/>
                    <w:tr2bl w:val="nil"/>
                  </w:tcBorders>
                  <w:noWrap w:val="0"/>
                  <w:vAlign w:val="center"/>
                </w:tcPr>
                <w:p w14:paraId="1EC85844">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非正常排放原因</w:t>
                  </w:r>
                </w:p>
              </w:tc>
              <w:tc>
                <w:tcPr>
                  <w:tcW w:w="427" w:type="pct"/>
                  <w:vMerge w:val="restart"/>
                  <w:tcBorders>
                    <w:tl2br w:val="nil"/>
                    <w:tr2bl w:val="nil"/>
                  </w:tcBorders>
                  <w:noWrap w:val="0"/>
                  <w:vAlign w:val="center"/>
                </w:tcPr>
                <w:p w14:paraId="69792122">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sz w:val="21"/>
                      <w:szCs w:val="21"/>
                    </w:rPr>
                    <w:t>污染物种类</w:t>
                  </w:r>
                </w:p>
              </w:tc>
              <w:tc>
                <w:tcPr>
                  <w:tcW w:w="289" w:type="pct"/>
                  <w:vMerge w:val="restart"/>
                  <w:tcBorders>
                    <w:tl2br w:val="nil"/>
                    <w:tr2bl w:val="nil"/>
                  </w:tcBorders>
                  <w:noWrap w:val="0"/>
                  <w:vAlign w:val="center"/>
                </w:tcPr>
                <w:p w14:paraId="48CA1145">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去除</w:t>
                  </w:r>
                </w:p>
                <w:p w14:paraId="7DE53CB2">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率%</w:t>
                  </w:r>
                </w:p>
              </w:tc>
              <w:tc>
                <w:tcPr>
                  <w:tcW w:w="326" w:type="pct"/>
                  <w:vMerge w:val="restart"/>
                  <w:tcBorders>
                    <w:tl2br w:val="nil"/>
                    <w:tr2bl w:val="nil"/>
                  </w:tcBorders>
                  <w:noWrap w:val="0"/>
                  <w:vAlign w:val="center"/>
                </w:tcPr>
                <w:p w14:paraId="20A97252">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排气量m</w:t>
                  </w:r>
                  <w:r>
                    <w:rPr>
                      <w:rFonts w:hint="default" w:ascii="Times New Roman" w:hAnsi="Times New Roman" w:eastAsia="宋体" w:cs="Times New Roman"/>
                      <w:b/>
                      <w:bCs w:val="0"/>
                      <w:color w:val="auto"/>
                      <w:kern w:val="0"/>
                      <w:sz w:val="21"/>
                      <w:szCs w:val="21"/>
                      <w:vertAlign w:val="superscript"/>
                    </w:rPr>
                    <w:t>3</w:t>
                  </w:r>
                  <w:r>
                    <w:rPr>
                      <w:rFonts w:hint="default" w:ascii="Times New Roman" w:hAnsi="Times New Roman" w:eastAsia="宋体" w:cs="Times New Roman"/>
                      <w:b/>
                      <w:bCs w:val="0"/>
                      <w:color w:val="auto"/>
                      <w:kern w:val="0"/>
                      <w:sz w:val="21"/>
                      <w:szCs w:val="21"/>
                    </w:rPr>
                    <w:t>/h</w:t>
                  </w:r>
                </w:p>
              </w:tc>
              <w:tc>
                <w:tcPr>
                  <w:tcW w:w="807" w:type="pct"/>
                  <w:gridSpan w:val="2"/>
                  <w:tcBorders>
                    <w:tl2br w:val="nil"/>
                    <w:tr2bl w:val="nil"/>
                  </w:tcBorders>
                  <w:noWrap w:val="0"/>
                  <w:vAlign w:val="center"/>
                </w:tcPr>
                <w:p w14:paraId="335598C7">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排放情况</w:t>
                  </w:r>
                </w:p>
              </w:tc>
              <w:tc>
                <w:tcPr>
                  <w:tcW w:w="442" w:type="pct"/>
                  <w:vMerge w:val="restart"/>
                  <w:tcBorders>
                    <w:tl2br w:val="nil"/>
                    <w:tr2bl w:val="nil"/>
                  </w:tcBorders>
                  <w:noWrap w:val="0"/>
                  <w:vAlign w:val="center"/>
                </w:tcPr>
                <w:p w14:paraId="4AC7C251">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单次持续时间/h</w:t>
                  </w:r>
                </w:p>
              </w:tc>
              <w:tc>
                <w:tcPr>
                  <w:tcW w:w="357" w:type="pct"/>
                  <w:vMerge w:val="restart"/>
                  <w:tcBorders>
                    <w:tl2br w:val="nil"/>
                    <w:tr2bl w:val="nil"/>
                  </w:tcBorders>
                  <w:noWrap w:val="0"/>
                  <w:vAlign w:val="center"/>
                </w:tcPr>
                <w:p w14:paraId="51512195">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年发生频次/次</w:t>
                  </w:r>
                </w:p>
              </w:tc>
              <w:tc>
                <w:tcPr>
                  <w:tcW w:w="865" w:type="pct"/>
                  <w:vMerge w:val="restart"/>
                  <w:tcBorders>
                    <w:tl2br w:val="nil"/>
                    <w:tr2bl w:val="nil"/>
                  </w:tcBorders>
                  <w:noWrap w:val="0"/>
                  <w:vAlign w:val="center"/>
                </w:tcPr>
                <w:p w14:paraId="3B441C67">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应对措施</w:t>
                  </w:r>
                </w:p>
              </w:tc>
            </w:tr>
            <w:tr w14:paraId="5DF767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92" w:type="pct"/>
                  <w:vMerge w:val="continue"/>
                  <w:tcBorders>
                    <w:tl2br w:val="nil"/>
                    <w:tr2bl w:val="nil"/>
                  </w:tcBorders>
                  <w:noWrap w:val="0"/>
                  <w:vAlign w:val="center"/>
                </w:tcPr>
                <w:p w14:paraId="6780D69C">
                  <w:pPr>
                    <w:widowControl/>
                    <w:jc w:val="center"/>
                    <w:rPr>
                      <w:rFonts w:hint="default" w:ascii="Times New Roman" w:hAnsi="Times New Roman" w:eastAsia="宋体" w:cs="Times New Roman"/>
                      <w:bCs/>
                      <w:color w:val="auto"/>
                      <w:kern w:val="0"/>
                      <w:sz w:val="21"/>
                      <w:szCs w:val="21"/>
                    </w:rPr>
                  </w:pPr>
                </w:p>
              </w:tc>
              <w:tc>
                <w:tcPr>
                  <w:tcW w:w="507" w:type="pct"/>
                  <w:vMerge w:val="continue"/>
                  <w:tcBorders>
                    <w:tl2br w:val="nil"/>
                    <w:tr2bl w:val="nil"/>
                  </w:tcBorders>
                  <w:noWrap w:val="0"/>
                  <w:vAlign w:val="center"/>
                </w:tcPr>
                <w:p w14:paraId="4A688D2D">
                  <w:pPr>
                    <w:widowControl/>
                    <w:jc w:val="center"/>
                    <w:rPr>
                      <w:rFonts w:hint="default" w:ascii="Times New Roman" w:hAnsi="Times New Roman" w:eastAsia="宋体" w:cs="Times New Roman"/>
                      <w:bCs/>
                      <w:color w:val="auto"/>
                      <w:kern w:val="0"/>
                      <w:sz w:val="21"/>
                      <w:szCs w:val="21"/>
                    </w:rPr>
                  </w:pPr>
                </w:p>
              </w:tc>
              <w:tc>
                <w:tcPr>
                  <w:tcW w:w="584" w:type="pct"/>
                  <w:vMerge w:val="continue"/>
                  <w:tcBorders>
                    <w:tl2br w:val="nil"/>
                    <w:tr2bl w:val="nil"/>
                  </w:tcBorders>
                  <w:noWrap w:val="0"/>
                  <w:vAlign w:val="center"/>
                </w:tcPr>
                <w:p w14:paraId="4784AA51">
                  <w:pPr>
                    <w:jc w:val="center"/>
                    <w:rPr>
                      <w:rFonts w:hint="default" w:ascii="Times New Roman" w:hAnsi="Times New Roman" w:eastAsia="宋体" w:cs="Times New Roman"/>
                      <w:bCs/>
                      <w:color w:val="auto"/>
                      <w:kern w:val="0"/>
                      <w:sz w:val="21"/>
                      <w:szCs w:val="21"/>
                    </w:rPr>
                  </w:pPr>
                </w:p>
              </w:tc>
              <w:tc>
                <w:tcPr>
                  <w:tcW w:w="427" w:type="pct"/>
                  <w:vMerge w:val="continue"/>
                  <w:tcBorders>
                    <w:tl2br w:val="nil"/>
                    <w:tr2bl w:val="nil"/>
                  </w:tcBorders>
                  <w:noWrap w:val="0"/>
                  <w:vAlign w:val="center"/>
                </w:tcPr>
                <w:p w14:paraId="07A1E597">
                  <w:pPr>
                    <w:jc w:val="center"/>
                    <w:rPr>
                      <w:rFonts w:hint="default" w:ascii="Times New Roman" w:hAnsi="Times New Roman" w:eastAsia="宋体" w:cs="Times New Roman"/>
                      <w:bCs/>
                      <w:color w:val="auto"/>
                      <w:kern w:val="0"/>
                      <w:sz w:val="21"/>
                      <w:szCs w:val="21"/>
                    </w:rPr>
                  </w:pPr>
                </w:p>
              </w:tc>
              <w:tc>
                <w:tcPr>
                  <w:tcW w:w="289" w:type="pct"/>
                  <w:vMerge w:val="continue"/>
                  <w:tcBorders>
                    <w:tl2br w:val="nil"/>
                    <w:tr2bl w:val="nil"/>
                  </w:tcBorders>
                  <w:noWrap w:val="0"/>
                  <w:vAlign w:val="center"/>
                </w:tcPr>
                <w:p w14:paraId="0397AB2A">
                  <w:pPr>
                    <w:jc w:val="center"/>
                    <w:rPr>
                      <w:rFonts w:hint="default" w:ascii="Times New Roman" w:hAnsi="Times New Roman" w:eastAsia="宋体" w:cs="Times New Roman"/>
                      <w:bCs/>
                      <w:color w:val="auto"/>
                      <w:kern w:val="0"/>
                      <w:sz w:val="21"/>
                      <w:szCs w:val="21"/>
                    </w:rPr>
                  </w:pPr>
                </w:p>
              </w:tc>
              <w:tc>
                <w:tcPr>
                  <w:tcW w:w="326" w:type="pct"/>
                  <w:vMerge w:val="continue"/>
                  <w:tcBorders>
                    <w:tl2br w:val="nil"/>
                    <w:tr2bl w:val="nil"/>
                  </w:tcBorders>
                  <w:noWrap w:val="0"/>
                  <w:vAlign w:val="center"/>
                </w:tcPr>
                <w:p w14:paraId="1A0CEE17">
                  <w:pPr>
                    <w:widowControl/>
                    <w:jc w:val="center"/>
                    <w:rPr>
                      <w:rFonts w:hint="default" w:ascii="Times New Roman" w:hAnsi="Times New Roman" w:eastAsia="宋体" w:cs="Times New Roman"/>
                      <w:bCs/>
                      <w:color w:val="auto"/>
                      <w:kern w:val="0"/>
                      <w:sz w:val="21"/>
                      <w:szCs w:val="21"/>
                    </w:rPr>
                  </w:pPr>
                </w:p>
              </w:tc>
              <w:tc>
                <w:tcPr>
                  <w:tcW w:w="431" w:type="pct"/>
                  <w:tcBorders>
                    <w:tl2br w:val="nil"/>
                    <w:tr2bl w:val="nil"/>
                  </w:tcBorders>
                  <w:noWrap w:val="0"/>
                  <w:vAlign w:val="center"/>
                </w:tcPr>
                <w:p w14:paraId="0495EB44">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浓度mg/m</w:t>
                  </w:r>
                  <w:r>
                    <w:rPr>
                      <w:rFonts w:hint="default" w:ascii="Times New Roman" w:hAnsi="Times New Roman" w:eastAsia="宋体" w:cs="Times New Roman"/>
                      <w:b/>
                      <w:bCs w:val="0"/>
                      <w:color w:val="auto"/>
                      <w:kern w:val="0"/>
                      <w:sz w:val="21"/>
                      <w:szCs w:val="21"/>
                      <w:vertAlign w:val="superscript"/>
                    </w:rPr>
                    <w:t>3</w:t>
                  </w:r>
                </w:p>
              </w:tc>
              <w:tc>
                <w:tcPr>
                  <w:tcW w:w="376" w:type="pct"/>
                  <w:tcBorders>
                    <w:tl2br w:val="nil"/>
                    <w:tr2bl w:val="nil"/>
                  </w:tcBorders>
                  <w:noWrap w:val="0"/>
                  <w:vAlign w:val="center"/>
                </w:tcPr>
                <w:p w14:paraId="2EB47638">
                  <w:pPr>
                    <w:widowControl/>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速率kg/h</w:t>
                  </w:r>
                </w:p>
              </w:tc>
              <w:tc>
                <w:tcPr>
                  <w:tcW w:w="442" w:type="pct"/>
                  <w:vMerge w:val="continue"/>
                  <w:tcBorders>
                    <w:tl2br w:val="nil"/>
                    <w:tr2bl w:val="nil"/>
                  </w:tcBorders>
                  <w:noWrap w:val="0"/>
                  <w:vAlign w:val="center"/>
                </w:tcPr>
                <w:p w14:paraId="63D0E511">
                  <w:pPr>
                    <w:jc w:val="center"/>
                    <w:rPr>
                      <w:rFonts w:hint="default" w:ascii="Times New Roman" w:hAnsi="Times New Roman" w:eastAsia="宋体" w:cs="Times New Roman"/>
                      <w:bCs/>
                      <w:color w:val="auto"/>
                      <w:kern w:val="0"/>
                      <w:sz w:val="21"/>
                      <w:szCs w:val="21"/>
                    </w:rPr>
                  </w:pPr>
                </w:p>
              </w:tc>
              <w:tc>
                <w:tcPr>
                  <w:tcW w:w="357" w:type="pct"/>
                  <w:vMerge w:val="continue"/>
                  <w:tcBorders>
                    <w:tl2br w:val="nil"/>
                    <w:tr2bl w:val="nil"/>
                  </w:tcBorders>
                  <w:noWrap w:val="0"/>
                  <w:vAlign w:val="center"/>
                </w:tcPr>
                <w:p w14:paraId="66F6DD6C">
                  <w:pPr>
                    <w:jc w:val="center"/>
                    <w:rPr>
                      <w:rFonts w:hint="default" w:ascii="Times New Roman" w:hAnsi="Times New Roman" w:eastAsia="宋体" w:cs="Times New Roman"/>
                      <w:bCs/>
                      <w:color w:val="auto"/>
                      <w:kern w:val="0"/>
                      <w:sz w:val="21"/>
                      <w:szCs w:val="21"/>
                    </w:rPr>
                  </w:pPr>
                </w:p>
              </w:tc>
              <w:tc>
                <w:tcPr>
                  <w:tcW w:w="865" w:type="pct"/>
                  <w:vMerge w:val="continue"/>
                  <w:tcBorders>
                    <w:tl2br w:val="nil"/>
                    <w:tr2bl w:val="nil"/>
                  </w:tcBorders>
                  <w:noWrap w:val="0"/>
                  <w:vAlign w:val="center"/>
                </w:tcPr>
                <w:p w14:paraId="77085ABD">
                  <w:pPr>
                    <w:jc w:val="center"/>
                    <w:rPr>
                      <w:rFonts w:hint="default" w:ascii="Times New Roman" w:hAnsi="Times New Roman" w:eastAsia="宋体" w:cs="Times New Roman"/>
                      <w:bCs/>
                      <w:color w:val="auto"/>
                      <w:kern w:val="0"/>
                      <w:sz w:val="21"/>
                      <w:szCs w:val="21"/>
                    </w:rPr>
                  </w:pPr>
                </w:p>
              </w:tc>
            </w:tr>
            <w:tr w14:paraId="65AF50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92" w:type="pct"/>
                  <w:tcBorders>
                    <w:tl2br w:val="nil"/>
                    <w:tr2bl w:val="nil"/>
                  </w:tcBorders>
                  <w:noWrap w:val="0"/>
                  <w:vAlign w:val="center"/>
                </w:tcPr>
                <w:p w14:paraId="4A6A345E">
                  <w:pPr>
                    <w:contextualSpacing/>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DA00</w:t>
                  </w:r>
                  <w:r>
                    <w:rPr>
                      <w:rFonts w:hint="eastAsia" w:ascii="Times New Roman" w:hAnsi="Times New Roman" w:eastAsia="宋体" w:cs="Times New Roman"/>
                      <w:bCs/>
                      <w:color w:val="auto"/>
                      <w:sz w:val="21"/>
                      <w:szCs w:val="21"/>
                      <w:lang w:val="en-US" w:eastAsia="zh-CN"/>
                    </w:rPr>
                    <w:t>2</w:t>
                  </w:r>
                </w:p>
              </w:tc>
              <w:tc>
                <w:tcPr>
                  <w:tcW w:w="507" w:type="pct"/>
                  <w:tcBorders>
                    <w:tl2br w:val="nil"/>
                    <w:tr2bl w:val="nil"/>
                  </w:tcBorders>
                  <w:noWrap w:val="0"/>
                  <w:vAlign w:val="center"/>
                </w:tcPr>
                <w:p w14:paraId="69B590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sz w:val="21"/>
                      <w:szCs w:val="21"/>
                      <w:lang w:val="en-US" w:eastAsia="zh-CN" w:bidi="ar"/>
                    </w:rPr>
                    <w:t>挤出、烘干、测试</w:t>
                  </w:r>
                </w:p>
              </w:tc>
              <w:tc>
                <w:tcPr>
                  <w:tcW w:w="584" w:type="pct"/>
                  <w:vMerge w:val="restart"/>
                  <w:tcBorders>
                    <w:tl2br w:val="nil"/>
                    <w:tr2bl w:val="nil"/>
                  </w:tcBorders>
                  <w:noWrap w:val="0"/>
                  <w:vAlign w:val="center"/>
                </w:tcPr>
                <w:p w14:paraId="2CEFC97E">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废气处理设施故障，达不到规定效率</w:t>
                  </w:r>
                </w:p>
              </w:tc>
              <w:tc>
                <w:tcPr>
                  <w:tcW w:w="427" w:type="pct"/>
                  <w:tcBorders>
                    <w:tl2br w:val="nil"/>
                    <w:tr2bl w:val="nil"/>
                  </w:tcBorders>
                  <w:noWrap w:val="0"/>
                  <w:vAlign w:val="center"/>
                </w:tcPr>
                <w:p w14:paraId="329478F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289" w:type="pct"/>
                  <w:tcBorders>
                    <w:tl2br w:val="nil"/>
                    <w:tr2bl w:val="nil"/>
                  </w:tcBorders>
                  <w:noWrap w:val="0"/>
                  <w:vAlign w:val="center"/>
                </w:tcPr>
                <w:p w14:paraId="53CA56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6" w:type="pct"/>
                  <w:tcBorders>
                    <w:tl2br w:val="nil"/>
                    <w:tr2bl w:val="nil"/>
                  </w:tcBorders>
                  <w:noWrap w:val="0"/>
                  <w:vAlign w:val="center"/>
                </w:tcPr>
                <w:p w14:paraId="788D8C39">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10000</w:t>
                  </w:r>
                </w:p>
              </w:tc>
              <w:tc>
                <w:tcPr>
                  <w:tcW w:w="431" w:type="pct"/>
                  <w:tcBorders>
                    <w:tl2br w:val="nil"/>
                    <w:tr2bl w:val="nil"/>
                  </w:tcBorders>
                  <w:shd w:val="clear" w:color="auto" w:fill="auto"/>
                  <w:noWrap w:val="0"/>
                  <w:vAlign w:val="center"/>
                </w:tcPr>
                <w:p w14:paraId="4207D9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16.2</w:t>
                  </w:r>
                </w:p>
              </w:tc>
              <w:tc>
                <w:tcPr>
                  <w:tcW w:w="376" w:type="pct"/>
                  <w:tcBorders>
                    <w:tl2br w:val="nil"/>
                    <w:tr2bl w:val="nil"/>
                  </w:tcBorders>
                  <w:shd w:val="clear" w:color="auto" w:fill="auto"/>
                  <w:noWrap w:val="0"/>
                  <w:vAlign w:val="center"/>
                </w:tcPr>
                <w:p w14:paraId="48E766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0.162</w:t>
                  </w:r>
                </w:p>
              </w:tc>
              <w:tc>
                <w:tcPr>
                  <w:tcW w:w="442" w:type="pct"/>
                  <w:vMerge w:val="restart"/>
                  <w:tcBorders>
                    <w:tl2br w:val="nil"/>
                    <w:tr2bl w:val="nil"/>
                  </w:tcBorders>
                  <w:noWrap w:val="0"/>
                  <w:vAlign w:val="center"/>
                </w:tcPr>
                <w:p w14:paraId="45A2B17B">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0.5</w:t>
                  </w:r>
                </w:p>
              </w:tc>
              <w:tc>
                <w:tcPr>
                  <w:tcW w:w="357" w:type="pct"/>
                  <w:vMerge w:val="restart"/>
                  <w:tcBorders>
                    <w:tl2br w:val="nil"/>
                    <w:tr2bl w:val="nil"/>
                  </w:tcBorders>
                  <w:noWrap w:val="0"/>
                  <w:vAlign w:val="center"/>
                </w:tcPr>
                <w:p w14:paraId="56F2E7B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865" w:type="pct"/>
                  <w:vMerge w:val="restart"/>
                  <w:tcBorders>
                    <w:tl2br w:val="nil"/>
                    <w:tr2bl w:val="nil"/>
                  </w:tcBorders>
                  <w:noWrap w:val="0"/>
                  <w:vAlign w:val="center"/>
                </w:tcPr>
                <w:p w14:paraId="55C22A9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加强维护、选用可靠设备、废气日常监测与记录，加强管理</w:t>
                  </w:r>
                </w:p>
              </w:tc>
            </w:tr>
            <w:tr w14:paraId="761F8E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92" w:type="pct"/>
                  <w:tcBorders>
                    <w:tl2br w:val="nil"/>
                    <w:tr2bl w:val="nil"/>
                  </w:tcBorders>
                  <w:noWrap w:val="0"/>
                  <w:vAlign w:val="center"/>
                </w:tcPr>
                <w:p w14:paraId="7178A377">
                  <w:pPr>
                    <w:contextualSpacing/>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DA00</w:t>
                  </w:r>
                  <w:r>
                    <w:rPr>
                      <w:rFonts w:hint="eastAsia" w:ascii="Times New Roman" w:hAnsi="Times New Roman" w:eastAsia="宋体" w:cs="Times New Roman"/>
                      <w:bCs/>
                      <w:color w:val="auto"/>
                      <w:sz w:val="21"/>
                      <w:szCs w:val="21"/>
                      <w:lang w:val="en-US" w:eastAsia="zh-CN"/>
                    </w:rPr>
                    <w:t>1</w:t>
                  </w:r>
                </w:p>
              </w:tc>
              <w:tc>
                <w:tcPr>
                  <w:tcW w:w="507" w:type="pct"/>
                  <w:tcBorders>
                    <w:tl2br w:val="nil"/>
                    <w:tr2bl w:val="nil"/>
                  </w:tcBorders>
                  <w:noWrap w:val="0"/>
                  <w:vAlign w:val="center"/>
                </w:tcPr>
                <w:p w14:paraId="25D6A9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bidi="ar"/>
                    </w:rPr>
                  </w:pPr>
                  <w:r>
                    <w:rPr>
                      <w:rFonts w:hint="eastAsia" w:ascii="Times New Roman" w:hAnsi="Times New Roman" w:eastAsia="宋体" w:cs="Times New Roman"/>
                      <w:b w:val="0"/>
                      <w:bCs/>
                      <w:color w:val="auto"/>
                      <w:sz w:val="21"/>
                      <w:szCs w:val="21"/>
                      <w:lang w:val="en-US" w:eastAsia="zh-CN" w:bidi="ar"/>
                    </w:rPr>
                    <w:t>配料、投料</w:t>
                  </w:r>
                </w:p>
              </w:tc>
              <w:tc>
                <w:tcPr>
                  <w:tcW w:w="584" w:type="pct"/>
                  <w:vMerge w:val="continue"/>
                  <w:tcBorders>
                    <w:tl2br w:val="nil"/>
                    <w:tr2bl w:val="nil"/>
                  </w:tcBorders>
                  <w:noWrap w:val="0"/>
                  <w:vAlign w:val="center"/>
                </w:tcPr>
                <w:p w14:paraId="173C0A48">
                  <w:pPr>
                    <w:jc w:val="center"/>
                    <w:rPr>
                      <w:rFonts w:hint="default" w:ascii="Times New Roman" w:hAnsi="Times New Roman" w:eastAsia="宋体" w:cs="Times New Roman"/>
                      <w:color w:val="auto"/>
                      <w:sz w:val="21"/>
                      <w:szCs w:val="21"/>
                    </w:rPr>
                  </w:pPr>
                </w:p>
              </w:tc>
              <w:tc>
                <w:tcPr>
                  <w:tcW w:w="427" w:type="pct"/>
                  <w:tcBorders>
                    <w:tl2br w:val="nil"/>
                    <w:tr2bl w:val="nil"/>
                  </w:tcBorders>
                  <w:noWrap w:val="0"/>
                  <w:vAlign w:val="center"/>
                </w:tcPr>
                <w:p w14:paraId="256E6A9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289" w:type="pct"/>
                  <w:tcBorders>
                    <w:tl2br w:val="nil"/>
                    <w:tr2bl w:val="nil"/>
                  </w:tcBorders>
                  <w:noWrap w:val="0"/>
                  <w:vAlign w:val="center"/>
                </w:tcPr>
                <w:p w14:paraId="7BEB22C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6" w:type="pct"/>
                  <w:tcBorders>
                    <w:tl2br w:val="nil"/>
                    <w:tr2bl w:val="nil"/>
                  </w:tcBorders>
                  <w:noWrap w:val="0"/>
                  <w:vAlign w:val="center"/>
                </w:tcPr>
                <w:p w14:paraId="0B9C381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3000</w:t>
                  </w:r>
                </w:p>
              </w:tc>
              <w:tc>
                <w:tcPr>
                  <w:tcW w:w="431" w:type="pct"/>
                  <w:tcBorders>
                    <w:tl2br w:val="nil"/>
                    <w:tr2bl w:val="nil"/>
                  </w:tcBorders>
                  <w:shd w:val="clear" w:color="auto" w:fill="auto"/>
                  <w:noWrap w:val="0"/>
                  <w:vAlign w:val="center"/>
                </w:tcPr>
                <w:p w14:paraId="19F2C9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97</w:t>
                  </w:r>
                </w:p>
              </w:tc>
              <w:tc>
                <w:tcPr>
                  <w:tcW w:w="376" w:type="pct"/>
                  <w:tcBorders>
                    <w:tl2br w:val="nil"/>
                    <w:tr2bl w:val="nil"/>
                  </w:tcBorders>
                  <w:shd w:val="clear" w:color="auto" w:fill="auto"/>
                  <w:noWrap w:val="0"/>
                  <w:vAlign w:val="center"/>
                </w:tcPr>
                <w:p w14:paraId="4A0816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0.291</w:t>
                  </w:r>
                </w:p>
              </w:tc>
              <w:tc>
                <w:tcPr>
                  <w:tcW w:w="442" w:type="pct"/>
                  <w:vMerge w:val="continue"/>
                  <w:tcBorders>
                    <w:tl2br w:val="nil"/>
                    <w:tr2bl w:val="nil"/>
                  </w:tcBorders>
                  <w:noWrap w:val="0"/>
                  <w:vAlign w:val="center"/>
                </w:tcPr>
                <w:p w14:paraId="337BC999">
                  <w:pPr>
                    <w:widowControl/>
                    <w:jc w:val="center"/>
                    <w:rPr>
                      <w:rFonts w:hint="default" w:ascii="Times New Roman" w:hAnsi="Times New Roman" w:eastAsia="宋体" w:cs="Times New Roman"/>
                      <w:color w:val="auto"/>
                      <w:kern w:val="0"/>
                      <w:sz w:val="21"/>
                      <w:szCs w:val="21"/>
                    </w:rPr>
                  </w:pPr>
                </w:p>
              </w:tc>
              <w:tc>
                <w:tcPr>
                  <w:tcW w:w="357" w:type="pct"/>
                  <w:vMerge w:val="continue"/>
                  <w:tcBorders>
                    <w:tl2br w:val="nil"/>
                    <w:tr2bl w:val="nil"/>
                  </w:tcBorders>
                  <w:noWrap w:val="0"/>
                  <w:vAlign w:val="center"/>
                </w:tcPr>
                <w:p w14:paraId="76B14873">
                  <w:pPr>
                    <w:widowControl/>
                    <w:jc w:val="center"/>
                    <w:rPr>
                      <w:rFonts w:hint="default" w:ascii="Times New Roman" w:hAnsi="Times New Roman" w:eastAsia="宋体" w:cs="Times New Roman"/>
                      <w:color w:val="auto"/>
                      <w:kern w:val="0"/>
                      <w:sz w:val="21"/>
                      <w:szCs w:val="21"/>
                    </w:rPr>
                  </w:pPr>
                </w:p>
              </w:tc>
              <w:tc>
                <w:tcPr>
                  <w:tcW w:w="865" w:type="pct"/>
                  <w:vMerge w:val="continue"/>
                  <w:tcBorders>
                    <w:tl2br w:val="nil"/>
                    <w:tr2bl w:val="nil"/>
                  </w:tcBorders>
                  <w:noWrap w:val="0"/>
                  <w:vAlign w:val="center"/>
                </w:tcPr>
                <w:p w14:paraId="6BC24562">
                  <w:pPr>
                    <w:widowControl/>
                    <w:jc w:val="center"/>
                    <w:rPr>
                      <w:rFonts w:hint="default" w:ascii="Times New Roman" w:hAnsi="Times New Roman" w:eastAsia="宋体" w:cs="Times New Roman"/>
                      <w:color w:val="auto"/>
                      <w:kern w:val="0"/>
                      <w:sz w:val="21"/>
                      <w:szCs w:val="21"/>
                    </w:rPr>
                  </w:pPr>
                </w:p>
              </w:tc>
            </w:tr>
          </w:tbl>
          <w:p w14:paraId="25B9B152">
            <w:pPr>
              <w:spacing w:before="120" w:beforeLines="50" w:line="360" w:lineRule="auto"/>
              <w:ind w:left="420" w:leftChars="200"/>
              <w:rPr>
                <w:b/>
                <w:color w:val="auto"/>
                <w:szCs w:val="21"/>
              </w:rPr>
            </w:pPr>
            <w:r>
              <w:rPr>
                <w:rFonts w:hint="eastAsia"/>
                <w:b/>
                <w:color w:val="auto"/>
                <w:szCs w:val="21"/>
              </w:rPr>
              <w:t>3</w:t>
            </w:r>
            <w:r>
              <w:rPr>
                <w:b/>
                <w:color w:val="auto"/>
                <w:szCs w:val="21"/>
              </w:rPr>
              <w:t>、卫生防护距离</w:t>
            </w:r>
          </w:p>
          <w:p w14:paraId="0BF80762">
            <w:pPr>
              <w:spacing w:line="360" w:lineRule="auto"/>
              <w:ind w:firstLine="420" w:firstLineChars="200"/>
              <w:rPr>
                <w:color w:val="auto"/>
                <w:szCs w:val="21"/>
              </w:rPr>
            </w:pPr>
            <w:r>
              <w:rPr>
                <w:color w:val="auto"/>
                <w:szCs w:val="21"/>
              </w:rPr>
              <w:t>根据《大气有害物质无组织排放卫生防护距离推导技术导则》（GB/T39499-2020），各类工业企业卫生防护距离按下式计算：</w:t>
            </w:r>
          </w:p>
          <w:p w14:paraId="3AA1E66B">
            <w:pPr>
              <w:adjustRightInd w:val="0"/>
              <w:snapToGrid w:val="0"/>
              <w:spacing w:line="360" w:lineRule="auto"/>
              <w:jc w:val="center"/>
              <w:rPr>
                <w:bCs/>
                <w:color w:val="auto"/>
                <w:szCs w:val="21"/>
              </w:rPr>
            </w:pPr>
            <w:r>
              <w:rPr>
                <w:color w:val="auto"/>
                <w:position w:val="-30"/>
                <w:szCs w:val="21"/>
              </w:rPr>
              <w:object>
                <v:shape id="_x0000_i1029" o:spt="75" type="#_x0000_t75" style="height:34.8pt;width:137.3pt;" o:ole="t" filled="f" o:preferrelative="t" stroked="f" coordsize="21600,21600">
                  <v:path/>
                  <v:fill on="f" focussize="0,0"/>
                  <v:stroke on="f"/>
                  <v:imagedata r:id="rId22" o:title=""/>
                  <o:lock v:ext="edit" aspectratio="t"/>
                  <w10:wrap type="none"/>
                  <w10:anchorlock/>
                </v:shape>
                <o:OLEObject Type="Embed" ProgID="Equation.3" ShapeID="_x0000_i1029" DrawAspect="Content" ObjectID="_1468075729" r:id="rId21">
                  <o:LockedField>false</o:LockedField>
                </o:OLEObject>
              </w:object>
            </w:r>
          </w:p>
          <w:p w14:paraId="0AF0EC49">
            <w:pPr>
              <w:adjustRightInd w:val="0"/>
              <w:snapToGrid w:val="0"/>
              <w:spacing w:line="360" w:lineRule="auto"/>
              <w:ind w:firstLine="420" w:firstLineChars="200"/>
              <w:jc w:val="left"/>
              <w:rPr>
                <w:bCs/>
                <w:color w:val="auto"/>
                <w:szCs w:val="21"/>
              </w:rPr>
            </w:pPr>
            <w:r>
              <w:rPr>
                <w:bCs/>
                <w:color w:val="auto"/>
                <w:szCs w:val="21"/>
              </w:rPr>
              <w:t>式中：Qc——大气有害物质的无组织排放量（kg/h）；</w:t>
            </w:r>
          </w:p>
          <w:p w14:paraId="2F686F7D">
            <w:pPr>
              <w:adjustRightInd w:val="0"/>
              <w:snapToGrid w:val="0"/>
              <w:spacing w:line="360" w:lineRule="auto"/>
              <w:ind w:firstLine="1050" w:firstLineChars="500"/>
              <w:jc w:val="left"/>
              <w:rPr>
                <w:bCs/>
                <w:color w:val="auto"/>
                <w:szCs w:val="21"/>
              </w:rPr>
            </w:pPr>
            <w:r>
              <w:rPr>
                <w:bCs/>
                <w:color w:val="auto"/>
                <w:szCs w:val="21"/>
              </w:rPr>
              <w:t>C</w:t>
            </w:r>
            <w:r>
              <w:rPr>
                <w:bCs/>
                <w:color w:val="auto"/>
                <w:szCs w:val="21"/>
                <w:vertAlign w:val="subscript"/>
              </w:rPr>
              <w:t>m</w:t>
            </w:r>
            <w:r>
              <w:rPr>
                <w:bCs/>
                <w:color w:val="auto"/>
                <w:szCs w:val="21"/>
              </w:rPr>
              <w:t>——大气有害物质环境空气质量的标准限值（mg/m</w:t>
            </w:r>
            <w:r>
              <w:rPr>
                <w:bCs/>
                <w:color w:val="auto"/>
                <w:szCs w:val="21"/>
                <w:vertAlign w:val="superscript"/>
              </w:rPr>
              <w:t>3</w:t>
            </w:r>
            <w:r>
              <w:rPr>
                <w:bCs/>
                <w:color w:val="auto"/>
                <w:szCs w:val="21"/>
              </w:rPr>
              <w:t>）；</w:t>
            </w:r>
          </w:p>
          <w:p w14:paraId="226D694F">
            <w:pPr>
              <w:adjustRightInd w:val="0"/>
              <w:snapToGrid w:val="0"/>
              <w:spacing w:line="360" w:lineRule="auto"/>
              <w:ind w:firstLine="1050" w:firstLineChars="500"/>
              <w:jc w:val="left"/>
              <w:rPr>
                <w:bCs/>
                <w:color w:val="auto"/>
                <w:szCs w:val="21"/>
              </w:rPr>
            </w:pPr>
            <w:r>
              <w:rPr>
                <w:bCs/>
                <w:color w:val="auto"/>
                <w:szCs w:val="21"/>
              </w:rPr>
              <w:t>L——大气有害物质卫生防护距离初值（m）；</w:t>
            </w:r>
          </w:p>
          <w:p w14:paraId="3102A944">
            <w:pPr>
              <w:adjustRightInd w:val="0"/>
              <w:snapToGrid w:val="0"/>
              <w:spacing w:line="360" w:lineRule="auto"/>
              <w:ind w:firstLine="1050" w:firstLineChars="500"/>
              <w:jc w:val="left"/>
              <w:rPr>
                <w:bCs/>
                <w:color w:val="auto"/>
                <w:szCs w:val="21"/>
              </w:rPr>
            </w:pPr>
            <w:r>
              <w:rPr>
                <w:bCs/>
                <w:color w:val="auto"/>
                <w:szCs w:val="21"/>
              </w:rPr>
              <w:t>r——大气有害物质无组织排放源所在生产单元的等效半径（m）；</w:t>
            </w:r>
          </w:p>
          <w:p w14:paraId="3D2245CC">
            <w:pPr>
              <w:adjustRightInd w:val="0"/>
              <w:snapToGrid w:val="0"/>
              <w:spacing w:line="360" w:lineRule="auto"/>
              <w:ind w:firstLine="1050" w:firstLineChars="500"/>
              <w:jc w:val="left"/>
              <w:rPr>
                <w:bCs/>
                <w:color w:val="auto"/>
                <w:szCs w:val="21"/>
              </w:rPr>
            </w:pPr>
            <w:r>
              <w:rPr>
                <w:bCs/>
                <w:color w:val="auto"/>
                <w:szCs w:val="21"/>
              </w:rPr>
              <w:t>A、B、C、D——卫生防护距离计算系数；</w:t>
            </w:r>
          </w:p>
          <w:p w14:paraId="7EB69800">
            <w:pPr>
              <w:adjustRightInd w:val="0"/>
              <w:snapToGrid w:val="0"/>
              <w:spacing w:line="360" w:lineRule="auto"/>
              <w:ind w:firstLine="420" w:firstLineChars="200"/>
              <w:jc w:val="left"/>
              <w:rPr>
                <w:bCs/>
                <w:color w:val="auto"/>
                <w:szCs w:val="21"/>
              </w:rPr>
            </w:pPr>
            <w:r>
              <w:rPr>
                <w:bCs/>
                <w:color w:val="auto"/>
                <w:szCs w:val="21"/>
              </w:rPr>
              <w:t>各参数取值见下表。</w:t>
            </w:r>
          </w:p>
          <w:p w14:paraId="21D93AB5">
            <w:pPr>
              <w:keepNext w:val="0"/>
              <w:keepLines w:val="0"/>
              <w:pageBreakBefore w:val="0"/>
              <w:widowControl w:val="0"/>
              <w:kinsoku/>
              <w:wordWrap/>
              <w:overflowPunct/>
              <w:topLinePunct w:val="0"/>
              <w:autoSpaceDE/>
              <w:autoSpaceDN/>
              <w:bidi w:val="0"/>
              <w:adjustRightInd/>
              <w:snapToGrid/>
              <w:jc w:val="center"/>
              <w:textAlignment w:val="auto"/>
              <w:rPr>
                <w:b/>
                <w:color w:val="auto"/>
                <w:szCs w:val="21"/>
              </w:rPr>
            </w:pPr>
            <w:r>
              <w:rPr>
                <w:b/>
                <w:color w:val="auto"/>
                <w:szCs w:val="21"/>
              </w:rPr>
              <w:t>表4-</w:t>
            </w:r>
            <w:r>
              <w:rPr>
                <w:rFonts w:hint="eastAsia"/>
                <w:b/>
                <w:color w:val="auto"/>
                <w:szCs w:val="21"/>
                <w:lang w:val="en-US" w:eastAsia="zh-CN"/>
              </w:rPr>
              <w:t>14</w:t>
            </w:r>
            <w:r>
              <w:rPr>
                <w:b/>
                <w:color w:val="auto"/>
                <w:szCs w:val="21"/>
              </w:rPr>
              <w:t xml:space="preserve"> 卫生防护距离计算系数</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62"/>
              <w:gridCol w:w="1302"/>
              <w:gridCol w:w="634"/>
              <w:gridCol w:w="634"/>
              <w:gridCol w:w="637"/>
              <w:gridCol w:w="635"/>
              <w:gridCol w:w="635"/>
              <w:gridCol w:w="635"/>
              <w:gridCol w:w="635"/>
              <w:gridCol w:w="635"/>
              <w:gridCol w:w="635"/>
            </w:tblGrid>
            <w:tr w14:paraId="0034C8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noWrap w:val="0"/>
                  <w:tcMar>
                    <w:top w:w="0" w:type="dxa"/>
                    <w:left w:w="0" w:type="dxa"/>
                    <w:bottom w:w="0" w:type="dxa"/>
                    <w:right w:w="0" w:type="dxa"/>
                  </w:tcMar>
                  <w:vAlign w:val="center"/>
                </w:tcPr>
                <w:p w14:paraId="2828584D">
                  <w:pPr>
                    <w:snapToGrid w:val="0"/>
                    <w:jc w:val="center"/>
                    <w:rPr>
                      <w:b/>
                      <w:bCs/>
                      <w:color w:val="auto"/>
                      <w:szCs w:val="21"/>
                    </w:rPr>
                  </w:pPr>
                  <w:r>
                    <w:rPr>
                      <w:b/>
                      <w:bCs/>
                      <w:color w:val="auto"/>
                      <w:szCs w:val="21"/>
                    </w:rPr>
                    <w:t>计算系数</w:t>
                  </w:r>
                </w:p>
              </w:tc>
              <w:tc>
                <w:tcPr>
                  <w:tcW w:w="776" w:type="pct"/>
                  <w:vMerge w:val="restart"/>
                  <w:noWrap w:val="0"/>
                  <w:tcMar>
                    <w:top w:w="0" w:type="dxa"/>
                    <w:left w:w="0" w:type="dxa"/>
                    <w:bottom w:w="0" w:type="dxa"/>
                    <w:right w:w="0" w:type="dxa"/>
                  </w:tcMar>
                  <w:vAlign w:val="center"/>
                </w:tcPr>
                <w:p w14:paraId="0CC771EB">
                  <w:pPr>
                    <w:snapToGrid w:val="0"/>
                    <w:jc w:val="center"/>
                    <w:rPr>
                      <w:b/>
                      <w:bCs/>
                      <w:color w:val="auto"/>
                      <w:szCs w:val="21"/>
                    </w:rPr>
                  </w:pPr>
                  <w:r>
                    <w:rPr>
                      <w:b/>
                      <w:bCs/>
                      <w:color w:val="auto"/>
                      <w:szCs w:val="21"/>
                    </w:rPr>
                    <w:t>5年平均风速，m/s</w:t>
                  </w:r>
                </w:p>
              </w:tc>
              <w:tc>
                <w:tcPr>
                  <w:tcW w:w="3409" w:type="pct"/>
                  <w:gridSpan w:val="9"/>
                  <w:noWrap w:val="0"/>
                  <w:tcMar>
                    <w:top w:w="0" w:type="dxa"/>
                    <w:left w:w="0" w:type="dxa"/>
                    <w:bottom w:w="0" w:type="dxa"/>
                    <w:right w:w="0" w:type="dxa"/>
                  </w:tcMar>
                  <w:vAlign w:val="center"/>
                </w:tcPr>
                <w:p w14:paraId="3EC04D67">
                  <w:pPr>
                    <w:snapToGrid w:val="0"/>
                    <w:jc w:val="center"/>
                    <w:rPr>
                      <w:b/>
                      <w:bCs/>
                      <w:color w:val="auto"/>
                      <w:szCs w:val="21"/>
                    </w:rPr>
                  </w:pPr>
                  <w:r>
                    <w:rPr>
                      <w:b/>
                      <w:bCs/>
                      <w:color w:val="auto"/>
                      <w:szCs w:val="21"/>
                    </w:rPr>
                    <w:t>卫生防护距离L（m）</w:t>
                  </w:r>
                </w:p>
              </w:tc>
            </w:tr>
            <w:tr w14:paraId="2A5A95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noWrap w:val="0"/>
                  <w:tcMar>
                    <w:top w:w="0" w:type="dxa"/>
                    <w:left w:w="0" w:type="dxa"/>
                    <w:bottom w:w="0" w:type="dxa"/>
                    <w:right w:w="0" w:type="dxa"/>
                  </w:tcMar>
                  <w:vAlign w:val="center"/>
                </w:tcPr>
                <w:p w14:paraId="53A5E46B">
                  <w:pPr>
                    <w:snapToGrid w:val="0"/>
                    <w:jc w:val="center"/>
                    <w:rPr>
                      <w:color w:val="auto"/>
                      <w:szCs w:val="21"/>
                    </w:rPr>
                  </w:pPr>
                </w:p>
              </w:tc>
              <w:tc>
                <w:tcPr>
                  <w:tcW w:w="776" w:type="pct"/>
                  <w:vMerge w:val="continue"/>
                  <w:noWrap w:val="0"/>
                  <w:tcMar>
                    <w:top w:w="0" w:type="dxa"/>
                    <w:left w:w="0" w:type="dxa"/>
                    <w:bottom w:w="0" w:type="dxa"/>
                    <w:right w:w="0" w:type="dxa"/>
                  </w:tcMar>
                  <w:vAlign w:val="center"/>
                </w:tcPr>
                <w:p w14:paraId="3E5F49B9">
                  <w:pPr>
                    <w:snapToGrid w:val="0"/>
                    <w:jc w:val="center"/>
                    <w:rPr>
                      <w:color w:val="auto"/>
                      <w:szCs w:val="21"/>
                    </w:rPr>
                  </w:pPr>
                </w:p>
              </w:tc>
              <w:tc>
                <w:tcPr>
                  <w:tcW w:w="1136" w:type="pct"/>
                  <w:gridSpan w:val="3"/>
                  <w:noWrap w:val="0"/>
                  <w:tcMar>
                    <w:top w:w="0" w:type="dxa"/>
                    <w:left w:w="0" w:type="dxa"/>
                    <w:bottom w:w="0" w:type="dxa"/>
                    <w:right w:w="0" w:type="dxa"/>
                  </w:tcMar>
                  <w:vAlign w:val="center"/>
                </w:tcPr>
                <w:p w14:paraId="1B77A0F3">
                  <w:pPr>
                    <w:snapToGrid w:val="0"/>
                    <w:jc w:val="center"/>
                    <w:rPr>
                      <w:color w:val="auto"/>
                      <w:szCs w:val="21"/>
                    </w:rPr>
                  </w:pPr>
                  <w:r>
                    <w:rPr>
                      <w:color w:val="auto"/>
                      <w:szCs w:val="21"/>
                    </w:rPr>
                    <w:t>L≤1000</w:t>
                  </w:r>
                </w:p>
              </w:tc>
              <w:tc>
                <w:tcPr>
                  <w:tcW w:w="1136" w:type="pct"/>
                  <w:gridSpan w:val="3"/>
                  <w:noWrap w:val="0"/>
                  <w:tcMar>
                    <w:top w:w="0" w:type="dxa"/>
                    <w:left w:w="0" w:type="dxa"/>
                    <w:bottom w:w="0" w:type="dxa"/>
                    <w:right w:w="0" w:type="dxa"/>
                  </w:tcMar>
                  <w:vAlign w:val="center"/>
                </w:tcPr>
                <w:p w14:paraId="7922DEFB">
                  <w:pPr>
                    <w:snapToGrid w:val="0"/>
                    <w:jc w:val="center"/>
                    <w:rPr>
                      <w:color w:val="auto"/>
                      <w:szCs w:val="21"/>
                    </w:rPr>
                  </w:pPr>
                  <w:r>
                    <w:rPr>
                      <w:color w:val="auto"/>
                      <w:szCs w:val="21"/>
                    </w:rPr>
                    <w:t>1000＜L≤2000</w:t>
                  </w:r>
                </w:p>
              </w:tc>
              <w:tc>
                <w:tcPr>
                  <w:tcW w:w="1136" w:type="pct"/>
                  <w:gridSpan w:val="3"/>
                  <w:noWrap w:val="0"/>
                  <w:tcMar>
                    <w:top w:w="0" w:type="dxa"/>
                    <w:left w:w="0" w:type="dxa"/>
                    <w:bottom w:w="0" w:type="dxa"/>
                    <w:right w:w="0" w:type="dxa"/>
                  </w:tcMar>
                  <w:vAlign w:val="center"/>
                </w:tcPr>
                <w:p w14:paraId="52874CB5">
                  <w:pPr>
                    <w:snapToGrid w:val="0"/>
                    <w:jc w:val="center"/>
                    <w:rPr>
                      <w:color w:val="auto"/>
                      <w:szCs w:val="21"/>
                    </w:rPr>
                  </w:pPr>
                  <w:r>
                    <w:rPr>
                      <w:color w:val="auto"/>
                      <w:szCs w:val="21"/>
                    </w:rPr>
                    <w:t>L＞2000</w:t>
                  </w:r>
                </w:p>
              </w:tc>
            </w:tr>
            <w:tr w14:paraId="4C70E9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noWrap w:val="0"/>
                  <w:tcMar>
                    <w:top w:w="0" w:type="dxa"/>
                    <w:left w:w="0" w:type="dxa"/>
                    <w:bottom w:w="0" w:type="dxa"/>
                    <w:right w:w="0" w:type="dxa"/>
                  </w:tcMar>
                  <w:vAlign w:val="center"/>
                </w:tcPr>
                <w:p w14:paraId="6DC64A14">
                  <w:pPr>
                    <w:snapToGrid w:val="0"/>
                    <w:jc w:val="center"/>
                    <w:rPr>
                      <w:color w:val="auto"/>
                      <w:szCs w:val="21"/>
                    </w:rPr>
                  </w:pPr>
                </w:p>
              </w:tc>
              <w:tc>
                <w:tcPr>
                  <w:tcW w:w="776" w:type="pct"/>
                  <w:vMerge w:val="continue"/>
                  <w:noWrap w:val="0"/>
                  <w:tcMar>
                    <w:top w:w="0" w:type="dxa"/>
                    <w:left w:w="0" w:type="dxa"/>
                    <w:bottom w:w="0" w:type="dxa"/>
                    <w:right w:w="0" w:type="dxa"/>
                  </w:tcMar>
                  <w:vAlign w:val="center"/>
                </w:tcPr>
                <w:p w14:paraId="2D7FE0C2">
                  <w:pPr>
                    <w:snapToGrid w:val="0"/>
                    <w:jc w:val="center"/>
                    <w:rPr>
                      <w:color w:val="auto"/>
                      <w:szCs w:val="21"/>
                    </w:rPr>
                  </w:pPr>
                </w:p>
              </w:tc>
              <w:tc>
                <w:tcPr>
                  <w:tcW w:w="3409" w:type="pct"/>
                  <w:gridSpan w:val="9"/>
                  <w:noWrap w:val="0"/>
                  <w:tcMar>
                    <w:top w:w="0" w:type="dxa"/>
                    <w:left w:w="0" w:type="dxa"/>
                    <w:bottom w:w="0" w:type="dxa"/>
                    <w:right w:w="0" w:type="dxa"/>
                  </w:tcMar>
                  <w:vAlign w:val="center"/>
                </w:tcPr>
                <w:p w14:paraId="0DF70719">
                  <w:pPr>
                    <w:snapToGrid w:val="0"/>
                    <w:jc w:val="center"/>
                    <w:rPr>
                      <w:b/>
                      <w:bCs/>
                      <w:color w:val="auto"/>
                      <w:szCs w:val="21"/>
                    </w:rPr>
                  </w:pPr>
                  <w:r>
                    <w:rPr>
                      <w:b/>
                      <w:bCs/>
                      <w:color w:val="auto"/>
                      <w:szCs w:val="21"/>
                    </w:rPr>
                    <w:t>工业大气污染源构成类别</w:t>
                  </w:r>
                </w:p>
              </w:tc>
            </w:tr>
            <w:tr w14:paraId="080518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noWrap w:val="0"/>
                  <w:tcMar>
                    <w:top w:w="0" w:type="dxa"/>
                    <w:left w:w="0" w:type="dxa"/>
                    <w:bottom w:w="0" w:type="dxa"/>
                    <w:right w:w="0" w:type="dxa"/>
                  </w:tcMar>
                  <w:vAlign w:val="center"/>
                </w:tcPr>
                <w:p w14:paraId="402BDFAF">
                  <w:pPr>
                    <w:snapToGrid w:val="0"/>
                    <w:jc w:val="center"/>
                    <w:rPr>
                      <w:color w:val="auto"/>
                      <w:szCs w:val="21"/>
                    </w:rPr>
                  </w:pPr>
                </w:p>
              </w:tc>
              <w:tc>
                <w:tcPr>
                  <w:tcW w:w="776" w:type="pct"/>
                  <w:vMerge w:val="continue"/>
                  <w:noWrap w:val="0"/>
                  <w:tcMar>
                    <w:top w:w="0" w:type="dxa"/>
                    <w:left w:w="0" w:type="dxa"/>
                    <w:bottom w:w="0" w:type="dxa"/>
                    <w:right w:w="0" w:type="dxa"/>
                  </w:tcMar>
                  <w:vAlign w:val="center"/>
                </w:tcPr>
                <w:p w14:paraId="0BFFBA22">
                  <w:pPr>
                    <w:snapToGrid w:val="0"/>
                    <w:jc w:val="center"/>
                    <w:rPr>
                      <w:color w:val="auto"/>
                      <w:szCs w:val="21"/>
                    </w:rPr>
                  </w:pPr>
                </w:p>
              </w:tc>
              <w:tc>
                <w:tcPr>
                  <w:tcW w:w="378" w:type="pct"/>
                  <w:noWrap w:val="0"/>
                  <w:tcMar>
                    <w:top w:w="0" w:type="dxa"/>
                    <w:left w:w="0" w:type="dxa"/>
                    <w:bottom w:w="0" w:type="dxa"/>
                    <w:right w:w="0" w:type="dxa"/>
                  </w:tcMar>
                  <w:vAlign w:val="center"/>
                </w:tcPr>
                <w:p w14:paraId="68B7005E">
                  <w:pPr>
                    <w:snapToGrid w:val="0"/>
                    <w:jc w:val="center"/>
                    <w:rPr>
                      <w:color w:val="auto"/>
                      <w:szCs w:val="21"/>
                    </w:rPr>
                  </w:pPr>
                  <w:r>
                    <w:rPr>
                      <w:color w:val="auto"/>
                      <w:szCs w:val="21"/>
                    </w:rPr>
                    <w:t>Ⅰ</w:t>
                  </w:r>
                </w:p>
              </w:tc>
              <w:tc>
                <w:tcPr>
                  <w:tcW w:w="378" w:type="pct"/>
                  <w:noWrap w:val="0"/>
                  <w:tcMar>
                    <w:top w:w="0" w:type="dxa"/>
                    <w:left w:w="0" w:type="dxa"/>
                    <w:bottom w:w="0" w:type="dxa"/>
                    <w:right w:w="0" w:type="dxa"/>
                  </w:tcMar>
                  <w:vAlign w:val="center"/>
                </w:tcPr>
                <w:p w14:paraId="29D451C2">
                  <w:pPr>
                    <w:snapToGrid w:val="0"/>
                    <w:jc w:val="center"/>
                    <w:rPr>
                      <w:color w:val="auto"/>
                      <w:szCs w:val="21"/>
                    </w:rPr>
                  </w:pPr>
                  <w:r>
                    <w:rPr>
                      <w:color w:val="auto"/>
                      <w:szCs w:val="21"/>
                    </w:rPr>
                    <w:t>Ⅱ</w:t>
                  </w:r>
                </w:p>
              </w:tc>
              <w:tc>
                <w:tcPr>
                  <w:tcW w:w="380" w:type="pct"/>
                  <w:noWrap w:val="0"/>
                  <w:tcMar>
                    <w:top w:w="0" w:type="dxa"/>
                    <w:left w:w="0" w:type="dxa"/>
                    <w:bottom w:w="0" w:type="dxa"/>
                    <w:right w:w="0" w:type="dxa"/>
                  </w:tcMar>
                  <w:vAlign w:val="center"/>
                </w:tcPr>
                <w:p w14:paraId="03BE4CB0">
                  <w:pPr>
                    <w:snapToGrid w:val="0"/>
                    <w:jc w:val="center"/>
                    <w:rPr>
                      <w:color w:val="auto"/>
                      <w:szCs w:val="21"/>
                    </w:rPr>
                  </w:pPr>
                  <w:r>
                    <w:rPr>
                      <w:color w:val="auto"/>
                      <w:szCs w:val="21"/>
                    </w:rPr>
                    <w:t>Ⅲ</w:t>
                  </w:r>
                </w:p>
              </w:tc>
              <w:tc>
                <w:tcPr>
                  <w:tcW w:w="378" w:type="pct"/>
                  <w:noWrap w:val="0"/>
                  <w:tcMar>
                    <w:top w:w="0" w:type="dxa"/>
                    <w:left w:w="0" w:type="dxa"/>
                    <w:bottom w:w="0" w:type="dxa"/>
                    <w:right w:w="0" w:type="dxa"/>
                  </w:tcMar>
                  <w:vAlign w:val="center"/>
                </w:tcPr>
                <w:p w14:paraId="519A502D">
                  <w:pPr>
                    <w:snapToGrid w:val="0"/>
                    <w:jc w:val="center"/>
                    <w:rPr>
                      <w:color w:val="auto"/>
                      <w:szCs w:val="21"/>
                    </w:rPr>
                  </w:pPr>
                  <w:r>
                    <w:rPr>
                      <w:color w:val="auto"/>
                      <w:szCs w:val="21"/>
                    </w:rPr>
                    <w:t>Ⅰ</w:t>
                  </w:r>
                </w:p>
              </w:tc>
              <w:tc>
                <w:tcPr>
                  <w:tcW w:w="378" w:type="pct"/>
                  <w:noWrap w:val="0"/>
                  <w:tcMar>
                    <w:top w:w="0" w:type="dxa"/>
                    <w:left w:w="0" w:type="dxa"/>
                    <w:bottom w:w="0" w:type="dxa"/>
                    <w:right w:w="0" w:type="dxa"/>
                  </w:tcMar>
                  <w:vAlign w:val="center"/>
                </w:tcPr>
                <w:p w14:paraId="5E14EF35">
                  <w:pPr>
                    <w:snapToGrid w:val="0"/>
                    <w:jc w:val="center"/>
                    <w:rPr>
                      <w:color w:val="auto"/>
                      <w:szCs w:val="21"/>
                    </w:rPr>
                  </w:pPr>
                  <w:r>
                    <w:rPr>
                      <w:color w:val="auto"/>
                      <w:szCs w:val="21"/>
                    </w:rPr>
                    <w:t>Ⅱ</w:t>
                  </w:r>
                </w:p>
              </w:tc>
              <w:tc>
                <w:tcPr>
                  <w:tcW w:w="378" w:type="pct"/>
                  <w:noWrap w:val="0"/>
                  <w:tcMar>
                    <w:top w:w="0" w:type="dxa"/>
                    <w:left w:w="0" w:type="dxa"/>
                    <w:bottom w:w="0" w:type="dxa"/>
                    <w:right w:w="0" w:type="dxa"/>
                  </w:tcMar>
                  <w:vAlign w:val="center"/>
                </w:tcPr>
                <w:p w14:paraId="637142FB">
                  <w:pPr>
                    <w:snapToGrid w:val="0"/>
                    <w:jc w:val="center"/>
                    <w:rPr>
                      <w:color w:val="auto"/>
                      <w:szCs w:val="21"/>
                    </w:rPr>
                  </w:pPr>
                  <w:r>
                    <w:rPr>
                      <w:color w:val="auto"/>
                      <w:szCs w:val="21"/>
                    </w:rPr>
                    <w:t>Ⅲ</w:t>
                  </w:r>
                </w:p>
              </w:tc>
              <w:tc>
                <w:tcPr>
                  <w:tcW w:w="378" w:type="pct"/>
                  <w:noWrap w:val="0"/>
                  <w:tcMar>
                    <w:top w:w="0" w:type="dxa"/>
                    <w:left w:w="0" w:type="dxa"/>
                    <w:bottom w:w="0" w:type="dxa"/>
                    <w:right w:w="0" w:type="dxa"/>
                  </w:tcMar>
                  <w:vAlign w:val="center"/>
                </w:tcPr>
                <w:p w14:paraId="482F1215">
                  <w:pPr>
                    <w:snapToGrid w:val="0"/>
                    <w:jc w:val="center"/>
                    <w:rPr>
                      <w:color w:val="auto"/>
                      <w:szCs w:val="21"/>
                    </w:rPr>
                  </w:pPr>
                  <w:r>
                    <w:rPr>
                      <w:color w:val="auto"/>
                      <w:szCs w:val="21"/>
                    </w:rPr>
                    <w:t>Ⅰ</w:t>
                  </w:r>
                </w:p>
              </w:tc>
              <w:tc>
                <w:tcPr>
                  <w:tcW w:w="378" w:type="pct"/>
                  <w:noWrap w:val="0"/>
                  <w:tcMar>
                    <w:top w:w="0" w:type="dxa"/>
                    <w:left w:w="0" w:type="dxa"/>
                    <w:bottom w:w="0" w:type="dxa"/>
                    <w:right w:w="0" w:type="dxa"/>
                  </w:tcMar>
                  <w:vAlign w:val="center"/>
                </w:tcPr>
                <w:p w14:paraId="4029F696">
                  <w:pPr>
                    <w:snapToGrid w:val="0"/>
                    <w:jc w:val="center"/>
                    <w:rPr>
                      <w:color w:val="auto"/>
                      <w:szCs w:val="21"/>
                    </w:rPr>
                  </w:pPr>
                  <w:r>
                    <w:rPr>
                      <w:color w:val="auto"/>
                      <w:szCs w:val="21"/>
                    </w:rPr>
                    <w:t>Ⅱ</w:t>
                  </w:r>
                </w:p>
              </w:tc>
              <w:tc>
                <w:tcPr>
                  <w:tcW w:w="378" w:type="pct"/>
                  <w:noWrap w:val="0"/>
                  <w:tcMar>
                    <w:top w:w="0" w:type="dxa"/>
                    <w:left w:w="0" w:type="dxa"/>
                    <w:bottom w:w="0" w:type="dxa"/>
                    <w:right w:w="0" w:type="dxa"/>
                  </w:tcMar>
                  <w:vAlign w:val="center"/>
                </w:tcPr>
                <w:p w14:paraId="22181D70">
                  <w:pPr>
                    <w:snapToGrid w:val="0"/>
                    <w:jc w:val="center"/>
                    <w:rPr>
                      <w:color w:val="auto"/>
                      <w:szCs w:val="21"/>
                    </w:rPr>
                  </w:pPr>
                  <w:r>
                    <w:rPr>
                      <w:color w:val="auto"/>
                      <w:szCs w:val="21"/>
                    </w:rPr>
                    <w:t>Ⅲ</w:t>
                  </w:r>
                </w:p>
              </w:tc>
            </w:tr>
            <w:tr w14:paraId="5836A9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noWrap w:val="0"/>
                  <w:tcMar>
                    <w:top w:w="0" w:type="dxa"/>
                    <w:left w:w="0" w:type="dxa"/>
                    <w:bottom w:w="0" w:type="dxa"/>
                    <w:right w:w="0" w:type="dxa"/>
                  </w:tcMar>
                  <w:vAlign w:val="center"/>
                </w:tcPr>
                <w:p w14:paraId="314D6E59">
                  <w:pPr>
                    <w:snapToGrid w:val="0"/>
                    <w:jc w:val="center"/>
                    <w:rPr>
                      <w:color w:val="auto"/>
                      <w:szCs w:val="21"/>
                    </w:rPr>
                  </w:pPr>
                  <w:r>
                    <w:rPr>
                      <w:color w:val="auto"/>
                      <w:szCs w:val="21"/>
                    </w:rPr>
                    <w:t>A</w:t>
                  </w:r>
                </w:p>
              </w:tc>
              <w:tc>
                <w:tcPr>
                  <w:tcW w:w="776" w:type="pct"/>
                  <w:noWrap w:val="0"/>
                  <w:tcMar>
                    <w:top w:w="0" w:type="dxa"/>
                    <w:left w:w="0" w:type="dxa"/>
                    <w:bottom w:w="0" w:type="dxa"/>
                    <w:right w:w="0" w:type="dxa"/>
                  </w:tcMar>
                  <w:vAlign w:val="center"/>
                </w:tcPr>
                <w:p w14:paraId="1521163E">
                  <w:pPr>
                    <w:snapToGrid w:val="0"/>
                    <w:jc w:val="center"/>
                    <w:rPr>
                      <w:color w:val="auto"/>
                      <w:szCs w:val="21"/>
                    </w:rPr>
                  </w:pPr>
                  <w:r>
                    <w:rPr>
                      <w:color w:val="auto"/>
                      <w:szCs w:val="21"/>
                    </w:rPr>
                    <w:t>＜2</w:t>
                  </w:r>
                </w:p>
              </w:tc>
              <w:tc>
                <w:tcPr>
                  <w:tcW w:w="378" w:type="pct"/>
                  <w:noWrap w:val="0"/>
                  <w:tcMar>
                    <w:top w:w="0" w:type="dxa"/>
                    <w:left w:w="0" w:type="dxa"/>
                    <w:bottom w:w="0" w:type="dxa"/>
                    <w:right w:w="0" w:type="dxa"/>
                  </w:tcMar>
                  <w:vAlign w:val="center"/>
                </w:tcPr>
                <w:p w14:paraId="3C3713BE">
                  <w:pPr>
                    <w:snapToGrid w:val="0"/>
                    <w:jc w:val="center"/>
                    <w:rPr>
                      <w:color w:val="auto"/>
                      <w:szCs w:val="21"/>
                    </w:rPr>
                  </w:pPr>
                  <w:r>
                    <w:rPr>
                      <w:color w:val="auto"/>
                      <w:szCs w:val="21"/>
                    </w:rPr>
                    <w:t>400</w:t>
                  </w:r>
                </w:p>
              </w:tc>
              <w:tc>
                <w:tcPr>
                  <w:tcW w:w="378" w:type="pct"/>
                  <w:noWrap w:val="0"/>
                  <w:tcMar>
                    <w:top w:w="0" w:type="dxa"/>
                    <w:left w:w="0" w:type="dxa"/>
                    <w:bottom w:w="0" w:type="dxa"/>
                    <w:right w:w="0" w:type="dxa"/>
                  </w:tcMar>
                  <w:vAlign w:val="center"/>
                </w:tcPr>
                <w:p w14:paraId="7838C27C">
                  <w:pPr>
                    <w:snapToGrid w:val="0"/>
                    <w:jc w:val="center"/>
                    <w:rPr>
                      <w:color w:val="auto"/>
                      <w:szCs w:val="21"/>
                      <w:highlight w:val="none"/>
                    </w:rPr>
                  </w:pPr>
                  <w:r>
                    <w:rPr>
                      <w:color w:val="auto"/>
                      <w:szCs w:val="21"/>
                      <w:highlight w:val="none"/>
                    </w:rPr>
                    <w:t>400</w:t>
                  </w:r>
                </w:p>
              </w:tc>
              <w:tc>
                <w:tcPr>
                  <w:tcW w:w="380" w:type="pct"/>
                  <w:noWrap w:val="0"/>
                  <w:tcMar>
                    <w:top w:w="0" w:type="dxa"/>
                    <w:left w:w="0" w:type="dxa"/>
                    <w:bottom w:w="0" w:type="dxa"/>
                    <w:right w:w="0" w:type="dxa"/>
                  </w:tcMar>
                  <w:vAlign w:val="center"/>
                </w:tcPr>
                <w:p w14:paraId="15703BBD">
                  <w:pPr>
                    <w:snapToGrid w:val="0"/>
                    <w:jc w:val="center"/>
                    <w:rPr>
                      <w:color w:val="auto"/>
                      <w:szCs w:val="21"/>
                      <w:highlight w:val="none"/>
                    </w:rPr>
                  </w:pPr>
                  <w:r>
                    <w:rPr>
                      <w:color w:val="auto"/>
                      <w:szCs w:val="21"/>
                      <w:highlight w:val="none"/>
                    </w:rPr>
                    <w:t>400</w:t>
                  </w:r>
                </w:p>
              </w:tc>
              <w:tc>
                <w:tcPr>
                  <w:tcW w:w="378" w:type="pct"/>
                  <w:noWrap w:val="0"/>
                  <w:tcMar>
                    <w:top w:w="0" w:type="dxa"/>
                    <w:left w:w="0" w:type="dxa"/>
                    <w:bottom w:w="0" w:type="dxa"/>
                    <w:right w:w="0" w:type="dxa"/>
                  </w:tcMar>
                  <w:vAlign w:val="center"/>
                </w:tcPr>
                <w:p w14:paraId="28896144">
                  <w:pPr>
                    <w:snapToGrid w:val="0"/>
                    <w:jc w:val="center"/>
                    <w:rPr>
                      <w:color w:val="auto"/>
                      <w:szCs w:val="21"/>
                    </w:rPr>
                  </w:pPr>
                  <w:r>
                    <w:rPr>
                      <w:color w:val="auto"/>
                      <w:szCs w:val="21"/>
                    </w:rPr>
                    <w:t>400</w:t>
                  </w:r>
                </w:p>
              </w:tc>
              <w:tc>
                <w:tcPr>
                  <w:tcW w:w="378" w:type="pct"/>
                  <w:noWrap w:val="0"/>
                  <w:tcMar>
                    <w:top w:w="0" w:type="dxa"/>
                    <w:left w:w="0" w:type="dxa"/>
                    <w:bottom w:w="0" w:type="dxa"/>
                    <w:right w:w="0" w:type="dxa"/>
                  </w:tcMar>
                  <w:vAlign w:val="center"/>
                </w:tcPr>
                <w:p w14:paraId="5926E910">
                  <w:pPr>
                    <w:snapToGrid w:val="0"/>
                    <w:jc w:val="center"/>
                    <w:rPr>
                      <w:color w:val="auto"/>
                      <w:szCs w:val="21"/>
                    </w:rPr>
                  </w:pPr>
                  <w:r>
                    <w:rPr>
                      <w:color w:val="auto"/>
                      <w:szCs w:val="21"/>
                    </w:rPr>
                    <w:t>400</w:t>
                  </w:r>
                </w:p>
              </w:tc>
              <w:tc>
                <w:tcPr>
                  <w:tcW w:w="378" w:type="pct"/>
                  <w:noWrap w:val="0"/>
                  <w:tcMar>
                    <w:top w:w="0" w:type="dxa"/>
                    <w:left w:w="0" w:type="dxa"/>
                    <w:bottom w:w="0" w:type="dxa"/>
                    <w:right w:w="0" w:type="dxa"/>
                  </w:tcMar>
                  <w:vAlign w:val="center"/>
                </w:tcPr>
                <w:p w14:paraId="22D6DB79">
                  <w:pPr>
                    <w:snapToGrid w:val="0"/>
                    <w:jc w:val="center"/>
                    <w:rPr>
                      <w:color w:val="auto"/>
                      <w:szCs w:val="21"/>
                    </w:rPr>
                  </w:pPr>
                  <w:r>
                    <w:rPr>
                      <w:color w:val="auto"/>
                      <w:szCs w:val="21"/>
                    </w:rPr>
                    <w:t>400</w:t>
                  </w:r>
                </w:p>
              </w:tc>
              <w:tc>
                <w:tcPr>
                  <w:tcW w:w="378" w:type="pct"/>
                  <w:noWrap w:val="0"/>
                  <w:tcMar>
                    <w:top w:w="0" w:type="dxa"/>
                    <w:left w:w="0" w:type="dxa"/>
                    <w:bottom w:w="0" w:type="dxa"/>
                    <w:right w:w="0" w:type="dxa"/>
                  </w:tcMar>
                  <w:vAlign w:val="center"/>
                </w:tcPr>
                <w:p w14:paraId="48FC5A3C">
                  <w:pPr>
                    <w:snapToGrid w:val="0"/>
                    <w:jc w:val="center"/>
                    <w:rPr>
                      <w:color w:val="auto"/>
                      <w:szCs w:val="21"/>
                    </w:rPr>
                  </w:pPr>
                  <w:r>
                    <w:rPr>
                      <w:color w:val="auto"/>
                      <w:szCs w:val="21"/>
                    </w:rPr>
                    <w:t>80</w:t>
                  </w:r>
                </w:p>
              </w:tc>
              <w:tc>
                <w:tcPr>
                  <w:tcW w:w="378" w:type="pct"/>
                  <w:noWrap w:val="0"/>
                  <w:tcMar>
                    <w:top w:w="0" w:type="dxa"/>
                    <w:left w:w="0" w:type="dxa"/>
                    <w:bottom w:w="0" w:type="dxa"/>
                    <w:right w:w="0" w:type="dxa"/>
                  </w:tcMar>
                  <w:vAlign w:val="center"/>
                </w:tcPr>
                <w:p w14:paraId="22DFECA8">
                  <w:pPr>
                    <w:snapToGrid w:val="0"/>
                    <w:jc w:val="center"/>
                    <w:rPr>
                      <w:color w:val="auto"/>
                      <w:szCs w:val="21"/>
                    </w:rPr>
                  </w:pPr>
                  <w:r>
                    <w:rPr>
                      <w:color w:val="auto"/>
                      <w:szCs w:val="21"/>
                    </w:rPr>
                    <w:t>80</w:t>
                  </w:r>
                </w:p>
              </w:tc>
              <w:tc>
                <w:tcPr>
                  <w:tcW w:w="378" w:type="pct"/>
                  <w:noWrap w:val="0"/>
                  <w:tcMar>
                    <w:top w:w="0" w:type="dxa"/>
                    <w:left w:w="0" w:type="dxa"/>
                    <w:bottom w:w="0" w:type="dxa"/>
                    <w:right w:w="0" w:type="dxa"/>
                  </w:tcMar>
                  <w:vAlign w:val="center"/>
                </w:tcPr>
                <w:p w14:paraId="606C6925">
                  <w:pPr>
                    <w:snapToGrid w:val="0"/>
                    <w:jc w:val="center"/>
                    <w:rPr>
                      <w:color w:val="auto"/>
                      <w:szCs w:val="21"/>
                    </w:rPr>
                  </w:pPr>
                  <w:r>
                    <w:rPr>
                      <w:color w:val="auto"/>
                      <w:szCs w:val="21"/>
                    </w:rPr>
                    <w:t>80</w:t>
                  </w:r>
                </w:p>
              </w:tc>
            </w:tr>
            <w:tr w14:paraId="47D065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shd w:val="clear" w:color="auto" w:fill="auto"/>
                  <w:noWrap w:val="0"/>
                  <w:tcMar>
                    <w:top w:w="0" w:type="dxa"/>
                    <w:left w:w="0" w:type="dxa"/>
                    <w:bottom w:w="0" w:type="dxa"/>
                    <w:right w:w="0" w:type="dxa"/>
                  </w:tcMar>
                  <w:vAlign w:val="center"/>
                </w:tcPr>
                <w:p w14:paraId="6B3B7A97">
                  <w:pPr>
                    <w:snapToGrid w:val="0"/>
                    <w:jc w:val="center"/>
                    <w:rPr>
                      <w:color w:val="auto"/>
                      <w:szCs w:val="21"/>
                    </w:rPr>
                  </w:pPr>
                </w:p>
              </w:tc>
              <w:tc>
                <w:tcPr>
                  <w:tcW w:w="776" w:type="pct"/>
                  <w:shd w:val="clear" w:color="auto" w:fill="auto"/>
                  <w:noWrap w:val="0"/>
                  <w:tcMar>
                    <w:top w:w="0" w:type="dxa"/>
                    <w:left w:w="0" w:type="dxa"/>
                    <w:bottom w:w="0" w:type="dxa"/>
                    <w:right w:w="0" w:type="dxa"/>
                  </w:tcMar>
                  <w:vAlign w:val="center"/>
                </w:tcPr>
                <w:p w14:paraId="4F053134">
                  <w:pPr>
                    <w:snapToGrid w:val="0"/>
                    <w:jc w:val="center"/>
                    <w:rPr>
                      <w:color w:val="auto"/>
                      <w:szCs w:val="21"/>
                    </w:rPr>
                  </w:pPr>
                  <w:r>
                    <w:rPr>
                      <w:color w:val="auto"/>
                      <w:szCs w:val="21"/>
                    </w:rPr>
                    <w:t>2-4</w:t>
                  </w:r>
                </w:p>
              </w:tc>
              <w:tc>
                <w:tcPr>
                  <w:tcW w:w="378" w:type="pct"/>
                  <w:shd w:val="clear" w:color="auto" w:fill="auto"/>
                  <w:noWrap w:val="0"/>
                  <w:tcMar>
                    <w:top w:w="0" w:type="dxa"/>
                    <w:left w:w="0" w:type="dxa"/>
                    <w:bottom w:w="0" w:type="dxa"/>
                    <w:right w:w="0" w:type="dxa"/>
                  </w:tcMar>
                  <w:vAlign w:val="center"/>
                </w:tcPr>
                <w:p w14:paraId="6882260C">
                  <w:pPr>
                    <w:snapToGrid w:val="0"/>
                    <w:jc w:val="center"/>
                    <w:rPr>
                      <w:color w:val="auto"/>
                      <w:szCs w:val="21"/>
                    </w:rPr>
                  </w:pPr>
                  <w:r>
                    <w:rPr>
                      <w:color w:val="auto"/>
                      <w:szCs w:val="21"/>
                    </w:rPr>
                    <w:t>700</w:t>
                  </w:r>
                </w:p>
              </w:tc>
              <w:tc>
                <w:tcPr>
                  <w:tcW w:w="378" w:type="pct"/>
                  <w:shd w:val="clear" w:color="auto" w:fill="7E7E7E" w:themeFill="background1" w:themeFillShade="7F"/>
                  <w:noWrap w:val="0"/>
                  <w:tcMar>
                    <w:top w:w="0" w:type="dxa"/>
                    <w:left w:w="0" w:type="dxa"/>
                    <w:bottom w:w="0" w:type="dxa"/>
                    <w:right w:w="0" w:type="dxa"/>
                  </w:tcMar>
                  <w:vAlign w:val="center"/>
                </w:tcPr>
                <w:p w14:paraId="6F6D508B">
                  <w:pPr>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470</w:t>
                  </w:r>
                </w:p>
              </w:tc>
              <w:tc>
                <w:tcPr>
                  <w:tcW w:w="380" w:type="pct"/>
                  <w:shd w:val="clear" w:color="auto" w:fill="auto"/>
                  <w:noWrap w:val="0"/>
                  <w:tcMar>
                    <w:top w:w="0" w:type="dxa"/>
                    <w:left w:w="0" w:type="dxa"/>
                    <w:bottom w:w="0" w:type="dxa"/>
                    <w:right w:w="0" w:type="dxa"/>
                  </w:tcMar>
                  <w:vAlign w:val="center"/>
                </w:tcPr>
                <w:p w14:paraId="74EF222A">
                  <w:pPr>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350</w:t>
                  </w:r>
                </w:p>
              </w:tc>
              <w:tc>
                <w:tcPr>
                  <w:tcW w:w="378" w:type="pct"/>
                  <w:noWrap w:val="0"/>
                  <w:tcMar>
                    <w:top w:w="0" w:type="dxa"/>
                    <w:left w:w="0" w:type="dxa"/>
                    <w:bottom w:w="0" w:type="dxa"/>
                    <w:right w:w="0" w:type="dxa"/>
                  </w:tcMar>
                  <w:vAlign w:val="center"/>
                </w:tcPr>
                <w:p w14:paraId="6843C32F">
                  <w:pPr>
                    <w:snapToGrid w:val="0"/>
                    <w:jc w:val="center"/>
                    <w:rPr>
                      <w:color w:val="auto"/>
                      <w:szCs w:val="21"/>
                    </w:rPr>
                  </w:pPr>
                  <w:r>
                    <w:rPr>
                      <w:color w:val="auto"/>
                      <w:szCs w:val="21"/>
                    </w:rPr>
                    <w:t>700</w:t>
                  </w:r>
                </w:p>
              </w:tc>
              <w:tc>
                <w:tcPr>
                  <w:tcW w:w="378" w:type="pct"/>
                  <w:noWrap w:val="0"/>
                  <w:tcMar>
                    <w:top w:w="0" w:type="dxa"/>
                    <w:left w:w="0" w:type="dxa"/>
                    <w:bottom w:w="0" w:type="dxa"/>
                    <w:right w:w="0" w:type="dxa"/>
                  </w:tcMar>
                  <w:vAlign w:val="center"/>
                </w:tcPr>
                <w:p w14:paraId="6916655E">
                  <w:pPr>
                    <w:snapToGrid w:val="0"/>
                    <w:jc w:val="center"/>
                    <w:rPr>
                      <w:color w:val="auto"/>
                      <w:szCs w:val="21"/>
                    </w:rPr>
                  </w:pPr>
                  <w:r>
                    <w:rPr>
                      <w:color w:val="auto"/>
                      <w:szCs w:val="21"/>
                    </w:rPr>
                    <w:t>470</w:t>
                  </w:r>
                </w:p>
              </w:tc>
              <w:tc>
                <w:tcPr>
                  <w:tcW w:w="378" w:type="pct"/>
                  <w:noWrap w:val="0"/>
                  <w:tcMar>
                    <w:top w:w="0" w:type="dxa"/>
                    <w:left w:w="0" w:type="dxa"/>
                    <w:bottom w:w="0" w:type="dxa"/>
                    <w:right w:w="0" w:type="dxa"/>
                  </w:tcMar>
                  <w:vAlign w:val="center"/>
                </w:tcPr>
                <w:p w14:paraId="5618BAD5">
                  <w:pPr>
                    <w:snapToGrid w:val="0"/>
                    <w:jc w:val="center"/>
                    <w:rPr>
                      <w:color w:val="auto"/>
                      <w:szCs w:val="21"/>
                    </w:rPr>
                  </w:pPr>
                  <w:r>
                    <w:rPr>
                      <w:color w:val="auto"/>
                      <w:szCs w:val="21"/>
                    </w:rPr>
                    <w:t>350</w:t>
                  </w:r>
                </w:p>
              </w:tc>
              <w:tc>
                <w:tcPr>
                  <w:tcW w:w="378" w:type="pct"/>
                  <w:noWrap w:val="0"/>
                  <w:tcMar>
                    <w:top w:w="0" w:type="dxa"/>
                    <w:left w:w="0" w:type="dxa"/>
                    <w:bottom w:w="0" w:type="dxa"/>
                    <w:right w:w="0" w:type="dxa"/>
                  </w:tcMar>
                  <w:vAlign w:val="center"/>
                </w:tcPr>
                <w:p w14:paraId="70D5BB06">
                  <w:pPr>
                    <w:snapToGrid w:val="0"/>
                    <w:jc w:val="center"/>
                    <w:rPr>
                      <w:color w:val="auto"/>
                      <w:szCs w:val="21"/>
                    </w:rPr>
                  </w:pPr>
                  <w:r>
                    <w:rPr>
                      <w:color w:val="auto"/>
                      <w:szCs w:val="21"/>
                    </w:rPr>
                    <w:t>380</w:t>
                  </w:r>
                </w:p>
              </w:tc>
              <w:tc>
                <w:tcPr>
                  <w:tcW w:w="378" w:type="pct"/>
                  <w:noWrap w:val="0"/>
                  <w:tcMar>
                    <w:top w:w="0" w:type="dxa"/>
                    <w:left w:w="0" w:type="dxa"/>
                    <w:bottom w:w="0" w:type="dxa"/>
                    <w:right w:w="0" w:type="dxa"/>
                  </w:tcMar>
                  <w:vAlign w:val="center"/>
                </w:tcPr>
                <w:p w14:paraId="70D3E706">
                  <w:pPr>
                    <w:snapToGrid w:val="0"/>
                    <w:jc w:val="center"/>
                    <w:rPr>
                      <w:color w:val="auto"/>
                      <w:szCs w:val="21"/>
                    </w:rPr>
                  </w:pPr>
                  <w:r>
                    <w:rPr>
                      <w:color w:val="auto"/>
                      <w:szCs w:val="21"/>
                    </w:rPr>
                    <w:t>250</w:t>
                  </w:r>
                </w:p>
              </w:tc>
              <w:tc>
                <w:tcPr>
                  <w:tcW w:w="378" w:type="pct"/>
                  <w:noWrap w:val="0"/>
                  <w:tcMar>
                    <w:top w:w="0" w:type="dxa"/>
                    <w:left w:w="0" w:type="dxa"/>
                    <w:bottom w:w="0" w:type="dxa"/>
                    <w:right w:w="0" w:type="dxa"/>
                  </w:tcMar>
                  <w:vAlign w:val="center"/>
                </w:tcPr>
                <w:p w14:paraId="39D9CDF9">
                  <w:pPr>
                    <w:snapToGrid w:val="0"/>
                    <w:jc w:val="center"/>
                    <w:rPr>
                      <w:color w:val="auto"/>
                      <w:szCs w:val="21"/>
                    </w:rPr>
                  </w:pPr>
                  <w:r>
                    <w:rPr>
                      <w:color w:val="auto"/>
                      <w:szCs w:val="21"/>
                    </w:rPr>
                    <w:t>190</w:t>
                  </w:r>
                </w:p>
              </w:tc>
            </w:tr>
            <w:tr w14:paraId="134BFC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noWrap w:val="0"/>
                  <w:tcMar>
                    <w:top w:w="0" w:type="dxa"/>
                    <w:left w:w="0" w:type="dxa"/>
                    <w:bottom w:w="0" w:type="dxa"/>
                    <w:right w:w="0" w:type="dxa"/>
                  </w:tcMar>
                  <w:vAlign w:val="center"/>
                </w:tcPr>
                <w:p w14:paraId="0938F043">
                  <w:pPr>
                    <w:snapToGrid w:val="0"/>
                    <w:jc w:val="center"/>
                    <w:rPr>
                      <w:color w:val="auto"/>
                      <w:szCs w:val="21"/>
                    </w:rPr>
                  </w:pPr>
                </w:p>
              </w:tc>
              <w:tc>
                <w:tcPr>
                  <w:tcW w:w="776" w:type="pct"/>
                  <w:noWrap w:val="0"/>
                  <w:tcMar>
                    <w:top w:w="0" w:type="dxa"/>
                    <w:left w:w="0" w:type="dxa"/>
                    <w:bottom w:w="0" w:type="dxa"/>
                    <w:right w:w="0" w:type="dxa"/>
                  </w:tcMar>
                  <w:vAlign w:val="center"/>
                </w:tcPr>
                <w:p w14:paraId="03F87393">
                  <w:pPr>
                    <w:snapToGrid w:val="0"/>
                    <w:jc w:val="center"/>
                    <w:rPr>
                      <w:color w:val="auto"/>
                      <w:szCs w:val="21"/>
                    </w:rPr>
                  </w:pPr>
                  <w:r>
                    <w:rPr>
                      <w:color w:val="auto"/>
                      <w:szCs w:val="21"/>
                    </w:rPr>
                    <w:t>＞4</w:t>
                  </w:r>
                </w:p>
              </w:tc>
              <w:tc>
                <w:tcPr>
                  <w:tcW w:w="378" w:type="pct"/>
                  <w:noWrap w:val="0"/>
                  <w:tcMar>
                    <w:top w:w="0" w:type="dxa"/>
                    <w:left w:w="0" w:type="dxa"/>
                    <w:bottom w:w="0" w:type="dxa"/>
                    <w:right w:w="0" w:type="dxa"/>
                  </w:tcMar>
                  <w:vAlign w:val="center"/>
                </w:tcPr>
                <w:p w14:paraId="5857AE70">
                  <w:pPr>
                    <w:snapToGrid w:val="0"/>
                    <w:jc w:val="center"/>
                    <w:rPr>
                      <w:color w:val="auto"/>
                      <w:szCs w:val="21"/>
                    </w:rPr>
                  </w:pPr>
                  <w:r>
                    <w:rPr>
                      <w:color w:val="auto"/>
                      <w:szCs w:val="21"/>
                    </w:rPr>
                    <w:t>530</w:t>
                  </w:r>
                </w:p>
              </w:tc>
              <w:tc>
                <w:tcPr>
                  <w:tcW w:w="378" w:type="pct"/>
                  <w:noWrap w:val="0"/>
                  <w:tcMar>
                    <w:top w:w="0" w:type="dxa"/>
                    <w:left w:w="0" w:type="dxa"/>
                    <w:bottom w:w="0" w:type="dxa"/>
                    <w:right w:w="0" w:type="dxa"/>
                  </w:tcMar>
                  <w:vAlign w:val="center"/>
                </w:tcPr>
                <w:p w14:paraId="1832F786">
                  <w:pPr>
                    <w:snapToGrid w:val="0"/>
                    <w:jc w:val="center"/>
                    <w:rPr>
                      <w:color w:val="auto"/>
                      <w:szCs w:val="21"/>
                    </w:rPr>
                  </w:pPr>
                  <w:r>
                    <w:rPr>
                      <w:rFonts w:ascii="Times New Roman" w:hAnsi="Times New Roman" w:eastAsia="宋体" w:cs="Times New Roman"/>
                      <w:color w:val="auto"/>
                      <w:szCs w:val="21"/>
                      <w:highlight w:val="none"/>
                    </w:rPr>
                    <w:t>350</w:t>
                  </w:r>
                </w:p>
              </w:tc>
              <w:tc>
                <w:tcPr>
                  <w:tcW w:w="380" w:type="pct"/>
                  <w:noWrap w:val="0"/>
                  <w:tcMar>
                    <w:top w:w="0" w:type="dxa"/>
                    <w:left w:w="0" w:type="dxa"/>
                    <w:bottom w:w="0" w:type="dxa"/>
                    <w:right w:w="0" w:type="dxa"/>
                  </w:tcMar>
                  <w:vAlign w:val="center"/>
                </w:tcPr>
                <w:p w14:paraId="66C48DF2">
                  <w:pPr>
                    <w:snapToGrid w:val="0"/>
                    <w:jc w:val="center"/>
                    <w:rPr>
                      <w:color w:val="auto"/>
                      <w:szCs w:val="21"/>
                    </w:rPr>
                  </w:pPr>
                  <w:r>
                    <w:rPr>
                      <w:color w:val="auto"/>
                      <w:szCs w:val="21"/>
                    </w:rPr>
                    <w:t>260</w:t>
                  </w:r>
                </w:p>
              </w:tc>
              <w:tc>
                <w:tcPr>
                  <w:tcW w:w="378" w:type="pct"/>
                  <w:noWrap w:val="0"/>
                  <w:tcMar>
                    <w:top w:w="0" w:type="dxa"/>
                    <w:left w:w="0" w:type="dxa"/>
                    <w:bottom w:w="0" w:type="dxa"/>
                    <w:right w:w="0" w:type="dxa"/>
                  </w:tcMar>
                  <w:vAlign w:val="center"/>
                </w:tcPr>
                <w:p w14:paraId="03822F74">
                  <w:pPr>
                    <w:snapToGrid w:val="0"/>
                    <w:jc w:val="center"/>
                    <w:rPr>
                      <w:color w:val="auto"/>
                      <w:szCs w:val="21"/>
                    </w:rPr>
                  </w:pPr>
                  <w:r>
                    <w:rPr>
                      <w:color w:val="auto"/>
                      <w:szCs w:val="21"/>
                    </w:rPr>
                    <w:t>530</w:t>
                  </w:r>
                </w:p>
              </w:tc>
              <w:tc>
                <w:tcPr>
                  <w:tcW w:w="378" w:type="pct"/>
                  <w:noWrap w:val="0"/>
                  <w:tcMar>
                    <w:top w:w="0" w:type="dxa"/>
                    <w:left w:w="0" w:type="dxa"/>
                    <w:bottom w:w="0" w:type="dxa"/>
                    <w:right w:w="0" w:type="dxa"/>
                  </w:tcMar>
                  <w:vAlign w:val="center"/>
                </w:tcPr>
                <w:p w14:paraId="4F156331">
                  <w:pPr>
                    <w:snapToGrid w:val="0"/>
                    <w:jc w:val="center"/>
                    <w:rPr>
                      <w:color w:val="auto"/>
                      <w:szCs w:val="21"/>
                    </w:rPr>
                  </w:pPr>
                  <w:r>
                    <w:rPr>
                      <w:color w:val="auto"/>
                      <w:szCs w:val="21"/>
                    </w:rPr>
                    <w:t>350</w:t>
                  </w:r>
                </w:p>
              </w:tc>
              <w:tc>
                <w:tcPr>
                  <w:tcW w:w="378" w:type="pct"/>
                  <w:noWrap w:val="0"/>
                  <w:tcMar>
                    <w:top w:w="0" w:type="dxa"/>
                    <w:left w:w="0" w:type="dxa"/>
                    <w:bottom w:w="0" w:type="dxa"/>
                    <w:right w:w="0" w:type="dxa"/>
                  </w:tcMar>
                  <w:vAlign w:val="center"/>
                </w:tcPr>
                <w:p w14:paraId="05EC2511">
                  <w:pPr>
                    <w:snapToGrid w:val="0"/>
                    <w:jc w:val="center"/>
                    <w:rPr>
                      <w:color w:val="auto"/>
                      <w:szCs w:val="21"/>
                    </w:rPr>
                  </w:pPr>
                  <w:r>
                    <w:rPr>
                      <w:color w:val="auto"/>
                      <w:szCs w:val="21"/>
                    </w:rPr>
                    <w:t>260</w:t>
                  </w:r>
                </w:p>
              </w:tc>
              <w:tc>
                <w:tcPr>
                  <w:tcW w:w="378" w:type="pct"/>
                  <w:noWrap w:val="0"/>
                  <w:tcMar>
                    <w:top w:w="0" w:type="dxa"/>
                    <w:left w:w="0" w:type="dxa"/>
                    <w:bottom w:w="0" w:type="dxa"/>
                    <w:right w:w="0" w:type="dxa"/>
                  </w:tcMar>
                  <w:vAlign w:val="center"/>
                </w:tcPr>
                <w:p w14:paraId="5FC9BA10">
                  <w:pPr>
                    <w:snapToGrid w:val="0"/>
                    <w:jc w:val="center"/>
                    <w:rPr>
                      <w:color w:val="auto"/>
                      <w:szCs w:val="21"/>
                    </w:rPr>
                  </w:pPr>
                  <w:r>
                    <w:rPr>
                      <w:color w:val="auto"/>
                      <w:szCs w:val="21"/>
                    </w:rPr>
                    <w:t>290</w:t>
                  </w:r>
                </w:p>
              </w:tc>
              <w:tc>
                <w:tcPr>
                  <w:tcW w:w="378" w:type="pct"/>
                  <w:noWrap w:val="0"/>
                  <w:tcMar>
                    <w:top w:w="0" w:type="dxa"/>
                    <w:left w:w="0" w:type="dxa"/>
                    <w:bottom w:w="0" w:type="dxa"/>
                    <w:right w:w="0" w:type="dxa"/>
                  </w:tcMar>
                  <w:vAlign w:val="center"/>
                </w:tcPr>
                <w:p w14:paraId="645BC6D1">
                  <w:pPr>
                    <w:snapToGrid w:val="0"/>
                    <w:jc w:val="center"/>
                    <w:rPr>
                      <w:color w:val="auto"/>
                      <w:szCs w:val="21"/>
                    </w:rPr>
                  </w:pPr>
                  <w:r>
                    <w:rPr>
                      <w:color w:val="auto"/>
                      <w:szCs w:val="21"/>
                    </w:rPr>
                    <w:t>190</w:t>
                  </w:r>
                </w:p>
              </w:tc>
              <w:tc>
                <w:tcPr>
                  <w:tcW w:w="378" w:type="pct"/>
                  <w:noWrap w:val="0"/>
                  <w:tcMar>
                    <w:top w:w="0" w:type="dxa"/>
                    <w:left w:w="0" w:type="dxa"/>
                    <w:bottom w:w="0" w:type="dxa"/>
                    <w:right w:w="0" w:type="dxa"/>
                  </w:tcMar>
                  <w:vAlign w:val="center"/>
                </w:tcPr>
                <w:p w14:paraId="228402D6">
                  <w:pPr>
                    <w:snapToGrid w:val="0"/>
                    <w:jc w:val="center"/>
                    <w:rPr>
                      <w:color w:val="auto"/>
                      <w:szCs w:val="21"/>
                    </w:rPr>
                  </w:pPr>
                  <w:r>
                    <w:rPr>
                      <w:color w:val="auto"/>
                      <w:szCs w:val="21"/>
                    </w:rPr>
                    <w:t>110</w:t>
                  </w:r>
                </w:p>
              </w:tc>
            </w:tr>
            <w:tr w14:paraId="4CA893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noWrap w:val="0"/>
                  <w:tcMar>
                    <w:top w:w="0" w:type="dxa"/>
                    <w:left w:w="0" w:type="dxa"/>
                    <w:bottom w:w="0" w:type="dxa"/>
                    <w:right w:w="0" w:type="dxa"/>
                  </w:tcMar>
                  <w:vAlign w:val="center"/>
                </w:tcPr>
                <w:p w14:paraId="282243EE">
                  <w:pPr>
                    <w:snapToGrid w:val="0"/>
                    <w:jc w:val="center"/>
                    <w:rPr>
                      <w:color w:val="auto"/>
                      <w:szCs w:val="21"/>
                    </w:rPr>
                  </w:pPr>
                  <w:r>
                    <w:rPr>
                      <w:color w:val="auto"/>
                      <w:szCs w:val="21"/>
                    </w:rPr>
                    <w:t>B</w:t>
                  </w:r>
                </w:p>
              </w:tc>
              <w:tc>
                <w:tcPr>
                  <w:tcW w:w="776" w:type="pct"/>
                  <w:noWrap w:val="0"/>
                  <w:tcMar>
                    <w:top w:w="0" w:type="dxa"/>
                    <w:left w:w="0" w:type="dxa"/>
                    <w:bottom w:w="0" w:type="dxa"/>
                    <w:right w:w="0" w:type="dxa"/>
                  </w:tcMar>
                  <w:vAlign w:val="center"/>
                </w:tcPr>
                <w:p w14:paraId="52C5DFE4">
                  <w:pPr>
                    <w:snapToGrid w:val="0"/>
                    <w:jc w:val="center"/>
                    <w:rPr>
                      <w:color w:val="auto"/>
                      <w:szCs w:val="21"/>
                    </w:rPr>
                  </w:pPr>
                  <w:r>
                    <w:rPr>
                      <w:color w:val="auto"/>
                      <w:szCs w:val="21"/>
                    </w:rPr>
                    <w:t>＜2</w:t>
                  </w:r>
                </w:p>
              </w:tc>
              <w:tc>
                <w:tcPr>
                  <w:tcW w:w="1136" w:type="pct"/>
                  <w:gridSpan w:val="3"/>
                  <w:noWrap w:val="0"/>
                  <w:tcMar>
                    <w:top w:w="0" w:type="dxa"/>
                    <w:left w:w="0" w:type="dxa"/>
                    <w:bottom w:w="0" w:type="dxa"/>
                    <w:right w:w="0" w:type="dxa"/>
                  </w:tcMar>
                  <w:vAlign w:val="center"/>
                </w:tcPr>
                <w:p w14:paraId="441FB45F">
                  <w:pPr>
                    <w:snapToGrid w:val="0"/>
                    <w:jc w:val="center"/>
                    <w:rPr>
                      <w:color w:val="auto"/>
                      <w:szCs w:val="21"/>
                    </w:rPr>
                  </w:pPr>
                  <w:r>
                    <w:rPr>
                      <w:color w:val="auto"/>
                      <w:szCs w:val="21"/>
                    </w:rPr>
                    <w:t>0.01</w:t>
                  </w:r>
                </w:p>
              </w:tc>
              <w:tc>
                <w:tcPr>
                  <w:tcW w:w="1136" w:type="pct"/>
                  <w:gridSpan w:val="3"/>
                  <w:noWrap w:val="0"/>
                  <w:tcMar>
                    <w:top w:w="0" w:type="dxa"/>
                    <w:left w:w="0" w:type="dxa"/>
                    <w:bottom w:w="0" w:type="dxa"/>
                    <w:right w:w="0" w:type="dxa"/>
                  </w:tcMar>
                  <w:vAlign w:val="center"/>
                </w:tcPr>
                <w:p w14:paraId="4531F2ED">
                  <w:pPr>
                    <w:snapToGrid w:val="0"/>
                    <w:jc w:val="center"/>
                    <w:rPr>
                      <w:color w:val="auto"/>
                      <w:szCs w:val="21"/>
                    </w:rPr>
                  </w:pPr>
                  <w:r>
                    <w:rPr>
                      <w:color w:val="auto"/>
                      <w:szCs w:val="21"/>
                    </w:rPr>
                    <w:t>0.015</w:t>
                  </w:r>
                </w:p>
              </w:tc>
              <w:tc>
                <w:tcPr>
                  <w:tcW w:w="1136" w:type="pct"/>
                  <w:gridSpan w:val="3"/>
                  <w:noWrap w:val="0"/>
                  <w:tcMar>
                    <w:top w:w="0" w:type="dxa"/>
                    <w:left w:w="0" w:type="dxa"/>
                    <w:bottom w:w="0" w:type="dxa"/>
                    <w:right w:w="0" w:type="dxa"/>
                  </w:tcMar>
                  <w:vAlign w:val="center"/>
                </w:tcPr>
                <w:p w14:paraId="67DE1079">
                  <w:pPr>
                    <w:snapToGrid w:val="0"/>
                    <w:jc w:val="center"/>
                    <w:rPr>
                      <w:color w:val="auto"/>
                      <w:szCs w:val="21"/>
                    </w:rPr>
                  </w:pPr>
                  <w:r>
                    <w:rPr>
                      <w:color w:val="auto"/>
                      <w:szCs w:val="21"/>
                    </w:rPr>
                    <w:t>0.015</w:t>
                  </w:r>
                </w:p>
              </w:tc>
            </w:tr>
            <w:tr w14:paraId="3EDFC7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shd w:val="clear" w:color="auto" w:fill="auto"/>
                  <w:noWrap w:val="0"/>
                  <w:tcMar>
                    <w:top w:w="0" w:type="dxa"/>
                    <w:left w:w="0" w:type="dxa"/>
                    <w:bottom w:w="0" w:type="dxa"/>
                    <w:right w:w="0" w:type="dxa"/>
                  </w:tcMar>
                  <w:vAlign w:val="center"/>
                </w:tcPr>
                <w:p w14:paraId="761D3833">
                  <w:pPr>
                    <w:snapToGrid w:val="0"/>
                    <w:jc w:val="center"/>
                    <w:rPr>
                      <w:color w:val="auto"/>
                      <w:szCs w:val="21"/>
                    </w:rPr>
                  </w:pPr>
                </w:p>
              </w:tc>
              <w:tc>
                <w:tcPr>
                  <w:tcW w:w="776" w:type="pct"/>
                  <w:shd w:val="clear" w:color="auto" w:fill="auto"/>
                  <w:noWrap w:val="0"/>
                  <w:tcMar>
                    <w:top w:w="0" w:type="dxa"/>
                    <w:left w:w="0" w:type="dxa"/>
                    <w:bottom w:w="0" w:type="dxa"/>
                    <w:right w:w="0" w:type="dxa"/>
                  </w:tcMar>
                  <w:vAlign w:val="center"/>
                </w:tcPr>
                <w:p w14:paraId="28650C4F">
                  <w:pPr>
                    <w:snapToGrid w:val="0"/>
                    <w:jc w:val="center"/>
                    <w:rPr>
                      <w:color w:val="auto"/>
                      <w:szCs w:val="21"/>
                    </w:rPr>
                  </w:pPr>
                  <w:r>
                    <w:rPr>
                      <w:color w:val="auto"/>
                      <w:szCs w:val="21"/>
                    </w:rPr>
                    <w:t>＞2</w:t>
                  </w:r>
                </w:p>
              </w:tc>
              <w:tc>
                <w:tcPr>
                  <w:tcW w:w="1136" w:type="pct"/>
                  <w:gridSpan w:val="3"/>
                  <w:shd w:val="clear" w:color="auto" w:fill="7E7E7E"/>
                  <w:noWrap w:val="0"/>
                  <w:tcMar>
                    <w:top w:w="0" w:type="dxa"/>
                    <w:left w:w="0" w:type="dxa"/>
                    <w:bottom w:w="0" w:type="dxa"/>
                    <w:right w:w="0" w:type="dxa"/>
                  </w:tcMar>
                  <w:vAlign w:val="center"/>
                </w:tcPr>
                <w:p w14:paraId="56EDAEC7">
                  <w:pPr>
                    <w:snapToGrid w:val="0"/>
                    <w:jc w:val="center"/>
                    <w:rPr>
                      <w:color w:val="auto"/>
                      <w:szCs w:val="21"/>
                    </w:rPr>
                  </w:pPr>
                  <w:r>
                    <w:rPr>
                      <w:color w:val="auto"/>
                      <w:szCs w:val="21"/>
                    </w:rPr>
                    <w:t>0.021</w:t>
                  </w:r>
                </w:p>
              </w:tc>
              <w:tc>
                <w:tcPr>
                  <w:tcW w:w="1136" w:type="pct"/>
                  <w:gridSpan w:val="3"/>
                  <w:noWrap w:val="0"/>
                  <w:tcMar>
                    <w:top w:w="0" w:type="dxa"/>
                    <w:left w:w="0" w:type="dxa"/>
                    <w:bottom w:w="0" w:type="dxa"/>
                    <w:right w:w="0" w:type="dxa"/>
                  </w:tcMar>
                  <w:vAlign w:val="center"/>
                </w:tcPr>
                <w:p w14:paraId="7DDABDD2">
                  <w:pPr>
                    <w:snapToGrid w:val="0"/>
                    <w:jc w:val="center"/>
                    <w:rPr>
                      <w:color w:val="auto"/>
                      <w:szCs w:val="21"/>
                    </w:rPr>
                  </w:pPr>
                  <w:r>
                    <w:rPr>
                      <w:color w:val="auto"/>
                      <w:szCs w:val="21"/>
                    </w:rPr>
                    <w:t>0.036</w:t>
                  </w:r>
                </w:p>
              </w:tc>
              <w:tc>
                <w:tcPr>
                  <w:tcW w:w="1136" w:type="pct"/>
                  <w:gridSpan w:val="3"/>
                  <w:noWrap w:val="0"/>
                  <w:tcMar>
                    <w:top w:w="0" w:type="dxa"/>
                    <w:left w:w="0" w:type="dxa"/>
                    <w:bottom w:w="0" w:type="dxa"/>
                    <w:right w:w="0" w:type="dxa"/>
                  </w:tcMar>
                  <w:vAlign w:val="center"/>
                </w:tcPr>
                <w:p w14:paraId="55A37DCD">
                  <w:pPr>
                    <w:snapToGrid w:val="0"/>
                    <w:jc w:val="center"/>
                    <w:rPr>
                      <w:color w:val="auto"/>
                      <w:szCs w:val="21"/>
                    </w:rPr>
                  </w:pPr>
                  <w:r>
                    <w:rPr>
                      <w:color w:val="auto"/>
                      <w:szCs w:val="21"/>
                    </w:rPr>
                    <w:t>0.036</w:t>
                  </w:r>
                </w:p>
              </w:tc>
            </w:tr>
            <w:tr w14:paraId="13BDB3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noWrap w:val="0"/>
                  <w:tcMar>
                    <w:top w:w="0" w:type="dxa"/>
                    <w:left w:w="0" w:type="dxa"/>
                    <w:bottom w:w="0" w:type="dxa"/>
                    <w:right w:w="0" w:type="dxa"/>
                  </w:tcMar>
                  <w:vAlign w:val="center"/>
                </w:tcPr>
                <w:p w14:paraId="62F16180">
                  <w:pPr>
                    <w:snapToGrid w:val="0"/>
                    <w:jc w:val="center"/>
                    <w:rPr>
                      <w:color w:val="auto"/>
                      <w:szCs w:val="21"/>
                    </w:rPr>
                  </w:pPr>
                  <w:r>
                    <w:rPr>
                      <w:color w:val="auto"/>
                      <w:szCs w:val="21"/>
                    </w:rPr>
                    <w:t>C</w:t>
                  </w:r>
                </w:p>
              </w:tc>
              <w:tc>
                <w:tcPr>
                  <w:tcW w:w="776" w:type="pct"/>
                  <w:noWrap w:val="0"/>
                  <w:tcMar>
                    <w:top w:w="0" w:type="dxa"/>
                    <w:left w:w="0" w:type="dxa"/>
                    <w:bottom w:w="0" w:type="dxa"/>
                    <w:right w:w="0" w:type="dxa"/>
                  </w:tcMar>
                  <w:vAlign w:val="center"/>
                </w:tcPr>
                <w:p w14:paraId="20358127">
                  <w:pPr>
                    <w:snapToGrid w:val="0"/>
                    <w:jc w:val="center"/>
                    <w:rPr>
                      <w:color w:val="auto"/>
                      <w:szCs w:val="21"/>
                    </w:rPr>
                  </w:pPr>
                  <w:r>
                    <w:rPr>
                      <w:color w:val="auto"/>
                      <w:szCs w:val="21"/>
                    </w:rPr>
                    <w:t>＜2</w:t>
                  </w:r>
                </w:p>
              </w:tc>
              <w:tc>
                <w:tcPr>
                  <w:tcW w:w="1136" w:type="pct"/>
                  <w:gridSpan w:val="3"/>
                  <w:noWrap w:val="0"/>
                  <w:tcMar>
                    <w:top w:w="0" w:type="dxa"/>
                    <w:left w:w="0" w:type="dxa"/>
                    <w:bottom w:w="0" w:type="dxa"/>
                    <w:right w:w="0" w:type="dxa"/>
                  </w:tcMar>
                  <w:vAlign w:val="center"/>
                </w:tcPr>
                <w:p w14:paraId="72E79B34">
                  <w:pPr>
                    <w:snapToGrid w:val="0"/>
                    <w:jc w:val="center"/>
                    <w:rPr>
                      <w:color w:val="auto"/>
                      <w:szCs w:val="21"/>
                    </w:rPr>
                  </w:pPr>
                  <w:r>
                    <w:rPr>
                      <w:rFonts w:ascii="Times New Roman" w:hAnsi="Times New Roman" w:eastAsia="宋体" w:cs="Times New Roman"/>
                      <w:color w:val="auto"/>
                      <w:szCs w:val="21"/>
                    </w:rPr>
                    <w:t>1.85</w:t>
                  </w:r>
                </w:p>
              </w:tc>
              <w:tc>
                <w:tcPr>
                  <w:tcW w:w="1136" w:type="pct"/>
                  <w:gridSpan w:val="3"/>
                  <w:noWrap w:val="0"/>
                  <w:tcMar>
                    <w:top w:w="0" w:type="dxa"/>
                    <w:left w:w="0" w:type="dxa"/>
                    <w:bottom w:w="0" w:type="dxa"/>
                    <w:right w:w="0" w:type="dxa"/>
                  </w:tcMar>
                  <w:vAlign w:val="center"/>
                </w:tcPr>
                <w:p w14:paraId="78C5B406">
                  <w:pPr>
                    <w:snapToGrid w:val="0"/>
                    <w:jc w:val="center"/>
                    <w:rPr>
                      <w:color w:val="auto"/>
                      <w:szCs w:val="21"/>
                    </w:rPr>
                  </w:pPr>
                  <w:r>
                    <w:rPr>
                      <w:color w:val="auto"/>
                      <w:szCs w:val="21"/>
                    </w:rPr>
                    <w:t>1.79</w:t>
                  </w:r>
                </w:p>
              </w:tc>
              <w:tc>
                <w:tcPr>
                  <w:tcW w:w="1136" w:type="pct"/>
                  <w:gridSpan w:val="3"/>
                  <w:noWrap w:val="0"/>
                  <w:tcMar>
                    <w:top w:w="0" w:type="dxa"/>
                    <w:left w:w="0" w:type="dxa"/>
                    <w:bottom w:w="0" w:type="dxa"/>
                    <w:right w:w="0" w:type="dxa"/>
                  </w:tcMar>
                  <w:vAlign w:val="center"/>
                </w:tcPr>
                <w:p w14:paraId="7FE746C4">
                  <w:pPr>
                    <w:snapToGrid w:val="0"/>
                    <w:jc w:val="center"/>
                    <w:rPr>
                      <w:color w:val="auto"/>
                      <w:szCs w:val="21"/>
                    </w:rPr>
                  </w:pPr>
                  <w:r>
                    <w:rPr>
                      <w:color w:val="auto"/>
                      <w:szCs w:val="21"/>
                    </w:rPr>
                    <w:t>1.79</w:t>
                  </w:r>
                </w:p>
              </w:tc>
            </w:tr>
            <w:tr w14:paraId="56A585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shd w:val="clear" w:color="auto" w:fill="auto"/>
                  <w:noWrap w:val="0"/>
                  <w:tcMar>
                    <w:top w:w="0" w:type="dxa"/>
                    <w:left w:w="0" w:type="dxa"/>
                    <w:bottom w:w="0" w:type="dxa"/>
                    <w:right w:w="0" w:type="dxa"/>
                  </w:tcMar>
                  <w:vAlign w:val="center"/>
                </w:tcPr>
                <w:p w14:paraId="0BA748AC">
                  <w:pPr>
                    <w:snapToGrid w:val="0"/>
                    <w:jc w:val="center"/>
                    <w:rPr>
                      <w:color w:val="auto"/>
                      <w:szCs w:val="21"/>
                    </w:rPr>
                  </w:pPr>
                </w:p>
              </w:tc>
              <w:tc>
                <w:tcPr>
                  <w:tcW w:w="776" w:type="pct"/>
                  <w:shd w:val="clear" w:color="auto" w:fill="auto"/>
                  <w:noWrap w:val="0"/>
                  <w:tcMar>
                    <w:top w:w="0" w:type="dxa"/>
                    <w:left w:w="0" w:type="dxa"/>
                    <w:bottom w:w="0" w:type="dxa"/>
                    <w:right w:w="0" w:type="dxa"/>
                  </w:tcMar>
                  <w:vAlign w:val="center"/>
                </w:tcPr>
                <w:p w14:paraId="6739A520">
                  <w:pPr>
                    <w:snapToGrid w:val="0"/>
                    <w:jc w:val="center"/>
                    <w:rPr>
                      <w:color w:val="auto"/>
                      <w:szCs w:val="21"/>
                    </w:rPr>
                  </w:pPr>
                  <w:r>
                    <w:rPr>
                      <w:color w:val="auto"/>
                      <w:szCs w:val="21"/>
                    </w:rPr>
                    <w:t>＞2</w:t>
                  </w:r>
                </w:p>
              </w:tc>
              <w:tc>
                <w:tcPr>
                  <w:tcW w:w="1136" w:type="pct"/>
                  <w:gridSpan w:val="3"/>
                  <w:shd w:val="clear" w:color="auto" w:fill="7E7E7E"/>
                  <w:noWrap w:val="0"/>
                  <w:tcMar>
                    <w:top w:w="0" w:type="dxa"/>
                    <w:left w:w="0" w:type="dxa"/>
                    <w:bottom w:w="0" w:type="dxa"/>
                    <w:right w:w="0" w:type="dxa"/>
                  </w:tcMar>
                  <w:vAlign w:val="center"/>
                </w:tcPr>
                <w:p w14:paraId="0D82416F">
                  <w:pPr>
                    <w:snapToGrid w:val="0"/>
                    <w:jc w:val="center"/>
                    <w:rPr>
                      <w:color w:val="auto"/>
                      <w:szCs w:val="21"/>
                    </w:rPr>
                  </w:pPr>
                  <w:r>
                    <w:rPr>
                      <w:color w:val="auto"/>
                      <w:szCs w:val="21"/>
                    </w:rPr>
                    <w:t>1.85</w:t>
                  </w:r>
                </w:p>
              </w:tc>
              <w:tc>
                <w:tcPr>
                  <w:tcW w:w="1136" w:type="pct"/>
                  <w:gridSpan w:val="3"/>
                  <w:noWrap w:val="0"/>
                  <w:tcMar>
                    <w:top w:w="0" w:type="dxa"/>
                    <w:left w:w="0" w:type="dxa"/>
                    <w:bottom w:w="0" w:type="dxa"/>
                    <w:right w:w="0" w:type="dxa"/>
                  </w:tcMar>
                  <w:vAlign w:val="center"/>
                </w:tcPr>
                <w:p w14:paraId="2D418AD1">
                  <w:pPr>
                    <w:snapToGrid w:val="0"/>
                    <w:jc w:val="center"/>
                    <w:rPr>
                      <w:color w:val="auto"/>
                      <w:szCs w:val="21"/>
                    </w:rPr>
                  </w:pPr>
                  <w:r>
                    <w:rPr>
                      <w:color w:val="auto"/>
                      <w:szCs w:val="21"/>
                    </w:rPr>
                    <w:t>1.77</w:t>
                  </w:r>
                </w:p>
              </w:tc>
              <w:tc>
                <w:tcPr>
                  <w:tcW w:w="1136" w:type="pct"/>
                  <w:gridSpan w:val="3"/>
                  <w:noWrap w:val="0"/>
                  <w:tcMar>
                    <w:top w:w="0" w:type="dxa"/>
                    <w:left w:w="0" w:type="dxa"/>
                    <w:bottom w:w="0" w:type="dxa"/>
                    <w:right w:w="0" w:type="dxa"/>
                  </w:tcMar>
                  <w:vAlign w:val="center"/>
                </w:tcPr>
                <w:p w14:paraId="6DEFABF7">
                  <w:pPr>
                    <w:snapToGrid w:val="0"/>
                    <w:jc w:val="center"/>
                    <w:rPr>
                      <w:color w:val="auto"/>
                      <w:szCs w:val="21"/>
                    </w:rPr>
                  </w:pPr>
                  <w:r>
                    <w:rPr>
                      <w:color w:val="auto"/>
                      <w:szCs w:val="21"/>
                    </w:rPr>
                    <w:t>1.77</w:t>
                  </w:r>
                </w:p>
              </w:tc>
            </w:tr>
            <w:tr w14:paraId="3C00AD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noWrap w:val="0"/>
                  <w:tcMar>
                    <w:top w:w="0" w:type="dxa"/>
                    <w:left w:w="0" w:type="dxa"/>
                    <w:bottom w:w="0" w:type="dxa"/>
                    <w:right w:w="0" w:type="dxa"/>
                  </w:tcMar>
                  <w:vAlign w:val="center"/>
                </w:tcPr>
                <w:p w14:paraId="64E26A3C">
                  <w:pPr>
                    <w:snapToGrid w:val="0"/>
                    <w:jc w:val="center"/>
                    <w:rPr>
                      <w:color w:val="auto"/>
                      <w:szCs w:val="21"/>
                    </w:rPr>
                  </w:pPr>
                  <w:r>
                    <w:rPr>
                      <w:color w:val="auto"/>
                      <w:szCs w:val="21"/>
                    </w:rPr>
                    <w:t>D</w:t>
                  </w:r>
                </w:p>
              </w:tc>
              <w:tc>
                <w:tcPr>
                  <w:tcW w:w="776" w:type="pct"/>
                  <w:noWrap w:val="0"/>
                  <w:tcMar>
                    <w:top w:w="0" w:type="dxa"/>
                    <w:left w:w="0" w:type="dxa"/>
                    <w:bottom w:w="0" w:type="dxa"/>
                    <w:right w:w="0" w:type="dxa"/>
                  </w:tcMar>
                  <w:vAlign w:val="center"/>
                </w:tcPr>
                <w:p w14:paraId="56A9D28A">
                  <w:pPr>
                    <w:snapToGrid w:val="0"/>
                    <w:jc w:val="center"/>
                    <w:rPr>
                      <w:color w:val="auto"/>
                      <w:szCs w:val="21"/>
                    </w:rPr>
                  </w:pPr>
                  <w:r>
                    <w:rPr>
                      <w:color w:val="auto"/>
                      <w:szCs w:val="21"/>
                    </w:rPr>
                    <w:t>＜2</w:t>
                  </w:r>
                </w:p>
              </w:tc>
              <w:tc>
                <w:tcPr>
                  <w:tcW w:w="1136" w:type="pct"/>
                  <w:gridSpan w:val="3"/>
                  <w:noWrap w:val="0"/>
                  <w:tcMar>
                    <w:top w:w="0" w:type="dxa"/>
                    <w:left w:w="0" w:type="dxa"/>
                    <w:bottom w:w="0" w:type="dxa"/>
                    <w:right w:w="0" w:type="dxa"/>
                  </w:tcMar>
                  <w:vAlign w:val="center"/>
                </w:tcPr>
                <w:p w14:paraId="1DB8880A">
                  <w:pPr>
                    <w:snapToGrid w:val="0"/>
                    <w:jc w:val="center"/>
                    <w:rPr>
                      <w:color w:val="auto"/>
                      <w:szCs w:val="21"/>
                    </w:rPr>
                  </w:pPr>
                  <w:r>
                    <w:rPr>
                      <w:color w:val="auto"/>
                      <w:szCs w:val="21"/>
                    </w:rPr>
                    <w:t>0.78</w:t>
                  </w:r>
                </w:p>
              </w:tc>
              <w:tc>
                <w:tcPr>
                  <w:tcW w:w="1136" w:type="pct"/>
                  <w:gridSpan w:val="3"/>
                  <w:noWrap w:val="0"/>
                  <w:tcMar>
                    <w:top w:w="0" w:type="dxa"/>
                    <w:left w:w="0" w:type="dxa"/>
                    <w:bottom w:w="0" w:type="dxa"/>
                    <w:right w:w="0" w:type="dxa"/>
                  </w:tcMar>
                  <w:vAlign w:val="center"/>
                </w:tcPr>
                <w:p w14:paraId="2AC1CA8A">
                  <w:pPr>
                    <w:snapToGrid w:val="0"/>
                    <w:jc w:val="center"/>
                    <w:rPr>
                      <w:color w:val="auto"/>
                      <w:szCs w:val="21"/>
                    </w:rPr>
                  </w:pPr>
                  <w:r>
                    <w:rPr>
                      <w:color w:val="auto"/>
                      <w:szCs w:val="21"/>
                    </w:rPr>
                    <w:t>0.78</w:t>
                  </w:r>
                </w:p>
              </w:tc>
              <w:tc>
                <w:tcPr>
                  <w:tcW w:w="1136" w:type="pct"/>
                  <w:gridSpan w:val="3"/>
                  <w:noWrap w:val="0"/>
                  <w:tcMar>
                    <w:top w:w="0" w:type="dxa"/>
                    <w:left w:w="0" w:type="dxa"/>
                    <w:bottom w:w="0" w:type="dxa"/>
                    <w:right w:w="0" w:type="dxa"/>
                  </w:tcMar>
                  <w:vAlign w:val="center"/>
                </w:tcPr>
                <w:p w14:paraId="093D5DE7">
                  <w:pPr>
                    <w:snapToGrid w:val="0"/>
                    <w:jc w:val="center"/>
                    <w:rPr>
                      <w:color w:val="auto"/>
                      <w:szCs w:val="21"/>
                    </w:rPr>
                  </w:pPr>
                  <w:r>
                    <w:rPr>
                      <w:color w:val="auto"/>
                      <w:szCs w:val="21"/>
                    </w:rPr>
                    <w:t>0.57</w:t>
                  </w:r>
                </w:p>
              </w:tc>
            </w:tr>
            <w:tr w14:paraId="645345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shd w:val="clear" w:color="auto" w:fill="auto"/>
                  <w:noWrap w:val="0"/>
                  <w:tcMar>
                    <w:top w:w="0" w:type="dxa"/>
                    <w:left w:w="0" w:type="dxa"/>
                    <w:bottom w:w="0" w:type="dxa"/>
                    <w:right w:w="0" w:type="dxa"/>
                  </w:tcMar>
                  <w:vAlign w:val="center"/>
                </w:tcPr>
                <w:p w14:paraId="361B4A63">
                  <w:pPr>
                    <w:snapToGrid w:val="0"/>
                    <w:jc w:val="center"/>
                    <w:rPr>
                      <w:color w:val="auto"/>
                      <w:szCs w:val="21"/>
                    </w:rPr>
                  </w:pPr>
                </w:p>
              </w:tc>
              <w:tc>
                <w:tcPr>
                  <w:tcW w:w="776" w:type="pct"/>
                  <w:shd w:val="clear" w:color="auto" w:fill="auto"/>
                  <w:noWrap w:val="0"/>
                  <w:tcMar>
                    <w:top w:w="0" w:type="dxa"/>
                    <w:left w:w="0" w:type="dxa"/>
                    <w:bottom w:w="0" w:type="dxa"/>
                    <w:right w:w="0" w:type="dxa"/>
                  </w:tcMar>
                  <w:vAlign w:val="center"/>
                </w:tcPr>
                <w:p w14:paraId="70098BC0">
                  <w:pPr>
                    <w:snapToGrid w:val="0"/>
                    <w:jc w:val="center"/>
                    <w:rPr>
                      <w:color w:val="auto"/>
                      <w:szCs w:val="21"/>
                    </w:rPr>
                  </w:pPr>
                  <w:r>
                    <w:rPr>
                      <w:color w:val="auto"/>
                      <w:szCs w:val="21"/>
                    </w:rPr>
                    <w:t>＞2</w:t>
                  </w:r>
                </w:p>
              </w:tc>
              <w:tc>
                <w:tcPr>
                  <w:tcW w:w="1136" w:type="pct"/>
                  <w:gridSpan w:val="3"/>
                  <w:shd w:val="clear" w:color="auto" w:fill="7E7E7E"/>
                  <w:noWrap w:val="0"/>
                  <w:tcMar>
                    <w:top w:w="0" w:type="dxa"/>
                    <w:left w:w="0" w:type="dxa"/>
                    <w:bottom w:w="0" w:type="dxa"/>
                    <w:right w:w="0" w:type="dxa"/>
                  </w:tcMar>
                  <w:vAlign w:val="center"/>
                </w:tcPr>
                <w:p w14:paraId="4765A440">
                  <w:pPr>
                    <w:snapToGrid w:val="0"/>
                    <w:jc w:val="center"/>
                    <w:rPr>
                      <w:color w:val="auto"/>
                      <w:szCs w:val="21"/>
                    </w:rPr>
                  </w:pPr>
                  <w:r>
                    <w:rPr>
                      <w:color w:val="auto"/>
                      <w:szCs w:val="21"/>
                    </w:rPr>
                    <w:t>0.84</w:t>
                  </w:r>
                </w:p>
              </w:tc>
              <w:tc>
                <w:tcPr>
                  <w:tcW w:w="1136" w:type="pct"/>
                  <w:gridSpan w:val="3"/>
                  <w:noWrap w:val="0"/>
                  <w:tcMar>
                    <w:top w:w="0" w:type="dxa"/>
                    <w:left w:w="0" w:type="dxa"/>
                    <w:bottom w:w="0" w:type="dxa"/>
                    <w:right w:w="0" w:type="dxa"/>
                  </w:tcMar>
                  <w:vAlign w:val="center"/>
                </w:tcPr>
                <w:p w14:paraId="72E0E917">
                  <w:pPr>
                    <w:snapToGrid w:val="0"/>
                    <w:jc w:val="center"/>
                    <w:rPr>
                      <w:color w:val="auto"/>
                      <w:szCs w:val="21"/>
                    </w:rPr>
                  </w:pPr>
                  <w:r>
                    <w:rPr>
                      <w:color w:val="auto"/>
                      <w:szCs w:val="21"/>
                    </w:rPr>
                    <w:t>0.84</w:t>
                  </w:r>
                </w:p>
              </w:tc>
              <w:tc>
                <w:tcPr>
                  <w:tcW w:w="1136" w:type="pct"/>
                  <w:gridSpan w:val="3"/>
                  <w:noWrap w:val="0"/>
                  <w:tcMar>
                    <w:top w:w="0" w:type="dxa"/>
                    <w:left w:w="0" w:type="dxa"/>
                    <w:bottom w:w="0" w:type="dxa"/>
                    <w:right w:w="0" w:type="dxa"/>
                  </w:tcMar>
                  <w:vAlign w:val="center"/>
                </w:tcPr>
                <w:p w14:paraId="4B764707">
                  <w:pPr>
                    <w:snapToGrid w:val="0"/>
                    <w:jc w:val="center"/>
                    <w:rPr>
                      <w:color w:val="auto"/>
                      <w:szCs w:val="21"/>
                    </w:rPr>
                  </w:pPr>
                  <w:r>
                    <w:rPr>
                      <w:color w:val="auto"/>
                      <w:szCs w:val="21"/>
                    </w:rPr>
                    <w:t>0.76</w:t>
                  </w:r>
                </w:p>
              </w:tc>
            </w:tr>
          </w:tbl>
          <w:p w14:paraId="7989B52F">
            <w:pPr>
              <w:adjustRightInd w:val="0"/>
              <w:snapToGrid w:val="0"/>
              <w:spacing w:before="120" w:beforeLines="50" w:line="360" w:lineRule="auto"/>
              <w:ind w:firstLine="420" w:firstLineChars="200"/>
              <w:jc w:val="left"/>
              <w:rPr>
                <w:bCs/>
                <w:color w:val="auto"/>
                <w:szCs w:val="21"/>
              </w:rPr>
            </w:pPr>
            <w:r>
              <w:rPr>
                <w:bCs/>
                <w:color w:val="auto"/>
                <w:szCs w:val="21"/>
              </w:rPr>
              <w:t>经计算，本项目卫生防护距离计算结果见下表。</w:t>
            </w:r>
          </w:p>
          <w:p w14:paraId="4E1925A1">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表4-</w:t>
            </w:r>
            <w:r>
              <w:rPr>
                <w:rFonts w:hint="eastAsia"/>
                <w:b/>
                <w:bCs/>
                <w:color w:val="auto"/>
                <w:szCs w:val="21"/>
                <w:lang w:val="en-US" w:eastAsia="zh-CN"/>
              </w:rPr>
              <w:t>15</w:t>
            </w:r>
            <w:r>
              <w:rPr>
                <w:b/>
                <w:bCs/>
                <w:color w:val="auto"/>
                <w:szCs w:val="21"/>
              </w:rPr>
              <w:t xml:space="preserve"> 卫生防护距离计算结果表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51"/>
              <w:gridCol w:w="1061"/>
              <w:gridCol w:w="738"/>
              <w:gridCol w:w="759"/>
              <w:gridCol w:w="1070"/>
              <w:gridCol w:w="543"/>
              <w:gridCol w:w="629"/>
              <w:gridCol w:w="563"/>
              <w:gridCol w:w="656"/>
              <w:gridCol w:w="738"/>
              <w:gridCol w:w="672"/>
            </w:tblGrid>
            <w:tr w14:paraId="038814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7" w:type="pct"/>
                  <w:vMerge w:val="restart"/>
                  <w:noWrap w:val="0"/>
                  <w:tcMar>
                    <w:top w:w="0" w:type="dxa"/>
                    <w:left w:w="0" w:type="dxa"/>
                    <w:bottom w:w="0" w:type="dxa"/>
                    <w:right w:w="0" w:type="dxa"/>
                  </w:tcMar>
                  <w:vAlign w:val="center"/>
                </w:tcPr>
                <w:p w14:paraId="50B586D4">
                  <w:pPr>
                    <w:spacing w:line="240" w:lineRule="exact"/>
                    <w:jc w:val="center"/>
                    <w:rPr>
                      <w:b/>
                      <w:bCs/>
                      <w:color w:val="auto"/>
                      <w:szCs w:val="21"/>
                    </w:rPr>
                  </w:pPr>
                  <w:r>
                    <w:rPr>
                      <w:b/>
                      <w:bCs/>
                      <w:color w:val="auto"/>
                      <w:szCs w:val="21"/>
                    </w:rPr>
                    <w:t>面源名称</w:t>
                  </w:r>
                </w:p>
              </w:tc>
              <w:tc>
                <w:tcPr>
                  <w:tcW w:w="633" w:type="pct"/>
                  <w:vMerge w:val="restart"/>
                  <w:noWrap w:val="0"/>
                  <w:tcMar>
                    <w:top w:w="0" w:type="dxa"/>
                    <w:left w:w="0" w:type="dxa"/>
                    <w:bottom w:w="0" w:type="dxa"/>
                    <w:right w:w="0" w:type="dxa"/>
                  </w:tcMar>
                  <w:vAlign w:val="center"/>
                </w:tcPr>
                <w:p w14:paraId="45DDC968">
                  <w:pPr>
                    <w:jc w:val="center"/>
                    <w:rPr>
                      <w:b/>
                      <w:bCs/>
                      <w:color w:val="auto"/>
                      <w:szCs w:val="21"/>
                    </w:rPr>
                  </w:pPr>
                  <w:r>
                    <w:rPr>
                      <w:b/>
                      <w:bCs/>
                      <w:color w:val="auto"/>
                      <w:szCs w:val="21"/>
                    </w:rPr>
                    <w:t>污染物</w:t>
                  </w:r>
                </w:p>
              </w:tc>
              <w:tc>
                <w:tcPr>
                  <w:tcW w:w="440" w:type="pct"/>
                  <w:vMerge w:val="restart"/>
                  <w:noWrap w:val="0"/>
                  <w:tcMar>
                    <w:top w:w="0" w:type="dxa"/>
                    <w:left w:w="0" w:type="dxa"/>
                    <w:bottom w:w="0" w:type="dxa"/>
                    <w:right w:w="0" w:type="dxa"/>
                  </w:tcMar>
                  <w:vAlign w:val="center"/>
                </w:tcPr>
                <w:p w14:paraId="06D70FB9">
                  <w:pPr>
                    <w:jc w:val="center"/>
                    <w:rPr>
                      <w:b/>
                      <w:bCs/>
                      <w:color w:val="auto"/>
                      <w:szCs w:val="21"/>
                    </w:rPr>
                  </w:pPr>
                  <w:r>
                    <w:rPr>
                      <w:b/>
                      <w:bCs/>
                      <w:color w:val="auto"/>
                      <w:szCs w:val="21"/>
                    </w:rPr>
                    <w:t>产生量kg/h</w:t>
                  </w:r>
                </w:p>
              </w:tc>
              <w:tc>
                <w:tcPr>
                  <w:tcW w:w="452" w:type="pct"/>
                  <w:vMerge w:val="restart"/>
                  <w:noWrap w:val="0"/>
                  <w:tcMar>
                    <w:top w:w="0" w:type="dxa"/>
                    <w:left w:w="0" w:type="dxa"/>
                    <w:bottom w:w="0" w:type="dxa"/>
                    <w:right w:w="0" w:type="dxa"/>
                  </w:tcMar>
                  <w:vAlign w:val="center"/>
                </w:tcPr>
                <w:p w14:paraId="3E71E6DF">
                  <w:pPr>
                    <w:jc w:val="center"/>
                    <w:rPr>
                      <w:b/>
                      <w:bCs/>
                      <w:color w:val="auto"/>
                      <w:szCs w:val="21"/>
                    </w:rPr>
                  </w:pPr>
                  <w:r>
                    <w:rPr>
                      <w:b/>
                      <w:bCs/>
                      <w:color w:val="auto"/>
                      <w:szCs w:val="21"/>
                    </w:rPr>
                    <w:t>面源面积m</w:t>
                  </w:r>
                  <w:r>
                    <w:rPr>
                      <w:b/>
                      <w:bCs/>
                      <w:color w:val="auto"/>
                      <w:szCs w:val="21"/>
                      <w:vertAlign w:val="superscript"/>
                    </w:rPr>
                    <w:t>2</w:t>
                  </w:r>
                </w:p>
              </w:tc>
              <w:tc>
                <w:tcPr>
                  <w:tcW w:w="2065" w:type="pct"/>
                  <w:gridSpan w:val="5"/>
                  <w:noWrap w:val="0"/>
                  <w:tcMar>
                    <w:top w:w="0" w:type="dxa"/>
                    <w:left w:w="0" w:type="dxa"/>
                    <w:bottom w:w="0" w:type="dxa"/>
                    <w:right w:w="0" w:type="dxa"/>
                  </w:tcMar>
                  <w:vAlign w:val="center"/>
                </w:tcPr>
                <w:p w14:paraId="1C9A2E71">
                  <w:pPr>
                    <w:jc w:val="center"/>
                    <w:rPr>
                      <w:b/>
                      <w:bCs/>
                      <w:color w:val="auto"/>
                      <w:szCs w:val="21"/>
                    </w:rPr>
                  </w:pPr>
                  <w:r>
                    <w:rPr>
                      <w:b/>
                      <w:bCs/>
                      <w:color w:val="auto"/>
                      <w:szCs w:val="21"/>
                    </w:rPr>
                    <w:t>计算参数</w:t>
                  </w:r>
                </w:p>
              </w:tc>
              <w:tc>
                <w:tcPr>
                  <w:tcW w:w="841" w:type="pct"/>
                  <w:gridSpan w:val="2"/>
                  <w:noWrap w:val="0"/>
                  <w:tcMar>
                    <w:top w:w="0" w:type="dxa"/>
                    <w:left w:w="0" w:type="dxa"/>
                    <w:bottom w:w="0" w:type="dxa"/>
                    <w:right w:w="0" w:type="dxa"/>
                  </w:tcMar>
                  <w:vAlign w:val="center"/>
                </w:tcPr>
                <w:p w14:paraId="24DB7BD6">
                  <w:pPr>
                    <w:jc w:val="center"/>
                    <w:rPr>
                      <w:b/>
                      <w:bCs/>
                      <w:color w:val="auto"/>
                      <w:szCs w:val="21"/>
                    </w:rPr>
                  </w:pPr>
                  <w:r>
                    <w:rPr>
                      <w:b/>
                      <w:bCs/>
                      <w:color w:val="auto"/>
                      <w:szCs w:val="21"/>
                    </w:rPr>
                    <w:t>卫生防护距离</w:t>
                  </w:r>
                </w:p>
              </w:tc>
            </w:tr>
            <w:tr w14:paraId="33D549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7" w:type="pct"/>
                  <w:vMerge w:val="continue"/>
                  <w:noWrap w:val="0"/>
                  <w:tcMar>
                    <w:top w:w="0" w:type="dxa"/>
                    <w:left w:w="0" w:type="dxa"/>
                    <w:bottom w:w="0" w:type="dxa"/>
                    <w:right w:w="0" w:type="dxa"/>
                  </w:tcMar>
                  <w:vAlign w:val="center"/>
                </w:tcPr>
                <w:p w14:paraId="75961E89">
                  <w:pPr>
                    <w:spacing w:line="240" w:lineRule="exact"/>
                    <w:jc w:val="center"/>
                    <w:rPr>
                      <w:b/>
                      <w:bCs/>
                      <w:color w:val="auto"/>
                      <w:szCs w:val="21"/>
                    </w:rPr>
                  </w:pPr>
                </w:p>
              </w:tc>
              <w:tc>
                <w:tcPr>
                  <w:tcW w:w="633" w:type="pct"/>
                  <w:vMerge w:val="continue"/>
                  <w:noWrap w:val="0"/>
                  <w:tcMar>
                    <w:top w:w="0" w:type="dxa"/>
                    <w:left w:w="0" w:type="dxa"/>
                    <w:bottom w:w="0" w:type="dxa"/>
                    <w:right w:w="0" w:type="dxa"/>
                  </w:tcMar>
                  <w:vAlign w:val="center"/>
                </w:tcPr>
                <w:p w14:paraId="7ABD2B3F">
                  <w:pPr>
                    <w:jc w:val="center"/>
                    <w:rPr>
                      <w:b/>
                      <w:bCs/>
                      <w:color w:val="auto"/>
                      <w:szCs w:val="21"/>
                    </w:rPr>
                  </w:pPr>
                </w:p>
              </w:tc>
              <w:tc>
                <w:tcPr>
                  <w:tcW w:w="440" w:type="pct"/>
                  <w:vMerge w:val="continue"/>
                  <w:noWrap w:val="0"/>
                  <w:tcMar>
                    <w:top w:w="0" w:type="dxa"/>
                    <w:left w:w="0" w:type="dxa"/>
                    <w:bottom w:w="0" w:type="dxa"/>
                    <w:right w:w="0" w:type="dxa"/>
                  </w:tcMar>
                  <w:vAlign w:val="center"/>
                </w:tcPr>
                <w:p w14:paraId="6D0D13EA">
                  <w:pPr>
                    <w:jc w:val="center"/>
                    <w:rPr>
                      <w:b/>
                      <w:bCs/>
                      <w:color w:val="auto"/>
                      <w:szCs w:val="21"/>
                    </w:rPr>
                  </w:pPr>
                </w:p>
              </w:tc>
              <w:tc>
                <w:tcPr>
                  <w:tcW w:w="452" w:type="pct"/>
                  <w:vMerge w:val="continue"/>
                  <w:noWrap w:val="0"/>
                  <w:tcMar>
                    <w:top w:w="0" w:type="dxa"/>
                    <w:left w:w="0" w:type="dxa"/>
                    <w:bottom w:w="0" w:type="dxa"/>
                    <w:right w:w="0" w:type="dxa"/>
                  </w:tcMar>
                  <w:vAlign w:val="center"/>
                </w:tcPr>
                <w:p w14:paraId="34C7D852">
                  <w:pPr>
                    <w:jc w:val="center"/>
                    <w:rPr>
                      <w:b/>
                      <w:bCs/>
                      <w:color w:val="auto"/>
                      <w:szCs w:val="21"/>
                    </w:rPr>
                  </w:pPr>
                </w:p>
              </w:tc>
              <w:tc>
                <w:tcPr>
                  <w:tcW w:w="638" w:type="pct"/>
                  <w:noWrap w:val="0"/>
                  <w:tcMar>
                    <w:top w:w="0" w:type="dxa"/>
                    <w:left w:w="0" w:type="dxa"/>
                    <w:bottom w:w="0" w:type="dxa"/>
                    <w:right w:w="0" w:type="dxa"/>
                  </w:tcMar>
                  <w:vAlign w:val="center"/>
                </w:tcPr>
                <w:p w14:paraId="41E1B320">
                  <w:pPr>
                    <w:jc w:val="center"/>
                    <w:rPr>
                      <w:b/>
                      <w:bCs/>
                      <w:color w:val="auto"/>
                      <w:szCs w:val="21"/>
                    </w:rPr>
                  </w:pPr>
                  <w:r>
                    <w:rPr>
                      <w:b/>
                      <w:bCs/>
                      <w:color w:val="auto"/>
                      <w:szCs w:val="21"/>
                    </w:rPr>
                    <w:t>C</w:t>
                  </w:r>
                  <w:r>
                    <w:rPr>
                      <w:b/>
                      <w:bCs/>
                      <w:color w:val="auto"/>
                      <w:szCs w:val="21"/>
                      <w:vertAlign w:val="subscript"/>
                    </w:rPr>
                    <w:t>m</w:t>
                  </w:r>
                  <w:r>
                    <w:rPr>
                      <w:b/>
                      <w:bCs/>
                      <w:color w:val="auto"/>
                      <w:szCs w:val="21"/>
                    </w:rPr>
                    <w:t>mg/m</w:t>
                  </w:r>
                  <w:r>
                    <w:rPr>
                      <w:b/>
                      <w:bCs/>
                      <w:color w:val="auto"/>
                      <w:szCs w:val="21"/>
                      <w:vertAlign w:val="superscript"/>
                    </w:rPr>
                    <w:t>3</w:t>
                  </w:r>
                </w:p>
              </w:tc>
              <w:tc>
                <w:tcPr>
                  <w:tcW w:w="323" w:type="pct"/>
                  <w:noWrap w:val="0"/>
                  <w:tcMar>
                    <w:top w:w="0" w:type="dxa"/>
                    <w:left w:w="0" w:type="dxa"/>
                    <w:bottom w:w="0" w:type="dxa"/>
                    <w:right w:w="0" w:type="dxa"/>
                  </w:tcMar>
                  <w:vAlign w:val="center"/>
                </w:tcPr>
                <w:p w14:paraId="5821FCFF">
                  <w:pPr>
                    <w:jc w:val="center"/>
                    <w:rPr>
                      <w:b/>
                      <w:bCs/>
                      <w:color w:val="auto"/>
                      <w:szCs w:val="21"/>
                    </w:rPr>
                  </w:pPr>
                  <w:r>
                    <w:rPr>
                      <w:b/>
                      <w:bCs/>
                      <w:color w:val="auto"/>
                      <w:szCs w:val="21"/>
                    </w:rPr>
                    <w:t>A</w:t>
                  </w:r>
                </w:p>
              </w:tc>
              <w:tc>
                <w:tcPr>
                  <w:tcW w:w="375" w:type="pct"/>
                  <w:noWrap w:val="0"/>
                  <w:tcMar>
                    <w:top w:w="0" w:type="dxa"/>
                    <w:left w:w="0" w:type="dxa"/>
                    <w:bottom w:w="0" w:type="dxa"/>
                    <w:right w:w="0" w:type="dxa"/>
                  </w:tcMar>
                  <w:vAlign w:val="center"/>
                </w:tcPr>
                <w:p w14:paraId="51B7F870">
                  <w:pPr>
                    <w:jc w:val="center"/>
                    <w:rPr>
                      <w:b/>
                      <w:bCs/>
                      <w:color w:val="auto"/>
                      <w:szCs w:val="21"/>
                    </w:rPr>
                  </w:pPr>
                  <w:r>
                    <w:rPr>
                      <w:b/>
                      <w:bCs/>
                      <w:color w:val="auto"/>
                      <w:szCs w:val="21"/>
                    </w:rPr>
                    <w:t>B</w:t>
                  </w:r>
                </w:p>
              </w:tc>
              <w:tc>
                <w:tcPr>
                  <w:tcW w:w="335" w:type="pct"/>
                  <w:noWrap w:val="0"/>
                  <w:tcMar>
                    <w:top w:w="0" w:type="dxa"/>
                    <w:left w:w="0" w:type="dxa"/>
                    <w:bottom w:w="0" w:type="dxa"/>
                    <w:right w:w="0" w:type="dxa"/>
                  </w:tcMar>
                  <w:vAlign w:val="center"/>
                </w:tcPr>
                <w:p w14:paraId="48DFD4AE">
                  <w:pPr>
                    <w:jc w:val="center"/>
                    <w:rPr>
                      <w:b/>
                      <w:bCs/>
                      <w:color w:val="auto"/>
                      <w:szCs w:val="21"/>
                    </w:rPr>
                  </w:pPr>
                  <w:r>
                    <w:rPr>
                      <w:b/>
                      <w:bCs/>
                      <w:color w:val="auto"/>
                      <w:szCs w:val="21"/>
                    </w:rPr>
                    <w:t>C</w:t>
                  </w:r>
                </w:p>
              </w:tc>
              <w:tc>
                <w:tcPr>
                  <w:tcW w:w="391" w:type="pct"/>
                  <w:noWrap w:val="0"/>
                  <w:tcMar>
                    <w:top w:w="0" w:type="dxa"/>
                    <w:left w:w="0" w:type="dxa"/>
                    <w:bottom w:w="0" w:type="dxa"/>
                    <w:right w:w="0" w:type="dxa"/>
                  </w:tcMar>
                  <w:vAlign w:val="center"/>
                </w:tcPr>
                <w:p w14:paraId="011B8CA0">
                  <w:pPr>
                    <w:jc w:val="center"/>
                    <w:rPr>
                      <w:b/>
                      <w:bCs/>
                      <w:color w:val="auto"/>
                      <w:szCs w:val="21"/>
                    </w:rPr>
                  </w:pPr>
                  <w:r>
                    <w:rPr>
                      <w:b/>
                      <w:bCs/>
                      <w:color w:val="auto"/>
                      <w:szCs w:val="21"/>
                    </w:rPr>
                    <w:t>D</w:t>
                  </w:r>
                </w:p>
              </w:tc>
              <w:tc>
                <w:tcPr>
                  <w:tcW w:w="440" w:type="pct"/>
                  <w:noWrap w:val="0"/>
                  <w:tcMar>
                    <w:top w:w="0" w:type="dxa"/>
                    <w:left w:w="0" w:type="dxa"/>
                    <w:bottom w:w="0" w:type="dxa"/>
                    <w:right w:w="0" w:type="dxa"/>
                  </w:tcMar>
                  <w:vAlign w:val="center"/>
                </w:tcPr>
                <w:p w14:paraId="6688CE29">
                  <w:pPr>
                    <w:jc w:val="center"/>
                    <w:rPr>
                      <w:b/>
                      <w:bCs/>
                      <w:color w:val="auto"/>
                      <w:szCs w:val="21"/>
                    </w:rPr>
                  </w:pPr>
                  <w:r>
                    <w:rPr>
                      <w:b/>
                      <w:bCs/>
                      <w:color w:val="auto"/>
                      <w:szCs w:val="21"/>
                    </w:rPr>
                    <w:t>L</w:t>
                  </w:r>
                  <w:r>
                    <w:rPr>
                      <w:b/>
                      <w:bCs/>
                      <w:color w:val="auto"/>
                      <w:szCs w:val="21"/>
                      <w:vertAlign w:val="subscript"/>
                    </w:rPr>
                    <w:t>计</w:t>
                  </w:r>
                  <w:r>
                    <w:rPr>
                      <w:b/>
                      <w:bCs/>
                      <w:color w:val="auto"/>
                      <w:szCs w:val="21"/>
                    </w:rPr>
                    <w:t>m</w:t>
                  </w:r>
                </w:p>
              </w:tc>
              <w:tc>
                <w:tcPr>
                  <w:tcW w:w="400" w:type="pct"/>
                  <w:noWrap w:val="0"/>
                  <w:tcMar>
                    <w:top w:w="0" w:type="dxa"/>
                    <w:left w:w="0" w:type="dxa"/>
                    <w:bottom w:w="0" w:type="dxa"/>
                    <w:right w:w="0" w:type="dxa"/>
                  </w:tcMar>
                  <w:vAlign w:val="center"/>
                </w:tcPr>
                <w:p w14:paraId="19D3725F">
                  <w:pPr>
                    <w:jc w:val="center"/>
                    <w:rPr>
                      <w:b/>
                      <w:bCs/>
                      <w:color w:val="auto"/>
                      <w:szCs w:val="21"/>
                      <w:vertAlign w:val="subscript"/>
                    </w:rPr>
                  </w:pPr>
                  <w:r>
                    <w:rPr>
                      <w:b/>
                      <w:bCs/>
                      <w:color w:val="auto"/>
                      <w:szCs w:val="21"/>
                    </w:rPr>
                    <w:t>L</w:t>
                  </w:r>
                  <w:r>
                    <w:rPr>
                      <w:b/>
                      <w:bCs/>
                      <w:color w:val="auto"/>
                      <w:szCs w:val="21"/>
                      <w:vertAlign w:val="subscript"/>
                    </w:rPr>
                    <w:t>卫</w:t>
                  </w:r>
                  <w:r>
                    <w:rPr>
                      <w:b/>
                      <w:bCs/>
                      <w:color w:val="auto"/>
                      <w:szCs w:val="21"/>
                    </w:rPr>
                    <w:t>m</w:t>
                  </w:r>
                </w:p>
              </w:tc>
            </w:tr>
            <w:tr w14:paraId="69CC27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7" w:type="pct"/>
                  <w:vMerge w:val="restart"/>
                  <w:noWrap w:val="0"/>
                  <w:tcMar>
                    <w:top w:w="0" w:type="dxa"/>
                    <w:left w:w="0" w:type="dxa"/>
                    <w:bottom w:w="0" w:type="dxa"/>
                    <w:right w:w="0" w:type="dxa"/>
                  </w:tcMar>
                  <w:vAlign w:val="center"/>
                </w:tcPr>
                <w:p w14:paraId="5604D92B">
                  <w:pPr>
                    <w:jc w:val="center"/>
                    <w:rPr>
                      <w:color w:val="auto"/>
                      <w:szCs w:val="21"/>
                    </w:rPr>
                  </w:pPr>
                  <w:r>
                    <w:rPr>
                      <w:rFonts w:hint="eastAsia"/>
                      <w:color w:val="auto"/>
                      <w:szCs w:val="21"/>
                    </w:rPr>
                    <w:t>生产车间</w:t>
                  </w:r>
                </w:p>
              </w:tc>
              <w:tc>
                <w:tcPr>
                  <w:tcW w:w="633" w:type="pct"/>
                  <w:shd w:val="clear" w:color="auto" w:fill="auto"/>
                  <w:noWrap w:val="0"/>
                  <w:tcMar>
                    <w:top w:w="0" w:type="dxa"/>
                    <w:left w:w="0" w:type="dxa"/>
                    <w:bottom w:w="0" w:type="dxa"/>
                    <w:right w:w="0" w:type="dxa"/>
                  </w:tcMar>
                  <w:vAlign w:val="center"/>
                </w:tcPr>
                <w:p w14:paraId="6CBBEC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440" w:type="pct"/>
                  <w:shd w:val="clear" w:color="auto" w:fill="auto"/>
                  <w:noWrap w:val="0"/>
                  <w:tcMar>
                    <w:top w:w="0" w:type="dxa"/>
                    <w:left w:w="0" w:type="dxa"/>
                    <w:bottom w:w="0" w:type="dxa"/>
                    <w:right w:w="0" w:type="dxa"/>
                  </w:tcMar>
                  <w:vAlign w:val="center"/>
                </w:tcPr>
                <w:p w14:paraId="0CD6DF8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0.018</w:t>
                  </w:r>
                </w:p>
              </w:tc>
              <w:tc>
                <w:tcPr>
                  <w:tcW w:w="452" w:type="pct"/>
                  <w:vMerge w:val="restart"/>
                  <w:noWrap w:val="0"/>
                  <w:tcMar>
                    <w:top w:w="0" w:type="dxa"/>
                    <w:left w:w="0" w:type="dxa"/>
                    <w:bottom w:w="0" w:type="dxa"/>
                    <w:right w:w="0" w:type="dxa"/>
                  </w:tcMar>
                  <w:vAlign w:val="center"/>
                </w:tcPr>
                <w:p w14:paraId="620FE537">
                  <w:pPr>
                    <w:jc w:val="center"/>
                    <w:rPr>
                      <w:rFonts w:hint="default" w:eastAsia="宋体"/>
                      <w:color w:val="auto"/>
                      <w:szCs w:val="21"/>
                      <w:lang w:val="en-US" w:eastAsia="zh-CN"/>
                    </w:rPr>
                  </w:pPr>
                  <w:r>
                    <w:rPr>
                      <w:rFonts w:hint="eastAsia"/>
                      <w:color w:val="auto"/>
                      <w:spacing w:val="-2"/>
                      <w:kern w:val="28"/>
                      <w:szCs w:val="21"/>
                      <w:lang w:val="en-US" w:eastAsia="zh-CN"/>
                    </w:rPr>
                    <w:t>1660</w:t>
                  </w:r>
                </w:p>
              </w:tc>
              <w:tc>
                <w:tcPr>
                  <w:tcW w:w="638" w:type="pct"/>
                  <w:noWrap w:val="0"/>
                  <w:tcMar>
                    <w:top w:w="0" w:type="dxa"/>
                    <w:left w:w="0" w:type="dxa"/>
                    <w:bottom w:w="0" w:type="dxa"/>
                    <w:right w:w="0" w:type="dxa"/>
                  </w:tcMar>
                  <w:vAlign w:val="center"/>
                </w:tcPr>
                <w:p w14:paraId="1B73F48B">
                  <w:pPr>
                    <w:jc w:val="center"/>
                    <w:rPr>
                      <w:rFonts w:hint="default" w:eastAsia="宋体"/>
                      <w:color w:val="auto"/>
                      <w:szCs w:val="21"/>
                      <w:lang w:val="en-US" w:eastAsia="zh-CN"/>
                    </w:rPr>
                  </w:pPr>
                  <w:r>
                    <w:rPr>
                      <w:rFonts w:hint="eastAsia"/>
                      <w:color w:val="auto"/>
                      <w:szCs w:val="21"/>
                      <w:lang w:val="en-US" w:eastAsia="zh-CN"/>
                    </w:rPr>
                    <w:t>2</w:t>
                  </w:r>
                </w:p>
              </w:tc>
              <w:tc>
                <w:tcPr>
                  <w:tcW w:w="323" w:type="pct"/>
                  <w:noWrap w:val="0"/>
                  <w:tcMar>
                    <w:top w:w="0" w:type="dxa"/>
                    <w:left w:w="0" w:type="dxa"/>
                    <w:bottom w:w="0" w:type="dxa"/>
                    <w:right w:w="0" w:type="dxa"/>
                  </w:tcMar>
                  <w:vAlign w:val="center"/>
                </w:tcPr>
                <w:p w14:paraId="285A83B8">
                  <w:pPr>
                    <w:jc w:val="center"/>
                    <w:rPr>
                      <w:rFonts w:hint="default" w:eastAsia="宋体"/>
                      <w:snapToGrid w:val="0"/>
                      <w:color w:val="auto"/>
                      <w:szCs w:val="21"/>
                      <w:lang w:val="en-US" w:eastAsia="zh-CN"/>
                    </w:rPr>
                  </w:pPr>
                  <w:r>
                    <w:rPr>
                      <w:rFonts w:hint="eastAsia"/>
                      <w:color w:val="auto"/>
                      <w:szCs w:val="21"/>
                      <w:lang w:val="en-US" w:eastAsia="zh-CN"/>
                    </w:rPr>
                    <w:t>470</w:t>
                  </w:r>
                </w:p>
              </w:tc>
              <w:tc>
                <w:tcPr>
                  <w:tcW w:w="375" w:type="pct"/>
                  <w:noWrap w:val="0"/>
                  <w:tcMar>
                    <w:top w:w="0" w:type="dxa"/>
                    <w:left w:w="0" w:type="dxa"/>
                    <w:bottom w:w="0" w:type="dxa"/>
                    <w:right w:w="0" w:type="dxa"/>
                  </w:tcMar>
                  <w:vAlign w:val="center"/>
                </w:tcPr>
                <w:p w14:paraId="3B4F5452">
                  <w:pPr>
                    <w:jc w:val="center"/>
                    <w:rPr>
                      <w:rFonts w:hint="default" w:eastAsia="宋体"/>
                      <w:snapToGrid w:val="0"/>
                      <w:color w:val="auto"/>
                      <w:szCs w:val="21"/>
                      <w:lang w:val="en-US" w:eastAsia="zh-CN"/>
                    </w:rPr>
                  </w:pPr>
                  <w:r>
                    <w:rPr>
                      <w:rFonts w:hint="eastAsia" w:eastAsia="宋体"/>
                      <w:color w:val="auto"/>
                      <w:szCs w:val="21"/>
                      <w:lang w:val="en-US" w:eastAsia="zh-CN"/>
                    </w:rPr>
                    <w:t>0.021</w:t>
                  </w:r>
                </w:p>
              </w:tc>
              <w:tc>
                <w:tcPr>
                  <w:tcW w:w="335" w:type="pct"/>
                  <w:noWrap w:val="0"/>
                  <w:tcMar>
                    <w:top w:w="0" w:type="dxa"/>
                    <w:left w:w="0" w:type="dxa"/>
                    <w:bottom w:w="0" w:type="dxa"/>
                    <w:right w:w="0" w:type="dxa"/>
                  </w:tcMar>
                  <w:vAlign w:val="center"/>
                </w:tcPr>
                <w:p w14:paraId="29F85CC3">
                  <w:pPr>
                    <w:jc w:val="center"/>
                    <w:rPr>
                      <w:snapToGrid w:val="0"/>
                      <w:color w:val="auto"/>
                      <w:szCs w:val="21"/>
                    </w:rPr>
                  </w:pPr>
                  <w:r>
                    <w:rPr>
                      <w:color w:val="auto"/>
                      <w:szCs w:val="21"/>
                    </w:rPr>
                    <w:t>1.85</w:t>
                  </w:r>
                </w:p>
              </w:tc>
              <w:tc>
                <w:tcPr>
                  <w:tcW w:w="391" w:type="pct"/>
                  <w:noWrap w:val="0"/>
                  <w:tcMar>
                    <w:top w:w="0" w:type="dxa"/>
                    <w:left w:w="0" w:type="dxa"/>
                    <w:bottom w:w="0" w:type="dxa"/>
                    <w:right w:w="0" w:type="dxa"/>
                  </w:tcMar>
                  <w:vAlign w:val="center"/>
                </w:tcPr>
                <w:p w14:paraId="4C092ABF">
                  <w:pPr>
                    <w:jc w:val="center"/>
                    <w:rPr>
                      <w:rFonts w:hint="default" w:eastAsia="宋体"/>
                      <w:snapToGrid w:val="0"/>
                      <w:color w:val="auto"/>
                      <w:szCs w:val="21"/>
                      <w:lang w:val="en-US" w:eastAsia="zh-CN"/>
                    </w:rPr>
                  </w:pPr>
                  <w:r>
                    <w:rPr>
                      <w:rFonts w:hint="eastAsia"/>
                      <w:color w:val="auto"/>
                      <w:szCs w:val="21"/>
                      <w:lang w:val="en-US" w:eastAsia="zh-CN"/>
                    </w:rPr>
                    <w:t>0.84</w:t>
                  </w:r>
                </w:p>
              </w:tc>
              <w:tc>
                <w:tcPr>
                  <w:tcW w:w="440" w:type="pct"/>
                  <w:noWrap w:val="0"/>
                  <w:tcMar>
                    <w:top w:w="0" w:type="dxa"/>
                    <w:left w:w="0" w:type="dxa"/>
                    <w:bottom w:w="0" w:type="dxa"/>
                    <w:right w:w="0" w:type="dxa"/>
                  </w:tcMar>
                  <w:vAlign w:val="center"/>
                </w:tcPr>
                <w:p w14:paraId="1E0F957C">
                  <w:pPr>
                    <w:jc w:val="center"/>
                    <w:rPr>
                      <w:rFonts w:hint="default" w:eastAsia="宋体"/>
                      <w:color w:val="0000FF"/>
                      <w:szCs w:val="21"/>
                      <w:lang w:val="en-US" w:eastAsia="zh-CN"/>
                    </w:rPr>
                  </w:pPr>
                  <w:r>
                    <w:rPr>
                      <w:rFonts w:hint="eastAsia"/>
                      <w:color w:val="0000FF"/>
                      <w:szCs w:val="21"/>
                      <w:lang w:val="en-US" w:eastAsia="zh-CN"/>
                    </w:rPr>
                    <w:t>0.3</w:t>
                  </w:r>
                </w:p>
              </w:tc>
              <w:tc>
                <w:tcPr>
                  <w:tcW w:w="400" w:type="pct"/>
                  <w:noWrap w:val="0"/>
                  <w:tcMar>
                    <w:top w:w="0" w:type="dxa"/>
                    <w:left w:w="0" w:type="dxa"/>
                    <w:bottom w:w="0" w:type="dxa"/>
                    <w:right w:w="0" w:type="dxa"/>
                  </w:tcMar>
                  <w:vAlign w:val="center"/>
                </w:tcPr>
                <w:p w14:paraId="6C15603A">
                  <w:pPr>
                    <w:jc w:val="center"/>
                    <w:rPr>
                      <w:color w:val="auto"/>
                      <w:szCs w:val="21"/>
                    </w:rPr>
                  </w:pPr>
                  <w:r>
                    <w:rPr>
                      <w:color w:val="auto"/>
                      <w:szCs w:val="21"/>
                    </w:rPr>
                    <w:t>50</w:t>
                  </w:r>
                </w:p>
              </w:tc>
            </w:tr>
            <w:tr w14:paraId="5588D9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7" w:type="pct"/>
                  <w:vMerge w:val="continue"/>
                  <w:noWrap w:val="0"/>
                  <w:tcMar>
                    <w:top w:w="0" w:type="dxa"/>
                    <w:left w:w="0" w:type="dxa"/>
                    <w:bottom w:w="0" w:type="dxa"/>
                    <w:right w:w="0" w:type="dxa"/>
                  </w:tcMar>
                  <w:vAlign w:val="center"/>
                </w:tcPr>
                <w:p w14:paraId="0984A74A">
                  <w:pPr>
                    <w:jc w:val="center"/>
                    <w:rPr>
                      <w:rFonts w:hint="eastAsia"/>
                      <w:color w:val="auto"/>
                      <w:szCs w:val="21"/>
                    </w:rPr>
                  </w:pPr>
                </w:p>
              </w:tc>
              <w:tc>
                <w:tcPr>
                  <w:tcW w:w="633" w:type="pct"/>
                  <w:shd w:val="clear" w:color="auto" w:fill="auto"/>
                  <w:noWrap w:val="0"/>
                  <w:tcMar>
                    <w:top w:w="0" w:type="dxa"/>
                    <w:left w:w="0" w:type="dxa"/>
                    <w:bottom w:w="0" w:type="dxa"/>
                    <w:right w:w="0" w:type="dxa"/>
                  </w:tcMar>
                  <w:vAlign w:val="center"/>
                </w:tcPr>
                <w:p w14:paraId="4536AF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440" w:type="pct"/>
                  <w:shd w:val="clear" w:color="auto" w:fill="auto"/>
                  <w:noWrap w:val="0"/>
                  <w:tcMar>
                    <w:top w:w="0" w:type="dxa"/>
                    <w:left w:w="0" w:type="dxa"/>
                    <w:bottom w:w="0" w:type="dxa"/>
                    <w:right w:w="0" w:type="dxa"/>
                  </w:tcMar>
                  <w:vAlign w:val="center"/>
                </w:tcPr>
                <w:p w14:paraId="525053D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0.0323</w:t>
                  </w:r>
                </w:p>
              </w:tc>
              <w:tc>
                <w:tcPr>
                  <w:tcW w:w="452" w:type="pct"/>
                  <w:vMerge w:val="continue"/>
                  <w:noWrap w:val="0"/>
                  <w:tcMar>
                    <w:top w:w="0" w:type="dxa"/>
                    <w:left w:w="0" w:type="dxa"/>
                    <w:bottom w:w="0" w:type="dxa"/>
                    <w:right w:w="0" w:type="dxa"/>
                  </w:tcMar>
                  <w:vAlign w:val="center"/>
                </w:tcPr>
                <w:p w14:paraId="0E4E1D4B">
                  <w:pPr>
                    <w:jc w:val="center"/>
                    <w:rPr>
                      <w:rFonts w:hint="eastAsia"/>
                      <w:color w:val="auto"/>
                      <w:spacing w:val="-2"/>
                      <w:kern w:val="28"/>
                      <w:szCs w:val="21"/>
                      <w:lang w:val="en-US" w:eastAsia="zh-CN"/>
                    </w:rPr>
                  </w:pPr>
                </w:p>
              </w:tc>
              <w:tc>
                <w:tcPr>
                  <w:tcW w:w="638" w:type="pct"/>
                  <w:noWrap w:val="0"/>
                  <w:tcMar>
                    <w:top w:w="0" w:type="dxa"/>
                    <w:left w:w="0" w:type="dxa"/>
                    <w:bottom w:w="0" w:type="dxa"/>
                    <w:right w:w="0" w:type="dxa"/>
                  </w:tcMar>
                  <w:vAlign w:val="center"/>
                </w:tcPr>
                <w:p w14:paraId="62E13245">
                  <w:pPr>
                    <w:jc w:val="center"/>
                    <w:rPr>
                      <w:rFonts w:hint="default"/>
                      <w:color w:val="auto"/>
                      <w:szCs w:val="21"/>
                      <w:lang w:val="en-US" w:eastAsia="zh-CN"/>
                    </w:rPr>
                  </w:pPr>
                  <w:r>
                    <w:rPr>
                      <w:rFonts w:hint="eastAsia"/>
                      <w:color w:val="auto"/>
                      <w:szCs w:val="21"/>
                      <w:lang w:val="en-US" w:eastAsia="zh-CN"/>
                    </w:rPr>
                    <w:t>0.9</w:t>
                  </w:r>
                </w:p>
              </w:tc>
              <w:tc>
                <w:tcPr>
                  <w:tcW w:w="323" w:type="pct"/>
                  <w:shd w:val="clear" w:color="auto" w:fill="auto"/>
                  <w:noWrap w:val="0"/>
                  <w:tcMar>
                    <w:top w:w="0" w:type="dxa"/>
                    <w:left w:w="0" w:type="dxa"/>
                    <w:bottom w:w="0" w:type="dxa"/>
                    <w:right w:w="0" w:type="dxa"/>
                  </w:tcMar>
                  <w:vAlign w:val="center"/>
                </w:tcPr>
                <w:p w14:paraId="5B5FEA3E">
                  <w:pPr>
                    <w:jc w:val="center"/>
                    <w:rPr>
                      <w:rFonts w:hint="eastAsia" w:ascii="Times New Roman" w:hAnsi="Times New Roman" w:eastAsia="宋体" w:cs="Times New Roman"/>
                      <w:snapToGrid w:val="0"/>
                      <w:color w:val="auto"/>
                      <w:kern w:val="2"/>
                      <w:sz w:val="21"/>
                      <w:szCs w:val="21"/>
                      <w:lang w:val="en-US" w:eastAsia="zh-CN" w:bidi="ar-SA"/>
                    </w:rPr>
                  </w:pPr>
                  <w:r>
                    <w:rPr>
                      <w:rFonts w:hint="eastAsia"/>
                      <w:color w:val="auto"/>
                      <w:szCs w:val="21"/>
                      <w:lang w:val="en-US" w:eastAsia="zh-CN"/>
                    </w:rPr>
                    <w:t>470</w:t>
                  </w:r>
                </w:p>
              </w:tc>
              <w:tc>
                <w:tcPr>
                  <w:tcW w:w="375" w:type="pct"/>
                  <w:shd w:val="clear" w:color="auto" w:fill="auto"/>
                  <w:noWrap w:val="0"/>
                  <w:tcMar>
                    <w:top w:w="0" w:type="dxa"/>
                    <w:left w:w="0" w:type="dxa"/>
                    <w:bottom w:w="0" w:type="dxa"/>
                    <w:right w:w="0" w:type="dxa"/>
                  </w:tcMar>
                  <w:vAlign w:val="center"/>
                </w:tcPr>
                <w:p w14:paraId="5B62AA08">
                  <w:pPr>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Cs w:val="21"/>
                      <w:lang w:val="en-US" w:eastAsia="zh-CN"/>
                    </w:rPr>
                    <w:t>0.021</w:t>
                  </w:r>
                </w:p>
              </w:tc>
              <w:tc>
                <w:tcPr>
                  <w:tcW w:w="335" w:type="pct"/>
                  <w:shd w:val="clear" w:color="auto" w:fill="auto"/>
                  <w:noWrap w:val="0"/>
                  <w:tcMar>
                    <w:top w:w="0" w:type="dxa"/>
                    <w:left w:w="0" w:type="dxa"/>
                    <w:bottom w:w="0" w:type="dxa"/>
                    <w:right w:w="0" w:type="dxa"/>
                  </w:tcMar>
                  <w:vAlign w:val="center"/>
                </w:tcPr>
                <w:p w14:paraId="40645771">
                  <w:pPr>
                    <w:jc w:val="center"/>
                    <w:rPr>
                      <w:rFonts w:ascii="Times New Roman" w:hAnsi="Times New Roman" w:eastAsia="宋体" w:cs="Times New Roman"/>
                      <w:snapToGrid w:val="0"/>
                      <w:color w:val="auto"/>
                      <w:kern w:val="2"/>
                      <w:sz w:val="21"/>
                      <w:szCs w:val="21"/>
                      <w:lang w:val="en-US" w:eastAsia="zh-CN" w:bidi="ar-SA"/>
                    </w:rPr>
                  </w:pPr>
                  <w:r>
                    <w:rPr>
                      <w:color w:val="auto"/>
                      <w:szCs w:val="21"/>
                    </w:rPr>
                    <w:t>1.85</w:t>
                  </w:r>
                </w:p>
              </w:tc>
              <w:tc>
                <w:tcPr>
                  <w:tcW w:w="391" w:type="pct"/>
                  <w:shd w:val="clear" w:color="auto" w:fill="auto"/>
                  <w:noWrap w:val="0"/>
                  <w:tcMar>
                    <w:top w:w="0" w:type="dxa"/>
                    <w:left w:w="0" w:type="dxa"/>
                    <w:bottom w:w="0" w:type="dxa"/>
                    <w:right w:w="0" w:type="dxa"/>
                  </w:tcMar>
                  <w:vAlign w:val="center"/>
                </w:tcPr>
                <w:p w14:paraId="7122EA63">
                  <w:pPr>
                    <w:jc w:val="center"/>
                    <w:rPr>
                      <w:rFonts w:hint="eastAsia" w:ascii="Times New Roman" w:hAnsi="Times New Roman" w:eastAsia="宋体" w:cs="Times New Roman"/>
                      <w:snapToGrid w:val="0"/>
                      <w:color w:val="auto"/>
                      <w:kern w:val="2"/>
                      <w:sz w:val="21"/>
                      <w:szCs w:val="21"/>
                      <w:lang w:val="en-US" w:eastAsia="zh-CN" w:bidi="ar-SA"/>
                    </w:rPr>
                  </w:pPr>
                  <w:r>
                    <w:rPr>
                      <w:rFonts w:hint="eastAsia"/>
                      <w:color w:val="auto"/>
                      <w:szCs w:val="21"/>
                      <w:lang w:val="en-US" w:eastAsia="zh-CN"/>
                    </w:rPr>
                    <w:t>0.84</w:t>
                  </w:r>
                </w:p>
              </w:tc>
              <w:tc>
                <w:tcPr>
                  <w:tcW w:w="440" w:type="pct"/>
                  <w:shd w:val="clear" w:color="auto" w:fill="auto"/>
                  <w:noWrap w:val="0"/>
                  <w:tcMar>
                    <w:top w:w="0" w:type="dxa"/>
                    <w:left w:w="0" w:type="dxa"/>
                    <w:bottom w:w="0" w:type="dxa"/>
                    <w:right w:w="0" w:type="dxa"/>
                  </w:tcMar>
                  <w:vAlign w:val="center"/>
                </w:tcPr>
                <w:p w14:paraId="0C0E2E19">
                  <w:pPr>
                    <w:jc w:val="center"/>
                    <w:rPr>
                      <w:rFonts w:hint="eastAsia" w:ascii="Times New Roman" w:hAnsi="Times New Roman" w:eastAsia="宋体" w:cs="Times New Roman"/>
                      <w:color w:val="0000FF"/>
                      <w:kern w:val="2"/>
                      <w:sz w:val="21"/>
                      <w:szCs w:val="21"/>
                      <w:lang w:val="en-US" w:eastAsia="zh-CN" w:bidi="ar-SA"/>
                    </w:rPr>
                  </w:pPr>
                  <w:r>
                    <w:rPr>
                      <w:rFonts w:hint="eastAsia"/>
                      <w:color w:val="0000FF"/>
                    </w:rPr>
                    <w:t>1.6</w:t>
                  </w:r>
                </w:p>
              </w:tc>
              <w:tc>
                <w:tcPr>
                  <w:tcW w:w="400" w:type="pct"/>
                  <w:noWrap w:val="0"/>
                  <w:tcMar>
                    <w:top w:w="0" w:type="dxa"/>
                    <w:left w:w="0" w:type="dxa"/>
                    <w:bottom w:w="0" w:type="dxa"/>
                    <w:right w:w="0" w:type="dxa"/>
                  </w:tcMar>
                  <w:vAlign w:val="center"/>
                </w:tcPr>
                <w:p w14:paraId="5865461A">
                  <w:pPr>
                    <w:jc w:val="center"/>
                    <w:rPr>
                      <w:color w:val="auto"/>
                      <w:szCs w:val="21"/>
                    </w:rPr>
                  </w:pPr>
                  <w:r>
                    <w:rPr>
                      <w:color w:val="auto"/>
                      <w:szCs w:val="21"/>
                    </w:rPr>
                    <w:t>50</w:t>
                  </w:r>
                </w:p>
              </w:tc>
            </w:tr>
          </w:tbl>
          <w:p w14:paraId="77C50B5E">
            <w:pPr>
              <w:adjustRightInd w:val="0"/>
              <w:snapToGrid w:val="0"/>
              <w:spacing w:before="120" w:beforeLines="50" w:line="360" w:lineRule="auto"/>
              <w:ind w:firstLine="420" w:firstLineChars="200"/>
              <w:rPr>
                <w:bCs/>
                <w:color w:val="auto"/>
                <w:szCs w:val="21"/>
              </w:rPr>
            </w:pPr>
            <w:r>
              <w:rPr>
                <w:bCs/>
                <w:color w:val="auto"/>
                <w:szCs w:val="21"/>
              </w:rPr>
              <w:t>根据《大气有害物质无组织排放卫生防护距离推导技术导则》（GB/T39499-2020）中“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p>
          <w:p w14:paraId="6E3F39EA">
            <w:pPr>
              <w:keepNext w:val="0"/>
              <w:keepLines w:val="0"/>
              <w:pageBreakBefore w:val="0"/>
              <w:widowControl w:val="0"/>
              <w:tabs>
                <w:tab w:val="left" w:pos="960"/>
              </w:tabs>
              <w:kinsoku/>
              <w:wordWrap/>
              <w:overflowPunct/>
              <w:topLinePunct w:val="0"/>
              <w:autoSpaceDE/>
              <w:autoSpaceDN/>
              <w:bidi w:val="0"/>
              <w:adjustRightInd/>
              <w:snapToGrid/>
              <w:spacing w:line="360" w:lineRule="auto"/>
              <w:ind w:firstLine="420" w:firstLineChars="200"/>
              <w:textAlignment w:val="auto"/>
              <w:rPr>
                <w:color w:val="auto"/>
                <w:szCs w:val="21"/>
              </w:rPr>
            </w:pPr>
            <w:r>
              <w:rPr>
                <w:rFonts w:hint="default" w:ascii="Times New Roman" w:hAnsi="Times New Roman" w:eastAsia="宋体" w:cs="Times New Roman"/>
                <w:bCs/>
                <w:color w:val="auto"/>
                <w:sz w:val="21"/>
                <w:szCs w:val="21"/>
              </w:rPr>
              <w:t>本项目卫生防护距离为以</w:t>
            </w:r>
            <w:r>
              <w:rPr>
                <w:rFonts w:hint="eastAsia" w:cs="Times New Roman"/>
                <w:bCs/>
                <w:color w:val="auto"/>
                <w:sz w:val="21"/>
                <w:szCs w:val="21"/>
                <w:lang w:val="en-US" w:eastAsia="zh-CN"/>
              </w:rPr>
              <w:t>生产车间</w:t>
            </w:r>
            <w:r>
              <w:rPr>
                <w:rFonts w:hint="default" w:ascii="Times New Roman" w:hAnsi="Times New Roman" w:eastAsia="宋体" w:cs="Times New Roman"/>
                <w:bCs/>
                <w:color w:val="auto"/>
                <w:sz w:val="21"/>
                <w:szCs w:val="21"/>
              </w:rPr>
              <w:t>边界外扩</w:t>
            </w:r>
            <w:r>
              <w:rPr>
                <w:rFonts w:hint="eastAsia" w:cs="Times New Roman"/>
                <w:bCs/>
                <w:color w:val="auto"/>
                <w:sz w:val="21"/>
                <w:szCs w:val="21"/>
                <w:lang w:val="en-US" w:eastAsia="zh-CN"/>
              </w:rPr>
              <w:t>100</w:t>
            </w:r>
            <w:r>
              <w:rPr>
                <w:rFonts w:hint="default" w:ascii="Times New Roman" w:hAnsi="Times New Roman" w:eastAsia="宋体" w:cs="Times New Roman"/>
                <w:bCs/>
                <w:color w:val="auto"/>
                <w:sz w:val="21"/>
                <w:szCs w:val="21"/>
              </w:rPr>
              <w:t>米，作最大包络线的范围（具体见附图</w:t>
            </w:r>
            <w:r>
              <w:rPr>
                <w:rFonts w:hint="default" w:ascii="Times New Roman" w:hAnsi="Times New Roman" w:eastAsia="宋体" w:cs="Times New Roman"/>
                <w:bCs/>
                <w:color w:val="auto"/>
                <w:sz w:val="21"/>
                <w:szCs w:val="21"/>
                <w:lang w:val="en-US" w:eastAsia="zh-CN"/>
              </w:rPr>
              <w:t>二</w:t>
            </w:r>
            <w:r>
              <w:rPr>
                <w:rFonts w:hint="default" w:ascii="Times New Roman" w:hAnsi="Times New Roman" w:eastAsia="宋体" w:cs="Times New Roman"/>
                <w:bCs/>
                <w:color w:val="auto"/>
                <w:sz w:val="21"/>
                <w:szCs w:val="21"/>
              </w:rPr>
              <w:t>），该范围内目前为</w:t>
            </w:r>
            <w:r>
              <w:rPr>
                <w:rFonts w:hint="eastAsia" w:cs="Times New Roman"/>
                <w:bCs/>
                <w:color w:val="auto"/>
                <w:sz w:val="21"/>
                <w:szCs w:val="21"/>
                <w:lang w:val="en-US" w:eastAsia="zh-CN"/>
              </w:rPr>
              <w:t>本项目厂区</w:t>
            </w:r>
            <w:r>
              <w:rPr>
                <w:rFonts w:hint="eastAsia" w:cs="Times New Roman"/>
                <w:bCs/>
                <w:color w:val="auto"/>
                <w:sz w:val="21"/>
                <w:szCs w:val="21"/>
                <w:lang w:eastAsia="zh-CN"/>
              </w:rPr>
              <w:t>、</w:t>
            </w:r>
            <w:r>
              <w:rPr>
                <w:rFonts w:hint="eastAsia" w:cs="Times New Roman"/>
                <w:bCs/>
                <w:color w:val="auto"/>
                <w:sz w:val="21"/>
                <w:szCs w:val="21"/>
                <w:lang w:val="en-US" w:eastAsia="zh-CN"/>
              </w:rPr>
              <w:t>常州市金坛凯迪制衣厂、</w:t>
            </w:r>
            <w:r>
              <w:rPr>
                <w:rFonts w:hint="eastAsia" w:cs="Times New Roman"/>
                <w:bCs/>
                <w:color w:val="auto"/>
                <w:sz w:val="21"/>
                <w:szCs w:val="21"/>
                <w:lang w:eastAsia="zh-CN"/>
              </w:rPr>
              <w:t>裕华包装有限公司金坛分公司、翔天国际汽车城</w:t>
            </w:r>
            <w:r>
              <w:rPr>
                <w:rFonts w:hint="eastAsia" w:cs="Times New Roman"/>
                <w:bCs/>
                <w:color w:val="auto"/>
                <w:sz w:val="21"/>
                <w:szCs w:val="21"/>
                <w:lang w:val="en-US" w:eastAsia="zh-CN"/>
              </w:rPr>
              <w:t>等</w:t>
            </w:r>
            <w:r>
              <w:rPr>
                <w:rFonts w:hint="default" w:ascii="Times New Roman" w:hAnsi="Times New Roman" w:eastAsia="宋体" w:cs="Times New Roman"/>
                <w:bCs/>
                <w:color w:val="auto"/>
                <w:sz w:val="21"/>
                <w:szCs w:val="21"/>
              </w:rPr>
              <w:t>，无居民、学校等环境敏感保护目标，可满足卫生防护距离设置要求，将来在该范围内也不得新建居民、学校、医院等属于环境保护目标的项目</w:t>
            </w:r>
            <w:r>
              <w:rPr>
                <w:color w:val="auto"/>
                <w:szCs w:val="21"/>
              </w:rPr>
              <w:t>。</w:t>
            </w:r>
          </w:p>
          <w:p w14:paraId="72B60E00">
            <w:pPr>
              <w:keepNext w:val="0"/>
              <w:keepLines w:val="0"/>
              <w:pageBreakBefore w:val="0"/>
              <w:widowControl w:val="0"/>
              <w:kinsoku/>
              <w:wordWrap/>
              <w:overflowPunct/>
              <w:topLinePunct w:val="0"/>
              <w:autoSpaceDE/>
              <w:autoSpaceDN/>
              <w:bidi w:val="0"/>
              <w:adjustRightInd w:val="0"/>
              <w:snapToGrid w:val="0"/>
              <w:spacing w:line="360" w:lineRule="auto"/>
              <w:ind w:left="420" w:leftChars="200"/>
              <w:textAlignment w:val="auto"/>
              <w:rPr>
                <w:b/>
                <w:color w:val="auto"/>
                <w:szCs w:val="21"/>
              </w:rPr>
            </w:pPr>
            <w:r>
              <w:rPr>
                <w:rFonts w:hint="eastAsia"/>
                <w:b/>
                <w:color w:val="auto"/>
                <w:szCs w:val="21"/>
              </w:rPr>
              <w:t>4</w:t>
            </w:r>
            <w:r>
              <w:rPr>
                <w:b/>
                <w:color w:val="auto"/>
                <w:szCs w:val="21"/>
              </w:rPr>
              <w:t>、环境监测</w:t>
            </w:r>
          </w:p>
          <w:p w14:paraId="1B107A21">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表4-</w:t>
            </w:r>
            <w:r>
              <w:rPr>
                <w:rFonts w:hint="eastAsia"/>
                <w:b/>
                <w:bCs/>
                <w:color w:val="auto"/>
                <w:szCs w:val="21"/>
                <w:lang w:val="en-US" w:eastAsia="zh-CN"/>
              </w:rPr>
              <w:t>16</w:t>
            </w:r>
            <w:r>
              <w:rPr>
                <w:b/>
                <w:bCs/>
                <w:color w:val="auto"/>
                <w:szCs w:val="21"/>
              </w:rPr>
              <w:t xml:space="preserve"> 项目环境监测计划表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76"/>
              <w:gridCol w:w="484"/>
              <w:gridCol w:w="1007"/>
              <w:gridCol w:w="1209"/>
              <w:gridCol w:w="927"/>
              <w:gridCol w:w="2870"/>
              <w:gridCol w:w="719"/>
              <w:gridCol w:w="786"/>
            </w:tblGrid>
            <w:tr w14:paraId="23B28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4" w:type="pct"/>
                  <w:noWrap w:val="0"/>
                  <w:tcMar>
                    <w:top w:w="0" w:type="dxa"/>
                    <w:left w:w="0" w:type="dxa"/>
                    <w:bottom w:w="0" w:type="dxa"/>
                    <w:right w:w="0" w:type="dxa"/>
                  </w:tcMar>
                  <w:vAlign w:val="center"/>
                </w:tcPr>
                <w:p w14:paraId="684CEC0D">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288" w:type="pct"/>
                  <w:noWrap w:val="0"/>
                  <w:tcMar>
                    <w:top w:w="0" w:type="dxa"/>
                    <w:left w:w="0" w:type="dxa"/>
                    <w:bottom w:w="0" w:type="dxa"/>
                    <w:right w:w="0" w:type="dxa"/>
                  </w:tcMar>
                  <w:vAlign w:val="center"/>
                </w:tcPr>
                <w:p w14:paraId="01ADBCFB">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600" w:type="pct"/>
                  <w:noWrap w:val="0"/>
                  <w:tcMar>
                    <w:top w:w="0" w:type="dxa"/>
                    <w:left w:w="0" w:type="dxa"/>
                    <w:bottom w:w="0" w:type="dxa"/>
                    <w:right w:w="0" w:type="dxa"/>
                  </w:tcMar>
                  <w:vAlign w:val="center"/>
                </w:tcPr>
                <w:p w14:paraId="3F5F88E2">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监测位置</w:t>
                  </w:r>
                </w:p>
              </w:tc>
              <w:tc>
                <w:tcPr>
                  <w:tcW w:w="721" w:type="pct"/>
                  <w:noWrap w:val="0"/>
                  <w:tcMar>
                    <w:top w:w="0" w:type="dxa"/>
                    <w:left w:w="0" w:type="dxa"/>
                    <w:bottom w:w="0" w:type="dxa"/>
                    <w:right w:w="0" w:type="dxa"/>
                  </w:tcMar>
                  <w:vAlign w:val="center"/>
                </w:tcPr>
                <w:p w14:paraId="6D606FD1">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553" w:type="pct"/>
                  <w:noWrap w:val="0"/>
                  <w:tcMar>
                    <w:top w:w="0" w:type="dxa"/>
                    <w:left w:w="0" w:type="dxa"/>
                    <w:bottom w:w="0" w:type="dxa"/>
                    <w:right w:w="0" w:type="dxa"/>
                  </w:tcMar>
                  <w:vAlign w:val="center"/>
                </w:tcPr>
                <w:p w14:paraId="083EAFF2">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w:t>
                  </w:r>
                </w:p>
                <w:p w14:paraId="33052723">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频率</w:t>
                  </w:r>
                </w:p>
              </w:tc>
              <w:tc>
                <w:tcPr>
                  <w:tcW w:w="1712" w:type="pct"/>
                  <w:noWrap w:val="0"/>
                  <w:tcMar>
                    <w:top w:w="0" w:type="dxa"/>
                    <w:left w:w="0" w:type="dxa"/>
                    <w:bottom w:w="0" w:type="dxa"/>
                    <w:right w:w="0" w:type="dxa"/>
                  </w:tcMar>
                  <w:vAlign w:val="center"/>
                </w:tcPr>
                <w:p w14:paraId="4AB72C83">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429" w:type="pct"/>
                  <w:noWrap w:val="0"/>
                  <w:tcMar>
                    <w:top w:w="0" w:type="dxa"/>
                    <w:left w:w="0" w:type="dxa"/>
                    <w:bottom w:w="0" w:type="dxa"/>
                    <w:right w:w="0" w:type="dxa"/>
                  </w:tcMar>
                  <w:vAlign w:val="center"/>
                </w:tcPr>
                <w:p w14:paraId="6E53B5BC">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监测方法</w:t>
                  </w:r>
                </w:p>
              </w:tc>
              <w:tc>
                <w:tcPr>
                  <w:tcW w:w="469" w:type="pct"/>
                  <w:noWrap w:val="0"/>
                  <w:tcMar>
                    <w:top w:w="0" w:type="dxa"/>
                    <w:left w:w="0" w:type="dxa"/>
                    <w:bottom w:w="0" w:type="dxa"/>
                    <w:right w:w="0" w:type="dxa"/>
                  </w:tcMar>
                  <w:vAlign w:val="center"/>
                </w:tcPr>
                <w:p w14:paraId="24E4E31A">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3073F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4" w:type="pct"/>
                  <w:vMerge w:val="restart"/>
                  <w:noWrap w:val="0"/>
                  <w:tcMar>
                    <w:top w:w="0" w:type="dxa"/>
                    <w:left w:w="0" w:type="dxa"/>
                    <w:bottom w:w="0" w:type="dxa"/>
                    <w:right w:w="0" w:type="dxa"/>
                  </w:tcMar>
                  <w:vAlign w:val="center"/>
                </w:tcPr>
                <w:p w14:paraId="75461D3A">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日常监测</w:t>
                  </w:r>
                </w:p>
              </w:tc>
              <w:tc>
                <w:tcPr>
                  <w:tcW w:w="288" w:type="pct"/>
                  <w:vMerge w:val="restart"/>
                  <w:noWrap w:val="0"/>
                  <w:tcMar>
                    <w:top w:w="0" w:type="dxa"/>
                    <w:left w:w="0" w:type="dxa"/>
                    <w:bottom w:w="0" w:type="dxa"/>
                    <w:right w:w="0" w:type="dxa"/>
                  </w:tcMar>
                  <w:vAlign w:val="center"/>
                </w:tcPr>
                <w:p w14:paraId="56F3F59A">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600" w:type="pct"/>
                  <w:noWrap w:val="0"/>
                  <w:tcMar>
                    <w:top w:w="0" w:type="dxa"/>
                    <w:left w:w="0" w:type="dxa"/>
                    <w:bottom w:w="0" w:type="dxa"/>
                    <w:right w:w="0" w:type="dxa"/>
                  </w:tcMar>
                  <w:vAlign w:val="center"/>
                </w:tcPr>
                <w:p w14:paraId="52A58EFD">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p>
                <w:p w14:paraId="0C42E032">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w:t>
                  </w:r>
                </w:p>
              </w:tc>
              <w:tc>
                <w:tcPr>
                  <w:tcW w:w="721" w:type="pct"/>
                  <w:noWrap w:val="0"/>
                  <w:tcMar>
                    <w:top w:w="0" w:type="dxa"/>
                    <w:left w:w="0" w:type="dxa"/>
                    <w:bottom w:w="0" w:type="dxa"/>
                    <w:right w:w="0" w:type="dxa"/>
                  </w:tcMar>
                  <w:vAlign w:val="center"/>
                </w:tcPr>
                <w:p w14:paraId="661C6827">
                  <w:pPr>
                    <w:keepNext w:val="0"/>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颗粒物</w:t>
                  </w:r>
                </w:p>
              </w:tc>
              <w:tc>
                <w:tcPr>
                  <w:tcW w:w="553" w:type="pct"/>
                  <w:noWrap w:val="0"/>
                  <w:tcMar>
                    <w:top w:w="0" w:type="dxa"/>
                    <w:left w:w="0" w:type="dxa"/>
                    <w:bottom w:w="0" w:type="dxa"/>
                    <w:right w:w="0" w:type="dxa"/>
                  </w:tcMar>
                  <w:vAlign w:val="center"/>
                </w:tcPr>
                <w:p w14:paraId="2B8DCCAD">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superscript"/>
                      <w:lang w:val="en-US" w:eastAsia="zh-CN" w:bidi="ar-SA"/>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次/年</w:t>
                  </w:r>
                </w:p>
              </w:tc>
              <w:tc>
                <w:tcPr>
                  <w:tcW w:w="1712" w:type="pct"/>
                  <w:vMerge w:val="restart"/>
                  <w:noWrap w:val="0"/>
                  <w:tcMar>
                    <w:top w:w="0" w:type="dxa"/>
                    <w:left w:w="0" w:type="dxa"/>
                    <w:bottom w:w="0" w:type="dxa"/>
                    <w:right w:w="0" w:type="dxa"/>
                  </w:tcMar>
                  <w:vAlign w:val="center"/>
                </w:tcPr>
                <w:p w14:paraId="5E610EDD">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w:t>
                  </w:r>
                  <w:r>
                    <w:rPr>
                      <w:rFonts w:hint="eastAsia"/>
                      <w:color w:val="auto"/>
                      <w:szCs w:val="21"/>
                    </w:rPr>
                    <w:t>合成树脂工业污染物排放标准</w:t>
                  </w:r>
                  <w:r>
                    <w:rPr>
                      <w:rFonts w:hint="eastAsia"/>
                      <w:color w:val="auto"/>
                      <w:szCs w:val="21"/>
                      <w:lang w:eastAsia="zh-CN"/>
                    </w:rPr>
                    <w:t>》</w:t>
                  </w:r>
                  <w:r>
                    <w:rPr>
                      <w:rFonts w:hint="eastAsia"/>
                      <w:color w:val="auto"/>
                      <w:szCs w:val="21"/>
                    </w:rPr>
                    <w:t>（GB31572-2015）</w:t>
                  </w:r>
                  <w:r>
                    <w:rPr>
                      <w:rFonts w:hint="eastAsia"/>
                      <w:color w:val="auto"/>
                      <w:szCs w:val="21"/>
                      <w:lang w:val="en-US" w:eastAsia="zh-CN"/>
                    </w:rPr>
                    <w:t>及2024年修改单表5中的标准</w:t>
                  </w:r>
                </w:p>
              </w:tc>
              <w:tc>
                <w:tcPr>
                  <w:tcW w:w="429" w:type="pct"/>
                  <w:vMerge w:val="restart"/>
                  <w:noWrap w:val="0"/>
                  <w:tcMar>
                    <w:top w:w="0" w:type="dxa"/>
                    <w:left w:w="0" w:type="dxa"/>
                    <w:bottom w:w="0" w:type="dxa"/>
                    <w:right w:w="0" w:type="dxa"/>
                  </w:tcMar>
                  <w:vAlign w:val="center"/>
                </w:tcPr>
                <w:p w14:paraId="18401E8A">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采用国家规定最新监测方法与标准</w:t>
                  </w:r>
                </w:p>
              </w:tc>
              <w:tc>
                <w:tcPr>
                  <w:tcW w:w="469" w:type="pct"/>
                  <w:vMerge w:val="restart"/>
                  <w:noWrap w:val="0"/>
                  <w:tcMar>
                    <w:top w:w="0" w:type="dxa"/>
                    <w:left w:w="0" w:type="dxa"/>
                    <w:bottom w:w="0" w:type="dxa"/>
                    <w:right w:w="0" w:type="dxa"/>
                  </w:tcMar>
                  <w:vAlign w:val="center"/>
                </w:tcPr>
                <w:p w14:paraId="68DD9F23">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委托有资质的环境检测单位实施检测</w:t>
                  </w:r>
                </w:p>
              </w:tc>
            </w:tr>
            <w:tr w14:paraId="1B25A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24" w:type="pct"/>
                  <w:vMerge w:val="continue"/>
                  <w:noWrap w:val="0"/>
                  <w:tcMar>
                    <w:top w:w="0" w:type="dxa"/>
                    <w:left w:w="0" w:type="dxa"/>
                    <w:bottom w:w="0" w:type="dxa"/>
                    <w:right w:w="0" w:type="dxa"/>
                  </w:tcMar>
                  <w:vAlign w:val="center"/>
                </w:tcPr>
                <w:p w14:paraId="1085681F">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c>
                <w:tcPr>
                  <w:tcW w:w="288" w:type="pct"/>
                  <w:vMerge w:val="continue"/>
                  <w:noWrap w:val="0"/>
                  <w:tcMar>
                    <w:top w:w="0" w:type="dxa"/>
                    <w:left w:w="0" w:type="dxa"/>
                    <w:bottom w:w="0" w:type="dxa"/>
                    <w:right w:w="0" w:type="dxa"/>
                  </w:tcMar>
                  <w:vAlign w:val="center"/>
                </w:tcPr>
                <w:p w14:paraId="0930208E">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00" w:type="pct"/>
                  <w:noWrap w:val="0"/>
                  <w:tcMar>
                    <w:top w:w="0" w:type="dxa"/>
                    <w:left w:w="0" w:type="dxa"/>
                    <w:bottom w:w="0" w:type="dxa"/>
                    <w:right w:w="0" w:type="dxa"/>
                  </w:tcMar>
                  <w:vAlign w:val="center"/>
                </w:tcPr>
                <w:p w14:paraId="02A4AB9A">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p>
                <w:p w14:paraId="1323C69D">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val="en-US" w:eastAsia="zh-CN"/>
                    </w:rPr>
                    <w:t>）</w:t>
                  </w:r>
                </w:p>
              </w:tc>
              <w:tc>
                <w:tcPr>
                  <w:tcW w:w="721" w:type="pct"/>
                  <w:noWrap w:val="0"/>
                  <w:tcMar>
                    <w:top w:w="0" w:type="dxa"/>
                    <w:left w:w="0" w:type="dxa"/>
                    <w:bottom w:w="0" w:type="dxa"/>
                    <w:right w:w="0" w:type="dxa"/>
                  </w:tcMar>
                  <w:vAlign w:val="center"/>
                </w:tcPr>
                <w:p w14:paraId="6A1C731D">
                  <w:pPr>
                    <w:keepNext w:val="0"/>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非甲烷总烃</w:t>
                  </w:r>
                </w:p>
              </w:tc>
              <w:tc>
                <w:tcPr>
                  <w:tcW w:w="553" w:type="pct"/>
                  <w:shd w:val="clear" w:color="auto" w:fill="auto"/>
                  <w:noWrap w:val="0"/>
                  <w:tcMar>
                    <w:top w:w="0" w:type="dxa"/>
                    <w:left w:w="0" w:type="dxa"/>
                    <w:bottom w:w="0" w:type="dxa"/>
                    <w:right w:w="0" w:type="dxa"/>
                  </w:tcMar>
                  <w:vAlign w:val="center"/>
                </w:tcPr>
                <w:p w14:paraId="29D529F1">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superscript"/>
                      <w:lang w:val="en-US" w:eastAsia="zh-CN" w:bidi="ar-SA"/>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w:t>
                  </w:r>
                  <w:r>
                    <w:rPr>
                      <w:rFonts w:hint="eastAsia"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rPr>
                    <w:t>年</w:t>
                  </w:r>
                </w:p>
              </w:tc>
              <w:tc>
                <w:tcPr>
                  <w:tcW w:w="1712" w:type="pct"/>
                  <w:vMerge w:val="continue"/>
                  <w:noWrap w:val="0"/>
                  <w:tcMar>
                    <w:top w:w="0" w:type="dxa"/>
                    <w:left w:w="0" w:type="dxa"/>
                    <w:bottom w:w="0" w:type="dxa"/>
                    <w:right w:w="0" w:type="dxa"/>
                  </w:tcMar>
                  <w:vAlign w:val="center"/>
                </w:tcPr>
                <w:p w14:paraId="7E87939B">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429" w:type="pct"/>
                  <w:vMerge w:val="continue"/>
                  <w:noWrap w:val="0"/>
                  <w:tcMar>
                    <w:top w:w="0" w:type="dxa"/>
                    <w:left w:w="0" w:type="dxa"/>
                    <w:bottom w:w="0" w:type="dxa"/>
                    <w:right w:w="0" w:type="dxa"/>
                  </w:tcMar>
                  <w:vAlign w:val="center"/>
                </w:tcPr>
                <w:p w14:paraId="5F557BE5">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c>
                <w:tcPr>
                  <w:tcW w:w="469" w:type="pct"/>
                  <w:vMerge w:val="continue"/>
                  <w:noWrap w:val="0"/>
                  <w:tcMar>
                    <w:top w:w="0" w:type="dxa"/>
                    <w:left w:w="0" w:type="dxa"/>
                    <w:bottom w:w="0" w:type="dxa"/>
                    <w:right w:w="0" w:type="dxa"/>
                  </w:tcMar>
                  <w:vAlign w:val="center"/>
                </w:tcPr>
                <w:p w14:paraId="7EFA7073">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r>
            <w:tr w14:paraId="6175E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4" w:type="pct"/>
                  <w:vMerge w:val="continue"/>
                  <w:noWrap w:val="0"/>
                  <w:tcMar>
                    <w:top w:w="0" w:type="dxa"/>
                    <w:left w:w="0" w:type="dxa"/>
                    <w:bottom w:w="0" w:type="dxa"/>
                    <w:right w:w="0" w:type="dxa"/>
                  </w:tcMar>
                  <w:vAlign w:val="center"/>
                </w:tcPr>
                <w:p w14:paraId="6C8BFE9B">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c>
                <w:tcPr>
                  <w:tcW w:w="288" w:type="pct"/>
                  <w:vMerge w:val="continue"/>
                  <w:noWrap w:val="0"/>
                  <w:tcMar>
                    <w:top w:w="0" w:type="dxa"/>
                    <w:left w:w="0" w:type="dxa"/>
                    <w:bottom w:w="0" w:type="dxa"/>
                    <w:right w:w="0" w:type="dxa"/>
                  </w:tcMar>
                  <w:vAlign w:val="center"/>
                </w:tcPr>
                <w:p w14:paraId="34C62EAC">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00" w:type="pct"/>
                  <w:vMerge w:val="restart"/>
                  <w:noWrap w:val="0"/>
                  <w:tcMar>
                    <w:top w:w="0" w:type="dxa"/>
                    <w:left w:w="0" w:type="dxa"/>
                    <w:bottom w:w="0" w:type="dxa"/>
                    <w:right w:w="0" w:type="dxa"/>
                  </w:tcMar>
                  <w:vAlign w:val="center"/>
                </w:tcPr>
                <w:p w14:paraId="7BFECBD3">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p>
              </w:tc>
              <w:tc>
                <w:tcPr>
                  <w:tcW w:w="721" w:type="pct"/>
                  <w:noWrap w:val="0"/>
                  <w:tcMar>
                    <w:top w:w="0" w:type="dxa"/>
                    <w:left w:w="0" w:type="dxa"/>
                    <w:bottom w:w="0" w:type="dxa"/>
                    <w:right w:w="0" w:type="dxa"/>
                  </w:tcMar>
                  <w:vAlign w:val="center"/>
                </w:tcPr>
                <w:p w14:paraId="266658ED">
                  <w:pPr>
                    <w:keepNext w:val="0"/>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非甲烷总烃</w:t>
                  </w:r>
                </w:p>
              </w:tc>
              <w:tc>
                <w:tcPr>
                  <w:tcW w:w="553" w:type="pct"/>
                  <w:vMerge w:val="restart"/>
                  <w:noWrap w:val="0"/>
                  <w:tcMar>
                    <w:top w:w="0" w:type="dxa"/>
                    <w:left w:w="0" w:type="dxa"/>
                    <w:bottom w:w="0" w:type="dxa"/>
                    <w:right w:w="0" w:type="dxa"/>
                  </w:tcMar>
                  <w:vAlign w:val="center"/>
                </w:tcPr>
                <w:p w14:paraId="6A66B996">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次/年</w:t>
                  </w:r>
                </w:p>
              </w:tc>
              <w:tc>
                <w:tcPr>
                  <w:tcW w:w="1712" w:type="pct"/>
                  <w:shd w:val="clear" w:color="auto" w:fill="auto"/>
                  <w:noWrap w:val="0"/>
                  <w:tcMar>
                    <w:top w:w="0" w:type="dxa"/>
                    <w:left w:w="0" w:type="dxa"/>
                    <w:bottom w:w="0" w:type="dxa"/>
                    <w:right w:w="0" w:type="dxa"/>
                  </w:tcMar>
                  <w:vAlign w:val="center"/>
                </w:tcPr>
                <w:p w14:paraId="6CB6EACB">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w:t>
                  </w:r>
                  <w:r>
                    <w:rPr>
                      <w:rFonts w:hint="eastAsia"/>
                      <w:color w:val="auto"/>
                      <w:szCs w:val="21"/>
                    </w:rPr>
                    <w:t>合成树脂工业污染物排放标准</w:t>
                  </w:r>
                  <w:r>
                    <w:rPr>
                      <w:rFonts w:hint="eastAsia"/>
                      <w:color w:val="auto"/>
                      <w:szCs w:val="21"/>
                      <w:lang w:eastAsia="zh-CN"/>
                    </w:rPr>
                    <w:t>》</w:t>
                  </w:r>
                  <w:r>
                    <w:rPr>
                      <w:rFonts w:hint="eastAsia"/>
                      <w:color w:val="auto"/>
                      <w:szCs w:val="21"/>
                    </w:rPr>
                    <w:t>（GB 31572-2015）</w:t>
                  </w:r>
                  <w:r>
                    <w:rPr>
                      <w:rFonts w:hint="eastAsia"/>
                      <w:color w:val="auto"/>
                      <w:szCs w:val="21"/>
                      <w:lang w:val="en-US" w:eastAsia="zh-CN"/>
                    </w:rPr>
                    <w:t>及2024年修改单表9中的标准</w:t>
                  </w:r>
                </w:p>
              </w:tc>
              <w:tc>
                <w:tcPr>
                  <w:tcW w:w="429" w:type="pct"/>
                  <w:vMerge w:val="continue"/>
                  <w:noWrap w:val="0"/>
                  <w:tcMar>
                    <w:top w:w="0" w:type="dxa"/>
                    <w:left w:w="0" w:type="dxa"/>
                    <w:bottom w:w="0" w:type="dxa"/>
                    <w:right w:w="0" w:type="dxa"/>
                  </w:tcMar>
                  <w:vAlign w:val="center"/>
                </w:tcPr>
                <w:p w14:paraId="32CD81B5">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c>
                <w:tcPr>
                  <w:tcW w:w="469" w:type="pct"/>
                  <w:vMerge w:val="continue"/>
                  <w:noWrap w:val="0"/>
                  <w:tcMar>
                    <w:top w:w="0" w:type="dxa"/>
                    <w:left w:w="0" w:type="dxa"/>
                    <w:bottom w:w="0" w:type="dxa"/>
                    <w:right w:w="0" w:type="dxa"/>
                  </w:tcMar>
                  <w:vAlign w:val="center"/>
                </w:tcPr>
                <w:p w14:paraId="21D76969">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r>
            <w:tr w14:paraId="75D04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4" w:type="pct"/>
                  <w:vMerge w:val="continue"/>
                  <w:noWrap w:val="0"/>
                  <w:tcMar>
                    <w:top w:w="0" w:type="dxa"/>
                    <w:left w:w="0" w:type="dxa"/>
                    <w:bottom w:w="0" w:type="dxa"/>
                    <w:right w:w="0" w:type="dxa"/>
                  </w:tcMar>
                  <w:vAlign w:val="center"/>
                </w:tcPr>
                <w:p w14:paraId="2393FC9C">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c>
                <w:tcPr>
                  <w:tcW w:w="288" w:type="pct"/>
                  <w:vMerge w:val="continue"/>
                  <w:noWrap w:val="0"/>
                  <w:tcMar>
                    <w:top w:w="0" w:type="dxa"/>
                    <w:left w:w="0" w:type="dxa"/>
                    <w:bottom w:w="0" w:type="dxa"/>
                    <w:right w:w="0" w:type="dxa"/>
                  </w:tcMar>
                  <w:vAlign w:val="center"/>
                </w:tcPr>
                <w:p w14:paraId="69295692">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00" w:type="pct"/>
                  <w:vMerge w:val="continue"/>
                  <w:noWrap w:val="0"/>
                  <w:tcMar>
                    <w:top w:w="0" w:type="dxa"/>
                    <w:left w:w="0" w:type="dxa"/>
                    <w:bottom w:w="0" w:type="dxa"/>
                    <w:right w:w="0" w:type="dxa"/>
                  </w:tcMar>
                  <w:vAlign w:val="center"/>
                </w:tcPr>
                <w:p w14:paraId="0537BB3B">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721" w:type="pct"/>
                  <w:noWrap w:val="0"/>
                  <w:tcMar>
                    <w:top w:w="0" w:type="dxa"/>
                    <w:left w:w="0" w:type="dxa"/>
                    <w:bottom w:w="0" w:type="dxa"/>
                    <w:right w:w="0" w:type="dxa"/>
                  </w:tcMar>
                  <w:vAlign w:val="center"/>
                </w:tcPr>
                <w:p w14:paraId="183088D3">
                  <w:pPr>
                    <w:keepNext w:val="0"/>
                    <w:keepLines w:val="0"/>
                    <w:pageBreakBefore w:val="0"/>
                    <w:widowControl w:val="0"/>
                    <w:kinsoku/>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553" w:type="pct"/>
                  <w:vMerge w:val="continue"/>
                  <w:noWrap w:val="0"/>
                  <w:tcMar>
                    <w:top w:w="0" w:type="dxa"/>
                    <w:left w:w="0" w:type="dxa"/>
                    <w:bottom w:w="0" w:type="dxa"/>
                    <w:right w:w="0" w:type="dxa"/>
                  </w:tcMar>
                  <w:vAlign w:val="center"/>
                </w:tcPr>
                <w:p w14:paraId="397E962A">
                  <w:pPr>
                    <w:keepNext w:val="0"/>
                    <w:keepLines w:val="0"/>
                    <w:pageBreakBefore w:val="0"/>
                    <w:widowControl w:val="0"/>
                    <w:suppressLineNumbers w:val="0"/>
                    <w:kinsoku/>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712" w:type="pct"/>
                  <w:shd w:val="clear" w:color="auto" w:fill="auto"/>
                  <w:noWrap w:val="0"/>
                  <w:tcMar>
                    <w:top w:w="0" w:type="dxa"/>
                    <w:left w:w="0" w:type="dxa"/>
                    <w:bottom w:w="0" w:type="dxa"/>
                    <w:right w:w="0" w:type="dxa"/>
                  </w:tcMar>
                  <w:vAlign w:val="center"/>
                </w:tcPr>
                <w:p w14:paraId="3427BEA6">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《大气污染物综合排放标准》（DB32/4041-2021）表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标准</w:t>
                  </w:r>
                </w:p>
              </w:tc>
              <w:tc>
                <w:tcPr>
                  <w:tcW w:w="429" w:type="pct"/>
                  <w:vMerge w:val="continue"/>
                  <w:noWrap w:val="0"/>
                  <w:tcMar>
                    <w:top w:w="0" w:type="dxa"/>
                    <w:left w:w="0" w:type="dxa"/>
                    <w:bottom w:w="0" w:type="dxa"/>
                    <w:right w:w="0" w:type="dxa"/>
                  </w:tcMar>
                  <w:vAlign w:val="center"/>
                </w:tcPr>
                <w:p w14:paraId="5CF69D27">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c>
                <w:tcPr>
                  <w:tcW w:w="469" w:type="pct"/>
                  <w:vMerge w:val="continue"/>
                  <w:noWrap w:val="0"/>
                  <w:tcMar>
                    <w:top w:w="0" w:type="dxa"/>
                    <w:left w:w="0" w:type="dxa"/>
                    <w:bottom w:w="0" w:type="dxa"/>
                    <w:right w:w="0" w:type="dxa"/>
                  </w:tcMar>
                  <w:vAlign w:val="center"/>
                </w:tcPr>
                <w:p w14:paraId="71DBADD4">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r>
            <w:tr w14:paraId="4BD4F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4" w:type="pct"/>
                  <w:vMerge w:val="continue"/>
                  <w:noWrap w:val="0"/>
                  <w:tcMar>
                    <w:top w:w="0" w:type="dxa"/>
                    <w:left w:w="0" w:type="dxa"/>
                    <w:bottom w:w="0" w:type="dxa"/>
                    <w:right w:w="0" w:type="dxa"/>
                  </w:tcMar>
                  <w:vAlign w:val="center"/>
                </w:tcPr>
                <w:p w14:paraId="57912437">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c>
                <w:tcPr>
                  <w:tcW w:w="288" w:type="pct"/>
                  <w:vMerge w:val="continue"/>
                  <w:noWrap w:val="0"/>
                  <w:tcMar>
                    <w:top w:w="0" w:type="dxa"/>
                    <w:left w:w="0" w:type="dxa"/>
                    <w:bottom w:w="0" w:type="dxa"/>
                    <w:right w:w="0" w:type="dxa"/>
                  </w:tcMar>
                  <w:vAlign w:val="center"/>
                </w:tcPr>
                <w:p w14:paraId="7859CECF">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600" w:type="pct"/>
                  <w:noWrap w:val="0"/>
                  <w:tcMar>
                    <w:top w:w="0" w:type="dxa"/>
                    <w:left w:w="0" w:type="dxa"/>
                    <w:bottom w:w="0" w:type="dxa"/>
                    <w:right w:w="0" w:type="dxa"/>
                  </w:tcMar>
                  <w:vAlign w:val="center"/>
                </w:tcPr>
                <w:p w14:paraId="774AC2EB">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车间门窗外1m</w:t>
                  </w:r>
                </w:p>
              </w:tc>
              <w:tc>
                <w:tcPr>
                  <w:tcW w:w="721" w:type="pct"/>
                  <w:noWrap w:val="0"/>
                  <w:tcMar>
                    <w:top w:w="0" w:type="dxa"/>
                    <w:left w:w="0" w:type="dxa"/>
                    <w:bottom w:w="0" w:type="dxa"/>
                    <w:right w:w="0" w:type="dxa"/>
                  </w:tcMar>
                  <w:vAlign w:val="center"/>
                </w:tcPr>
                <w:p w14:paraId="421EDC1F">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非甲烷总烃</w:t>
                  </w:r>
                </w:p>
              </w:tc>
              <w:tc>
                <w:tcPr>
                  <w:tcW w:w="553" w:type="pct"/>
                  <w:vMerge w:val="continue"/>
                  <w:noWrap w:val="0"/>
                  <w:tcMar>
                    <w:top w:w="0" w:type="dxa"/>
                    <w:left w:w="0" w:type="dxa"/>
                    <w:bottom w:w="0" w:type="dxa"/>
                    <w:right w:w="0" w:type="dxa"/>
                  </w:tcMar>
                  <w:vAlign w:val="center"/>
                </w:tcPr>
                <w:p w14:paraId="432B70D4">
                  <w:pPr>
                    <w:keepNext w:val="0"/>
                    <w:keepLines w:val="0"/>
                    <w:pageBreakBefore w:val="0"/>
                    <w:widowControl w:val="0"/>
                    <w:suppressLineNumbers w:val="0"/>
                    <w:kinsoku/>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712" w:type="pct"/>
                  <w:noWrap w:val="0"/>
                  <w:tcMar>
                    <w:top w:w="0" w:type="dxa"/>
                    <w:left w:w="0" w:type="dxa"/>
                    <w:bottom w:w="0" w:type="dxa"/>
                    <w:right w:w="0" w:type="dxa"/>
                  </w:tcMar>
                  <w:vAlign w:val="center"/>
                </w:tcPr>
                <w:p w14:paraId="5DE0DAA4">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《大气污染物综合排放标准》（DB32/4041-2021）表</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标准</w:t>
                  </w:r>
                </w:p>
              </w:tc>
              <w:tc>
                <w:tcPr>
                  <w:tcW w:w="429" w:type="pct"/>
                  <w:vMerge w:val="continue"/>
                  <w:noWrap w:val="0"/>
                  <w:tcMar>
                    <w:top w:w="0" w:type="dxa"/>
                    <w:left w:w="0" w:type="dxa"/>
                    <w:bottom w:w="0" w:type="dxa"/>
                    <w:right w:w="0" w:type="dxa"/>
                  </w:tcMar>
                  <w:vAlign w:val="center"/>
                </w:tcPr>
                <w:p w14:paraId="5E609527">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c>
                <w:tcPr>
                  <w:tcW w:w="469" w:type="pct"/>
                  <w:vMerge w:val="continue"/>
                  <w:noWrap w:val="0"/>
                  <w:tcMar>
                    <w:top w:w="0" w:type="dxa"/>
                    <w:left w:w="0" w:type="dxa"/>
                    <w:bottom w:w="0" w:type="dxa"/>
                    <w:right w:w="0" w:type="dxa"/>
                  </w:tcMar>
                  <w:vAlign w:val="center"/>
                </w:tcPr>
                <w:p w14:paraId="153847DD">
                  <w:pPr>
                    <w:keepNext w:val="0"/>
                    <w:keepLines w:val="0"/>
                    <w:pageBreakBefore w:val="0"/>
                    <w:widowControl w:val="0"/>
                    <w:suppressLineNumbers w:val="0"/>
                    <w:kinsoku/>
                    <w:wordWrap w:val="0"/>
                    <w:overflowPunct/>
                    <w:topLinePunct w:val="0"/>
                    <w:autoSpaceDE/>
                    <w:autoSpaceDN/>
                    <w:bidi w:val="0"/>
                    <w:spacing w:beforeAutospacing="0" w:afterAutospacing="0" w:line="240" w:lineRule="auto"/>
                    <w:ind w:left="0" w:leftChars="0" w:right="0" w:rightChars="0"/>
                    <w:jc w:val="center"/>
                    <w:textAlignment w:val="auto"/>
                    <w:rPr>
                      <w:rFonts w:hint="default" w:ascii="Times New Roman" w:hAnsi="Times New Roman" w:eastAsia="宋体" w:cs="Times New Roman"/>
                      <w:bCs/>
                      <w:color w:val="auto"/>
                      <w:sz w:val="21"/>
                      <w:szCs w:val="21"/>
                    </w:rPr>
                  </w:pPr>
                </w:p>
              </w:tc>
            </w:tr>
          </w:tbl>
          <w:p w14:paraId="14FCB8FB">
            <w:pPr>
              <w:spacing w:before="120" w:beforeLines="50" w:line="360" w:lineRule="auto"/>
              <w:ind w:left="420" w:leftChars="200"/>
              <w:rPr>
                <w:b/>
                <w:color w:val="auto"/>
                <w:szCs w:val="21"/>
              </w:rPr>
            </w:pPr>
            <w:r>
              <w:rPr>
                <w:rFonts w:hint="eastAsia"/>
                <w:b/>
                <w:color w:val="auto"/>
                <w:szCs w:val="21"/>
              </w:rPr>
              <w:t>5</w:t>
            </w:r>
            <w:r>
              <w:rPr>
                <w:b/>
                <w:color w:val="auto"/>
                <w:szCs w:val="21"/>
              </w:rPr>
              <w:t>、大气环境影响分析结论</w:t>
            </w:r>
          </w:p>
          <w:p w14:paraId="6752EAB6">
            <w:pPr>
              <w:pStyle w:val="6"/>
              <w:adjustRightInd w:val="0"/>
              <w:snapToGrid w:val="0"/>
              <w:spacing w:line="360" w:lineRule="auto"/>
              <w:rPr>
                <w:color w:val="auto"/>
                <w:szCs w:val="21"/>
              </w:rPr>
            </w:pPr>
            <w:r>
              <w:rPr>
                <w:color w:val="auto"/>
                <w:szCs w:val="21"/>
              </w:rPr>
              <w:t>本项目位于环境空气质量非达标区，超标因子为PM</w:t>
            </w:r>
            <w:r>
              <w:rPr>
                <w:color w:val="auto"/>
                <w:szCs w:val="21"/>
                <w:vertAlign w:val="subscript"/>
              </w:rPr>
              <w:t>2.5</w:t>
            </w:r>
            <w:r>
              <w:rPr>
                <w:color w:val="auto"/>
                <w:szCs w:val="21"/>
              </w:rPr>
              <w:t>和O</w:t>
            </w:r>
            <w:r>
              <w:rPr>
                <w:color w:val="auto"/>
                <w:szCs w:val="21"/>
                <w:vertAlign w:val="subscript"/>
              </w:rPr>
              <w:t>3</w:t>
            </w:r>
            <w:r>
              <w:rPr>
                <w:color w:val="auto"/>
                <w:szCs w:val="21"/>
              </w:rPr>
              <w:t>。</w:t>
            </w:r>
            <w:r>
              <w:rPr>
                <w:rFonts w:hint="eastAsia"/>
                <w:color w:val="auto"/>
                <w:szCs w:val="21"/>
                <w:lang w:val="en-US" w:eastAsia="zh-CN"/>
              </w:rPr>
              <w:t>全厂</w:t>
            </w:r>
            <w:r>
              <w:rPr>
                <w:color w:val="auto"/>
                <w:szCs w:val="21"/>
              </w:rPr>
              <w:t>卫生防护距离为以</w:t>
            </w:r>
            <w:r>
              <w:rPr>
                <w:rFonts w:hint="eastAsia"/>
                <w:color w:val="auto"/>
                <w:szCs w:val="21"/>
              </w:rPr>
              <w:t>生产车间</w:t>
            </w:r>
            <w:r>
              <w:rPr>
                <w:color w:val="auto"/>
                <w:szCs w:val="21"/>
              </w:rPr>
              <w:t>边界外扩100米，作最大包络线的范围，各大气污染物排放强度较低，对大气环境影响较小，周边大气环境可基本维持现状，但仍应加强污染控制管理，减少非正常排放情况的发生。</w:t>
            </w:r>
          </w:p>
          <w:p w14:paraId="4460B79A">
            <w:pPr>
              <w:spacing w:line="360" w:lineRule="auto"/>
              <w:ind w:firstLine="422" w:firstLineChars="200"/>
              <w:rPr>
                <w:b/>
                <w:color w:val="auto"/>
                <w:szCs w:val="21"/>
              </w:rPr>
            </w:pPr>
            <w:r>
              <w:rPr>
                <w:b/>
                <w:color w:val="auto"/>
                <w:szCs w:val="21"/>
              </w:rPr>
              <w:t>二、水环境影响分析</w:t>
            </w:r>
          </w:p>
          <w:p w14:paraId="4F948EF7">
            <w:pPr>
              <w:spacing w:line="360" w:lineRule="auto"/>
              <w:ind w:firstLine="422" w:firstLineChars="200"/>
              <w:rPr>
                <w:b/>
                <w:bCs/>
                <w:color w:val="auto"/>
                <w:szCs w:val="21"/>
              </w:rPr>
            </w:pPr>
            <w:r>
              <w:rPr>
                <w:b/>
                <w:bCs/>
                <w:color w:val="auto"/>
                <w:szCs w:val="21"/>
              </w:rPr>
              <w:t>1、废水源强</w:t>
            </w:r>
          </w:p>
          <w:p w14:paraId="74619DFD">
            <w:pPr>
              <w:spacing w:line="360" w:lineRule="auto"/>
              <w:ind w:firstLine="420" w:firstLineChars="200"/>
              <w:rPr>
                <w:bCs/>
                <w:color w:val="auto"/>
                <w:szCs w:val="21"/>
              </w:rPr>
            </w:pPr>
            <w:r>
              <w:rPr>
                <w:bCs/>
                <w:color w:val="auto"/>
                <w:szCs w:val="21"/>
              </w:rPr>
              <w:t>本项目排水为员工生活污水。</w:t>
            </w:r>
          </w:p>
          <w:p w14:paraId="3F20822E">
            <w:pPr>
              <w:spacing w:line="360" w:lineRule="auto"/>
              <w:ind w:firstLine="420" w:firstLineChars="200"/>
              <w:rPr>
                <w:color w:val="auto"/>
                <w:szCs w:val="21"/>
              </w:rPr>
            </w:pPr>
            <w:r>
              <w:rPr>
                <w:bCs/>
                <w:color w:val="auto"/>
                <w:szCs w:val="21"/>
              </w:rPr>
              <w:t>生活污水：生活用水排放系数以0.8计，则生活污水排放量为</w:t>
            </w:r>
            <w:r>
              <w:rPr>
                <w:rFonts w:hint="eastAsia"/>
                <w:bCs/>
                <w:color w:val="auto"/>
                <w:szCs w:val="21"/>
                <w:lang w:val="en-US" w:eastAsia="zh-CN"/>
              </w:rPr>
              <w:t>144</w:t>
            </w:r>
            <w:r>
              <w:rPr>
                <w:bCs/>
                <w:color w:val="auto"/>
                <w:szCs w:val="21"/>
              </w:rPr>
              <w:t>m</w:t>
            </w:r>
            <w:r>
              <w:rPr>
                <w:bCs/>
                <w:color w:val="auto"/>
                <w:szCs w:val="21"/>
                <w:vertAlign w:val="superscript"/>
              </w:rPr>
              <w:t>3</w:t>
            </w:r>
            <w:r>
              <w:rPr>
                <w:bCs/>
                <w:color w:val="auto"/>
                <w:szCs w:val="21"/>
              </w:rPr>
              <w:t>/a，生活污水水质较为简单，其中</w:t>
            </w:r>
            <w:r>
              <w:rPr>
                <w:rFonts w:hint="default" w:ascii="Times New Roman" w:hAnsi="Times New Roman" w:eastAsia="宋体" w:cs="Times New Roman"/>
                <w:color w:val="auto"/>
                <w:sz w:val="21"/>
                <w:szCs w:val="21"/>
              </w:rPr>
              <w:t>COD</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400mg/L、SS</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200mg/L、NH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eastAsia" w:cs="Times New Roman"/>
                <w:color w:val="auto"/>
                <w:sz w:val="21"/>
                <w:szCs w:val="21"/>
                <w:lang w:val="en-US" w:eastAsia="zh-CN"/>
              </w:rPr>
              <w:t xml:space="preserve"> 30</w:t>
            </w:r>
            <w:r>
              <w:rPr>
                <w:rFonts w:hint="default" w:ascii="Times New Roman" w:hAnsi="Times New Roman" w:eastAsia="宋体" w:cs="Times New Roman"/>
                <w:color w:val="auto"/>
                <w:sz w:val="21"/>
                <w:szCs w:val="21"/>
              </w:rPr>
              <w:t xml:space="preserve">mg/L、TN </w:t>
            </w:r>
            <w:r>
              <w:rPr>
                <w:rFonts w:hint="eastAsia" w:cs="Times New Roman"/>
                <w:color w:val="auto"/>
                <w:sz w:val="21"/>
                <w:szCs w:val="21"/>
                <w:lang w:val="en-US" w:eastAsia="zh-CN"/>
              </w:rPr>
              <w:t>40</w:t>
            </w:r>
            <w:r>
              <w:rPr>
                <w:rFonts w:hint="default" w:ascii="Times New Roman" w:hAnsi="Times New Roman" w:eastAsia="宋体" w:cs="Times New Roman"/>
                <w:color w:val="auto"/>
                <w:sz w:val="21"/>
                <w:szCs w:val="21"/>
              </w:rPr>
              <w:t>mg/L、TP 3mg/L</w:t>
            </w:r>
            <w:r>
              <w:rPr>
                <w:bCs/>
                <w:color w:val="auto"/>
                <w:szCs w:val="21"/>
              </w:rPr>
              <w:t>，排入</w:t>
            </w:r>
            <w:r>
              <w:rPr>
                <w:color w:val="auto"/>
                <w:szCs w:val="21"/>
              </w:rPr>
              <w:t>常州金坛区第二污水处理有限公司。</w:t>
            </w:r>
          </w:p>
          <w:p w14:paraId="161902B8">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rPr>
            </w:pPr>
            <w:r>
              <w:rPr>
                <w:b/>
                <w:bCs/>
                <w:color w:val="auto"/>
                <w:szCs w:val="21"/>
              </w:rPr>
              <w:t>表4-</w:t>
            </w:r>
            <w:r>
              <w:rPr>
                <w:rFonts w:hint="eastAsia"/>
                <w:b/>
                <w:bCs/>
                <w:color w:val="auto"/>
                <w:szCs w:val="21"/>
                <w:lang w:val="en-US" w:eastAsia="zh-CN"/>
              </w:rPr>
              <w:t>17</w:t>
            </w:r>
            <w:r>
              <w:rPr>
                <w:b/>
                <w:bCs/>
                <w:color w:val="auto"/>
                <w:szCs w:val="21"/>
              </w:rPr>
              <w:t xml:space="preserve"> 废水污染源源强核算结果及相关参数一览表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
              <w:gridCol w:w="473"/>
              <w:gridCol w:w="323"/>
              <w:gridCol w:w="659"/>
              <w:gridCol w:w="771"/>
              <w:gridCol w:w="711"/>
              <w:gridCol w:w="587"/>
              <w:gridCol w:w="761"/>
              <w:gridCol w:w="766"/>
              <w:gridCol w:w="1121"/>
              <w:gridCol w:w="928"/>
              <w:gridCol w:w="832"/>
            </w:tblGrid>
            <w:tr w14:paraId="4B074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noWrap w:val="0"/>
                  <w:tcMar>
                    <w:top w:w="0" w:type="dxa"/>
                    <w:left w:w="0" w:type="dxa"/>
                    <w:bottom w:w="0" w:type="dxa"/>
                    <w:right w:w="0" w:type="dxa"/>
                  </w:tcMar>
                  <w:vAlign w:val="center"/>
                </w:tcPr>
                <w:p w14:paraId="6941FB9D">
                  <w:pPr>
                    <w:widowControl/>
                    <w:adjustRightInd w:val="0"/>
                    <w:snapToGrid w:val="0"/>
                    <w:jc w:val="center"/>
                    <w:rPr>
                      <w:b/>
                      <w:bCs/>
                      <w:color w:val="auto"/>
                      <w:szCs w:val="21"/>
                    </w:rPr>
                  </w:pPr>
                  <w:r>
                    <w:rPr>
                      <w:b/>
                      <w:bCs/>
                      <w:color w:val="auto"/>
                      <w:szCs w:val="21"/>
                    </w:rPr>
                    <w:t>废水来源</w:t>
                  </w:r>
                </w:p>
              </w:tc>
              <w:tc>
                <w:tcPr>
                  <w:tcW w:w="282" w:type="pct"/>
                  <w:vMerge w:val="restart"/>
                  <w:noWrap w:val="0"/>
                  <w:tcMar>
                    <w:top w:w="0" w:type="dxa"/>
                    <w:left w:w="0" w:type="dxa"/>
                    <w:bottom w:w="0" w:type="dxa"/>
                    <w:right w:w="0" w:type="dxa"/>
                  </w:tcMar>
                  <w:vAlign w:val="center"/>
                </w:tcPr>
                <w:p w14:paraId="083DB785">
                  <w:pPr>
                    <w:widowControl/>
                    <w:adjustRightInd w:val="0"/>
                    <w:snapToGrid w:val="0"/>
                    <w:jc w:val="center"/>
                    <w:rPr>
                      <w:b/>
                      <w:bCs/>
                      <w:color w:val="auto"/>
                      <w:szCs w:val="21"/>
                    </w:rPr>
                  </w:pPr>
                  <w:r>
                    <w:rPr>
                      <w:b/>
                      <w:color w:val="auto"/>
                      <w:szCs w:val="21"/>
                    </w:rPr>
                    <w:t>废水量m</w:t>
                  </w:r>
                  <w:r>
                    <w:rPr>
                      <w:b/>
                      <w:color w:val="auto"/>
                      <w:szCs w:val="21"/>
                      <w:vertAlign w:val="superscript"/>
                    </w:rPr>
                    <w:t>3</w:t>
                  </w:r>
                  <w:r>
                    <w:rPr>
                      <w:b/>
                      <w:color w:val="auto"/>
                      <w:szCs w:val="21"/>
                    </w:rPr>
                    <w:t>/a</w:t>
                  </w:r>
                </w:p>
              </w:tc>
              <w:tc>
                <w:tcPr>
                  <w:tcW w:w="192" w:type="pct"/>
                  <w:vMerge w:val="restart"/>
                  <w:noWrap w:val="0"/>
                  <w:tcMar>
                    <w:top w:w="0" w:type="dxa"/>
                    <w:left w:w="0" w:type="dxa"/>
                    <w:bottom w:w="0" w:type="dxa"/>
                    <w:right w:w="0" w:type="dxa"/>
                  </w:tcMar>
                  <w:vAlign w:val="center"/>
                </w:tcPr>
                <w:p w14:paraId="58DFEC29">
                  <w:pPr>
                    <w:widowControl/>
                    <w:adjustRightInd w:val="0"/>
                    <w:snapToGrid w:val="0"/>
                    <w:jc w:val="center"/>
                    <w:rPr>
                      <w:b/>
                      <w:bCs/>
                      <w:color w:val="auto"/>
                      <w:szCs w:val="21"/>
                    </w:rPr>
                  </w:pPr>
                  <w:r>
                    <w:rPr>
                      <w:b/>
                      <w:bCs/>
                      <w:color w:val="auto"/>
                      <w:szCs w:val="21"/>
                    </w:rPr>
                    <w:t>污染源</w:t>
                  </w:r>
                </w:p>
              </w:tc>
              <w:tc>
                <w:tcPr>
                  <w:tcW w:w="393" w:type="pct"/>
                  <w:vMerge w:val="restart"/>
                  <w:noWrap w:val="0"/>
                  <w:tcMar>
                    <w:top w:w="0" w:type="dxa"/>
                    <w:left w:w="0" w:type="dxa"/>
                    <w:bottom w:w="0" w:type="dxa"/>
                    <w:right w:w="0" w:type="dxa"/>
                  </w:tcMar>
                  <w:vAlign w:val="center"/>
                </w:tcPr>
                <w:p w14:paraId="1998D757">
                  <w:pPr>
                    <w:widowControl/>
                    <w:adjustRightInd w:val="0"/>
                    <w:snapToGrid w:val="0"/>
                    <w:jc w:val="center"/>
                    <w:rPr>
                      <w:b/>
                      <w:bCs/>
                      <w:color w:val="auto"/>
                      <w:szCs w:val="21"/>
                    </w:rPr>
                  </w:pPr>
                  <w:r>
                    <w:rPr>
                      <w:b/>
                      <w:bCs/>
                      <w:color w:val="auto"/>
                      <w:szCs w:val="21"/>
                    </w:rPr>
                    <w:t>污染物</w:t>
                  </w:r>
                </w:p>
              </w:tc>
              <w:tc>
                <w:tcPr>
                  <w:tcW w:w="885" w:type="pct"/>
                  <w:gridSpan w:val="2"/>
                  <w:noWrap w:val="0"/>
                  <w:tcMar>
                    <w:top w:w="0" w:type="dxa"/>
                    <w:left w:w="0" w:type="dxa"/>
                    <w:bottom w:w="0" w:type="dxa"/>
                    <w:right w:w="0" w:type="dxa"/>
                  </w:tcMar>
                  <w:vAlign w:val="center"/>
                </w:tcPr>
                <w:p w14:paraId="7018DD0E">
                  <w:pPr>
                    <w:widowControl/>
                    <w:adjustRightInd w:val="0"/>
                    <w:snapToGrid w:val="0"/>
                    <w:jc w:val="center"/>
                    <w:rPr>
                      <w:b/>
                      <w:bCs/>
                      <w:color w:val="auto"/>
                      <w:szCs w:val="21"/>
                    </w:rPr>
                  </w:pPr>
                  <w:r>
                    <w:rPr>
                      <w:b/>
                      <w:bCs/>
                      <w:color w:val="auto"/>
                      <w:szCs w:val="21"/>
                    </w:rPr>
                    <w:t>污染物产生</w:t>
                  </w:r>
                </w:p>
              </w:tc>
              <w:tc>
                <w:tcPr>
                  <w:tcW w:w="350" w:type="pct"/>
                  <w:vMerge w:val="restart"/>
                  <w:noWrap w:val="0"/>
                  <w:tcMar>
                    <w:top w:w="0" w:type="dxa"/>
                    <w:left w:w="0" w:type="dxa"/>
                    <w:bottom w:w="0" w:type="dxa"/>
                    <w:right w:w="0" w:type="dxa"/>
                  </w:tcMar>
                  <w:vAlign w:val="center"/>
                </w:tcPr>
                <w:p w14:paraId="5EFA3A62">
                  <w:pPr>
                    <w:widowControl/>
                    <w:adjustRightInd w:val="0"/>
                    <w:snapToGrid w:val="0"/>
                    <w:jc w:val="center"/>
                    <w:rPr>
                      <w:b/>
                      <w:bCs/>
                      <w:color w:val="auto"/>
                      <w:szCs w:val="21"/>
                    </w:rPr>
                  </w:pPr>
                  <w:r>
                    <w:rPr>
                      <w:b/>
                      <w:bCs/>
                      <w:color w:val="auto"/>
                      <w:szCs w:val="21"/>
                    </w:rPr>
                    <w:t>治理措施</w:t>
                  </w:r>
                </w:p>
              </w:tc>
              <w:tc>
                <w:tcPr>
                  <w:tcW w:w="911" w:type="pct"/>
                  <w:gridSpan w:val="2"/>
                  <w:noWrap w:val="0"/>
                  <w:tcMar>
                    <w:top w:w="0" w:type="dxa"/>
                    <w:left w:w="0" w:type="dxa"/>
                    <w:bottom w:w="0" w:type="dxa"/>
                    <w:right w:w="0" w:type="dxa"/>
                  </w:tcMar>
                  <w:vAlign w:val="center"/>
                </w:tcPr>
                <w:p w14:paraId="710064BF">
                  <w:pPr>
                    <w:widowControl/>
                    <w:adjustRightInd w:val="0"/>
                    <w:snapToGrid w:val="0"/>
                    <w:jc w:val="center"/>
                    <w:rPr>
                      <w:b/>
                      <w:bCs/>
                      <w:color w:val="auto"/>
                      <w:szCs w:val="21"/>
                    </w:rPr>
                  </w:pPr>
                  <w:r>
                    <w:rPr>
                      <w:b/>
                      <w:bCs/>
                      <w:color w:val="auto"/>
                      <w:szCs w:val="21"/>
                    </w:rPr>
                    <w:t>污染物</w:t>
                  </w:r>
                  <w:r>
                    <w:rPr>
                      <w:rFonts w:hint="eastAsia"/>
                      <w:b/>
                      <w:bCs/>
                      <w:color w:val="auto"/>
                      <w:szCs w:val="21"/>
                    </w:rPr>
                    <w:t>接管</w:t>
                  </w:r>
                </w:p>
              </w:tc>
              <w:tc>
                <w:tcPr>
                  <w:tcW w:w="669" w:type="pct"/>
                  <w:vMerge w:val="restart"/>
                  <w:noWrap w:val="0"/>
                  <w:tcMar>
                    <w:top w:w="0" w:type="dxa"/>
                    <w:left w:w="0" w:type="dxa"/>
                    <w:bottom w:w="0" w:type="dxa"/>
                    <w:right w:w="0" w:type="dxa"/>
                  </w:tcMar>
                  <w:vAlign w:val="center"/>
                </w:tcPr>
                <w:p w14:paraId="6E55D514">
                  <w:pPr>
                    <w:widowControl/>
                    <w:adjustRightInd w:val="0"/>
                    <w:snapToGrid w:val="0"/>
                    <w:jc w:val="center"/>
                    <w:rPr>
                      <w:rFonts w:hint="eastAsia"/>
                      <w:b/>
                      <w:bCs/>
                      <w:color w:val="auto"/>
                      <w:szCs w:val="21"/>
                    </w:rPr>
                  </w:pPr>
                  <w:r>
                    <w:rPr>
                      <w:b/>
                      <w:bCs/>
                      <w:color w:val="auto"/>
                      <w:szCs w:val="21"/>
                    </w:rPr>
                    <w:t>治理措施</w:t>
                  </w:r>
                </w:p>
              </w:tc>
              <w:tc>
                <w:tcPr>
                  <w:tcW w:w="1050" w:type="pct"/>
                  <w:gridSpan w:val="2"/>
                  <w:noWrap w:val="0"/>
                  <w:tcMar>
                    <w:top w:w="0" w:type="dxa"/>
                    <w:left w:w="0" w:type="dxa"/>
                    <w:bottom w:w="0" w:type="dxa"/>
                    <w:right w:w="0" w:type="dxa"/>
                  </w:tcMar>
                  <w:vAlign w:val="center"/>
                </w:tcPr>
                <w:p w14:paraId="7E315919">
                  <w:pPr>
                    <w:widowControl/>
                    <w:adjustRightInd w:val="0"/>
                    <w:snapToGrid w:val="0"/>
                    <w:jc w:val="center"/>
                    <w:rPr>
                      <w:b/>
                      <w:bCs/>
                      <w:color w:val="auto"/>
                      <w:szCs w:val="21"/>
                    </w:rPr>
                  </w:pPr>
                  <w:r>
                    <w:rPr>
                      <w:rFonts w:hint="eastAsia"/>
                      <w:b/>
                      <w:bCs/>
                      <w:color w:val="auto"/>
                      <w:szCs w:val="21"/>
                    </w:rPr>
                    <w:t>外环境排放</w:t>
                  </w:r>
                </w:p>
              </w:tc>
            </w:tr>
            <w:tr w14:paraId="10799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noWrap w:val="0"/>
                  <w:tcMar>
                    <w:top w:w="0" w:type="dxa"/>
                    <w:left w:w="0" w:type="dxa"/>
                    <w:bottom w:w="0" w:type="dxa"/>
                    <w:right w:w="0" w:type="dxa"/>
                  </w:tcMar>
                  <w:vAlign w:val="center"/>
                </w:tcPr>
                <w:p w14:paraId="786B665D">
                  <w:pPr>
                    <w:widowControl/>
                    <w:jc w:val="center"/>
                    <w:rPr>
                      <w:b/>
                      <w:bCs/>
                      <w:color w:val="auto"/>
                      <w:szCs w:val="21"/>
                    </w:rPr>
                  </w:pPr>
                </w:p>
              </w:tc>
              <w:tc>
                <w:tcPr>
                  <w:tcW w:w="282" w:type="pct"/>
                  <w:vMerge w:val="continue"/>
                  <w:noWrap w:val="0"/>
                  <w:tcMar>
                    <w:top w:w="0" w:type="dxa"/>
                    <w:left w:w="0" w:type="dxa"/>
                    <w:bottom w:w="0" w:type="dxa"/>
                    <w:right w:w="0" w:type="dxa"/>
                  </w:tcMar>
                  <w:vAlign w:val="center"/>
                </w:tcPr>
                <w:p w14:paraId="3AB6831D">
                  <w:pPr>
                    <w:widowControl/>
                    <w:jc w:val="center"/>
                    <w:rPr>
                      <w:b/>
                      <w:bCs/>
                      <w:color w:val="auto"/>
                      <w:szCs w:val="21"/>
                    </w:rPr>
                  </w:pPr>
                </w:p>
              </w:tc>
              <w:tc>
                <w:tcPr>
                  <w:tcW w:w="192" w:type="pct"/>
                  <w:vMerge w:val="continue"/>
                  <w:noWrap w:val="0"/>
                  <w:tcMar>
                    <w:top w:w="0" w:type="dxa"/>
                    <w:left w:w="0" w:type="dxa"/>
                    <w:bottom w:w="0" w:type="dxa"/>
                    <w:right w:w="0" w:type="dxa"/>
                  </w:tcMar>
                  <w:vAlign w:val="center"/>
                </w:tcPr>
                <w:p w14:paraId="67B32B3E">
                  <w:pPr>
                    <w:widowControl/>
                    <w:jc w:val="center"/>
                    <w:rPr>
                      <w:b/>
                      <w:bCs/>
                      <w:color w:val="auto"/>
                      <w:szCs w:val="21"/>
                    </w:rPr>
                  </w:pPr>
                </w:p>
              </w:tc>
              <w:tc>
                <w:tcPr>
                  <w:tcW w:w="393" w:type="pct"/>
                  <w:vMerge w:val="continue"/>
                  <w:noWrap w:val="0"/>
                  <w:tcMar>
                    <w:top w:w="0" w:type="dxa"/>
                    <w:left w:w="0" w:type="dxa"/>
                    <w:bottom w:w="0" w:type="dxa"/>
                    <w:right w:w="0" w:type="dxa"/>
                  </w:tcMar>
                  <w:vAlign w:val="center"/>
                </w:tcPr>
                <w:p w14:paraId="0DA72D2B">
                  <w:pPr>
                    <w:widowControl/>
                    <w:jc w:val="center"/>
                    <w:rPr>
                      <w:b/>
                      <w:bCs/>
                      <w:color w:val="auto"/>
                      <w:szCs w:val="21"/>
                    </w:rPr>
                  </w:pPr>
                </w:p>
              </w:tc>
              <w:tc>
                <w:tcPr>
                  <w:tcW w:w="460" w:type="pct"/>
                  <w:noWrap w:val="0"/>
                  <w:tcMar>
                    <w:top w:w="0" w:type="dxa"/>
                    <w:left w:w="0" w:type="dxa"/>
                    <w:bottom w:w="0" w:type="dxa"/>
                    <w:right w:w="0" w:type="dxa"/>
                  </w:tcMar>
                  <w:vAlign w:val="center"/>
                </w:tcPr>
                <w:p w14:paraId="452F29E8">
                  <w:pPr>
                    <w:widowControl/>
                    <w:adjustRightInd w:val="0"/>
                    <w:snapToGrid w:val="0"/>
                    <w:jc w:val="center"/>
                    <w:rPr>
                      <w:b/>
                      <w:bCs/>
                      <w:color w:val="auto"/>
                      <w:szCs w:val="21"/>
                    </w:rPr>
                  </w:pPr>
                  <w:r>
                    <w:rPr>
                      <w:b/>
                      <w:bCs/>
                      <w:color w:val="auto"/>
                      <w:szCs w:val="21"/>
                    </w:rPr>
                    <w:t>产生浓度mg/L</w:t>
                  </w:r>
                </w:p>
              </w:tc>
              <w:tc>
                <w:tcPr>
                  <w:tcW w:w="424" w:type="pct"/>
                  <w:noWrap w:val="0"/>
                  <w:tcMar>
                    <w:top w:w="0" w:type="dxa"/>
                    <w:left w:w="0" w:type="dxa"/>
                    <w:bottom w:w="0" w:type="dxa"/>
                    <w:right w:w="0" w:type="dxa"/>
                  </w:tcMar>
                  <w:vAlign w:val="center"/>
                </w:tcPr>
                <w:p w14:paraId="4FA5DD32">
                  <w:pPr>
                    <w:widowControl/>
                    <w:adjustRightInd w:val="0"/>
                    <w:snapToGrid w:val="0"/>
                    <w:jc w:val="center"/>
                    <w:rPr>
                      <w:b/>
                      <w:bCs/>
                      <w:color w:val="auto"/>
                      <w:szCs w:val="21"/>
                    </w:rPr>
                  </w:pPr>
                  <w:r>
                    <w:rPr>
                      <w:b/>
                      <w:bCs/>
                      <w:color w:val="auto"/>
                      <w:szCs w:val="21"/>
                    </w:rPr>
                    <w:t>产生量t/a</w:t>
                  </w:r>
                </w:p>
              </w:tc>
              <w:tc>
                <w:tcPr>
                  <w:tcW w:w="350" w:type="pct"/>
                  <w:vMerge w:val="continue"/>
                  <w:noWrap w:val="0"/>
                  <w:tcMar>
                    <w:top w:w="0" w:type="dxa"/>
                    <w:left w:w="0" w:type="dxa"/>
                    <w:bottom w:w="0" w:type="dxa"/>
                    <w:right w:w="0" w:type="dxa"/>
                  </w:tcMar>
                  <w:vAlign w:val="center"/>
                </w:tcPr>
                <w:p w14:paraId="62FE0DC9">
                  <w:pPr>
                    <w:widowControl/>
                    <w:adjustRightInd w:val="0"/>
                    <w:snapToGrid w:val="0"/>
                    <w:jc w:val="center"/>
                    <w:rPr>
                      <w:b/>
                      <w:bCs/>
                      <w:color w:val="auto"/>
                      <w:szCs w:val="21"/>
                    </w:rPr>
                  </w:pPr>
                </w:p>
              </w:tc>
              <w:tc>
                <w:tcPr>
                  <w:tcW w:w="454" w:type="pct"/>
                  <w:noWrap w:val="0"/>
                  <w:tcMar>
                    <w:top w:w="0" w:type="dxa"/>
                    <w:left w:w="0" w:type="dxa"/>
                    <w:bottom w:w="0" w:type="dxa"/>
                    <w:right w:w="0" w:type="dxa"/>
                  </w:tcMar>
                  <w:vAlign w:val="center"/>
                </w:tcPr>
                <w:p w14:paraId="21659C4E">
                  <w:pPr>
                    <w:widowControl/>
                    <w:adjustRightInd w:val="0"/>
                    <w:snapToGrid w:val="0"/>
                    <w:jc w:val="center"/>
                    <w:rPr>
                      <w:b/>
                      <w:bCs/>
                      <w:color w:val="auto"/>
                      <w:szCs w:val="21"/>
                    </w:rPr>
                  </w:pPr>
                  <w:r>
                    <w:rPr>
                      <w:b/>
                      <w:bCs/>
                      <w:color w:val="auto"/>
                      <w:szCs w:val="21"/>
                    </w:rPr>
                    <w:t>排放浓度mg/L</w:t>
                  </w:r>
                </w:p>
              </w:tc>
              <w:tc>
                <w:tcPr>
                  <w:tcW w:w="457" w:type="pct"/>
                  <w:noWrap w:val="0"/>
                  <w:tcMar>
                    <w:top w:w="0" w:type="dxa"/>
                    <w:left w:w="0" w:type="dxa"/>
                    <w:bottom w:w="0" w:type="dxa"/>
                    <w:right w:w="0" w:type="dxa"/>
                  </w:tcMar>
                  <w:vAlign w:val="center"/>
                </w:tcPr>
                <w:p w14:paraId="49D96DE6">
                  <w:pPr>
                    <w:widowControl/>
                    <w:adjustRightInd w:val="0"/>
                    <w:snapToGrid w:val="0"/>
                    <w:jc w:val="center"/>
                    <w:rPr>
                      <w:b/>
                      <w:bCs/>
                      <w:color w:val="auto"/>
                      <w:szCs w:val="21"/>
                    </w:rPr>
                  </w:pPr>
                  <w:r>
                    <w:rPr>
                      <w:b/>
                      <w:bCs/>
                      <w:color w:val="auto"/>
                      <w:szCs w:val="21"/>
                    </w:rPr>
                    <w:t>排放量kg/h</w:t>
                  </w:r>
                </w:p>
              </w:tc>
              <w:tc>
                <w:tcPr>
                  <w:tcW w:w="669" w:type="pct"/>
                  <w:vMerge w:val="continue"/>
                  <w:noWrap w:val="0"/>
                  <w:tcMar>
                    <w:top w:w="0" w:type="dxa"/>
                    <w:left w:w="0" w:type="dxa"/>
                    <w:bottom w:w="0" w:type="dxa"/>
                    <w:right w:w="0" w:type="dxa"/>
                  </w:tcMar>
                  <w:vAlign w:val="center"/>
                </w:tcPr>
                <w:p w14:paraId="3508A116">
                  <w:pPr>
                    <w:widowControl/>
                    <w:adjustRightInd w:val="0"/>
                    <w:snapToGrid w:val="0"/>
                    <w:jc w:val="center"/>
                    <w:rPr>
                      <w:b/>
                      <w:bCs/>
                      <w:color w:val="auto"/>
                      <w:szCs w:val="21"/>
                    </w:rPr>
                  </w:pPr>
                </w:p>
              </w:tc>
              <w:tc>
                <w:tcPr>
                  <w:tcW w:w="554" w:type="pct"/>
                  <w:noWrap w:val="0"/>
                  <w:tcMar>
                    <w:top w:w="0" w:type="dxa"/>
                    <w:left w:w="0" w:type="dxa"/>
                    <w:bottom w:w="0" w:type="dxa"/>
                    <w:right w:w="0" w:type="dxa"/>
                  </w:tcMar>
                  <w:vAlign w:val="center"/>
                </w:tcPr>
                <w:p w14:paraId="0DD63D67">
                  <w:pPr>
                    <w:widowControl/>
                    <w:adjustRightInd w:val="0"/>
                    <w:snapToGrid w:val="0"/>
                    <w:jc w:val="center"/>
                    <w:rPr>
                      <w:b/>
                      <w:bCs/>
                      <w:color w:val="auto"/>
                      <w:szCs w:val="21"/>
                    </w:rPr>
                  </w:pPr>
                  <w:r>
                    <w:rPr>
                      <w:b/>
                      <w:bCs/>
                      <w:color w:val="auto"/>
                      <w:szCs w:val="21"/>
                    </w:rPr>
                    <w:t>排放浓度mg/L</w:t>
                  </w:r>
                </w:p>
              </w:tc>
              <w:tc>
                <w:tcPr>
                  <w:tcW w:w="496" w:type="pct"/>
                  <w:noWrap w:val="0"/>
                  <w:tcMar>
                    <w:top w:w="0" w:type="dxa"/>
                    <w:left w:w="0" w:type="dxa"/>
                    <w:bottom w:w="0" w:type="dxa"/>
                    <w:right w:w="0" w:type="dxa"/>
                  </w:tcMar>
                  <w:vAlign w:val="center"/>
                </w:tcPr>
                <w:p w14:paraId="09B3512B">
                  <w:pPr>
                    <w:widowControl/>
                    <w:adjustRightInd w:val="0"/>
                    <w:snapToGrid w:val="0"/>
                    <w:jc w:val="center"/>
                    <w:rPr>
                      <w:b/>
                      <w:bCs/>
                      <w:color w:val="auto"/>
                      <w:szCs w:val="21"/>
                    </w:rPr>
                  </w:pPr>
                  <w:r>
                    <w:rPr>
                      <w:b/>
                      <w:bCs/>
                      <w:color w:val="auto"/>
                      <w:szCs w:val="21"/>
                    </w:rPr>
                    <w:t>排放量</w:t>
                  </w:r>
                  <w:r>
                    <w:rPr>
                      <w:rFonts w:hint="eastAsia"/>
                      <w:b/>
                      <w:bCs/>
                      <w:color w:val="auto"/>
                    </w:rPr>
                    <w:t>t/a</w:t>
                  </w:r>
                </w:p>
              </w:tc>
            </w:tr>
            <w:tr w14:paraId="1E688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op w:val="single" w:color="000000" w:sz="4" w:space="0"/>
                  </w:tcBorders>
                  <w:noWrap w:val="0"/>
                  <w:tcMar>
                    <w:top w:w="0" w:type="dxa"/>
                    <w:left w:w="0" w:type="dxa"/>
                    <w:bottom w:w="0" w:type="dxa"/>
                    <w:right w:w="0" w:type="dxa"/>
                  </w:tcMar>
                  <w:vAlign w:val="center"/>
                </w:tcPr>
                <w:p w14:paraId="46DD9AD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生活污水</w:t>
                  </w:r>
                </w:p>
              </w:tc>
              <w:tc>
                <w:tcPr>
                  <w:tcW w:w="282" w:type="pct"/>
                  <w:vMerge w:val="restart"/>
                  <w:tcBorders>
                    <w:top w:val="single" w:color="000000" w:sz="4" w:space="0"/>
                  </w:tcBorders>
                  <w:noWrap w:val="0"/>
                  <w:tcMar>
                    <w:top w:w="0" w:type="dxa"/>
                    <w:left w:w="0" w:type="dxa"/>
                    <w:bottom w:w="0" w:type="dxa"/>
                    <w:right w:w="0" w:type="dxa"/>
                  </w:tcMar>
                  <w:vAlign w:val="center"/>
                </w:tcPr>
                <w:p w14:paraId="5AE83CE9">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144</w:t>
                  </w:r>
                </w:p>
              </w:tc>
              <w:tc>
                <w:tcPr>
                  <w:tcW w:w="192" w:type="pct"/>
                  <w:vMerge w:val="restart"/>
                  <w:noWrap w:val="0"/>
                  <w:tcMar>
                    <w:top w:w="0" w:type="dxa"/>
                    <w:left w:w="0" w:type="dxa"/>
                    <w:bottom w:w="0" w:type="dxa"/>
                    <w:right w:w="0" w:type="dxa"/>
                  </w:tcMar>
                  <w:vAlign w:val="center"/>
                </w:tcPr>
                <w:p w14:paraId="23A8C6B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生活污水</w:t>
                  </w:r>
                </w:p>
              </w:tc>
              <w:tc>
                <w:tcPr>
                  <w:tcW w:w="393" w:type="pct"/>
                  <w:tcBorders>
                    <w:top w:val="single" w:color="000000" w:sz="4" w:space="0"/>
                    <w:bottom w:val="single" w:color="000000" w:sz="4" w:space="0"/>
                  </w:tcBorders>
                  <w:noWrap w:val="0"/>
                  <w:tcMar>
                    <w:top w:w="0" w:type="dxa"/>
                    <w:left w:w="0" w:type="dxa"/>
                    <w:bottom w:w="0" w:type="dxa"/>
                    <w:right w:w="0" w:type="dxa"/>
                  </w:tcMar>
                  <w:vAlign w:val="center"/>
                </w:tcPr>
                <w:p w14:paraId="0E1E62F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COD</w:t>
                  </w:r>
                </w:p>
              </w:tc>
              <w:tc>
                <w:tcPr>
                  <w:tcW w:w="460" w:type="pct"/>
                  <w:tcBorders>
                    <w:top w:val="single" w:color="000000" w:sz="4" w:space="0"/>
                    <w:bottom w:val="single" w:color="000000" w:sz="4" w:space="0"/>
                  </w:tcBorders>
                  <w:noWrap w:val="0"/>
                  <w:tcMar>
                    <w:top w:w="0" w:type="dxa"/>
                    <w:left w:w="0" w:type="dxa"/>
                    <w:bottom w:w="0" w:type="dxa"/>
                    <w:right w:w="0" w:type="dxa"/>
                  </w:tcMar>
                  <w:vAlign w:val="center"/>
                </w:tcPr>
                <w:p w14:paraId="075C775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400</w:t>
                  </w:r>
                </w:p>
              </w:tc>
              <w:tc>
                <w:tcPr>
                  <w:tcW w:w="424" w:type="pct"/>
                  <w:noWrap w:val="0"/>
                  <w:tcMar>
                    <w:top w:w="0" w:type="dxa"/>
                    <w:left w:w="0" w:type="dxa"/>
                    <w:bottom w:w="0" w:type="dxa"/>
                    <w:right w:w="0" w:type="dxa"/>
                  </w:tcMar>
                  <w:vAlign w:val="center"/>
                </w:tcPr>
                <w:p w14:paraId="2AB2E0F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0.0576</w:t>
                  </w:r>
                </w:p>
              </w:tc>
              <w:tc>
                <w:tcPr>
                  <w:tcW w:w="350" w:type="pct"/>
                  <w:vMerge w:val="restart"/>
                  <w:noWrap w:val="0"/>
                  <w:tcMar>
                    <w:top w:w="0" w:type="dxa"/>
                    <w:left w:w="0" w:type="dxa"/>
                    <w:bottom w:w="0" w:type="dxa"/>
                    <w:right w:w="0" w:type="dxa"/>
                  </w:tcMar>
                  <w:vAlign w:val="center"/>
                </w:tcPr>
                <w:p w14:paraId="74FAEBC6">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454" w:type="pct"/>
                  <w:tcBorders>
                    <w:top w:val="single" w:color="000000" w:sz="4" w:space="0"/>
                    <w:bottom w:val="single" w:color="000000" w:sz="4" w:space="0"/>
                  </w:tcBorders>
                  <w:noWrap w:val="0"/>
                  <w:tcMar>
                    <w:top w:w="0" w:type="dxa"/>
                    <w:left w:w="0" w:type="dxa"/>
                    <w:bottom w:w="0" w:type="dxa"/>
                    <w:right w:w="0" w:type="dxa"/>
                  </w:tcMar>
                  <w:vAlign w:val="center"/>
                </w:tcPr>
                <w:p w14:paraId="771ECE5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400</w:t>
                  </w:r>
                </w:p>
              </w:tc>
              <w:tc>
                <w:tcPr>
                  <w:tcW w:w="766" w:type="dxa"/>
                  <w:noWrap w:val="0"/>
                  <w:tcMar>
                    <w:top w:w="0" w:type="dxa"/>
                    <w:left w:w="0" w:type="dxa"/>
                    <w:bottom w:w="0" w:type="dxa"/>
                    <w:right w:w="0" w:type="dxa"/>
                  </w:tcMar>
                  <w:vAlign w:val="center"/>
                </w:tcPr>
                <w:p w14:paraId="21A0617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0.0576</w:t>
                  </w:r>
                </w:p>
              </w:tc>
              <w:tc>
                <w:tcPr>
                  <w:tcW w:w="669" w:type="pct"/>
                  <w:vMerge w:val="restart"/>
                  <w:noWrap w:val="0"/>
                  <w:tcMar>
                    <w:top w:w="0" w:type="dxa"/>
                    <w:left w:w="0" w:type="dxa"/>
                    <w:bottom w:w="0" w:type="dxa"/>
                    <w:right w:w="0" w:type="dxa"/>
                  </w:tcMar>
                  <w:vAlign w:val="center"/>
                </w:tcPr>
                <w:p w14:paraId="49A6684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排入常州金坛区第二污水处理有限公司</w:t>
                  </w:r>
                  <w:r>
                    <w:rPr>
                      <w:rFonts w:hint="eastAsia" w:ascii="Times New Roman" w:hAnsi="Times New Roman" w:eastAsia="宋体" w:cs="Times New Roman"/>
                      <w:color w:val="auto"/>
                      <w:szCs w:val="21"/>
                    </w:rPr>
                    <w:t>处理</w:t>
                  </w:r>
                </w:p>
              </w:tc>
              <w:tc>
                <w:tcPr>
                  <w:tcW w:w="554" w:type="pct"/>
                  <w:noWrap w:val="0"/>
                  <w:tcMar>
                    <w:top w:w="0" w:type="dxa"/>
                    <w:left w:w="0" w:type="dxa"/>
                    <w:bottom w:w="0" w:type="dxa"/>
                    <w:right w:w="0" w:type="dxa"/>
                  </w:tcMar>
                  <w:vAlign w:val="center"/>
                </w:tcPr>
                <w:p w14:paraId="6C391C5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50</w:t>
                  </w:r>
                </w:p>
              </w:tc>
              <w:tc>
                <w:tcPr>
                  <w:tcW w:w="831" w:type="dxa"/>
                  <w:noWrap w:val="0"/>
                  <w:tcMar>
                    <w:top w:w="0" w:type="dxa"/>
                    <w:left w:w="0" w:type="dxa"/>
                    <w:bottom w:w="0" w:type="dxa"/>
                    <w:right w:w="0" w:type="dxa"/>
                  </w:tcMar>
                  <w:vAlign w:val="center"/>
                </w:tcPr>
                <w:p w14:paraId="7257280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0.0072</w:t>
                  </w:r>
                </w:p>
              </w:tc>
            </w:tr>
            <w:tr w14:paraId="3103F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noWrap w:val="0"/>
                  <w:tcMar>
                    <w:top w:w="0" w:type="dxa"/>
                    <w:left w:w="0" w:type="dxa"/>
                    <w:bottom w:w="0" w:type="dxa"/>
                    <w:right w:w="0" w:type="dxa"/>
                  </w:tcMar>
                  <w:vAlign w:val="center"/>
                </w:tcPr>
                <w:p w14:paraId="0B89CCA2">
                  <w:pPr>
                    <w:jc w:val="center"/>
                    <w:rPr>
                      <w:rFonts w:ascii="Times New Roman" w:hAnsi="Times New Roman" w:eastAsia="宋体" w:cs="Times New Roman"/>
                      <w:color w:val="auto"/>
                      <w:szCs w:val="21"/>
                    </w:rPr>
                  </w:pPr>
                </w:p>
              </w:tc>
              <w:tc>
                <w:tcPr>
                  <w:tcW w:w="282" w:type="pct"/>
                  <w:vMerge w:val="continue"/>
                  <w:noWrap w:val="0"/>
                  <w:tcMar>
                    <w:top w:w="0" w:type="dxa"/>
                    <w:left w:w="0" w:type="dxa"/>
                    <w:bottom w:w="0" w:type="dxa"/>
                    <w:right w:w="0" w:type="dxa"/>
                  </w:tcMar>
                  <w:vAlign w:val="center"/>
                </w:tcPr>
                <w:p w14:paraId="7761DB91">
                  <w:pPr>
                    <w:jc w:val="center"/>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25AE8608">
                  <w:pPr>
                    <w:jc w:val="center"/>
                    <w:rPr>
                      <w:rFonts w:ascii="Times New Roman" w:hAnsi="Times New Roman" w:eastAsia="宋体" w:cs="Times New Roman"/>
                      <w:color w:val="auto"/>
                      <w:szCs w:val="21"/>
                    </w:rPr>
                  </w:pPr>
                </w:p>
              </w:tc>
              <w:tc>
                <w:tcPr>
                  <w:tcW w:w="393" w:type="pct"/>
                  <w:tcBorders>
                    <w:top w:val="single" w:color="000000" w:sz="4" w:space="0"/>
                    <w:bottom w:val="single" w:color="000000" w:sz="4" w:space="0"/>
                  </w:tcBorders>
                  <w:noWrap w:val="0"/>
                  <w:tcMar>
                    <w:top w:w="0" w:type="dxa"/>
                    <w:left w:w="0" w:type="dxa"/>
                    <w:bottom w:w="0" w:type="dxa"/>
                    <w:right w:w="0" w:type="dxa"/>
                  </w:tcMar>
                  <w:vAlign w:val="center"/>
                </w:tcPr>
                <w:p w14:paraId="6D4633E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SS</w:t>
                  </w:r>
                </w:p>
              </w:tc>
              <w:tc>
                <w:tcPr>
                  <w:tcW w:w="460" w:type="pct"/>
                  <w:tcBorders>
                    <w:top w:val="single" w:color="000000" w:sz="4" w:space="0"/>
                    <w:bottom w:val="single" w:color="000000" w:sz="4" w:space="0"/>
                  </w:tcBorders>
                  <w:noWrap w:val="0"/>
                  <w:tcMar>
                    <w:top w:w="0" w:type="dxa"/>
                    <w:left w:w="0" w:type="dxa"/>
                    <w:bottom w:w="0" w:type="dxa"/>
                    <w:right w:w="0" w:type="dxa"/>
                  </w:tcMar>
                  <w:vAlign w:val="center"/>
                </w:tcPr>
                <w:p w14:paraId="1D1A316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200</w:t>
                  </w:r>
                </w:p>
              </w:tc>
              <w:tc>
                <w:tcPr>
                  <w:tcW w:w="424" w:type="pct"/>
                  <w:noWrap w:val="0"/>
                  <w:tcMar>
                    <w:top w:w="0" w:type="dxa"/>
                    <w:left w:w="0" w:type="dxa"/>
                    <w:bottom w:w="0" w:type="dxa"/>
                    <w:right w:w="0" w:type="dxa"/>
                  </w:tcMar>
                  <w:vAlign w:val="center"/>
                </w:tcPr>
                <w:p w14:paraId="56A78BF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0.0288</w:t>
                  </w:r>
                </w:p>
              </w:tc>
              <w:tc>
                <w:tcPr>
                  <w:tcW w:w="350" w:type="pct"/>
                  <w:vMerge w:val="continue"/>
                  <w:noWrap w:val="0"/>
                  <w:tcMar>
                    <w:top w:w="0" w:type="dxa"/>
                    <w:left w:w="0" w:type="dxa"/>
                    <w:bottom w:w="0" w:type="dxa"/>
                    <w:right w:w="0" w:type="dxa"/>
                  </w:tcMar>
                  <w:vAlign w:val="center"/>
                </w:tcPr>
                <w:p w14:paraId="642B6F93">
                  <w:pPr>
                    <w:jc w:val="center"/>
                    <w:rPr>
                      <w:rFonts w:ascii="Times New Roman" w:hAnsi="Times New Roman" w:eastAsia="宋体" w:cs="Times New Roman"/>
                      <w:color w:val="auto"/>
                      <w:szCs w:val="21"/>
                    </w:rPr>
                  </w:pPr>
                </w:p>
              </w:tc>
              <w:tc>
                <w:tcPr>
                  <w:tcW w:w="454" w:type="pct"/>
                  <w:tcBorders>
                    <w:top w:val="single" w:color="000000" w:sz="4" w:space="0"/>
                    <w:bottom w:val="single" w:color="000000" w:sz="4" w:space="0"/>
                  </w:tcBorders>
                  <w:noWrap w:val="0"/>
                  <w:tcMar>
                    <w:top w:w="0" w:type="dxa"/>
                    <w:left w:w="0" w:type="dxa"/>
                    <w:bottom w:w="0" w:type="dxa"/>
                    <w:right w:w="0" w:type="dxa"/>
                  </w:tcMar>
                  <w:vAlign w:val="center"/>
                </w:tcPr>
                <w:p w14:paraId="60E2C3E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200</w:t>
                  </w:r>
                </w:p>
              </w:tc>
              <w:tc>
                <w:tcPr>
                  <w:tcW w:w="766" w:type="dxa"/>
                  <w:noWrap w:val="0"/>
                  <w:tcMar>
                    <w:top w:w="0" w:type="dxa"/>
                    <w:left w:w="0" w:type="dxa"/>
                    <w:bottom w:w="0" w:type="dxa"/>
                    <w:right w:w="0" w:type="dxa"/>
                  </w:tcMar>
                  <w:vAlign w:val="center"/>
                </w:tcPr>
                <w:p w14:paraId="3516025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0.0288</w:t>
                  </w:r>
                </w:p>
              </w:tc>
              <w:tc>
                <w:tcPr>
                  <w:tcW w:w="669" w:type="pct"/>
                  <w:vMerge w:val="continue"/>
                  <w:noWrap w:val="0"/>
                  <w:tcMar>
                    <w:top w:w="0" w:type="dxa"/>
                    <w:left w:w="0" w:type="dxa"/>
                    <w:bottom w:w="0" w:type="dxa"/>
                    <w:right w:w="0" w:type="dxa"/>
                  </w:tcMar>
                  <w:vAlign w:val="center"/>
                </w:tcPr>
                <w:p w14:paraId="7FB1289C">
                  <w:pPr>
                    <w:jc w:val="center"/>
                    <w:rPr>
                      <w:rFonts w:ascii="Times New Roman" w:hAnsi="Times New Roman" w:eastAsia="宋体" w:cs="Times New Roman"/>
                      <w:color w:val="auto"/>
                      <w:szCs w:val="21"/>
                    </w:rPr>
                  </w:pPr>
                </w:p>
              </w:tc>
              <w:tc>
                <w:tcPr>
                  <w:tcW w:w="554" w:type="pct"/>
                  <w:noWrap w:val="0"/>
                  <w:tcMar>
                    <w:top w:w="0" w:type="dxa"/>
                    <w:left w:w="0" w:type="dxa"/>
                    <w:bottom w:w="0" w:type="dxa"/>
                    <w:right w:w="0" w:type="dxa"/>
                  </w:tcMar>
                  <w:vAlign w:val="center"/>
                </w:tcPr>
                <w:p w14:paraId="79F3F49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10</w:t>
                  </w:r>
                </w:p>
              </w:tc>
              <w:tc>
                <w:tcPr>
                  <w:tcW w:w="831" w:type="dxa"/>
                  <w:noWrap w:val="0"/>
                  <w:tcMar>
                    <w:top w:w="0" w:type="dxa"/>
                    <w:left w:w="0" w:type="dxa"/>
                    <w:bottom w:w="0" w:type="dxa"/>
                    <w:right w:w="0" w:type="dxa"/>
                  </w:tcMar>
                  <w:vAlign w:val="center"/>
                </w:tcPr>
                <w:p w14:paraId="5E61792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0.0014</w:t>
                  </w:r>
                </w:p>
              </w:tc>
            </w:tr>
            <w:tr w14:paraId="08C34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noWrap w:val="0"/>
                  <w:tcMar>
                    <w:top w:w="0" w:type="dxa"/>
                    <w:left w:w="0" w:type="dxa"/>
                    <w:bottom w:w="0" w:type="dxa"/>
                    <w:right w:w="0" w:type="dxa"/>
                  </w:tcMar>
                  <w:vAlign w:val="center"/>
                </w:tcPr>
                <w:p w14:paraId="162FBD94">
                  <w:pPr>
                    <w:jc w:val="center"/>
                    <w:rPr>
                      <w:rFonts w:ascii="Times New Roman" w:hAnsi="Times New Roman" w:eastAsia="宋体" w:cs="Times New Roman"/>
                      <w:color w:val="auto"/>
                      <w:szCs w:val="21"/>
                    </w:rPr>
                  </w:pPr>
                </w:p>
              </w:tc>
              <w:tc>
                <w:tcPr>
                  <w:tcW w:w="282" w:type="pct"/>
                  <w:vMerge w:val="continue"/>
                  <w:noWrap w:val="0"/>
                  <w:tcMar>
                    <w:top w:w="0" w:type="dxa"/>
                    <w:left w:w="0" w:type="dxa"/>
                    <w:bottom w:w="0" w:type="dxa"/>
                    <w:right w:w="0" w:type="dxa"/>
                  </w:tcMar>
                  <w:vAlign w:val="center"/>
                </w:tcPr>
                <w:p w14:paraId="31F8C4DF">
                  <w:pPr>
                    <w:jc w:val="center"/>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58E6D4C4">
                  <w:pPr>
                    <w:jc w:val="center"/>
                    <w:rPr>
                      <w:rFonts w:ascii="Times New Roman" w:hAnsi="Times New Roman" w:eastAsia="宋体" w:cs="Times New Roman"/>
                      <w:color w:val="auto"/>
                      <w:szCs w:val="21"/>
                    </w:rPr>
                  </w:pPr>
                </w:p>
              </w:tc>
              <w:tc>
                <w:tcPr>
                  <w:tcW w:w="393" w:type="pct"/>
                  <w:tcBorders>
                    <w:top w:val="single" w:color="000000" w:sz="4" w:space="0"/>
                    <w:bottom w:val="single" w:color="000000" w:sz="4" w:space="0"/>
                  </w:tcBorders>
                  <w:noWrap w:val="0"/>
                  <w:tcMar>
                    <w:top w:w="0" w:type="dxa"/>
                    <w:left w:w="0" w:type="dxa"/>
                    <w:bottom w:w="0" w:type="dxa"/>
                    <w:right w:w="0" w:type="dxa"/>
                  </w:tcMar>
                  <w:vAlign w:val="center"/>
                </w:tcPr>
                <w:p w14:paraId="21A9BC9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r>
                    <w:rPr>
                      <w:rFonts w:ascii="Times New Roman" w:hAnsi="Times New Roman" w:eastAsia="宋体" w:cs="Times New Roman"/>
                      <w:color w:val="auto"/>
                      <w:szCs w:val="21"/>
                    </w:rPr>
                    <w:t>-N</w:t>
                  </w:r>
                </w:p>
              </w:tc>
              <w:tc>
                <w:tcPr>
                  <w:tcW w:w="460" w:type="pct"/>
                  <w:tcBorders>
                    <w:top w:val="single" w:color="000000" w:sz="4" w:space="0"/>
                    <w:bottom w:val="single" w:color="000000" w:sz="4" w:space="0"/>
                  </w:tcBorders>
                  <w:noWrap w:val="0"/>
                  <w:tcMar>
                    <w:top w:w="0" w:type="dxa"/>
                    <w:left w:w="0" w:type="dxa"/>
                    <w:bottom w:w="0" w:type="dxa"/>
                    <w:right w:w="0" w:type="dxa"/>
                  </w:tcMar>
                  <w:vAlign w:val="center"/>
                </w:tcPr>
                <w:p w14:paraId="0DABF27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w:t>
                  </w:r>
                </w:p>
              </w:tc>
              <w:tc>
                <w:tcPr>
                  <w:tcW w:w="424" w:type="pct"/>
                  <w:noWrap w:val="0"/>
                  <w:tcMar>
                    <w:top w:w="0" w:type="dxa"/>
                    <w:left w:w="0" w:type="dxa"/>
                    <w:bottom w:w="0" w:type="dxa"/>
                    <w:right w:w="0" w:type="dxa"/>
                  </w:tcMar>
                  <w:vAlign w:val="center"/>
                </w:tcPr>
                <w:p w14:paraId="54F14B0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0.0043</w:t>
                  </w:r>
                </w:p>
              </w:tc>
              <w:tc>
                <w:tcPr>
                  <w:tcW w:w="350" w:type="pct"/>
                  <w:vMerge w:val="continue"/>
                  <w:noWrap w:val="0"/>
                  <w:tcMar>
                    <w:top w:w="0" w:type="dxa"/>
                    <w:left w:w="0" w:type="dxa"/>
                    <w:bottom w:w="0" w:type="dxa"/>
                    <w:right w:w="0" w:type="dxa"/>
                  </w:tcMar>
                  <w:vAlign w:val="center"/>
                </w:tcPr>
                <w:p w14:paraId="69B43822">
                  <w:pPr>
                    <w:jc w:val="center"/>
                    <w:rPr>
                      <w:rFonts w:ascii="Times New Roman" w:hAnsi="Times New Roman" w:eastAsia="宋体" w:cs="Times New Roman"/>
                      <w:color w:val="auto"/>
                      <w:szCs w:val="21"/>
                    </w:rPr>
                  </w:pPr>
                </w:p>
              </w:tc>
              <w:tc>
                <w:tcPr>
                  <w:tcW w:w="454" w:type="pct"/>
                  <w:tcBorders>
                    <w:top w:val="single" w:color="000000" w:sz="4" w:space="0"/>
                    <w:bottom w:val="single" w:color="000000" w:sz="4" w:space="0"/>
                  </w:tcBorders>
                  <w:noWrap w:val="0"/>
                  <w:tcMar>
                    <w:top w:w="0" w:type="dxa"/>
                    <w:left w:w="0" w:type="dxa"/>
                    <w:bottom w:w="0" w:type="dxa"/>
                    <w:right w:w="0" w:type="dxa"/>
                  </w:tcMar>
                  <w:vAlign w:val="center"/>
                </w:tcPr>
                <w:p w14:paraId="0DD1E37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w:t>
                  </w:r>
                </w:p>
              </w:tc>
              <w:tc>
                <w:tcPr>
                  <w:tcW w:w="766" w:type="dxa"/>
                  <w:noWrap w:val="0"/>
                  <w:tcMar>
                    <w:top w:w="0" w:type="dxa"/>
                    <w:left w:w="0" w:type="dxa"/>
                    <w:bottom w:w="0" w:type="dxa"/>
                    <w:right w:w="0" w:type="dxa"/>
                  </w:tcMar>
                  <w:vAlign w:val="center"/>
                </w:tcPr>
                <w:p w14:paraId="1D6BE0A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0.0043</w:t>
                  </w:r>
                </w:p>
              </w:tc>
              <w:tc>
                <w:tcPr>
                  <w:tcW w:w="669" w:type="pct"/>
                  <w:vMerge w:val="continue"/>
                  <w:noWrap w:val="0"/>
                  <w:tcMar>
                    <w:top w:w="0" w:type="dxa"/>
                    <w:left w:w="0" w:type="dxa"/>
                    <w:bottom w:w="0" w:type="dxa"/>
                    <w:right w:w="0" w:type="dxa"/>
                  </w:tcMar>
                  <w:vAlign w:val="center"/>
                </w:tcPr>
                <w:p w14:paraId="46D3103D">
                  <w:pPr>
                    <w:jc w:val="center"/>
                    <w:rPr>
                      <w:rFonts w:ascii="Times New Roman" w:hAnsi="Times New Roman" w:eastAsia="宋体" w:cs="Times New Roman"/>
                      <w:color w:val="auto"/>
                      <w:szCs w:val="21"/>
                    </w:rPr>
                  </w:pPr>
                </w:p>
              </w:tc>
              <w:tc>
                <w:tcPr>
                  <w:tcW w:w="554" w:type="pct"/>
                  <w:noWrap w:val="0"/>
                  <w:tcMar>
                    <w:top w:w="0" w:type="dxa"/>
                    <w:left w:w="0" w:type="dxa"/>
                    <w:bottom w:w="0" w:type="dxa"/>
                    <w:right w:w="0" w:type="dxa"/>
                  </w:tcMar>
                  <w:vAlign w:val="center"/>
                </w:tcPr>
                <w:p w14:paraId="3E2F0E0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831" w:type="dxa"/>
                  <w:noWrap w:val="0"/>
                  <w:tcMar>
                    <w:top w:w="0" w:type="dxa"/>
                    <w:left w:w="0" w:type="dxa"/>
                    <w:bottom w:w="0" w:type="dxa"/>
                    <w:right w:w="0" w:type="dxa"/>
                  </w:tcMar>
                  <w:vAlign w:val="center"/>
                </w:tcPr>
                <w:p w14:paraId="469700E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0.0006</w:t>
                  </w:r>
                </w:p>
              </w:tc>
            </w:tr>
            <w:tr w14:paraId="4E9E1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noWrap w:val="0"/>
                  <w:tcMar>
                    <w:top w:w="0" w:type="dxa"/>
                    <w:left w:w="0" w:type="dxa"/>
                    <w:bottom w:w="0" w:type="dxa"/>
                    <w:right w:w="0" w:type="dxa"/>
                  </w:tcMar>
                  <w:vAlign w:val="center"/>
                </w:tcPr>
                <w:p w14:paraId="4B74898D">
                  <w:pPr>
                    <w:jc w:val="center"/>
                    <w:rPr>
                      <w:rFonts w:ascii="Times New Roman" w:hAnsi="Times New Roman" w:eastAsia="宋体" w:cs="Times New Roman"/>
                      <w:color w:val="auto"/>
                      <w:szCs w:val="21"/>
                    </w:rPr>
                  </w:pPr>
                </w:p>
              </w:tc>
              <w:tc>
                <w:tcPr>
                  <w:tcW w:w="282" w:type="pct"/>
                  <w:vMerge w:val="continue"/>
                  <w:noWrap w:val="0"/>
                  <w:tcMar>
                    <w:top w:w="0" w:type="dxa"/>
                    <w:left w:w="0" w:type="dxa"/>
                    <w:bottom w:w="0" w:type="dxa"/>
                    <w:right w:w="0" w:type="dxa"/>
                  </w:tcMar>
                  <w:vAlign w:val="center"/>
                </w:tcPr>
                <w:p w14:paraId="4747ADBE">
                  <w:pPr>
                    <w:jc w:val="center"/>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5636A112">
                  <w:pPr>
                    <w:jc w:val="center"/>
                    <w:rPr>
                      <w:rFonts w:ascii="Times New Roman" w:hAnsi="Times New Roman" w:eastAsia="宋体" w:cs="Times New Roman"/>
                      <w:color w:val="auto"/>
                      <w:szCs w:val="21"/>
                    </w:rPr>
                  </w:pPr>
                </w:p>
              </w:tc>
              <w:tc>
                <w:tcPr>
                  <w:tcW w:w="393" w:type="pct"/>
                  <w:tcBorders>
                    <w:top w:val="single" w:color="000000" w:sz="4" w:space="0"/>
                    <w:bottom w:val="single" w:color="000000" w:sz="4" w:space="0"/>
                  </w:tcBorders>
                  <w:noWrap w:val="0"/>
                  <w:tcMar>
                    <w:top w:w="0" w:type="dxa"/>
                    <w:left w:w="0" w:type="dxa"/>
                    <w:bottom w:w="0" w:type="dxa"/>
                    <w:right w:w="0" w:type="dxa"/>
                  </w:tcMar>
                  <w:vAlign w:val="center"/>
                </w:tcPr>
                <w:p w14:paraId="00D3885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TN</w:t>
                  </w:r>
                </w:p>
              </w:tc>
              <w:tc>
                <w:tcPr>
                  <w:tcW w:w="460" w:type="pct"/>
                  <w:tcBorders>
                    <w:top w:val="single" w:color="000000" w:sz="4" w:space="0"/>
                    <w:bottom w:val="single" w:color="000000" w:sz="4" w:space="0"/>
                  </w:tcBorders>
                  <w:noWrap w:val="0"/>
                  <w:tcMar>
                    <w:top w:w="0" w:type="dxa"/>
                    <w:left w:w="0" w:type="dxa"/>
                    <w:bottom w:w="0" w:type="dxa"/>
                    <w:right w:w="0" w:type="dxa"/>
                  </w:tcMar>
                  <w:vAlign w:val="center"/>
                </w:tcPr>
                <w:p w14:paraId="248917A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40</w:t>
                  </w:r>
                </w:p>
              </w:tc>
              <w:tc>
                <w:tcPr>
                  <w:tcW w:w="424" w:type="pct"/>
                  <w:noWrap w:val="0"/>
                  <w:tcMar>
                    <w:top w:w="0" w:type="dxa"/>
                    <w:left w:w="0" w:type="dxa"/>
                    <w:bottom w:w="0" w:type="dxa"/>
                    <w:right w:w="0" w:type="dxa"/>
                  </w:tcMar>
                  <w:vAlign w:val="center"/>
                </w:tcPr>
                <w:p w14:paraId="507187E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0.0058</w:t>
                  </w:r>
                </w:p>
              </w:tc>
              <w:tc>
                <w:tcPr>
                  <w:tcW w:w="350" w:type="pct"/>
                  <w:vMerge w:val="continue"/>
                  <w:noWrap w:val="0"/>
                  <w:tcMar>
                    <w:top w:w="0" w:type="dxa"/>
                    <w:left w:w="0" w:type="dxa"/>
                    <w:bottom w:w="0" w:type="dxa"/>
                    <w:right w:w="0" w:type="dxa"/>
                  </w:tcMar>
                  <w:vAlign w:val="center"/>
                </w:tcPr>
                <w:p w14:paraId="29987F6D">
                  <w:pPr>
                    <w:jc w:val="center"/>
                    <w:rPr>
                      <w:rFonts w:ascii="Times New Roman" w:hAnsi="Times New Roman" w:eastAsia="宋体" w:cs="Times New Roman"/>
                      <w:color w:val="auto"/>
                      <w:szCs w:val="21"/>
                    </w:rPr>
                  </w:pPr>
                </w:p>
              </w:tc>
              <w:tc>
                <w:tcPr>
                  <w:tcW w:w="454" w:type="pct"/>
                  <w:tcBorders>
                    <w:top w:val="single" w:color="000000" w:sz="4" w:space="0"/>
                    <w:bottom w:val="single" w:color="000000" w:sz="4" w:space="0"/>
                  </w:tcBorders>
                  <w:noWrap w:val="0"/>
                  <w:tcMar>
                    <w:top w:w="0" w:type="dxa"/>
                    <w:left w:w="0" w:type="dxa"/>
                    <w:bottom w:w="0" w:type="dxa"/>
                    <w:right w:w="0" w:type="dxa"/>
                  </w:tcMar>
                  <w:vAlign w:val="center"/>
                </w:tcPr>
                <w:p w14:paraId="3F09822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40</w:t>
                  </w:r>
                </w:p>
              </w:tc>
              <w:tc>
                <w:tcPr>
                  <w:tcW w:w="766" w:type="dxa"/>
                  <w:noWrap w:val="0"/>
                  <w:tcMar>
                    <w:top w:w="0" w:type="dxa"/>
                    <w:left w:w="0" w:type="dxa"/>
                    <w:bottom w:w="0" w:type="dxa"/>
                    <w:right w:w="0" w:type="dxa"/>
                  </w:tcMar>
                  <w:vAlign w:val="center"/>
                </w:tcPr>
                <w:p w14:paraId="6C3CCBF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0.0058</w:t>
                  </w:r>
                </w:p>
              </w:tc>
              <w:tc>
                <w:tcPr>
                  <w:tcW w:w="669" w:type="pct"/>
                  <w:vMerge w:val="continue"/>
                  <w:noWrap w:val="0"/>
                  <w:tcMar>
                    <w:top w:w="0" w:type="dxa"/>
                    <w:left w:w="0" w:type="dxa"/>
                    <w:bottom w:w="0" w:type="dxa"/>
                    <w:right w:w="0" w:type="dxa"/>
                  </w:tcMar>
                  <w:vAlign w:val="center"/>
                </w:tcPr>
                <w:p w14:paraId="119979C8">
                  <w:pPr>
                    <w:jc w:val="center"/>
                    <w:rPr>
                      <w:rFonts w:ascii="Times New Roman" w:hAnsi="Times New Roman" w:eastAsia="宋体" w:cs="Times New Roman"/>
                      <w:color w:val="auto"/>
                      <w:szCs w:val="21"/>
                    </w:rPr>
                  </w:pPr>
                </w:p>
              </w:tc>
              <w:tc>
                <w:tcPr>
                  <w:tcW w:w="554" w:type="pct"/>
                  <w:noWrap w:val="0"/>
                  <w:tcMar>
                    <w:top w:w="0" w:type="dxa"/>
                    <w:left w:w="0" w:type="dxa"/>
                    <w:bottom w:w="0" w:type="dxa"/>
                    <w:right w:w="0" w:type="dxa"/>
                  </w:tcMar>
                  <w:vAlign w:val="center"/>
                </w:tcPr>
                <w:p w14:paraId="269A12D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12</w:t>
                  </w:r>
                </w:p>
              </w:tc>
              <w:tc>
                <w:tcPr>
                  <w:tcW w:w="831" w:type="dxa"/>
                  <w:noWrap w:val="0"/>
                  <w:tcMar>
                    <w:top w:w="0" w:type="dxa"/>
                    <w:left w:w="0" w:type="dxa"/>
                    <w:bottom w:w="0" w:type="dxa"/>
                    <w:right w:w="0" w:type="dxa"/>
                  </w:tcMar>
                  <w:vAlign w:val="center"/>
                </w:tcPr>
                <w:p w14:paraId="5757915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0.0017</w:t>
                  </w:r>
                </w:p>
              </w:tc>
            </w:tr>
            <w:tr w14:paraId="115B6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noWrap w:val="0"/>
                  <w:tcMar>
                    <w:top w:w="0" w:type="dxa"/>
                    <w:left w:w="0" w:type="dxa"/>
                    <w:bottom w:w="0" w:type="dxa"/>
                    <w:right w:w="0" w:type="dxa"/>
                  </w:tcMar>
                  <w:vAlign w:val="center"/>
                </w:tcPr>
                <w:p w14:paraId="5271C9FC">
                  <w:pPr>
                    <w:jc w:val="center"/>
                    <w:rPr>
                      <w:rFonts w:ascii="Times New Roman" w:hAnsi="Times New Roman" w:eastAsia="宋体" w:cs="Times New Roman"/>
                      <w:color w:val="auto"/>
                      <w:szCs w:val="21"/>
                    </w:rPr>
                  </w:pPr>
                </w:p>
              </w:tc>
              <w:tc>
                <w:tcPr>
                  <w:tcW w:w="282" w:type="pct"/>
                  <w:vMerge w:val="continue"/>
                  <w:noWrap w:val="0"/>
                  <w:tcMar>
                    <w:top w:w="0" w:type="dxa"/>
                    <w:left w:w="0" w:type="dxa"/>
                    <w:bottom w:w="0" w:type="dxa"/>
                    <w:right w:w="0" w:type="dxa"/>
                  </w:tcMar>
                  <w:vAlign w:val="center"/>
                </w:tcPr>
                <w:p w14:paraId="63A7EFB1">
                  <w:pPr>
                    <w:jc w:val="center"/>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01A14B19">
                  <w:pPr>
                    <w:jc w:val="center"/>
                    <w:rPr>
                      <w:rFonts w:ascii="Times New Roman" w:hAnsi="Times New Roman" w:eastAsia="宋体" w:cs="Times New Roman"/>
                      <w:color w:val="auto"/>
                      <w:szCs w:val="21"/>
                    </w:rPr>
                  </w:pPr>
                </w:p>
              </w:tc>
              <w:tc>
                <w:tcPr>
                  <w:tcW w:w="393" w:type="pct"/>
                  <w:tcBorders>
                    <w:top w:val="single" w:color="000000" w:sz="4" w:space="0"/>
                  </w:tcBorders>
                  <w:noWrap w:val="0"/>
                  <w:tcMar>
                    <w:top w:w="0" w:type="dxa"/>
                    <w:left w:w="0" w:type="dxa"/>
                    <w:bottom w:w="0" w:type="dxa"/>
                    <w:right w:w="0" w:type="dxa"/>
                  </w:tcMar>
                  <w:vAlign w:val="center"/>
                </w:tcPr>
                <w:p w14:paraId="5E5A742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TP</w:t>
                  </w:r>
                </w:p>
              </w:tc>
              <w:tc>
                <w:tcPr>
                  <w:tcW w:w="460" w:type="pct"/>
                  <w:tcBorders>
                    <w:top w:val="single" w:color="000000" w:sz="4" w:space="0"/>
                  </w:tcBorders>
                  <w:noWrap w:val="0"/>
                  <w:tcMar>
                    <w:top w:w="0" w:type="dxa"/>
                    <w:left w:w="0" w:type="dxa"/>
                    <w:bottom w:w="0" w:type="dxa"/>
                    <w:right w:w="0" w:type="dxa"/>
                  </w:tcMar>
                  <w:vAlign w:val="center"/>
                </w:tcPr>
                <w:p w14:paraId="1EC5B72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424" w:type="pct"/>
                  <w:noWrap w:val="0"/>
                  <w:tcMar>
                    <w:top w:w="0" w:type="dxa"/>
                    <w:left w:w="0" w:type="dxa"/>
                    <w:bottom w:w="0" w:type="dxa"/>
                    <w:right w:w="0" w:type="dxa"/>
                  </w:tcMar>
                  <w:vAlign w:val="center"/>
                </w:tcPr>
                <w:p w14:paraId="0EE8CC4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0.0004</w:t>
                  </w:r>
                </w:p>
              </w:tc>
              <w:tc>
                <w:tcPr>
                  <w:tcW w:w="350" w:type="pct"/>
                  <w:vMerge w:val="continue"/>
                  <w:noWrap w:val="0"/>
                  <w:tcMar>
                    <w:top w:w="0" w:type="dxa"/>
                    <w:left w:w="0" w:type="dxa"/>
                    <w:bottom w:w="0" w:type="dxa"/>
                    <w:right w:w="0" w:type="dxa"/>
                  </w:tcMar>
                  <w:vAlign w:val="center"/>
                </w:tcPr>
                <w:p w14:paraId="05D5453C">
                  <w:pPr>
                    <w:jc w:val="center"/>
                    <w:rPr>
                      <w:rFonts w:ascii="Times New Roman" w:hAnsi="Times New Roman" w:eastAsia="宋体" w:cs="Times New Roman"/>
                      <w:color w:val="auto"/>
                      <w:szCs w:val="21"/>
                    </w:rPr>
                  </w:pPr>
                </w:p>
              </w:tc>
              <w:tc>
                <w:tcPr>
                  <w:tcW w:w="454" w:type="pct"/>
                  <w:tcBorders>
                    <w:top w:val="single" w:color="000000" w:sz="4" w:space="0"/>
                  </w:tcBorders>
                  <w:noWrap w:val="0"/>
                  <w:tcMar>
                    <w:top w:w="0" w:type="dxa"/>
                    <w:left w:w="0" w:type="dxa"/>
                    <w:bottom w:w="0" w:type="dxa"/>
                    <w:right w:w="0" w:type="dxa"/>
                  </w:tcMar>
                  <w:vAlign w:val="center"/>
                </w:tcPr>
                <w:p w14:paraId="1CE274A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766" w:type="dxa"/>
                  <w:noWrap w:val="0"/>
                  <w:tcMar>
                    <w:top w:w="0" w:type="dxa"/>
                    <w:left w:w="0" w:type="dxa"/>
                    <w:bottom w:w="0" w:type="dxa"/>
                    <w:right w:w="0" w:type="dxa"/>
                  </w:tcMar>
                  <w:vAlign w:val="center"/>
                </w:tcPr>
                <w:p w14:paraId="1FDB3BE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p>
              </w:tc>
              <w:tc>
                <w:tcPr>
                  <w:tcW w:w="669" w:type="pct"/>
                  <w:vMerge w:val="continue"/>
                  <w:noWrap w:val="0"/>
                  <w:tcMar>
                    <w:top w:w="0" w:type="dxa"/>
                    <w:left w:w="0" w:type="dxa"/>
                    <w:bottom w:w="0" w:type="dxa"/>
                    <w:right w:w="0" w:type="dxa"/>
                  </w:tcMar>
                  <w:vAlign w:val="center"/>
                </w:tcPr>
                <w:p w14:paraId="52D6659A">
                  <w:pPr>
                    <w:jc w:val="center"/>
                    <w:rPr>
                      <w:rFonts w:ascii="Times New Roman" w:hAnsi="Times New Roman" w:eastAsia="宋体" w:cs="Times New Roman"/>
                      <w:color w:val="auto"/>
                      <w:szCs w:val="21"/>
                    </w:rPr>
                  </w:pPr>
                </w:p>
              </w:tc>
              <w:tc>
                <w:tcPr>
                  <w:tcW w:w="554" w:type="pct"/>
                  <w:noWrap w:val="0"/>
                  <w:tcMar>
                    <w:top w:w="0" w:type="dxa"/>
                    <w:left w:w="0" w:type="dxa"/>
                    <w:bottom w:w="0" w:type="dxa"/>
                    <w:right w:w="0" w:type="dxa"/>
                  </w:tcMar>
                  <w:vAlign w:val="center"/>
                </w:tcPr>
                <w:p w14:paraId="0422440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0.5</w:t>
                  </w:r>
                </w:p>
              </w:tc>
              <w:tc>
                <w:tcPr>
                  <w:tcW w:w="831" w:type="dxa"/>
                  <w:noWrap w:val="0"/>
                  <w:tcMar>
                    <w:top w:w="0" w:type="dxa"/>
                    <w:left w:w="0" w:type="dxa"/>
                    <w:bottom w:w="0" w:type="dxa"/>
                    <w:right w:w="0" w:type="dxa"/>
                  </w:tcMar>
                  <w:vAlign w:val="center"/>
                </w:tcPr>
                <w:p w14:paraId="030B11D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0.0001</w:t>
                  </w:r>
                </w:p>
              </w:tc>
            </w:tr>
          </w:tbl>
          <w:p w14:paraId="79FF5F79">
            <w:pPr>
              <w:pStyle w:val="8"/>
              <w:spacing w:before="120" w:beforeLines="50" w:line="360" w:lineRule="auto"/>
              <w:ind w:firstLine="422" w:firstLineChars="200"/>
              <w:rPr>
                <w:b/>
                <w:bCs/>
                <w:color w:val="auto"/>
                <w:szCs w:val="21"/>
              </w:rPr>
            </w:pPr>
            <w:r>
              <w:rPr>
                <w:b/>
                <w:bCs/>
                <w:color w:val="auto"/>
                <w:szCs w:val="21"/>
              </w:rPr>
              <w:t>2、排放口基本情况</w:t>
            </w:r>
          </w:p>
          <w:p w14:paraId="0B19EFAC">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表4-</w:t>
            </w:r>
            <w:r>
              <w:rPr>
                <w:rFonts w:hint="eastAsia"/>
                <w:b/>
                <w:bCs/>
                <w:color w:val="auto"/>
                <w:szCs w:val="21"/>
                <w:lang w:val="en-US" w:eastAsia="zh-CN"/>
              </w:rPr>
              <w:t>18</w:t>
            </w:r>
            <w:r>
              <w:rPr>
                <w:b/>
                <w:bCs/>
                <w:color w:val="auto"/>
                <w:szCs w:val="21"/>
              </w:rPr>
              <w:t xml:space="preserve"> 废水类别、污染物及污染治理设施信息表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
              <w:gridCol w:w="547"/>
              <w:gridCol w:w="599"/>
              <w:gridCol w:w="517"/>
              <w:gridCol w:w="472"/>
              <w:gridCol w:w="817"/>
              <w:gridCol w:w="609"/>
              <w:gridCol w:w="737"/>
              <w:gridCol w:w="812"/>
              <w:gridCol w:w="896"/>
              <w:gridCol w:w="1438"/>
              <w:gridCol w:w="723"/>
            </w:tblGrid>
            <w:tr w14:paraId="1AE16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 w:type="pct"/>
                  <w:tcBorders>
                    <w:tl2br w:val="nil"/>
                    <w:tr2bl w:val="nil"/>
                  </w:tcBorders>
                  <w:noWrap w:val="0"/>
                  <w:tcMar>
                    <w:top w:w="0" w:type="dxa"/>
                    <w:left w:w="0" w:type="dxa"/>
                    <w:bottom w:w="0" w:type="dxa"/>
                    <w:right w:w="0" w:type="dxa"/>
                  </w:tcMar>
                  <w:vAlign w:val="center"/>
                </w:tcPr>
                <w:p w14:paraId="2D0B8697">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26" w:type="pct"/>
                  <w:tcBorders>
                    <w:tl2br w:val="nil"/>
                    <w:tr2bl w:val="nil"/>
                  </w:tcBorders>
                  <w:noWrap w:val="0"/>
                  <w:tcMar>
                    <w:top w:w="0" w:type="dxa"/>
                    <w:left w:w="0" w:type="dxa"/>
                    <w:bottom w:w="0" w:type="dxa"/>
                    <w:right w:w="0" w:type="dxa"/>
                  </w:tcMar>
                  <w:vAlign w:val="center"/>
                </w:tcPr>
                <w:p w14:paraId="54A7C0C3">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357" w:type="pct"/>
                  <w:tcBorders>
                    <w:tl2br w:val="nil"/>
                    <w:tr2bl w:val="nil"/>
                  </w:tcBorders>
                  <w:noWrap w:val="0"/>
                  <w:tcMar>
                    <w:top w:w="0" w:type="dxa"/>
                    <w:left w:w="0" w:type="dxa"/>
                    <w:bottom w:w="0" w:type="dxa"/>
                    <w:right w:w="0" w:type="dxa"/>
                  </w:tcMar>
                  <w:vAlign w:val="center"/>
                </w:tcPr>
                <w:p w14:paraId="2816AF1A">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308" w:type="pct"/>
                  <w:tcBorders>
                    <w:tl2br w:val="nil"/>
                    <w:tr2bl w:val="nil"/>
                  </w:tcBorders>
                  <w:noWrap w:val="0"/>
                  <w:tcMar>
                    <w:top w:w="0" w:type="dxa"/>
                    <w:left w:w="0" w:type="dxa"/>
                    <w:bottom w:w="0" w:type="dxa"/>
                    <w:right w:w="0" w:type="dxa"/>
                  </w:tcMar>
                  <w:vAlign w:val="center"/>
                </w:tcPr>
                <w:p w14:paraId="0225E158">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排放浓度mg/L</w:t>
                  </w:r>
                </w:p>
              </w:tc>
              <w:tc>
                <w:tcPr>
                  <w:tcW w:w="281" w:type="pct"/>
                  <w:tcBorders>
                    <w:tl2br w:val="nil"/>
                    <w:tr2bl w:val="nil"/>
                  </w:tcBorders>
                  <w:noWrap w:val="0"/>
                  <w:tcMar>
                    <w:top w:w="0" w:type="dxa"/>
                    <w:left w:w="0" w:type="dxa"/>
                    <w:bottom w:w="0" w:type="dxa"/>
                    <w:right w:w="0" w:type="dxa"/>
                  </w:tcMar>
                  <w:vAlign w:val="center"/>
                </w:tcPr>
                <w:p w14:paraId="19E17589">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487" w:type="pct"/>
                  <w:tcBorders>
                    <w:tl2br w:val="nil"/>
                    <w:tr2bl w:val="nil"/>
                  </w:tcBorders>
                  <w:noWrap w:val="0"/>
                  <w:tcMar>
                    <w:top w:w="0" w:type="dxa"/>
                    <w:left w:w="0" w:type="dxa"/>
                    <w:bottom w:w="0" w:type="dxa"/>
                    <w:right w:w="0" w:type="dxa"/>
                  </w:tcMar>
                  <w:vAlign w:val="center"/>
                </w:tcPr>
                <w:p w14:paraId="73258C81">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排放去向</w:t>
                  </w:r>
                </w:p>
              </w:tc>
              <w:tc>
                <w:tcPr>
                  <w:tcW w:w="363" w:type="pct"/>
                  <w:tcBorders>
                    <w:tl2br w:val="nil"/>
                    <w:tr2bl w:val="nil"/>
                  </w:tcBorders>
                  <w:noWrap w:val="0"/>
                  <w:tcMar>
                    <w:top w:w="0" w:type="dxa"/>
                    <w:left w:w="0" w:type="dxa"/>
                    <w:bottom w:w="0" w:type="dxa"/>
                    <w:right w:w="0" w:type="dxa"/>
                  </w:tcMar>
                  <w:vAlign w:val="center"/>
                </w:tcPr>
                <w:p w14:paraId="0A84C713">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439" w:type="pct"/>
                  <w:tcBorders>
                    <w:tl2br w:val="nil"/>
                    <w:tr2bl w:val="nil"/>
                  </w:tcBorders>
                  <w:noWrap w:val="0"/>
                  <w:tcMar>
                    <w:top w:w="0" w:type="dxa"/>
                    <w:left w:w="0" w:type="dxa"/>
                    <w:bottom w:w="0" w:type="dxa"/>
                    <w:right w:w="0" w:type="dxa"/>
                  </w:tcMar>
                  <w:vAlign w:val="center"/>
                </w:tcPr>
                <w:p w14:paraId="774FBD88">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484" w:type="pct"/>
                  <w:tcBorders>
                    <w:tl2br w:val="nil"/>
                    <w:tr2bl w:val="nil"/>
                  </w:tcBorders>
                  <w:noWrap w:val="0"/>
                  <w:tcMar>
                    <w:top w:w="0" w:type="dxa"/>
                    <w:left w:w="0" w:type="dxa"/>
                    <w:bottom w:w="0" w:type="dxa"/>
                    <w:right w:w="0" w:type="dxa"/>
                  </w:tcMar>
                  <w:vAlign w:val="center"/>
                </w:tcPr>
                <w:p w14:paraId="090066D3">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排放口坐标</w:t>
                  </w:r>
                </w:p>
              </w:tc>
              <w:tc>
                <w:tcPr>
                  <w:tcW w:w="534" w:type="pct"/>
                  <w:tcBorders>
                    <w:tl2br w:val="nil"/>
                    <w:tr2bl w:val="nil"/>
                  </w:tcBorders>
                  <w:noWrap w:val="0"/>
                  <w:tcMar>
                    <w:top w:w="0" w:type="dxa"/>
                    <w:left w:w="0" w:type="dxa"/>
                    <w:bottom w:w="0" w:type="dxa"/>
                    <w:right w:w="0" w:type="dxa"/>
                  </w:tcMar>
                  <w:vAlign w:val="center"/>
                </w:tcPr>
                <w:p w14:paraId="74924166">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排放口设置是否符合要求</w:t>
                  </w:r>
                </w:p>
              </w:tc>
              <w:tc>
                <w:tcPr>
                  <w:tcW w:w="857" w:type="pct"/>
                  <w:tcBorders>
                    <w:tl2br w:val="nil"/>
                    <w:tr2bl w:val="nil"/>
                  </w:tcBorders>
                  <w:noWrap w:val="0"/>
                  <w:tcMar>
                    <w:top w:w="0" w:type="dxa"/>
                    <w:left w:w="0" w:type="dxa"/>
                    <w:bottom w:w="0" w:type="dxa"/>
                    <w:right w:w="0" w:type="dxa"/>
                  </w:tcMar>
                  <w:vAlign w:val="center"/>
                </w:tcPr>
                <w:p w14:paraId="6E197A62">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排放口类型</w:t>
                  </w:r>
                </w:p>
              </w:tc>
              <w:tc>
                <w:tcPr>
                  <w:tcW w:w="431" w:type="pct"/>
                  <w:tcBorders>
                    <w:tl2br w:val="nil"/>
                    <w:tr2bl w:val="nil"/>
                  </w:tcBorders>
                  <w:noWrap w:val="0"/>
                  <w:tcMar>
                    <w:top w:w="0" w:type="dxa"/>
                    <w:left w:w="0" w:type="dxa"/>
                    <w:bottom w:w="0" w:type="dxa"/>
                    <w:right w:w="0" w:type="dxa"/>
                  </w:tcMar>
                  <w:vAlign w:val="center"/>
                </w:tcPr>
                <w:p w14:paraId="14647AE7">
                  <w:pPr>
                    <w:pStyle w:val="5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排放标准mg/L</w:t>
                  </w:r>
                </w:p>
              </w:tc>
            </w:tr>
            <w:tr w14:paraId="40561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 w:type="pct"/>
                  <w:vMerge w:val="restart"/>
                  <w:tcBorders>
                    <w:tl2br w:val="nil"/>
                    <w:tr2bl w:val="nil"/>
                  </w:tcBorders>
                  <w:noWrap w:val="0"/>
                  <w:tcMar>
                    <w:top w:w="0" w:type="dxa"/>
                    <w:left w:w="0" w:type="dxa"/>
                    <w:bottom w:w="0" w:type="dxa"/>
                    <w:right w:w="0" w:type="dxa"/>
                  </w:tcMar>
                  <w:vAlign w:val="center"/>
                </w:tcPr>
                <w:p w14:paraId="4C8B76ED">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26" w:type="pct"/>
                  <w:vMerge w:val="restart"/>
                  <w:tcBorders>
                    <w:tl2br w:val="nil"/>
                    <w:tr2bl w:val="nil"/>
                  </w:tcBorders>
                  <w:noWrap w:val="0"/>
                  <w:tcMar>
                    <w:top w:w="0" w:type="dxa"/>
                    <w:left w:w="0" w:type="dxa"/>
                    <w:bottom w:w="0" w:type="dxa"/>
                    <w:right w:w="0" w:type="dxa"/>
                  </w:tcMar>
                  <w:vAlign w:val="center"/>
                </w:tcPr>
                <w:p w14:paraId="11D61DFD">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生活废水</w:t>
                  </w:r>
                </w:p>
              </w:tc>
              <w:tc>
                <w:tcPr>
                  <w:tcW w:w="357" w:type="pct"/>
                  <w:tcBorders>
                    <w:tl2br w:val="nil"/>
                    <w:tr2bl w:val="nil"/>
                  </w:tcBorders>
                  <w:noWrap w:val="0"/>
                  <w:tcMar>
                    <w:top w:w="0" w:type="dxa"/>
                    <w:left w:w="0" w:type="dxa"/>
                    <w:bottom w:w="0" w:type="dxa"/>
                    <w:right w:w="0" w:type="dxa"/>
                  </w:tcMar>
                  <w:vAlign w:val="center"/>
                </w:tcPr>
                <w:p w14:paraId="5BD3F74F">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308" w:type="pct"/>
                  <w:tcBorders>
                    <w:tl2br w:val="nil"/>
                    <w:tr2bl w:val="nil"/>
                  </w:tcBorders>
                  <w:noWrap w:val="0"/>
                  <w:tcMar>
                    <w:top w:w="0" w:type="dxa"/>
                    <w:left w:w="0" w:type="dxa"/>
                    <w:bottom w:w="0" w:type="dxa"/>
                    <w:right w:w="0" w:type="dxa"/>
                  </w:tcMar>
                  <w:vAlign w:val="center"/>
                </w:tcPr>
                <w:p w14:paraId="39609745">
                  <w:pPr>
                    <w:spacing w:before="48" w:beforeLines="20" w:after="48" w:afterLines="2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400</w:t>
                  </w:r>
                </w:p>
              </w:tc>
              <w:tc>
                <w:tcPr>
                  <w:tcW w:w="281" w:type="pct"/>
                  <w:vMerge w:val="restart"/>
                  <w:tcBorders>
                    <w:tl2br w:val="nil"/>
                    <w:tr2bl w:val="nil"/>
                  </w:tcBorders>
                  <w:noWrap w:val="0"/>
                  <w:tcMar>
                    <w:top w:w="0" w:type="dxa"/>
                    <w:left w:w="0" w:type="dxa"/>
                    <w:bottom w:w="0" w:type="dxa"/>
                    <w:right w:w="0" w:type="dxa"/>
                  </w:tcMar>
                  <w:vAlign w:val="center"/>
                </w:tcPr>
                <w:p w14:paraId="3D1643C0">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间接排放</w:t>
                  </w:r>
                </w:p>
              </w:tc>
              <w:tc>
                <w:tcPr>
                  <w:tcW w:w="487" w:type="pct"/>
                  <w:vMerge w:val="restart"/>
                  <w:tcBorders>
                    <w:tl2br w:val="nil"/>
                    <w:tr2bl w:val="nil"/>
                  </w:tcBorders>
                  <w:noWrap w:val="0"/>
                  <w:tcMar>
                    <w:top w:w="0" w:type="dxa"/>
                    <w:left w:w="0" w:type="dxa"/>
                    <w:bottom w:w="0" w:type="dxa"/>
                    <w:right w:w="0" w:type="dxa"/>
                  </w:tcMar>
                  <w:vAlign w:val="center"/>
                </w:tcPr>
                <w:p w14:paraId="4C4F8976">
                  <w:pPr>
                    <w:pStyle w:val="59"/>
                    <w:spacing w:line="240" w:lineRule="auto"/>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排放至</w:t>
                  </w:r>
                  <w:r>
                    <w:rPr>
                      <w:rFonts w:hint="eastAsia" w:cs="Times New Roman"/>
                      <w:color w:val="auto"/>
                      <w:sz w:val="21"/>
                      <w:szCs w:val="21"/>
                      <w:lang w:eastAsia="zh-CN"/>
                    </w:rPr>
                    <w:t>常州金坛区第二污水处理有限公司</w:t>
                  </w:r>
                </w:p>
              </w:tc>
              <w:tc>
                <w:tcPr>
                  <w:tcW w:w="363" w:type="pct"/>
                  <w:vMerge w:val="restart"/>
                  <w:tcBorders>
                    <w:tl2br w:val="nil"/>
                    <w:tr2bl w:val="nil"/>
                  </w:tcBorders>
                  <w:noWrap w:val="0"/>
                  <w:tcMar>
                    <w:top w:w="0" w:type="dxa"/>
                    <w:left w:w="0" w:type="dxa"/>
                    <w:bottom w:w="0" w:type="dxa"/>
                    <w:right w:w="0" w:type="dxa"/>
                  </w:tcMar>
                  <w:vAlign w:val="center"/>
                </w:tcPr>
                <w:p w14:paraId="1E8FD03D">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连续排放，流量不稳定</w:t>
                  </w:r>
                </w:p>
              </w:tc>
              <w:tc>
                <w:tcPr>
                  <w:tcW w:w="439" w:type="pct"/>
                  <w:vMerge w:val="restart"/>
                  <w:tcBorders>
                    <w:tl2br w:val="nil"/>
                    <w:tr2bl w:val="nil"/>
                  </w:tcBorders>
                  <w:noWrap w:val="0"/>
                  <w:tcMar>
                    <w:top w:w="0" w:type="dxa"/>
                    <w:left w:w="0" w:type="dxa"/>
                    <w:bottom w:w="0" w:type="dxa"/>
                    <w:right w:w="0" w:type="dxa"/>
                  </w:tcMar>
                  <w:vAlign w:val="center"/>
                </w:tcPr>
                <w:p w14:paraId="585E8E46">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w:t>
                  </w:r>
                </w:p>
              </w:tc>
              <w:tc>
                <w:tcPr>
                  <w:tcW w:w="484" w:type="pct"/>
                  <w:vMerge w:val="restart"/>
                  <w:tcBorders>
                    <w:tl2br w:val="nil"/>
                    <w:tr2bl w:val="nil"/>
                  </w:tcBorders>
                  <w:noWrap w:val="0"/>
                  <w:tcMar>
                    <w:top w:w="0" w:type="dxa"/>
                    <w:left w:w="0" w:type="dxa"/>
                    <w:bottom w:w="0" w:type="dxa"/>
                    <w:right w:w="0" w:type="dxa"/>
                  </w:tcMar>
                  <w:vAlign w:val="center"/>
                </w:tcPr>
                <w:p w14:paraId="0FF1DC55">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119.610202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31.758058</w:t>
                  </w:r>
                </w:p>
              </w:tc>
              <w:tc>
                <w:tcPr>
                  <w:tcW w:w="534" w:type="pct"/>
                  <w:vMerge w:val="restart"/>
                  <w:tcBorders>
                    <w:tl2br w:val="nil"/>
                    <w:tr2bl w:val="nil"/>
                  </w:tcBorders>
                  <w:noWrap w:val="0"/>
                  <w:tcMar>
                    <w:top w:w="0" w:type="dxa"/>
                    <w:left w:w="0" w:type="dxa"/>
                    <w:bottom w:w="0" w:type="dxa"/>
                    <w:right w:w="0" w:type="dxa"/>
                  </w:tcMar>
                  <w:vAlign w:val="center"/>
                </w:tcPr>
                <w:p w14:paraId="0699CDD4">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p w14:paraId="7B51D36C">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c>
                <w:tcPr>
                  <w:tcW w:w="857" w:type="pct"/>
                  <w:vMerge w:val="restart"/>
                  <w:tcBorders>
                    <w:tl2br w:val="nil"/>
                    <w:tr2bl w:val="nil"/>
                  </w:tcBorders>
                  <w:noWrap w:val="0"/>
                  <w:tcMar>
                    <w:top w:w="0" w:type="dxa"/>
                    <w:left w:w="0" w:type="dxa"/>
                    <w:bottom w:w="0" w:type="dxa"/>
                    <w:right w:w="0" w:type="dxa"/>
                  </w:tcMar>
                  <w:vAlign w:val="center"/>
                </w:tcPr>
                <w:p w14:paraId="1AC8EC4D">
                  <w:pPr>
                    <w:pStyle w:val="59"/>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√企业总排</w:t>
                  </w:r>
                </w:p>
                <w:p w14:paraId="4E6FDCA9">
                  <w:pPr>
                    <w:pStyle w:val="59"/>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□雨水排放</w:t>
                  </w:r>
                </w:p>
                <w:p w14:paraId="669A22AD">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□清净下水排放</w:t>
                  </w:r>
                </w:p>
                <w:p w14:paraId="37607A09">
                  <w:pPr>
                    <w:pStyle w:val="59"/>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□温排水排放</w:t>
                  </w:r>
                </w:p>
                <w:p w14:paraId="3A844815">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□车间或车间处理系统排放口</w:t>
                  </w:r>
                </w:p>
              </w:tc>
              <w:tc>
                <w:tcPr>
                  <w:tcW w:w="431" w:type="pct"/>
                  <w:tcBorders>
                    <w:tl2br w:val="nil"/>
                    <w:tr2bl w:val="nil"/>
                  </w:tcBorders>
                  <w:noWrap w:val="0"/>
                  <w:tcMar>
                    <w:top w:w="0" w:type="dxa"/>
                    <w:left w:w="0" w:type="dxa"/>
                    <w:bottom w:w="0" w:type="dxa"/>
                    <w:right w:w="0" w:type="dxa"/>
                  </w:tcMar>
                  <w:vAlign w:val="center"/>
                </w:tcPr>
                <w:p w14:paraId="0AE37A8F">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500</w:t>
                  </w:r>
                </w:p>
              </w:tc>
            </w:tr>
            <w:tr w14:paraId="181E4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 w:type="pct"/>
                  <w:vMerge w:val="continue"/>
                  <w:tcBorders>
                    <w:tl2br w:val="nil"/>
                    <w:tr2bl w:val="nil"/>
                  </w:tcBorders>
                  <w:noWrap w:val="0"/>
                  <w:tcMar>
                    <w:top w:w="0" w:type="dxa"/>
                    <w:left w:w="0" w:type="dxa"/>
                    <w:bottom w:w="0" w:type="dxa"/>
                    <w:right w:w="0" w:type="dxa"/>
                  </w:tcMar>
                  <w:vAlign w:val="center"/>
                </w:tcPr>
                <w:p w14:paraId="066B5176">
                  <w:pPr>
                    <w:widowControl/>
                    <w:jc w:val="left"/>
                    <w:rPr>
                      <w:rFonts w:hint="default" w:ascii="Times New Roman" w:hAnsi="Times New Roman" w:eastAsia="宋体" w:cs="Times New Roman"/>
                      <w:color w:val="auto"/>
                      <w:kern w:val="0"/>
                      <w:sz w:val="21"/>
                      <w:szCs w:val="21"/>
                    </w:rPr>
                  </w:pPr>
                </w:p>
              </w:tc>
              <w:tc>
                <w:tcPr>
                  <w:tcW w:w="326" w:type="pct"/>
                  <w:vMerge w:val="continue"/>
                  <w:tcBorders>
                    <w:tl2br w:val="nil"/>
                    <w:tr2bl w:val="nil"/>
                  </w:tcBorders>
                  <w:noWrap w:val="0"/>
                  <w:tcMar>
                    <w:top w:w="0" w:type="dxa"/>
                    <w:left w:w="0" w:type="dxa"/>
                    <w:bottom w:w="0" w:type="dxa"/>
                    <w:right w:w="0" w:type="dxa"/>
                  </w:tcMar>
                  <w:vAlign w:val="center"/>
                </w:tcPr>
                <w:p w14:paraId="1651FFF5">
                  <w:pPr>
                    <w:widowControl/>
                    <w:jc w:val="left"/>
                    <w:rPr>
                      <w:rFonts w:hint="default" w:ascii="Times New Roman" w:hAnsi="Times New Roman" w:eastAsia="宋体" w:cs="Times New Roman"/>
                      <w:color w:val="auto"/>
                      <w:kern w:val="0"/>
                      <w:sz w:val="21"/>
                      <w:szCs w:val="21"/>
                    </w:rPr>
                  </w:pPr>
                </w:p>
              </w:tc>
              <w:tc>
                <w:tcPr>
                  <w:tcW w:w="357" w:type="pct"/>
                  <w:tcBorders>
                    <w:tl2br w:val="nil"/>
                    <w:tr2bl w:val="nil"/>
                  </w:tcBorders>
                  <w:noWrap w:val="0"/>
                  <w:tcMar>
                    <w:top w:w="0" w:type="dxa"/>
                    <w:left w:w="0" w:type="dxa"/>
                    <w:bottom w:w="0" w:type="dxa"/>
                    <w:right w:w="0" w:type="dxa"/>
                  </w:tcMar>
                  <w:vAlign w:val="center"/>
                </w:tcPr>
                <w:p w14:paraId="35EB33B7">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308" w:type="pct"/>
                  <w:tcBorders>
                    <w:tl2br w:val="nil"/>
                    <w:tr2bl w:val="nil"/>
                  </w:tcBorders>
                  <w:noWrap w:val="0"/>
                  <w:tcMar>
                    <w:top w:w="0" w:type="dxa"/>
                    <w:left w:w="0" w:type="dxa"/>
                    <w:bottom w:w="0" w:type="dxa"/>
                    <w:right w:w="0" w:type="dxa"/>
                  </w:tcMar>
                  <w:vAlign w:val="center"/>
                </w:tcPr>
                <w:p w14:paraId="3525AD91">
                  <w:pPr>
                    <w:spacing w:before="48" w:beforeLines="20" w:after="48" w:afterLines="2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200</w:t>
                  </w:r>
                </w:p>
              </w:tc>
              <w:tc>
                <w:tcPr>
                  <w:tcW w:w="281" w:type="pct"/>
                  <w:vMerge w:val="continue"/>
                  <w:tcBorders>
                    <w:tl2br w:val="nil"/>
                    <w:tr2bl w:val="nil"/>
                  </w:tcBorders>
                  <w:noWrap w:val="0"/>
                  <w:tcMar>
                    <w:top w:w="0" w:type="dxa"/>
                    <w:left w:w="0" w:type="dxa"/>
                    <w:bottom w:w="0" w:type="dxa"/>
                    <w:right w:w="0" w:type="dxa"/>
                  </w:tcMar>
                  <w:vAlign w:val="center"/>
                </w:tcPr>
                <w:p w14:paraId="3642B821">
                  <w:pPr>
                    <w:widowControl/>
                    <w:jc w:val="left"/>
                    <w:rPr>
                      <w:rFonts w:hint="default" w:ascii="Times New Roman" w:hAnsi="Times New Roman" w:eastAsia="宋体" w:cs="Times New Roman"/>
                      <w:color w:val="auto"/>
                      <w:kern w:val="0"/>
                      <w:sz w:val="21"/>
                      <w:szCs w:val="21"/>
                    </w:rPr>
                  </w:pPr>
                </w:p>
              </w:tc>
              <w:tc>
                <w:tcPr>
                  <w:tcW w:w="487" w:type="pct"/>
                  <w:vMerge w:val="continue"/>
                  <w:tcBorders>
                    <w:tl2br w:val="nil"/>
                    <w:tr2bl w:val="nil"/>
                  </w:tcBorders>
                  <w:noWrap w:val="0"/>
                  <w:tcMar>
                    <w:top w:w="0" w:type="dxa"/>
                    <w:left w:w="0" w:type="dxa"/>
                    <w:bottom w:w="0" w:type="dxa"/>
                    <w:right w:w="0" w:type="dxa"/>
                  </w:tcMar>
                  <w:vAlign w:val="center"/>
                </w:tcPr>
                <w:p w14:paraId="657F14E2">
                  <w:pPr>
                    <w:widowControl/>
                    <w:jc w:val="left"/>
                    <w:rPr>
                      <w:rFonts w:hint="default" w:ascii="Times New Roman" w:hAnsi="Times New Roman" w:eastAsia="宋体" w:cs="Times New Roman"/>
                      <w:color w:val="auto"/>
                      <w:kern w:val="0"/>
                      <w:sz w:val="21"/>
                      <w:szCs w:val="21"/>
                    </w:rPr>
                  </w:pPr>
                </w:p>
              </w:tc>
              <w:tc>
                <w:tcPr>
                  <w:tcW w:w="363" w:type="pct"/>
                  <w:vMerge w:val="continue"/>
                  <w:tcBorders>
                    <w:tl2br w:val="nil"/>
                    <w:tr2bl w:val="nil"/>
                  </w:tcBorders>
                  <w:noWrap w:val="0"/>
                  <w:tcMar>
                    <w:top w:w="0" w:type="dxa"/>
                    <w:left w:w="0" w:type="dxa"/>
                    <w:bottom w:w="0" w:type="dxa"/>
                    <w:right w:w="0" w:type="dxa"/>
                  </w:tcMar>
                  <w:vAlign w:val="center"/>
                </w:tcPr>
                <w:p w14:paraId="0870A669">
                  <w:pPr>
                    <w:widowControl/>
                    <w:jc w:val="left"/>
                    <w:rPr>
                      <w:rFonts w:hint="default" w:ascii="Times New Roman" w:hAnsi="Times New Roman" w:eastAsia="宋体" w:cs="Times New Roman"/>
                      <w:color w:val="auto"/>
                      <w:kern w:val="0"/>
                      <w:sz w:val="21"/>
                      <w:szCs w:val="21"/>
                    </w:rPr>
                  </w:pPr>
                </w:p>
              </w:tc>
              <w:tc>
                <w:tcPr>
                  <w:tcW w:w="439" w:type="pct"/>
                  <w:vMerge w:val="continue"/>
                  <w:tcBorders>
                    <w:tl2br w:val="nil"/>
                    <w:tr2bl w:val="nil"/>
                  </w:tcBorders>
                  <w:noWrap w:val="0"/>
                  <w:tcMar>
                    <w:top w:w="0" w:type="dxa"/>
                    <w:left w:w="0" w:type="dxa"/>
                    <w:bottom w:w="0" w:type="dxa"/>
                    <w:right w:w="0" w:type="dxa"/>
                  </w:tcMar>
                  <w:vAlign w:val="center"/>
                </w:tcPr>
                <w:p w14:paraId="466F4F1B">
                  <w:pPr>
                    <w:widowControl/>
                    <w:jc w:val="left"/>
                    <w:rPr>
                      <w:rFonts w:hint="default" w:ascii="Times New Roman" w:hAnsi="Times New Roman" w:eastAsia="宋体" w:cs="Times New Roman"/>
                      <w:color w:val="auto"/>
                      <w:kern w:val="0"/>
                      <w:sz w:val="21"/>
                      <w:szCs w:val="21"/>
                    </w:rPr>
                  </w:pPr>
                </w:p>
              </w:tc>
              <w:tc>
                <w:tcPr>
                  <w:tcW w:w="484" w:type="pct"/>
                  <w:vMerge w:val="continue"/>
                  <w:tcBorders>
                    <w:tl2br w:val="nil"/>
                    <w:tr2bl w:val="nil"/>
                  </w:tcBorders>
                  <w:noWrap w:val="0"/>
                  <w:tcMar>
                    <w:top w:w="0" w:type="dxa"/>
                    <w:left w:w="0" w:type="dxa"/>
                    <w:bottom w:w="0" w:type="dxa"/>
                    <w:right w:w="0" w:type="dxa"/>
                  </w:tcMar>
                  <w:vAlign w:val="center"/>
                </w:tcPr>
                <w:p w14:paraId="0EACD004">
                  <w:pPr>
                    <w:widowControl/>
                    <w:jc w:val="left"/>
                    <w:rPr>
                      <w:rFonts w:hint="default" w:ascii="Times New Roman" w:hAnsi="Times New Roman" w:eastAsia="宋体" w:cs="Times New Roman"/>
                      <w:color w:val="auto"/>
                      <w:kern w:val="0"/>
                      <w:sz w:val="21"/>
                      <w:szCs w:val="21"/>
                    </w:rPr>
                  </w:pPr>
                </w:p>
              </w:tc>
              <w:tc>
                <w:tcPr>
                  <w:tcW w:w="534" w:type="pct"/>
                  <w:vMerge w:val="continue"/>
                  <w:tcBorders>
                    <w:tl2br w:val="nil"/>
                    <w:tr2bl w:val="nil"/>
                  </w:tcBorders>
                  <w:noWrap w:val="0"/>
                  <w:tcMar>
                    <w:top w:w="0" w:type="dxa"/>
                    <w:left w:w="0" w:type="dxa"/>
                    <w:bottom w:w="0" w:type="dxa"/>
                    <w:right w:w="0" w:type="dxa"/>
                  </w:tcMar>
                  <w:vAlign w:val="center"/>
                </w:tcPr>
                <w:p w14:paraId="3499C37B">
                  <w:pPr>
                    <w:widowControl/>
                    <w:jc w:val="left"/>
                    <w:rPr>
                      <w:rFonts w:hint="default" w:ascii="Times New Roman" w:hAnsi="Times New Roman" w:eastAsia="宋体" w:cs="Times New Roman"/>
                      <w:color w:val="auto"/>
                      <w:kern w:val="0"/>
                      <w:sz w:val="21"/>
                      <w:szCs w:val="21"/>
                    </w:rPr>
                  </w:pPr>
                </w:p>
              </w:tc>
              <w:tc>
                <w:tcPr>
                  <w:tcW w:w="857" w:type="pct"/>
                  <w:vMerge w:val="continue"/>
                  <w:tcBorders>
                    <w:tl2br w:val="nil"/>
                    <w:tr2bl w:val="nil"/>
                  </w:tcBorders>
                  <w:noWrap w:val="0"/>
                  <w:tcMar>
                    <w:top w:w="0" w:type="dxa"/>
                    <w:left w:w="0" w:type="dxa"/>
                    <w:bottom w:w="0" w:type="dxa"/>
                    <w:right w:w="0" w:type="dxa"/>
                  </w:tcMar>
                  <w:vAlign w:val="center"/>
                </w:tcPr>
                <w:p w14:paraId="45D27407">
                  <w:pPr>
                    <w:widowControl/>
                    <w:jc w:val="left"/>
                    <w:rPr>
                      <w:rFonts w:hint="default" w:ascii="Times New Roman" w:hAnsi="Times New Roman" w:eastAsia="宋体" w:cs="Times New Roman"/>
                      <w:color w:val="auto"/>
                      <w:kern w:val="0"/>
                      <w:sz w:val="21"/>
                      <w:szCs w:val="21"/>
                    </w:rPr>
                  </w:pPr>
                </w:p>
              </w:tc>
              <w:tc>
                <w:tcPr>
                  <w:tcW w:w="431" w:type="pct"/>
                  <w:tcBorders>
                    <w:tl2br w:val="nil"/>
                    <w:tr2bl w:val="nil"/>
                  </w:tcBorders>
                  <w:noWrap w:val="0"/>
                  <w:tcMar>
                    <w:top w:w="0" w:type="dxa"/>
                    <w:left w:w="0" w:type="dxa"/>
                    <w:bottom w:w="0" w:type="dxa"/>
                    <w:right w:w="0" w:type="dxa"/>
                  </w:tcMar>
                  <w:vAlign w:val="center"/>
                </w:tcPr>
                <w:p w14:paraId="74031C18">
                  <w:pPr>
                    <w:adjustRightInd w:val="0"/>
                    <w:snapToGrid w:val="0"/>
                    <w:jc w:val="center"/>
                    <w:rPr>
                      <w:rFonts w:hint="default"/>
                      <w:color w:val="auto"/>
                      <w:kern w:val="2"/>
                      <w:sz w:val="21"/>
                      <w:szCs w:val="21"/>
                      <w:lang w:val="en-US" w:eastAsia="zh-CN" w:bidi="ar-SA"/>
                    </w:rPr>
                  </w:pPr>
                  <w:r>
                    <w:rPr>
                      <w:color w:val="auto"/>
                      <w:szCs w:val="21"/>
                    </w:rPr>
                    <w:t>250</w:t>
                  </w:r>
                </w:p>
              </w:tc>
            </w:tr>
            <w:tr w14:paraId="16173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 w:type="pct"/>
                  <w:vMerge w:val="continue"/>
                  <w:tcBorders>
                    <w:tl2br w:val="nil"/>
                    <w:tr2bl w:val="nil"/>
                  </w:tcBorders>
                  <w:noWrap w:val="0"/>
                  <w:tcMar>
                    <w:top w:w="0" w:type="dxa"/>
                    <w:left w:w="0" w:type="dxa"/>
                    <w:bottom w:w="0" w:type="dxa"/>
                    <w:right w:w="0" w:type="dxa"/>
                  </w:tcMar>
                  <w:vAlign w:val="center"/>
                </w:tcPr>
                <w:p w14:paraId="65A4033E">
                  <w:pPr>
                    <w:widowControl/>
                    <w:jc w:val="left"/>
                    <w:rPr>
                      <w:rFonts w:hint="default" w:ascii="Times New Roman" w:hAnsi="Times New Roman" w:eastAsia="宋体" w:cs="Times New Roman"/>
                      <w:color w:val="auto"/>
                      <w:kern w:val="0"/>
                      <w:sz w:val="21"/>
                      <w:szCs w:val="21"/>
                    </w:rPr>
                  </w:pPr>
                </w:p>
              </w:tc>
              <w:tc>
                <w:tcPr>
                  <w:tcW w:w="326" w:type="pct"/>
                  <w:vMerge w:val="continue"/>
                  <w:tcBorders>
                    <w:tl2br w:val="nil"/>
                    <w:tr2bl w:val="nil"/>
                  </w:tcBorders>
                  <w:noWrap w:val="0"/>
                  <w:tcMar>
                    <w:top w:w="0" w:type="dxa"/>
                    <w:left w:w="0" w:type="dxa"/>
                    <w:bottom w:w="0" w:type="dxa"/>
                    <w:right w:w="0" w:type="dxa"/>
                  </w:tcMar>
                  <w:vAlign w:val="center"/>
                </w:tcPr>
                <w:p w14:paraId="5963A893">
                  <w:pPr>
                    <w:widowControl/>
                    <w:jc w:val="left"/>
                    <w:rPr>
                      <w:rFonts w:hint="default" w:ascii="Times New Roman" w:hAnsi="Times New Roman" w:eastAsia="宋体" w:cs="Times New Roman"/>
                      <w:color w:val="auto"/>
                      <w:kern w:val="0"/>
                      <w:sz w:val="21"/>
                      <w:szCs w:val="21"/>
                    </w:rPr>
                  </w:pPr>
                </w:p>
              </w:tc>
              <w:tc>
                <w:tcPr>
                  <w:tcW w:w="357" w:type="pct"/>
                  <w:tcBorders>
                    <w:tl2br w:val="nil"/>
                    <w:tr2bl w:val="nil"/>
                  </w:tcBorders>
                  <w:noWrap w:val="0"/>
                  <w:tcMar>
                    <w:top w:w="0" w:type="dxa"/>
                    <w:left w:w="0" w:type="dxa"/>
                    <w:bottom w:w="0" w:type="dxa"/>
                    <w:right w:w="0" w:type="dxa"/>
                  </w:tcMar>
                  <w:vAlign w:val="center"/>
                </w:tcPr>
                <w:p w14:paraId="013B65EB">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308" w:type="pct"/>
                  <w:tcBorders>
                    <w:tl2br w:val="nil"/>
                    <w:tr2bl w:val="nil"/>
                  </w:tcBorders>
                  <w:noWrap w:val="0"/>
                  <w:tcMar>
                    <w:top w:w="0" w:type="dxa"/>
                    <w:left w:w="0" w:type="dxa"/>
                    <w:bottom w:w="0" w:type="dxa"/>
                    <w:right w:w="0" w:type="dxa"/>
                  </w:tcMar>
                  <w:vAlign w:val="center"/>
                </w:tcPr>
                <w:p w14:paraId="5C34DC64">
                  <w:pPr>
                    <w:spacing w:before="48" w:beforeLines="20" w:after="48" w:afterLines="2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w:t>
                  </w:r>
                </w:p>
              </w:tc>
              <w:tc>
                <w:tcPr>
                  <w:tcW w:w="281" w:type="pct"/>
                  <w:vMerge w:val="continue"/>
                  <w:tcBorders>
                    <w:tl2br w:val="nil"/>
                    <w:tr2bl w:val="nil"/>
                  </w:tcBorders>
                  <w:noWrap w:val="0"/>
                  <w:tcMar>
                    <w:top w:w="0" w:type="dxa"/>
                    <w:left w:w="0" w:type="dxa"/>
                    <w:bottom w:w="0" w:type="dxa"/>
                    <w:right w:w="0" w:type="dxa"/>
                  </w:tcMar>
                  <w:vAlign w:val="center"/>
                </w:tcPr>
                <w:p w14:paraId="622F7DBE">
                  <w:pPr>
                    <w:widowControl/>
                    <w:jc w:val="left"/>
                    <w:rPr>
                      <w:rFonts w:hint="default" w:ascii="Times New Roman" w:hAnsi="Times New Roman" w:eastAsia="宋体" w:cs="Times New Roman"/>
                      <w:color w:val="auto"/>
                      <w:kern w:val="0"/>
                      <w:sz w:val="21"/>
                      <w:szCs w:val="21"/>
                    </w:rPr>
                  </w:pPr>
                </w:p>
              </w:tc>
              <w:tc>
                <w:tcPr>
                  <w:tcW w:w="487" w:type="pct"/>
                  <w:vMerge w:val="continue"/>
                  <w:tcBorders>
                    <w:tl2br w:val="nil"/>
                    <w:tr2bl w:val="nil"/>
                  </w:tcBorders>
                  <w:noWrap w:val="0"/>
                  <w:tcMar>
                    <w:top w:w="0" w:type="dxa"/>
                    <w:left w:w="0" w:type="dxa"/>
                    <w:bottom w:w="0" w:type="dxa"/>
                    <w:right w:w="0" w:type="dxa"/>
                  </w:tcMar>
                  <w:vAlign w:val="center"/>
                </w:tcPr>
                <w:p w14:paraId="5AAC8535">
                  <w:pPr>
                    <w:widowControl/>
                    <w:jc w:val="left"/>
                    <w:rPr>
                      <w:rFonts w:hint="default" w:ascii="Times New Roman" w:hAnsi="Times New Roman" w:eastAsia="宋体" w:cs="Times New Roman"/>
                      <w:color w:val="auto"/>
                      <w:kern w:val="0"/>
                      <w:sz w:val="21"/>
                      <w:szCs w:val="21"/>
                    </w:rPr>
                  </w:pPr>
                </w:p>
              </w:tc>
              <w:tc>
                <w:tcPr>
                  <w:tcW w:w="363" w:type="pct"/>
                  <w:vMerge w:val="continue"/>
                  <w:tcBorders>
                    <w:tl2br w:val="nil"/>
                    <w:tr2bl w:val="nil"/>
                  </w:tcBorders>
                  <w:noWrap w:val="0"/>
                  <w:tcMar>
                    <w:top w:w="0" w:type="dxa"/>
                    <w:left w:w="0" w:type="dxa"/>
                    <w:bottom w:w="0" w:type="dxa"/>
                    <w:right w:w="0" w:type="dxa"/>
                  </w:tcMar>
                  <w:vAlign w:val="center"/>
                </w:tcPr>
                <w:p w14:paraId="0C7DB708">
                  <w:pPr>
                    <w:widowControl/>
                    <w:jc w:val="left"/>
                    <w:rPr>
                      <w:rFonts w:hint="default" w:ascii="Times New Roman" w:hAnsi="Times New Roman" w:eastAsia="宋体" w:cs="Times New Roman"/>
                      <w:color w:val="auto"/>
                      <w:kern w:val="0"/>
                      <w:sz w:val="21"/>
                      <w:szCs w:val="21"/>
                    </w:rPr>
                  </w:pPr>
                </w:p>
              </w:tc>
              <w:tc>
                <w:tcPr>
                  <w:tcW w:w="439" w:type="pct"/>
                  <w:vMerge w:val="continue"/>
                  <w:tcBorders>
                    <w:tl2br w:val="nil"/>
                    <w:tr2bl w:val="nil"/>
                  </w:tcBorders>
                  <w:noWrap w:val="0"/>
                  <w:tcMar>
                    <w:top w:w="0" w:type="dxa"/>
                    <w:left w:w="0" w:type="dxa"/>
                    <w:bottom w:w="0" w:type="dxa"/>
                    <w:right w:w="0" w:type="dxa"/>
                  </w:tcMar>
                  <w:vAlign w:val="center"/>
                </w:tcPr>
                <w:p w14:paraId="209D3CF0">
                  <w:pPr>
                    <w:widowControl/>
                    <w:jc w:val="left"/>
                    <w:rPr>
                      <w:rFonts w:hint="default" w:ascii="Times New Roman" w:hAnsi="Times New Roman" w:eastAsia="宋体" w:cs="Times New Roman"/>
                      <w:color w:val="auto"/>
                      <w:kern w:val="0"/>
                      <w:sz w:val="21"/>
                      <w:szCs w:val="21"/>
                    </w:rPr>
                  </w:pPr>
                </w:p>
              </w:tc>
              <w:tc>
                <w:tcPr>
                  <w:tcW w:w="484" w:type="pct"/>
                  <w:vMerge w:val="continue"/>
                  <w:tcBorders>
                    <w:tl2br w:val="nil"/>
                    <w:tr2bl w:val="nil"/>
                  </w:tcBorders>
                  <w:noWrap w:val="0"/>
                  <w:tcMar>
                    <w:top w:w="0" w:type="dxa"/>
                    <w:left w:w="0" w:type="dxa"/>
                    <w:bottom w:w="0" w:type="dxa"/>
                    <w:right w:w="0" w:type="dxa"/>
                  </w:tcMar>
                  <w:vAlign w:val="center"/>
                </w:tcPr>
                <w:p w14:paraId="6DCC5E40">
                  <w:pPr>
                    <w:widowControl/>
                    <w:jc w:val="left"/>
                    <w:rPr>
                      <w:rFonts w:hint="default" w:ascii="Times New Roman" w:hAnsi="Times New Roman" w:eastAsia="宋体" w:cs="Times New Roman"/>
                      <w:color w:val="auto"/>
                      <w:kern w:val="0"/>
                      <w:sz w:val="21"/>
                      <w:szCs w:val="21"/>
                    </w:rPr>
                  </w:pPr>
                </w:p>
              </w:tc>
              <w:tc>
                <w:tcPr>
                  <w:tcW w:w="534" w:type="pct"/>
                  <w:vMerge w:val="continue"/>
                  <w:tcBorders>
                    <w:tl2br w:val="nil"/>
                    <w:tr2bl w:val="nil"/>
                  </w:tcBorders>
                  <w:noWrap w:val="0"/>
                  <w:tcMar>
                    <w:top w:w="0" w:type="dxa"/>
                    <w:left w:w="0" w:type="dxa"/>
                    <w:bottom w:w="0" w:type="dxa"/>
                    <w:right w:w="0" w:type="dxa"/>
                  </w:tcMar>
                  <w:vAlign w:val="center"/>
                </w:tcPr>
                <w:p w14:paraId="364F5C12">
                  <w:pPr>
                    <w:widowControl/>
                    <w:jc w:val="left"/>
                    <w:rPr>
                      <w:rFonts w:hint="default" w:ascii="Times New Roman" w:hAnsi="Times New Roman" w:eastAsia="宋体" w:cs="Times New Roman"/>
                      <w:color w:val="auto"/>
                      <w:kern w:val="0"/>
                      <w:sz w:val="21"/>
                      <w:szCs w:val="21"/>
                    </w:rPr>
                  </w:pPr>
                </w:p>
              </w:tc>
              <w:tc>
                <w:tcPr>
                  <w:tcW w:w="857" w:type="pct"/>
                  <w:vMerge w:val="continue"/>
                  <w:tcBorders>
                    <w:tl2br w:val="nil"/>
                    <w:tr2bl w:val="nil"/>
                  </w:tcBorders>
                  <w:noWrap w:val="0"/>
                  <w:tcMar>
                    <w:top w:w="0" w:type="dxa"/>
                    <w:left w:w="0" w:type="dxa"/>
                    <w:bottom w:w="0" w:type="dxa"/>
                    <w:right w:w="0" w:type="dxa"/>
                  </w:tcMar>
                  <w:vAlign w:val="center"/>
                </w:tcPr>
                <w:p w14:paraId="7C2FD05E">
                  <w:pPr>
                    <w:widowControl/>
                    <w:jc w:val="left"/>
                    <w:rPr>
                      <w:rFonts w:hint="default" w:ascii="Times New Roman" w:hAnsi="Times New Roman" w:eastAsia="宋体" w:cs="Times New Roman"/>
                      <w:color w:val="auto"/>
                      <w:kern w:val="0"/>
                      <w:sz w:val="21"/>
                      <w:szCs w:val="21"/>
                    </w:rPr>
                  </w:pPr>
                </w:p>
              </w:tc>
              <w:tc>
                <w:tcPr>
                  <w:tcW w:w="431" w:type="pct"/>
                  <w:tcBorders>
                    <w:tl2br w:val="nil"/>
                    <w:tr2bl w:val="nil"/>
                  </w:tcBorders>
                  <w:noWrap w:val="0"/>
                  <w:tcMar>
                    <w:top w:w="0" w:type="dxa"/>
                    <w:left w:w="0" w:type="dxa"/>
                    <w:bottom w:w="0" w:type="dxa"/>
                    <w:right w:w="0" w:type="dxa"/>
                  </w:tcMar>
                  <w:vAlign w:val="center"/>
                </w:tcPr>
                <w:p w14:paraId="297810C3">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20</w:t>
                  </w:r>
                </w:p>
              </w:tc>
            </w:tr>
            <w:tr w14:paraId="44CAB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 w:type="pct"/>
                  <w:vMerge w:val="continue"/>
                  <w:tcBorders>
                    <w:tl2br w:val="nil"/>
                    <w:tr2bl w:val="nil"/>
                  </w:tcBorders>
                  <w:noWrap w:val="0"/>
                  <w:tcMar>
                    <w:top w:w="0" w:type="dxa"/>
                    <w:left w:w="0" w:type="dxa"/>
                    <w:bottom w:w="0" w:type="dxa"/>
                    <w:right w:w="0" w:type="dxa"/>
                  </w:tcMar>
                  <w:vAlign w:val="center"/>
                </w:tcPr>
                <w:p w14:paraId="77B394A8">
                  <w:pPr>
                    <w:widowControl/>
                    <w:jc w:val="left"/>
                    <w:rPr>
                      <w:rFonts w:hint="default" w:ascii="Times New Roman" w:hAnsi="Times New Roman" w:eastAsia="宋体" w:cs="Times New Roman"/>
                      <w:color w:val="auto"/>
                      <w:kern w:val="0"/>
                      <w:sz w:val="21"/>
                      <w:szCs w:val="21"/>
                    </w:rPr>
                  </w:pPr>
                </w:p>
              </w:tc>
              <w:tc>
                <w:tcPr>
                  <w:tcW w:w="326" w:type="pct"/>
                  <w:vMerge w:val="continue"/>
                  <w:tcBorders>
                    <w:tl2br w:val="nil"/>
                    <w:tr2bl w:val="nil"/>
                  </w:tcBorders>
                  <w:noWrap w:val="0"/>
                  <w:tcMar>
                    <w:top w:w="0" w:type="dxa"/>
                    <w:left w:w="0" w:type="dxa"/>
                    <w:bottom w:w="0" w:type="dxa"/>
                    <w:right w:w="0" w:type="dxa"/>
                  </w:tcMar>
                  <w:vAlign w:val="center"/>
                </w:tcPr>
                <w:p w14:paraId="05C8E080">
                  <w:pPr>
                    <w:widowControl/>
                    <w:jc w:val="left"/>
                    <w:rPr>
                      <w:rFonts w:hint="default" w:ascii="Times New Roman" w:hAnsi="Times New Roman" w:eastAsia="宋体" w:cs="Times New Roman"/>
                      <w:color w:val="auto"/>
                      <w:kern w:val="0"/>
                      <w:sz w:val="21"/>
                      <w:szCs w:val="21"/>
                    </w:rPr>
                  </w:pPr>
                </w:p>
              </w:tc>
              <w:tc>
                <w:tcPr>
                  <w:tcW w:w="357" w:type="pct"/>
                  <w:tcBorders>
                    <w:tl2br w:val="nil"/>
                    <w:tr2bl w:val="nil"/>
                  </w:tcBorders>
                  <w:noWrap w:val="0"/>
                  <w:tcMar>
                    <w:top w:w="0" w:type="dxa"/>
                    <w:left w:w="0" w:type="dxa"/>
                    <w:bottom w:w="0" w:type="dxa"/>
                    <w:right w:w="0" w:type="dxa"/>
                  </w:tcMar>
                  <w:vAlign w:val="center"/>
                </w:tcPr>
                <w:p w14:paraId="07FC5669">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308" w:type="pct"/>
                  <w:tcBorders>
                    <w:tl2br w:val="nil"/>
                    <w:tr2bl w:val="nil"/>
                  </w:tcBorders>
                  <w:noWrap w:val="0"/>
                  <w:tcMar>
                    <w:top w:w="0" w:type="dxa"/>
                    <w:left w:w="0" w:type="dxa"/>
                    <w:bottom w:w="0" w:type="dxa"/>
                    <w:right w:w="0" w:type="dxa"/>
                  </w:tcMar>
                  <w:vAlign w:val="center"/>
                </w:tcPr>
                <w:p w14:paraId="06B66A09">
                  <w:pPr>
                    <w:spacing w:before="48" w:beforeLines="20" w:after="48" w:afterLines="2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w:t>
                  </w:r>
                </w:p>
              </w:tc>
              <w:tc>
                <w:tcPr>
                  <w:tcW w:w="281" w:type="pct"/>
                  <w:vMerge w:val="continue"/>
                  <w:tcBorders>
                    <w:tl2br w:val="nil"/>
                    <w:tr2bl w:val="nil"/>
                  </w:tcBorders>
                  <w:noWrap w:val="0"/>
                  <w:tcMar>
                    <w:top w:w="0" w:type="dxa"/>
                    <w:left w:w="0" w:type="dxa"/>
                    <w:bottom w:w="0" w:type="dxa"/>
                    <w:right w:w="0" w:type="dxa"/>
                  </w:tcMar>
                  <w:vAlign w:val="center"/>
                </w:tcPr>
                <w:p w14:paraId="3D064E42">
                  <w:pPr>
                    <w:widowControl/>
                    <w:jc w:val="left"/>
                    <w:rPr>
                      <w:rFonts w:hint="default" w:ascii="Times New Roman" w:hAnsi="Times New Roman" w:eastAsia="宋体" w:cs="Times New Roman"/>
                      <w:color w:val="auto"/>
                      <w:kern w:val="0"/>
                      <w:sz w:val="21"/>
                      <w:szCs w:val="21"/>
                    </w:rPr>
                  </w:pPr>
                </w:p>
              </w:tc>
              <w:tc>
                <w:tcPr>
                  <w:tcW w:w="487" w:type="pct"/>
                  <w:vMerge w:val="continue"/>
                  <w:tcBorders>
                    <w:tl2br w:val="nil"/>
                    <w:tr2bl w:val="nil"/>
                  </w:tcBorders>
                  <w:noWrap w:val="0"/>
                  <w:tcMar>
                    <w:top w:w="0" w:type="dxa"/>
                    <w:left w:w="0" w:type="dxa"/>
                    <w:bottom w:w="0" w:type="dxa"/>
                    <w:right w:w="0" w:type="dxa"/>
                  </w:tcMar>
                  <w:vAlign w:val="center"/>
                </w:tcPr>
                <w:p w14:paraId="7B5FCCDC">
                  <w:pPr>
                    <w:widowControl/>
                    <w:jc w:val="left"/>
                    <w:rPr>
                      <w:rFonts w:hint="default" w:ascii="Times New Roman" w:hAnsi="Times New Roman" w:eastAsia="宋体" w:cs="Times New Roman"/>
                      <w:color w:val="auto"/>
                      <w:kern w:val="0"/>
                      <w:sz w:val="21"/>
                      <w:szCs w:val="21"/>
                    </w:rPr>
                  </w:pPr>
                </w:p>
              </w:tc>
              <w:tc>
                <w:tcPr>
                  <w:tcW w:w="363" w:type="pct"/>
                  <w:vMerge w:val="continue"/>
                  <w:tcBorders>
                    <w:tl2br w:val="nil"/>
                    <w:tr2bl w:val="nil"/>
                  </w:tcBorders>
                  <w:noWrap w:val="0"/>
                  <w:tcMar>
                    <w:top w:w="0" w:type="dxa"/>
                    <w:left w:w="0" w:type="dxa"/>
                    <w:bottom w:w="0" w:type="dxa"/>
                    <w:right w:w="0" w:type="dxa"/>
                  </w:tcMar>
                  <w:vAlign w:val="center"/>
                </w:tcPr>
                <w:p w14:paraId="5FD33134">
                  <w:pPr>
                    <w:widowControl/>
                    <w:jc w:val="left"/>
                    <w:rPr>
                      <w:rFonts w:hint="default" w:ascii="Times New Roman" w:hAnsi="Times New Roman" w:eastAsia="宋体" w:cs="Times New Roman"/>
                      <w:color w:val="auto"/>
                      <w:kern w:val="0"/>
                      <w:sz w:val="21"/>
                      <w:szCs w:val="21"/>
                    </w:rPr>
                  </w:pPr>
                </w:p>
              </w:tc>
              <w:tc>
                <w:tcPr>
                  <w:tcW w:w="439" w:type="pct"/>
                  <w:vMerge w:val="continue"/>
                  <w:tcBorders>
                    <w:tl2br w:val="nil"/>
                    <w:tr2bl w:val="nil"/>
                  </w:tcBorders>
                  <w:noWrap w:val="0"/>
                  <w:tcMar>
                    <w:top w:w="0" w:type="dxa"/>
                    <w:left w:w="0" w:type="dxa"/>
                    <w:bottom w:w="0" w:type="dxa"/>
                    <w:right w:w="0" w:type="dxa"/>
                  </w:tcMar>
                  <w:vAlign w:val="center"/>
                </w:tcPr>
                <w:p w14:paraId="045F103F">
                  <w:pPr>
                    <w:widowControl/>
                    <w:jc w:val="left"/>
                    <w:rPr>
                      <w:rFonts w:hint="default" w:ascii="Times New Roman" w:hAnsi="Times New Roman" w:eastAsia="宋体" w:cs="Times New Roman"/>
                      <w:color w:val="auto"/>
                      <w:kern w:val="0"/>
                      <w:sz w:val="21"/>
                      <w:szCs w:val="21"/>
                    </w:rPr>
                  </w:pPr>
                </w:p>
              </w:tc>
              <w:tc>
                <w:tcPr>
                  <w:tcW w:w="484" w:type="pct"/>
                  <w:vMerge w:val="continue"/>
                  <w:tcBorders>
                    <w:tl2br w:val="nil"/>
                    <w:tr2bl w:val="nil"/>
                  </w:tcBorders>
                  <w:noWrap w:val="0"/>
                  <w:tcMar>
                    <w:top w:w="0" w:type="dxa"/>
                    <w:left w:w="0" w:type="dxa"/>
                    <w:bottom w:w="0" w:type="dxa"/>
                    <w:right w:w="0" w:type="dxa"/>
                  </w:tcMar>
                  <w:vAlign w:val="center"/>
                </w:tcPr>
                <w:p w14:paraId="4C622B19">
                  <w:pPr>
                    <w:widowControl/>
                    <w:jc w:val="left"/>
                    <w:rPr>
                      <w:rFonts w:hint="default" w:ascii="Times New Roman" w:hAnsi="Times New Roman" w:eastAsia="宋体" w:cs="Times New Roman"/>
                      <w:color w:val="auto"/>
                      <w:kern w:val="0"/>
                      <w:sz w:val="21"/>
                      <w:szCs w:val="21"/>
                    </w:rPr>
                  </w:pPr>
                </w:p>
              </w:tc>
              <w:tc>
                <w:tcPr>
                  <w:tcW w:w="534" w:type="pct"/>
                  <w:vMerge w:val="continue"/>
                  <w:tcBorders>
                    <w:tl2br w:val="nil"/>
                    <w:tr2bl w:val="nil"/>
                  </w:tcBorders>
                  <w:noWrap w:val="0"/>
                  <w:tcMar>
                    <w:top w:w="0" w:type="dxa"/>
                    <w:left w:w="0" w:type="dxa"/>
                    <w:bottom w:w="0" w:type="dxa"/>
                    <w:right w:w="0" w:type="dxa"/>
                  </w:tcMar>
                  <w:vAlign w:val="center"/>
                </w:tcPr>
                <w:p w14:paraId="1E8DFDF3">
                  <w:pPr>
                    <w:widowControl/>
                    <w:jc w:val="left"/>
                    <w:rPr>
                      <w:rFonts w:hint="default" w:ascii="Times New Roman" w:hAnsi="Times New Roman" w:eastAsia="宋体" w:cs="Times New Roman"/>
                      <w:color w:val="auto"/>
                      <w:kern w:val="0"/>
                      <w:sz w:val="21"/>
                      <w:szCs w:val="21"/>
                    </w:rPr>
                  </w:pPr>
                </w:p>
              </w:tc>
              <w:tc>
                <w:tcPr>
                  <w:tcW w:w="857" w:type="pct"/>
                  <w:vMerge w:val="continue"/>
                  <w:tcBorders>
                    <w:tl2br w:val="nil"/>
                    <w:tr2bl w:val="nil"/>
                  </w:tcBorders>
                  <w:noWrap w:val="0"/>
                  <w:tcMar>
                    <w:top w:w="0" w:type="dxa"/>
                    <w:left w:w="0" w:type="dxa"/>
                    <w:bottom w:w="0" w:type="dxa"/>
                    <w:right w:w="0" w:type="dxa"/>
                  </w:tcMar>
                  <w:vAlign w:val="center"/>
                </w:tcPr>
                <w:p w14:paraId="39AC23A1">
                  <w:pPr>
                    <w:widowControl/>
                    <w:jc w:val="left"/>
                    <w:rPr>
                      <w:rFonts w:hint="default" w:ascii="Times New Roman" w:hAnsi="Times New Roman" w:eastAsia="宋体" w:cs="Times New Roman"/>
                      <w:color w:val="auto"/>
                      <w:kern w:val="0"/>
                      <w:sz w:val="21"/>
                      <w:szCs w:val="21"/>
                    </w:rPr>
                  </w:pPr>
                </w:p>
              </w:tc>
              <w:tc>
                <w:tcPr>
                  <w:tcW w:w="431" w:type="pct"/>
                  <w:tcBorders>
                    <w:tl2br w:val="nil"/>
                    <w:tr2bl w:val="nil"/>
                  </w:tcBorders>
                  <w:noWrap w:val="0"/>
                  <w:tcMar>
                    <w:top w:w="0" w:type="dxa"/>
                    <w:left w:w="0" w:type="dxa"/>
                    <w:bottom w:w="0" w:type="dxa"/>
                    <w:right w:w="0" w:type="dxa"/>
                  </w:tcMar>
                  <w:vAlign w:val="center"/>
                </w:tcPr>
                <w:p w14:paraId="6DFCDB32">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35</w:t>
                  </w:r>
                </w:p>
              </w:tc>
            </w:tr>
            <w:tr w14:paraId="6F8CF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7" w:type="pct"/>
                  <w:vMerge w:val="continue"/>
                  <w:tcBorders>
                    <w:tl2br w:val="nil"/>
                    <w:tr2bl w:val="nil"/>
                  </w:tcBorders>
                  <w:noWrap w:val="0"/>
                  <w:tcMar>
                    <w:top w:w="0" w:type="dxa"/>
                    <w:left w:w="0" w:type="dxa"/>
                    <w:bottom w:w="0" w:type="dxa"/>
                    <w:right w:w="0" w:type="dxa"/>
                  </w:tcMar>
                  <w:vAlign w:val="center"/>
                </w:tcPr>
                <w:p w14:paraId="474A4886">
                  <w:pPr>
                    <w:widowControl/>
                    <w:jc w:val="left"/>
                    <w:rPr>
                      <w:rFonts w:hint="default" w:ascii="Times New Roman" w:hAnsi="Times New Roman" w:eastAsia="宋体" w:cs="Times New Roman"/>
                      <w:color w:val="auto"/>
                      <w:kern w:val="0"/>
                      <w:sz w:val="21"/>
                      <w:szCs w:val="21"/>
                    </w:rPr>
                  </w:pPr>
                </w:p>
              </w:tc>
              <w:tc>
                <w:tcPr>
                  <w:tcW w:w="326" w:type="pct"/>
                  <w:vMerge w:val="continue"/>
                  <w:tcBorders>
                    <w:tl2br w:val="nil"/>
                    <w:tr2bl w:val="nil"/>
                  </w:tcBorders>
                  <w:noWrap w:val="0"/>
                  <w:tcMar>
                    <w:top w:w="0" w:type="dxa"/>
                    <w:left w:w="0" w:type="dxa"/>
                    <w:bottom w:w="0" w:type="dxa"/>
                    <w:right w:w="0" w:type="dxa"/>
                  </w:tcMar>
                  <w:vAlign w:val="center"/>
                </w:tcPr>
                <w:p w14:paraId="561932FD">
                  <w:pPr>
                    <w:widowControl/>
                    <w:jc w:val="left"/>
                    <w:rPr>
                      <w:rFonts w:hint="default" w:ascii="Times New Roman" w:hAnsi="Times New Roman" w:eastAsia="宋体" w:cs="Times New Roman"/>
                      <w:color w:val="auto"/>
                      <w:kern w:val="0"/>
                      <w:sz w:val="21"/>
                      <w:szCs w:val="21"/>
                    </w:rPr>
                  </w:pPr>
                </w:p>
              </w:tc>
              <w:tc>
                <w:tcPr>
                  <w:tcW w:w="357" w:type="pct"/>
                  <w:tcBorders>
                    <w:tl2br w:val="nil"/>
                    <w:tr2bl w:val="nil"/>
                  </w:tcBorders>
                  <w:noWrap w:val="0"/>
                  <w:tcMar>
                    <w:top w:w="0" w:type="dxa"/>
                    <w:left w:w="0" w:type="dxa"/>
                    <w:bottom w:w="0" w:type="dxa"/>
                    <w:right w:w="0" w:type="dxa"/>
                  </w:tcMar>
                  <w:vAlign w:val="center"/>
                </w:tcPr>
                <w:p w14:paraId="4A5ED5B5">
                  <w:pPr>
                    <w:pStyle w:val="5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308" w:type="pct"/>
                  <w:tcBorders>
                    <w:tl2br w:val="nil"/>
                    <w:tr2bl w:val="nil"/>
                  </w:tcBorders>
                  <w:noWrap w:val="0"/>
                  <w:tcMar>
                    <w:top w:w="0" w:type="dxa"/>
                    <w:left w:w="0" w:type="dxa"/>
                    <w:bottom w:w="0" w:type="dxa"/>
                    <w:right w:w="0" w:type="dxa"/>
                  </w:tcMar>
                  <w:vAlign w:val="center"/>
                </w:tcPr>
                <w:p w14:paraId="50D7A16F">
                  <w:pPr>
                    <w:spacing w:before="48" w:beforeLines="20" w:after="48" w:afterLines="2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w:t>
                  </w:r>
                </w:p>
              </w:tc>
              <w:tc>
                <w:tcPr>
                  <w:tcW w:w="281" w:type="pct"/>
                  <w:vMerge w:val="continue"/>
                  <w:tcBorders>
                    <w:tl2br w:val="nil"/>
                    <w:tr2bl w:val="nil"/>
                  </w:tcBorders>
                  <w:noWrap w:val="0"/>
                  <w:tcMar>
                    <w:top w:w="0" w:type="dxa"/>
                    <w:left w:w="0" w:type="dxa"/>
                    <w:bottom w:w="0" w:type="dxa"/>
                    <w:right w:w="0" w:type="dxa"/>
                  </w:tcMar>
                  <w:vAlign w:val="center"/>
                </w:tcPr>
                <w:p w14:paraId="0CFAF929">
                  <w:pPr>
                    <w:widowControl/>
                    <w:jc w:val="left"/>
                    <w:rPr>
                      <w:rFonts w:hint="default" w:ascii="Times New Roman" w:hAnsi="Times New Roman" w:eastAsia="宋体" w:cs="Times New Roman"/>
                      <w:color w:val="auto"/>
                      <w:kern w:val="0"/>
                      <w:sz w:val="21"/>
                      <w:szCs w:val="21"/>
                    </w:rPr>
                  </w:pPr>
                </w:p>
              </w:tc>
              <w:tc>
                <w:tcPr>
                  <w:tcW w:w="487" w:type="pct"/>
                  <w:vMerge w:val="continue"/>
                  <w:tcBorders>
                    <w:tl2br w:val="nil"/>
                    <w:tr2bl w:val="nil"/>
                  </w:tcBorders>
                  <w:noWrap w:val="0"/>
                  <w:tcMar>
                    <w:top w:w="0" w:type="dxa"/>
                    <w:left w:w="0" w:type="dxa"/>
                    <w:bottom w:w="0" w:type="dxa"/>
                    <w:right w:w="0" w:type="dxa"/>
                  </w:tcMar>
                  <w:vAlign w:val="center"/>
                </w:tcPr>
                <w:p w14:paraId="30A8B124">
                  <w:pPr>
                    <w:widowControl/>
                    <w:jc w:val="left"/>
                    <w:rPr>
                      <w:rFonts w:hint="default" w:ascii="Times New Roman" w:hAnsi="Times New Roman" w:eastAsia="宋体" w:cs="Times New Roman"/>
                      <w:color w:val="auto"/>
                      <w:kern w:val="0"/>
                      <w:sz w:val="21"/>
                      <w:szCs w:val="21"/>
                    </w:rPr>
                  </w:pPr>
                </w:p>
              </w:tc>
              <w:tc>
                <w:tcPr>
                  <w:tcW w:w="363" w:type="pct"/>
                  <w:vMerge w:val="continue"/>
                  <w:tcBorders>
                    <w:tl2br w:val="nil"/>
                    <w:tr2bl w:val="nil"/>
                  </w:tcBorders>
                  <w:noWrap w:val="0"/>
                  <w:tcMar>
                    <w:top w:w="0" w:type="dxa"/>
                    <w:left w:w="0" w:type="dxa"/>
                    <w:bottom w:w="0" w:type="dxa"/>
                    <w:right w:w="0" w:type="dxa"/>
                  </w:tcMar>
                  <w:vAlign w:val="center"/>
                </w:tcPr>
                <w:p w14:paraId="5E0B1991">
                  <w:pPr>
                    <w:widowControl/>
                    <w:jc w:val="left"/>
                    <w:rPr>
                      <w:rFonts w:hint="default" w:ascii="Times New Roman" w:hAnsi="Times New Roman" w:eastAsia="宋体" w:cs="Times New Roman"/>
                      <w:color w:val="auto"/>
                      <w:kern w:val="0"/>
                      <w:sz w:val="21"/>
                      <w:szCs w:val="21"/>
                    </w:rPr>
                  </w:pPr>
                </w:p>
              </w:tc>
              <w:tc>
                <w:tcPr>
                  <w:tcW w:w="439" w:type="pct"/>
                  <w:vMerge w:val="continue"/>
                  <w:tcBorders>
                    <w:tl2br w:val="nil"/>
                    <w:tr2bl w:val="nil"/>
                  </w:tcBorders>
                  <w:noWrap w:val="0"/>
                  <w:tcMar>
                    <w:top w:w="0" w:type="dxa"/>
                    <w:left w:w="0" w:type="dxa"/>
                    <w:bottom w:w="0" w:type="dxa"/>
                    <w:right w:w="0" w:type="dxa"/>
                  </w:tcMar>
                  <w:vAlign w:val="center"/>
                </w:tcPr>
                <w:p w14:paraId="566CFAF8">
                  <w:pPr>
                    <w:widowControl/>
                    <w:jc w:val="left"/>
                    <w:rPr>
                      <w:rFonts w:hint="default" w:ascii="Times New Roman" w:hAnsi="Times New Roman" w:eastAsia="宋体" w:cs="Times New Roman"/>
                      <w:color w:val="auto"/>
                      <w:kern w:val="0"/>
                      <w:sz w:val="21"/>
                      <w:szCs w:val="21"/>
                    </w:rPr>
                  </w:pPr>
                </w:p>
              </w:tc>
              <w:tc>
                <w:tcPr>
                  <w:tcW w:w="484" w:type="pct"/>
                  <w:vMerge w:val="continue"/>
                  <w:tcBorders>
                    <w:tl2br w:val="nil"/>
                    <w:tr2bl w:val="nil"/>
                  </w:tcBorders>
                  <w:noWrap w:val="0"/>
                  <w:tcMar>
                    <w:top w:w="0" w:type="dxa"/>
                    <w:left w:w="0" w:type="dxa"/>
                    <w:bottom w:w="0" w:type="dxa"/>
                    <w:right w:w="0" w:type="dxa"/>
                  </w:tcMar>
                  <w:vAlign w:val="center"/>
                </w:tcPr>
                <w:p w14:paraId="59244940">
                  <w:pPr>
                    <w:widowControl/>
                    <w:jc w:val="left"/>
                    <w:rPr>
                      <w:rFonts w:hint="default" w:ascii="Times New Roman" w:hAnsi="Times New Roman" w:eastAsia="宋体" w:cs="Times New Roman"/>
                      <w:color w:val="auto"/>
                      <w:kern w:val="0"/>
                      <w:sz w:val="21"/>
                      <w:szCs w:val="21"/>
                    </w:rPr>
                  </w:pPr>
                </w:p>
              </w:tc>
              <w:tc>
                <w:tcPr>
                  <w:tcW w:w="534" w:type="pct"/>
                  <w:vMerge w:val="continue"/>
                  <w:tcBorders>
                    <w:tl2br w:val="nil"/>
                    <w:tr2bl w:val="nil"/>
                  </w:tcBorders>
                  <w:noWrap w:val="0"/>
                  <w:tcMar>
                    <w:top w:w="0" w:type="dxa"/>
                    <w:left w:w="0" w:type="dxa"/>
                    <w:bottom w:w="0" w:type="dxa"/>
                    <w:right w:w="0" w:type="dxa"/>
                  </w:tcMar>
                  <w:vAlign w:val="center"/>
                </w:tcPr>
                <w:p w14:paraId="004FAE91">
                  <w:pPr>
                    <w:widowControl/>
                    <w:jc w:val="left"/>
                    <w:rPr>
                      <w:rFonts w:hint="default" w:ascii="Times New Roman" w:hAnsi="Times New Roman" w:eastAsia="宋体" w:cs="Times New Roman"/>
                      <w:color w:val="auto"/>
                      <w:kern w:val="0"/>
                      <w:sz w:val="21"/>
                      <w:szCs w:val="21"/>
                    </w:rPr>
                  </w:pPr>
                </w:p>
              </w:tc>
              <w:tc>
                <w:tcPr>
                  <w:tcW w:w="857" w:type="pct"/>
                  <w:vMerge w:val="continue"/>
                  <w:tcBorders>
                    <w:tl2br w:val="nil"/>
                    <w:tr2bl w:val="nil"/>
                  </w:tcBorders>
                  <w:noWrap w:val="0"/>
                  <w:tcMar>
                    <w:top w:w="0" w:type="dxa"/>
                    <w:left w:w="0" w:type="dxa"/>
                    <w:bottom w:w="0" w:type="dxa"/>
                    <w:right w:w="0" w:type="dxa"/>
                  </w:tcMar>
                  <w:vAlign w:val="center"/>
                </w:tcPr>
                <w:p w14:paraId="1FC64C39">
                  <w:pPr>
                    <w:widowControl/>
                    <w:jc w:val="left"/>
                    <w:rPr>
                      <w:rFonts w:hint="default" w:ascii="Times New Roman" w:hAnsi="Times New Roman" w:eastAsia="宋体" w:cs="Times New Roman"/>
                      <w:color w:val="auto"/>
                      <w:kern w:val="0"/>
                      <w:sz w:val="21"/>
                      <w:szCs w:val="21"/>
                    </w:rPr>
                  </w:pPr>
                </w:p>
              </w:tc>
              <w:tc>
                <w:tcPr>
                  <w:tcW w:w="431" w:type="pct"/>
                  <w:tcBorders>
                    <w:tl2br w:val="nil"/>
                    <w:tr2bl w:val="nil"/>
                  </w:tcBorders>
                  <w:noWrap w:val="0"/>
                  <w:tcMar>
                    <w:top w:w="0" w:type="dxa"/>
                    <w:left w:w="0" w:type="dxa"/>
                    <w:bottom w:w="0" w:type="dxa"/>
                    <w:right w:w="0" w:type="dxa"/>
                  </w:tcMar>
                  <w:vAlign w:val="center"/>
                </w:tcPr>
                <w:p w14:paraId="6C68309F">
                  <w:pPr>
                    <w:adjustRightInd w:val="0"/>
                    <w:snapToGrid w:val="0"/>
                    <w:jc w:val="center"/>
                    <w:rPr>
                      <w:rFonts w:hint="default"/>
                      <w:color w:val="auto"/>
                      <w:kern w:val="2"/>
                      <w:sz w:val="21"/>
                      <w:szCs w:val="21"/>
                      <w:lang w:val="en-US" w:eastAsia="zh-CN" w:bidi="ar-SA"/>
                    </w:rPr>
                  </w:pPr>
                  <w:r>
                    <w:rPr>
                      <w:color w:val="auto"/>
                      <w:szCs w:val="21"/>
                    </w:rPr>
                    <w:t>3</w:t>
                  </w:r>
                </w:p>
              </w:tc>
            </w:tr>
          </w:tbl>
          <w:p w14:paraId="1DA7E7DE">
            <w:pPr>
              <w:pStyle w:val="8"/>
              <w:spacing w:before="120" w:beforeLines="50" w:line="360" w:lineRule="auto"/>
              <w:ind w:firstLine="422" w:firstLineChars="200"/>
              <w:rPr>
                <w:b/>
                <w:bCs/>
                <w:color w:val="auto"/>
                <w:szCs w:val="21"/>
              </w:rPr>
            </w:pPr>
            <w:r>
              <w:rPr>
                <w:rFonts w:hint="eastAsia"/>
                <w:b/>
                <w:bCs/>
                <w:color w:val="auto"/>
                <w:szCs w:val="21"/>
              </w:rPr>
              <w:t>3</w:t>
            </w:r>
            <w:r>
              <w:rPr>
                <w:b/>
                <w:bCs/>
                <w:color w:val="auto"/>
                <w:szCs w:val="21"/>
              </w:rPr>
              <w:t>、接管可行性分析</w:t>
            </w:r>
          </w:p>
          <w:p w14:paraId="26A4A04E">
            <w:pPr>
              <w:autoSpaceDE w:val="0"/>
              <w:autoSpaceDN w:val="0"/>
              <w:adjustRightInd w:val="0"/>
              <w:spacing w:line="360" w:lineRule="auto"/>
              <w:ind w:firstLine="422" w:firstLineChars="200"/>
              <w:jc w:val="left"/>
              <w:rPr>
                <w:b/>
                <w:color w:val="auto"/>
                <w:szCs w:val="21"/>
              </w:rPr>
            </w:pPr>
            <w:r>
              <w:rPr>
                <w:b/>
                <w:color w:val="auto"/>
                <w:szCs w:val="21"/>
              </w:rPr>
              <w:t>厂内污水接管可行性分析</w:t>
            </w:r>
          </w:p>
          <w:p w14:paraId="42ACF05C">
            <w:pPr>
              <w:autoSpaceDE w:val="0"/>
              <w:autoSpaceDN w:val="0"/>
              <w:adjustRightInd w:val="0"/>
              <w:spacing w:line="360" w:lineRule="auto"/>
              <w:ind w:firstLine="420" w:firstLineChars="200"/>
              <w:rPr>
                <w:color w:val="auto"/>
                <w:spacing w:val="15"/>
                <w:szCs w:val="21"/>
              </w:rPr>
            </w:pPr>
            <w:r>
              <w:rPr>
                <w:color w:val="auto"/>
                <w:szCs w:val="21"/>
              </w:rPr>
              <w:t>本项目生活污水排入</w:t>
            </w:r>
            <w:r>
              <w:rPr>
                <w:rFonts w:hint="eastAsia"/>
                <w:color w:val="auto"/>
                <w:szCs w:val="21"/>
              </w:rPr>
              <w:t>常州金坛区第二污水处理有限公司</w:t>
            </w:r>
            <w:r>
              <w:rPr>
                <w:color w:val="auto"/>
                <w:szCs w:val="21"/>
              </w:rPr>
              <w:t>处理；本项目接管排放的污水量共计</w:t>
            </w:r>
            <w:r>
              <w:rPr>
                <w:rFonts w:hint="eastAsia"/>
                <w:color w:val="auto"/>
                <w:szCs w:val="21"/>
                <w:lang w:val="en-US" w:eastAsia="zh-CN"/>
              </w:rPr>
              <w:t>144</w:t>
            </w:r>
            <w:r>
              <w:rPr>
                <w:color w:val="auto"/>
                <w:szCs w:val="21"/>
              </w:rPr>
              <w:t>t/a，接管水质为</w:t>
            </w:r>
            <w:r>
              <w:rPr>
                <w:rFonts w:hint="default" w:ascii="Times New Roman" w:hAnsi="Times New Roman" w:eastAsia="宋体" w:cs="Times New Roman"/>
                <w:color w:val="auto"/>
                <w:sz w:val="21"/>
                <w:szCs w:val="21"/>
              </w:rPr>
              <w:t>COD</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400mg/L、SS</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200mg/L、NH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eastAsia" w:cs="Times New Roman"/>
                <w:color w:val="auto"/>
                <w:sz w:val="21"/>
                <w:szCs w:val="21"/>
                <w:lang w:val="en-US" w:eastAsia="zh-CN"/>
              </w:rPr>
              <w:t xml:space="preserve"> 30</w:t>
            </w:r>
            <w:r>
              <w:rPr>
                <w:rFonts w:hint="default" w:ascii="Times New Roman" w:hAnsi="Times New Roman" w:eastAsia="宋体" w:cs="Times New Roman"/>
                <w:color w:val="auto"/>
                <w:sz w:val="21"/>
                <w:szCs w:val="21"/>
              </w:rPr>
              <w:t xml:space="preserve">mg/L、TN </w:t>
            </w:r>
            <w:r>
              <w:rPr>
                <w:rFonts w:hint="eastAsia" w:cs="Times New Roman"/>
                <w:color w:val="auto"/>
                <w:sz w:val="21"/>
                <w:szCs w:val="21"/>
                <w:lang w:val="en-US" w:eastAsia="zh-CN"/>
              </w:rPr>
              <w:t>40</w:t>
            </w:r>
            <w:r>
              <w:rPr>
                <w:rFonts w:hint="default" w:ascii="Times New Roman" w:hAnsi="Times New Roman" w:eastAsia="宋体" w:cs="Times New Roman"/>
                <w:color w:val="auto"/>
                <w:sz w:val="21"/>
                <w:szCs w:val="21"/>
              </w:rPr>
              <w:t>mg/L、TP 3mg/L</w:t>
            </w:r>
            <w:r>
              <w:rPr>
                <w:color w:val="auto"/>
                <w:szCs w:val="21"/>
              </w:rPr>
              <w:t>，</w:t>
            </w:r>
            <w:r>
              <w:rPr>
                <w:rFonts w:hint="default" w:ascii="Times New Roman" w:hAnsi="Times New Roman" w:eastAsia="宋体" w:cs="Times New Roman"/>
                <w:color w:val="auto"/>
                <w:sz w:val="21"/>
                <w:szCs w:val="21"/>
              </w:rPr>
              <w:t>可达到金坛区污水处理厂接管要求。即：COD≤500mg/L、SS≤250mg/L、氨氮≤35mg/L、TP≤3mg/L、TN≤50mg/L</w:t>
            </w:r>
            <w:r>
              <w:rPr>
                <w:color w:val="auto"/>
                <w:szCs w:val="21"/>
              </w:rPr>
              <w:t>。</w:t>
            </w:r>
          </w:p>
          <w:p w14:paraId="151F9124">
            <w:pPr>
              <w:spacing w:line="360" w:lineRule="auto"/>
              <w:ind w:firstLine="422" w:firstLineChars="200"/>
              <w:jc w:val="left"/>
              <w:rPr>
                <w:b/>
                <w:bCs/>
                <w:color w:val="auto"/>
                <w:szCs w:val="21"/>
              </w:rPr>
            </w:pPr>
            <w:r>
              <w:rPr>
                <w:b/>
                <w:bCs/>
                <w:color w:val="auto"/>
                <w:szCs w:val="21"/>
              </w:rPr>
              <w:t>污水处理厂处理负荷可行性分析：</w:t>
            </w:r>
          </w:p>
          <w:p w14:paraId="3C72FD61">
            <w:pPr>
              <w:spacing w:line="360" w:lineRule="auto"/>
              <w:ind w:firstLine="420" w:firstLineChars="200"/>
              <w:rPr>
                <w:color w:val="auto"/>
                <w:szCs w:val="21"/>
              </w:rPr>
            </w:pPr>
            <w:r>
              <w:rPr>
                <w:rFonts w:hint="eastAsia"/>
                <w:color w:val="auto"/>
                <w:szCs w:val="21"/>
              </w:rPr>
              <w:t>常州金坛区第二污水处理有限公司</w:t>
            </w:r>
            <w:r>
              <w:rPr>
                <w:color w:val="auto"/>
                <w:szCs w:val="21"/>
              </w:rPr>
              <w:t>一期建设规模2万m</w:t>
            </w:r>
            <w:r>
              <w:rPr>
                <w:color w:val="auto"/>
                <w:szCs w:val="21"/>
                <w:vertAlign w:val="superscript"/>
              </w:rPr>
              <w:t>3</w:t>
            </w:r>
            <w:r>
              <w:rPr>
                <w:color w:val="auto"/>
                <w:szCs w:val="21"/>
              </w:rPr>
              <w:t>/d，于2005年底建成运营；二期2万m</w:t>
            </w:r>
            <w:r>
              <w:rPr>
                <w:color w:val="auto"/>
                <w:szCs w:val="21"/>
                <w:vertAlign w:val="superscript"/>
              </w:rPr>
              <w:t>3</w:t>
            </w:r>
            <w:r>
              <w:rPr>
                <w:color w:val="auto"/>
                <w:szCs w:val="21"/>
              </w:rPr>
              <w:t>/d，已于2009年底正式投入运营；三期2万m</w:t>
            </w:r>
            <w:r>
              <w:rPr>
                <w:color w:val="auto"/>
                <w:szCs w:val="21"/>
                <w:vertAlign w:val="superscript"/>
              </w:rPr>
              <w:t>3</w:t>
            </w:r>
            <w:r>
              <w:rPr>
                <w:color w:val="auto"/>
                <w:szCs w:val="21"/>
              </w:rPr>
              <w:t>/d，已于2014年4月8日取得原金坛市环保局的环评批复。目前</w:t>
            </w:r>
            <w:r>
              <w:rPr>
                <w:rFonts w:hint="eastAsia"/>
                <w:color w:val="auto"/>
                <w:szCs w:val="21"/>
              </w:rPr>
              <w:t>常州金坛区第二污水处理有限公司</w:t>
            </w:r>
            <w:r>
              <w:rPr>
                <w:color w:val="auto"/>
                <w:szCs w:val="21"/>
              </w:rPr>
              <w:t>处理能力已达6万m</w:t>
            </w:r>
            <w:r>
              <w:rPr>
                <w:color w:val="auto"/>
                <w:szCs w:val="21"/>
                <w:vertAlign w:val="superscript"/>
              </w:rPr>
              <w:t>3</w:t>
            </w:r>
            <w:r>
              <w:rPr>
                <w:color w:val="auto"/>
                <w:szCs w:val="21"/>
              </w:rPr>
              <w:t>/d，实际污水处理量为5.5万m</w:t>
            </w:r>
            <w:r>
              <w:rPr>
                <w:color w:val="auto"/>
                <w:szCs w:val="21"/>
                <w:vertAlign w:val="superscript"/>
              </w:rPr>
              <w:t>3</w:t>
            </w:r>
            <w:r>
              <w:rPr>
                <w:color w:val="auto"/>
                <w:szCs w:val="21"/>
              </w:rPr>
              <w:t>/d，尚有0.5万m</w:t>
            </w:r>
            <w:r>
              <w:rPr>
                <w:color w:val="auto"/>
                <w:szCs w:val="21"/>
                <w:vertAlign w:val="superscript"/>
              </w:rPr>
              <w:t>3</w:t>
            </w:r>
            <w:r>
              <w:rPr>
                <w:color w:val="auto"/>
                <w:szCs w:val="21"/>
              </w:rPr>
              <w:t>/d的余量，且规划建设规模为16万m</w:t>
            </w:r>
            <w:r>
              <w:rPr>
                <w:color w:val="auto"/>
                <w:szCs w:val="21"/>
                <w:vertAlign w:val="superscript"/>
              </w:rPr>
              <w:t>3</w:t>
            </w:r>
            <w:r>
              <w:rPr>
                <w:color w:val="auto"/>
                <w:szCs w:val="21"/>
              </w:rPr>
              <w:t>/d。</w:t>
            </w:r>
          </w:p>
          <w:p w14:paraId="35F7DF55">
            <w:pPr>
              <w:spacing w:line="360" w:lineRule="auto"/>
              <w:ind w:firstLine="420" w:firstLineChars="200"/>
              <w:rPr>
                <w:color w:val="auto"/>
                <w:szCs w:val="21"/>
              </w:rPr>
            </w:pPr>
            <w:r>
              <w:rPr>
                <w:color w:val="auto"/>
                <w:szCs w:val="21"/>
              </w:rPr>
              <w:t>本项目建成后污水排放量为</w:t>
            </w:r>
            <w:r>
              <w:rPr>
                <w:rFonts w:hint="eastAsia"/>
                <w:color w:val="auto"/>
                <w:szCs w:val="21"/>
                <w:lang w:val="en-US" w:eastAsia="zh-CN"/>
              </w:rPr>
              <w:t>0.48</w:t>
            </w:r>
            <w:r>
              <w:rPr>
                <w:color w:val="auto"/>
                <w:szCs w:val="21"/>
              </w:rPr>
              <w:t>m</w:t>
            </w:r>
            <w:r>
              <w:rPr>
                <w:color w:val="auto"/>
                <w:szCs w:val="21"/>
                <w:vertAlign w:val="superscript"/>
              </w:rPr>
              <w:t>3</w:t>
            </w:r>
            <w:r>
              <w:rPr>
                <w:color w:val="auto"/>
                <w:szCs w:val="21"/>
              </w:rPr>
              <w:t>/d，占</w:t>
            </w:r>
            <w:r>
              <w:rPr>
                <w:rFonts w:hint="eastAsia"/>
                <w:color w:val="auto"/>
                <w:szCs w:val="21"/>
              </w:rPr>
              <w:t>常州金坛区第二污水处理有限公司</w:t>
            </w:r>
            <w:r>
              <w:rPr>
                <w:color w:val="auto"/>
                <w:szCs w:val="21"/>
              </w:rPr>
              <w:t>处理余量的比例较小，仅0</w:t>
            </w:r>
            <w:r>
              <w:rPr>
                <w:rFonts w:hint="eastAsia"/>
                <w:color w:val="auto"/>
                <w:szCs w:val="21"/>
                <w:lang w:val="en-US" w:eastAsia="zh-CN"/>
              </w:rPr>
              <w:t>.0096</w:t>
            </w:r>
            <w:r>
              <w:rPr>
                <w:color w:val="auto"/>
                <w:szCs w:val="21"/>
              </w:rPr>
              <w:t>%。因此，从水量分析，</w:t>
            </w:r>
            <w:r>
              <w:rPr>
                <w:rFonts w:hint="eastAsia"/>
                <w:color w:val="auto"/>
                <w:szCs w:val="21"/>
              </w:rPr>
              <w:t>常州金坛区第二污水处理有限公司</w:t>
            </w:r>
            <w:r>
              <w:rPr>
                <w:color w:val="auto"/>
                <w:szCs w:val="21"/>
              </w:rPr>
              <w:t>接纳本项目废水是可行的。</w:t>
            </w:r>
          </w:p>
          <w:p w14:paraId="7E4388B0">
            <w:pPr>
              <w:adjustRightInd w:val="0"/>
              <w:snapToGrid w:val="0"/>
              <w:spacing w:line="360" w:lineRule="auto"/>
              <w:ind w:firstLine="422" w:firstLineChars="200"/>
              <w:jc w:val="left"/>
              <w:rPr>
                <w:b/>
                <w:bCs/>
                <w:color w:val="auto"/>
                <w:szCs w:val="21"/>
              </w:rPr>
            </w:pPr>
            <w:r>
              <w:rPr>
                <w:b/>
                <w:bCs/>
                <w:color w:val="auto"/>
                <w:szCs w:val="21"/>
              </w:rPr>
              <w:t>污水处理厂处理工艺可行性分析：</w:t>
            </w:r>
          </w:p>
          <w:p w14:paraId="614E4534">
            <w:pPr>
              <w:adjustRightInd w:val="0"/>
              <w:snapToGrid w:val="0"/>
              <w:spacing w:line="360" w:lineRule="auto"/>
              <w:ind w:firstLine="420" w:firstLineChars="200"/>
              <w:rPr>
                <w:rFonts w:hint="eastAsia"/>
                <w:color w:val="auto"/>
                <w:szCs w:val="21"/>
              </w:rPr>
            </w:pPr>
            <w:r>
              <w:rPr>
                <w:rFonts w:hint="eastAsia"/>
                <w:color w:val="auto"/>
                <w:szCs w:val="21"/>
              </w:rPr>
              <w:t>常州金坛区第二污水处理有限公司</w:t>
            </w:r>
            <w:r>
              <w:rPr>
                <w:color w:val="auto"/>
                <w:szCs w:val="21"/>
              </w:rPr>
              <w:t>采用A</w:t>
            </w:r>
            <w:r>
              <w:rPr>
                <w:color w:val="auto"/>
                <w:szCs w:val="21"/>
                <w:vertAlign w:val="superscript"/>
              </w:rPr>
              <w:t>2</w:t>
            </w:r>
            <w:r>
              <w:rPr>
                <w:color w:val="auto"/>
                <w:szCs w:val="21"/>
              </w:rPr>
              <w:t>/O工艺，把除磷、脱氮和降解有机物三个生化过程结合起来，在厌氧段和缺氧段为除磷和脱氮提供各自不同的反应条件。污水处理厂尾水执行《城镇污水处理厂污染物排放标准》（GB18918-2002）一级A标准及《太湖地区城镇污水处理厂及重点工业行业重要水污染物排放限值》（DB32/1072-2018）标准，排入尧塘河。具体工艺流程见下图。</w:t>
            </w:r>
          </w:p>
          <w:p w14:paraId="679D02C1">
            <w:pPr>
              <w:spacing w:line="360" w:lineRule="auto"/>
              <w:jc w:val="center"/>
              <w:rPr>
                <w:b/>
                <w:color w:val="auto"/>
                <w:szCs w:val="21"/>
              </w:rPr>
            </w:pPr>
            <w:r>
              <w:rPr>
                <w:color w:val="auto"/>
                <w:szCs w:val="21"/>
              </w:rPr>
              <w:object>
                <v:shape id="_x0000_i1030" o:spt="75" type="#_x0000_t75" style="height:136.5pt;width:419.3pt;" o:ole="t" filled="f" o:preferrelative="t" stroked="f" coordsize="21600,21600">
                  <v:path/>
                  <v:fill on="f" focussize="0,0"/>
                  <v:stroke on="f"/>
                  <v:imagedata r:id="rId24" o:title=""/>
                  <o:lock v:ext="edit" aspectratio="t"/>
                  <w10:wrap type="none"/>
                  <w10:anchorlock/>
                </v:shape>
                <o:OLEObject Type="Embed" ProgID="Visio.Drawing.11" ShapeID="_x0000_i1030" DrawAspect="Content" ObjectID="_1468075730" r:id="rId23">
                  <o:LockedField>false</o:LockedField>
                </o:OLEObject>
              </w:object>
            </w:r>
            <w:r>
              <w:rPr>
                <w:b/>
                <w:color w:val="auto"/>
                <w:szCs w:val="21"/>
              </w:rPr>
              <w:t>图4-</w:t>
            </w:r>
            <w:r>
              <w:rPr>
                <w:rFonts w:hint="eastAsia"/>
                <w:b/>
                <w:color w:val="auto"/>
                <w:szCs w:val="21"/>
              </w:rPr>
              <w:t>2</w:t>
            </w:r>
            <w:r>
              <w:rPr>
                <w:b/>
                <w:color w:val="auto"/>
                <w:szCs w:val="21"/>
              </w:rPr>
              <w:t xml:space="preserve"> </w:t>
            </w:r>
            <w:r>
              <w:rPr>
                <w:rFonts w:hint="eastAsia"/>
                <w:b/>
                <w:color w:val="auto"/>
                <w:szCs w:val="21"/>
              </w:rPr>
              <w:t>常州金坛区第二污水处理有限公司</w:t>
            </w:r>
            <w:r>
              <w:rPr>
                <w:b/>
                <w:color w:val="auto"/>
                <w:szCs w:val="21"/>
              </w:rPr>
              <w:t>处理工艺流程图</w:t>
            </w:r>
          </w:p>
          <w:p w14:paraId="2BA82361">
            <w:pPr>
              <w:adjustRightInd w:val="0"/>
              <w:snapToGrid w:val="0"/>
              <w:spacing w:line="360" w:lineRule="auto"/>
              <w:ind w:firstLine="420" w:firstLineChars="200"/>
              <w:rPr>
                <w:color w:val="auto"/>
                <w:szCs w:val="21"/>
              </w:rPr>
            </w:pPr>
            <w:r>
              <w:rPr>
                <w:color w:val="auto"/>
                <w:szCs w:val="21"/>
              </w:rPr>
              <w:t>污水处理工艺简述：废水经过粗格栅隔去除尺寸较大的杂质由进水泵房的污水泵将污水经细格栅打入旋流沉砂池。污水经过沉砂后进入A</w:t>
            </w:r>
            <w:r>
              <w:rPr>
                <w:color w:val="auto"/>
                <w:szCs w:val="21"/>
                <w:vertAlign w:val="superscript"/>
              </w:rPr>
              <w:t>2</w:t>
            </w:r>
            <w:r>
              <w:rPr>
                <w:color w:val="auto"/>
                <w:szCs w:val="21"/>
              </w:rPr>
              <w:t>/O反应池进行生化处理，通过厌氧、缺氧和好氧交替变化的环境完成除磷脱氮，处理后废水经加氯接触消毒后排放。A</w:t>
            </w:r>
            <w:r>
              <w:rPr>
                <w:color w:val="auto"/>
                <w:szCs w:val="21"/>
                <w:vertAlign w:val="superscript"/>
              </w:rPr>
              <w:t>2</w:t>
            </w:r>
            <w:r>
              <w:rPr>
                <w:color w:val="auto"/>
                <w:szCs w:val="21"/>
              </w:rPr>
              <w:t>/O反应池剩余污泥从沉淀区排出，进入污泥均质池（回流污泥泵房），然后进入污泥浓缩脱水车间采用板框压滤机压成泥饼外运。污泥处理产生的废水返回到废水处理工艺流程，尾水处理达标后排入尧塘河。</w:t>
            </w:r>
          </w:p>
          <w:p w14:paraId="480D1C96">
            <w:pPr>
              <w:adjustRightInd w:val="0"/>
              <w:snapToGrid w:val="0"/>
              <w:spacing w:line="360" w:lineRule="auto"/>
              <w:ind w:firstLine="420" w:firstLineChars="200"/>
              <w:rPr>
                <w:color w:val="auto"/>
                <w:szCs w:val="21"/>
              </w:rPr>
            </w:pPr>
            <w:r>
              <w:rPr>
                <w:color w:val="auto"/>
                <w:szCs w:val="21"/>
              </w:rPr>
              <w:t>本项目废水主要污染物为COD、SS、NH</w:t>
            </w:r>
            <w:r>
              <w:rPr>
                <w:color w:val="auto"/>
                <w:szCs w:val="21"/>
                <w:vertAlign w:val="subscript"/>
              </w:rPr>
              <w:t>3</w:t>
            </w:r>
            <w:r>
              <w:rPr>
                <w:color w:val="auto"/>
                <w:szCs w:val="21"/>
              </w:rPr>
              <w:t>-N、TP、TN，水质简单，可生化性好，从废水排放达标分析结果可知，废水水质满足</w:t>
            </w:r>
            <w:r>
              <w:rPr>
                <w:rFonts w:hint="eastAsia"/>
                <w:color w:val="auto"/>
                <w:szCs w:val="21"/>
              </w:rPr>
              <w:t>常州金坛区第二污水处理有限公司</w:t>
            </w:r>
            <w:r>
              <w:rPr>
                <w:color w:val="auto"/>
                <w:szCs w:val="21"/>
              </w:rPr>
              <w:t>接管水质要求。即从处理工艺上接管可行。</w:t>
            </w:r>
          </w:p>
          <w:p w14:paraId="0C41B959">
            <w:pPr>
              <w:adjustRightInd w:val="0"/>
              <w:snapToGrid w:val="0"/>
              <w:spacing w:line="360" w:lineRule="auto"/>
              <w:ind w:firstLine="480" w:firstLineChars="200"/>
              <w:rPr>
                <w:color w:val="auto"/>
                <w:spacing w:val="15"/>
                <w:szCs w:val="21"/>
              </w:rPr>
            </w:pPr>
            <w:r>
              <w:rPr>
                <w:color w:val="auto"/>
                <w:spacing w:val="15"/>
                <w:szCs w:val="21"/>
              </w:rPr>
              <w:t>本项目污水经第二污水处理厂处理后排放至尧塘河。引用</w:t>
            </w:r>
            <w:r>
              <w:rPr>
                <w:rFonts w:hint="eastAsia"/>
                <w:color w:val="auto"/>
                <w:spacing w:val="15"/>
                <w:szCs w:val="21"/>
              </w:rPr>
              <w:t>常州金坛区第二污水处理有限公司</w:t>
            </w:r>
            <w:r>
              <w:rPr>
                <w:color w:val="auto"/>
                <w:spacing w:val="15"/>
                <w:szCs w:val="21"/>
              </w:rPr>
              <w:t>的环评结论，废水经</w:t>
            </w:r>
            <w:r>
              <w:rPr>
                <w:rFonts w:hint="eastAsia"/>
                <w:color w:val="auto"/>
                <w:spacing w:val="15"/>
                <w:szCs w:val="21"/>
              </w:rPr>
              <w:t>常州金坛区第二污水处理有限公司</w:t>
            </w:r>
            <w:r>
              <w:rPr>
                <w:color w:val="auto"/>
                <w:spacing w:val="15"/>
                <w:szCs w:val="21"/>
              </w:rPr>
              <w:t>处理后对尧塘河的影响较小。</w:t>
            </w:r>
          </w:p>
          <w:p w14:paraId="6C202947">
            <w:pPr>
              <w:pStyle w:val="8"/>
              <w:spacing w:line="360" w:lineRule="auto"/>
              <w:ind w:firstLine="422" w:firstLineChars="200"/>
              <w:rPr>
                <w:b/>
                <w:bCs/>
                <w:color w:val="auto"/>
                <w:szCs w:val="21"/>
              </w:rPr>
            </w:pPr>
            <w:r>
              <w:rPr>
                <w:rFonts w:hint="eastAsia"/>
                <w:b/>
                <w:bCs/>
                <w:color w:val="auto"/>
                <w:szCs w:val="21"/>
              </w:rPr>
              <w:t>4</w:t>
            </w:r>
            <w:r>
              <w:rPr>
                <w:b/>
                <w:bCs/>
                <w:color w:val="auto"/>
                <w:szCs w:val="21"/>
              </w:rPr>
              <w:t>、环境监测</w:t>
            </w:r>
          </w:p>
          <w:p w14:paraId="56E4B4E9">
            <w:pPr>
              <w:spacing w:line="360" w:lineRule="auto"/>
              <w:ind w:firstLine="420" w:firstLineChars="200"/>
              <w:jc w:val="left"/>
              <w:rPr>
                <w:rFonts w:hint="eastAsia"/>
                <w:b/>
                <w:color w:val="auto"/>
                <w:szCs w:val="21"/>
              </w:rPr>
            </w:pPr>
            <w:r>
              <w:rPr>
                <w:color w:val="auto"/>
                <w:szCs w:val="21"/>
              </w:rPr>
              <w:t>根据《排污单位自行监测技术指南 总则》（HJ819-2017），本项目营运期废水监测计划见下表</w:t>
            </w:r>
            <w:r>
              <w:rPr>
                <w:rFonts w:hint="eastAsia"/>
                <w:color w:val="auto"/>
                <w:szCs w:val="21"/>
              </w:rPr>
              <w:t>。</w:t>
            </w:r>
          </w:p>
          <w:p w14:paraId="7992F145">
            <w:pPr>
              <w:keepNext w:val="0"/>
              <w:keepLines w:val="0"/>
              <w:pageBreakBefore w:val="0"/>
              <w:widowControl w:val="0"/>
              <w:kinsoku/>
              <w:wordWrap/>
              <w:overflowPunct/>
              <w:topLinePunct w:val="0"/>
              <w:autoSpaceDE/>
              <w:autoSpaceDN/>
              <w:bidi w:val="0"/>
              <w:adjustRightInd/>
              <w:snapToGrid/>
              <w:jc w:val="center"/>
              <w:textAlignment w:val="auto"/>
              <w:rPr>
                <w:b/>
                <w:color w:val="auto"/>
                <w:szCs w:val="21"/>
              </w:rPr>
            </w:pPr>
            <w:r>
              <w:rPr>
                <w:b/>
                <w:color w:val="auto"/>
                <w:szCs w:val="21"/>
              </w:rPr>
              <w:t>表4-</w:t>
            </w:r>
            <w:r>
              <w:rPr>
                <w:rFonts w:hint="eastAsia"/>
                <w:b/>
                <w:color w:val="auto"/>
                <w:szCs w:val="21"/>
              </w:rPr>
              <w:t>1</w:t>
            </w:r>
            <w:r>
              <w:rPr>
                <w:rFonts w:hint="eastAsia"/>
                <w:b/>
                <w:color w:val="auto"/>
                <w:szCs w:val="21"/>
                <w:lang w:val="en-US" w:eastAsia="zh-CN"/>
              </w:rPr>
              <w:t>9</w:t>
            </w:r>
            <w:r>
              <w:rPr>
                <w:b/>
                <w:color w:val="auto"/>
                <w:szCs w:val="21"/>
              </w:rPr>
              <w:t xml:space="preserve"> 本项目废水监测计划表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44"/>
              <w:gridCol w:w="939"/>
              <w:gridCol w:w="1486"/>
              <w:gridCol w:w="1004"/>
              <w:gridCol w:w="2311"/>
              <w:gridCol w:w="1245"/>
            </w:tblGrid>
            <w:tr w14:paraId="4C215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7" w:type="pct"/>
                  <w:noWrap w:val="0"/>
                  <w:tcMar>
                    <w:top w:w="0" w:type="dxa"/>
                    <w:left w:w="0" w:type="dxa"/>
                    <w:bottom w:w="0" w:type="dxa"/>
                    <w:right w:w="0" w:type="dxa"/>
                  </w:tcMar>
                  <w:vAlign w:val="center"/>
                </w:tcPr>
                <w:p w14:paraId="540AD50D">
                  <w:pPr>
                    <w:adjustRightInd w:val="0"/>
                    <w:snapToGrid w:val="0"/>
                    <w:jc w:val="center"/>
                    <w:rPr>
                      <w:b/>
                      <w:color w:val="auto"/>
                      <w:szCs w:val="21"/>
                    </w:rPr>
                  </w:pPr>
                  <w:r>
                    <w:rPr>
                      <w:b/>
                      <w:color w:val="auto"/>
                      <w:szCs w:val="21"/>
                    </w:rPr>
                    <w:t>时段</w:t>
                  </w:r>
                </w:p>
              </w:tc>
              <w:tc>
                <w:tcPr>
                  <w:tcW w:w="324" w:type="pct"/>
                  <w:noWrap w:val="0"/>
                  <w:tcMar>
                    <w:top w:w="0" w:type="dxa"/>
                    <w:left w:w="0" w:type="dxa"/>
                    <w:bottom w:w="0" w:type="dxa"/>
                    <w:right w:w="0" w:type="dxa"/>
                  </w:tcMar>
                  <w:vAlign w:val="center"/>
                </w:tcPr>
                <w:p w14:paraId="18ACE9E3">
                  <w:pPr>
                    <w:adjustRightInd w:val="0"/>
                    <w:snapToGrid w:val="0"/>
                    <w:jc w:val="center"/>
                    <w:rPr>
                      <w:b/>
                      <w:color w:val="auto"/>
                      <w:szCs w:val="21"/>
                    </w:rPr>
                  </w:pPr>
                  <w:r>
                    <w:rPr>
                      <w:b/>
                      <w:color w:val="auto"/>
                      <w:szCs w:val="21"/>
                    </w:rPr>
                    <w:t>类别</w:t>
                  </w:r>
                </w:p>
              </w:tc>
              <w:tc>
                <w:tcPr>
                  <w:tcW w:w="560" w:type="pct"/>
                  <w:noWrap w:val="0"/>
                  <w:tcMar>
                    <w:top w:w="0" w:type="dxa"/>
                    <w:left w:w="0" w:type="dxa"/>
                    <w:bottom w:w="0" w:type="dxa"/>
                    <w:right w:w="0" w:type="dxa"/>
                  </w:tcMar>
                  <w:vAlign w:val="center"/>
                </w:tcPr>
                <w:p w14:paraId="3DE74F2E">
                  <w:pPr>
                    <w:jc w:val="center"/>
                    <w:rPr>
                      <w:b/>
                      <w:color w:val="auto"/>
                      <w:szCs w:val="21"/>
                    </w:rPr>
                  </w:pPr>
                  <w:r>
                    <w:rPr>
                      <w:b/>
                      <w:color w:val="auto"/>
                      <w:szCs w:val="21"/>
                    </w:rPr>
                    <w:t>监测位置</w:t>
                  </w:r>
                </w:p>
              </w:tc>
              <w:tc>
                <w:tcPr>
                  <w:tcW w:w="886" w:type="pct"/>
                  <w:noWrap w:val="0"/>
                  <w:tcMar>
                    <w:top w:w="0" w:type="dxa"/>
                    <w:left w:w="0" w:type="dxa"/>
                    <w:bottom w:w="0" w:type="dxa"/>
                    <w:right w:w="0" w:type="dxa"/>
                  </w:tcMar>
                  <w:vAlign w:val="center"/>
                </w:tcPr>
                <w:p w14:paraId="11B9BA6A">
                  <w:pPr>
                    <w:jc w:val="center"/>
                    <w:rPr>
                      <w:b/>
                      <w:color w:val="auto"/>
                      <w:szCs w:val="21"/>
                    </w:rPr>
                  </w:pPr>
                  <w:r>
                    <w:rPr>
                      <w:b/>
                      <w:color w:val="auto"/>
                      <w:szCs w:val="21"/>
                    </w:rPr>
                    <w:t>监测因子</w:t>
                  </w:r>
                </w:p>
              </w:tc>
              <w:tc>
                <w:tcPr>
                  <w:tcW w:w="599" w:type="pct"/>
                  <w:noWrap w:val="0"/>
                  <w:tcMar>
                    <w:top w:w="0" w:type="dxa"/>
                    <w:left w:w="0" w:type="dxa"/>
                    <w:bottom w:w="0" w:type="dxa"/>
                    <w:right w:w="0" w:type="dxa"/>
                  </w:tcMar>
                  <w:vAlign w:val="center"/>
                </w:tcPr>
                <w:p w14:paraId="0DE3D3CC">
                  <w:pPr>
                    <w:jc w:val="center"/>
                    <w:rPr>
                      <w:b/>
                      <w:color w:val="auto"/>
                      <w:szCs w:val="21"/>
                    </w:rPr>
                  </w:pPr>
                  <w:r>
                    <w:rPr>
                      <w:b/>
                      <w:color w:val="auto"/>
                      <w:szCs w:val="21"/>
                    </w:rPr>
                    <w:t>监测频次</w:t>
                  </w:r>
                </w:p>
              </w:tc>
              <w:tc>
                <w:tcPr>
                  <w:tcW w:w="1378" w:type="pct"/>
                  <w:noWrap w:val="0"/>
                  <w:tcMar>
                    <w:top w:w="0" w:type="dxa"/>
                    <w:left w:w="0" w:type="dxa"/>
                    <w:bottom w:w="0" w:type="dxa"/>
                    <w:right w:w="0" w:type="dxa"/>
                  </w:tcMar>
                  <w:vAlign w:val="center"/>
                </w:tcPr>
                <w:p w14:paraId="490941EF">
                  <w:pPr>
                    <w:adjustRightInd w:val="0"/>
                    <w:snapToGrid w:val="0"/>
                    <w:jc w:val="center"/>
                    <w:rPr>
                      <w:b/>
                      <w:color w:val="auto"/>
                      <w:szCs w:val="21"/>
                    </w:rPr>
                  </w:pPr>
                  <w:r>
                    <w:rPr>
                      <w:b/>
                      <w:color w:val="auto"/>
                      <w:szCs w:val="21"/>
                    </w:rPr>
                    <w:t>执行标准</w:t>
                  </w:r>
                </w:p>
              </w:tc>
              <w:tc>
                <w:tcPr>
                  <w:tcW w:w="742" w:type="pct"/>
                  <w:noWrap w:val="0"/>
                  <w:tcMar>
                    <w:top w:w="0" w:type="dxa"/>
                    <w:left w:w="0" w:type="dxa"/>
                    <w:bottom w:w="0" w:type="dxa"/>
                    <w:right w:w="0" w:type="dxa"/>
                  </w:tcMar>
                  <w:vAlign w:val="center"/>
                </w:tcPr>
                <w:p w14:paraId="0DF2C82E">
                  <w:pPr>
                    <w:adjustRightInd w:val="0"/>
                    <w:snapToGrid w:val="0"/>
                    <w:jc w:val="center"/>
                    <w:rPr>
                      <w:b/>
                      <w:color w:val="auto"/>
                      <w:szCs w:val="21"/>
                    </w:rPr>
                  </w:pPr>
                  <w:r>
                    <w:rPr>
                      <w:b/>
                      <w:color w:val="auto"/>
                      <w:szCs w:val="21"/>
                    </w:rPr>
                    <w:t>监测单位</w:t>
                  </w:r>
                </w:p>
              </w:tc>
            </w:tr>
            <w:tr w14:paraId="6E581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7" w:type="pct"/>
                  <w:noWrap w:val="0"/>
                  <w:tcMar>
                    <w:top w:w="0" w:type="dxa"/>
                    <w:left w:w="0" w:type="dxa"/>
                    <w:bottom w:w="0" w:type="dxa"/>
                    <w:right w:w="0" w:type="dxa"/>
                  </w:tcMar>
                  <w:vAlign w:val="center"/>
                </w:tcPr>
                <w:p w14:paraId="6552374F">
                  <w:pPr>
                    <w:widowControl/>
                    <w:jc w:val="center"/>
                    <w:rPr>
                      <w:color w:val="auto"/>
                      <w:szCs w:val="21"/>
                    </w:rPr>
                  </w:pPr>
                  <w:r>
                    <w:rPr>
                      <w:color w:val="auto"/>
                      <w:szCs w:val="21"/>
                    </w:rPr>
                    <w:t>日常监测</w:t>
                  </w:r>
                </w:p>
              </w:tc>
              <w:tc>
                <w:tcPr>
                  <w:tcW w:w="324" w:type="pct"/>
                  <w:noWrap w:val="0"/>
                  <w:tcMar>
                    <w:top w:w="0" w:type="dxa"/>
                    <w:left w:w="0" w:type="dxa"/>
                    <w:bottom w:w="0" w:type="dxa"/>
                    <w:right w:w="0" w:type="dxa"/>
                  </w:tcMar>
                  <w:vAlign w:val="center"/>
                </w:tcPr>
                <w:p w14:paraId="45C995ED">
                  <w:pPr>
                    <w:adjustRightInd w:val="0"/>
                    <w:snapToGrid w:val="0"/>
                    <w:jc w:val="center"/>
                    <w:rPr>
                      <w:color w:val="auto"/>
                      <w:szCs w:val="21"/>
                    </w:rPr>
                  </w:pPr>
                  <w:r>
                    <w:rPr>
                      <w:color w:val="auto"/>
                      <w:szCs w:val="21"/>
                    </w:rPr>
                    <w:t>生活污水</w:t>
                  </w:r>
                </w:p>
              </w:tc>
              <w:tc>
                <w:tcPr>
                  <w:tcW w:w="560" w:type="pct"/>
                  <w:noWrap w:val="0"/>
                  <w:tcMar>
                    <w:top w:w="0" w:type="dxa"/>
                    <w:left w:w="0" w:type="dxa"/>
                    <w:bottom w:w="0" w:type="dxa"/>
                    <w:right w:w="0" w:type="dxa"/>
                  </w:tcMar>
                  <w:vAlign w:val="center"/>
                </w:tcPr>
                <w:p w14:paraId="526B3710">
                  <w:pPr>
                    <w:jc w:val="center"/>
                    <w:rPr>
                      <w:color w:val="auto"/>
                      <w:szCs w:val="21"/>
                    </w:rPr>
                  </w:pPr>
                  <w:r>
                    <w:rPr>
                      <w:color w:val="auto"/>
                      <w:szCs w:val="21"/>
                    </w:rPr>
                    <w:t>污水排口DW001</w:t>
                  </w:r>
                </w:p>
              </w:tc>
              <w:tc>
                <w:tcPr>
                  <w:tcW w:w="886" w:type="pct"/>
                  <w:noWrap w:val="0"/>
                  <w:tcMar>
                    <w:top w:w="0" w:type="dxa"/>
                    <w:left w:w="0" w:type="dxa"/>
                    <w:bottom w:w="0" w:type="dxa"/>
                    <w:right w:w="0" w:type="dxa"/>
                  </w:tcMar>
                  <w:vAlign w:val="center"/>
                </w:tcPr>
                <w:p w14:paraId="680A44D6">
                  <w:pPr>
                    <w:jc w:val="center"/>
                    <w:rPr>
                      <w:color w:val="auto"/>
                      <w:szCs w:val="21"/>
                    </w:rPr>
                  </w:pPr>
                  <w:r>
                    <w:rPr>
                      <w:color w:val="auto"/>
                      <w:szCs w:val="21"/>
                    </w:rPr>
                    <w:t>pH、COD、SS、NH</w:t>
                  </w:r>
                  <w:r>
                    <w:rPr>
                      <w:color w:val="auto"/>
                      <w:szCs w:val="21"/>
                      <w:vertAlign w:val="subscript"/>
                    </w:rPr>
                    <w:t>3</w:t>
                  </w:r>
                  <w:r>
                    <w:rPr>
                      <w:color w:val="auto"/>
                      <w:szCs w:val="21"/>
                    </w:rPr>
                    <w:t>-N、TP、TN</w:t>
                  </w:r>
                </w:p>
              </w:tc>
              <w:tc>
                <w:tcPr>
                  <w:tcW w:w="599" w:type="pct"/>
                  <w:noWrap w:val="0"/>
                  <w:tcMar>
                    <w:top w:w="0" w:type="dxa"/>
                    <w:left w:w="0" w:type="dxa"/>
                    <w:bottom w:w="0" w:type="dxa"/>
                    <w:right w:w="0" w:type="dxa"/>
                  </w:tcMar>
                  <w:vAlign w:val="center"/>
                </w:tcPr>
                <w:p w14:paraId="754FF604">
                  <w:pPr>
                    <w:jc w:val="center"/>
                    <w:rPr>
                      <w:color w:val="auto"/>
                      <w:szCs w:val="21"/>
                    </w:rPr>
                  </w:pPr>
                  <w:r>
                    <w:rPr>
                      <w:color w:val="auto"/>
                      <w:szCs w:val="21"/>
                    </w:rPr>
                    <w:t>1次/年</w:t>
                  </w:r>
                </w:p>
              </w:tc>
              <w:tc>
                <w:tcPr>
                  <w:tcW w:w="1378" w:type="pct"/>
                  <w:noWrap w:val="0"/>
                  <w:tcMar>
                    <w:top w:w="0" w:type="dxa"/>
                    <w:left w:w="0" w:type="dxa"/>
                    <w:bottom w:w="0" w:type="dxa"/>
                    <w:right w:w="0" w:type="dxa"/>
                  </w:tcMar>
                  <w:vAlign w:val="center"/>
                </w:tcPr>
                <w:p w14:paraId="77A0877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pacing w:val="15"/>
                      <w:sz w:val="21"/>
                      <w:szCs w:val="21"/>
                      <w:lang w:eastAsia="zh-CN"/>
                    </w:rPr>
                    <w:t>常州金坛区第二污水处理有限公司</w:t>
                  </w:r>
                  <w:r>
                    <w:rPr>
                      <w:rFonts w:hint="default" w:ascii="Times New Roman" w:hAnsi="Times New Roman" w:eastAsia="宋体" w:cs="Times New Roman"/>
                      <w:color w:val="auto"/>
                      <w:sz w:val="21"/>
                      <w:szCs w:val="21"/>
                    </w:rPr>
                    <w:t>接管</w:t>
                  </w:r>
                  <w:r>
                    <w:rPr>
                      <w:rFonts w:hint="eastAsia" w:cs="Times New Roman"/>
                      <w:color w:val="auto"/>
                      <w:sz w:val="21"/>
                      <w:szCs w:val="21"/>
                      <w:lang w:val="en-US" w:eastAsia="zh-CN"/>
                    </w:rPr>
                    <w:t>限值</w:t>
                  </w:r>
                </w:p>
              </w:tc>
              <w:tc>
                <w:tcPr>
                  <w:tcW w:w="742" w:type="pct"/>
                  <w:noWrap w:val="0"/>
                  <w:tcMar>
                    <w:top w:w="0" w:type="dxa"/>
                    <w:left w:w="0" w:type="dxa"/>
                    <w:bottom w:w="0" w:type="dxa"/>
                    <w:right w:w="0" w:type="dxa"/>
                  </w:tcMar>
                  <w:vAlign w:val="center"/>
                </w:tcPr>
                <w:p w14:paraId="387BDCAD">
                  <w:pPr>
                    <w:adjustRightInd w:val="0"/>
                    <w:snapToGrid w:val="0"/>
                    <w:jc w:val="center"/>
                    <w:rPr>
                      <w:color w:val="auto"/>
                      <w:szCs w:val="21"/>
                    </w:rPr>
                  </w:pPr>
                  <w:r>
                    <w:rPr>
                      <w:color w:val="auto"/>
                      <w:szCs w:val="21"/>
                    </w:rPr>
                    <w:t>有资质的环境监测机构</w:t>
                  </w:r>
                </w:p>
              </w:tc>
            </w:tr>
          </w:tbl>
          <w:p w14:paraId="184882FA">
            <w:pPr>
              <w:pStyle w:val="8"/>
              <w:spacing w:before="120" w:beforeLines="50" w:line="360" w:lineRule="auto"/>
              <w:ind w:firstLine="422" w:firstLineChars="200"/>
              <w:rPr>
                <w:b/>
                <w:bCs/>
                <w:color w:val="auto"/>
                <w:szCs w:val="21"/>
              </w:rPr>
            </w:pPr>
            <w:r>
              <w:rPr>
                <w:rFonts w:hint="eastAsia"/>
                <w:b/>
                <w:bCs/>
                <w:color w:val="auto"/>
                <w:szCs w:val="21"/>
              </w:rPr>
              <w:t>5</w:t>
            </w:r>
            <w:r>
              <w:rPr>
                <w:b/>
                <w:bCs/>
                <w:color w:val="auto"/>
                <w:szCs w:val="21"/>
              </w:rPr>
              <w:t>、地表水环境影响分析结论</w:t>
            </w:r>
          </w:p>
          <w:p w14:paraId="754179C8">
            <w:pPr>
              <w:pStyle w:val="59"/>
              <w:spacing w:line="360" w:lineRule="auto"/>
              <w:ind w:firstLine="420"/>
              <w:jc w:val="both"/>
              <w:rPr>
                <w:color w:val="auto"/>
                <w:sz w:val="21"/>
                <w:szCs w:val="21"/>
              </w:rPr>
            </w:pPr>
            <w:r>
              <w:rPr>
                <w:rFonts w:hint="default" w:ascii="Times New Roman" w:hAnsi="Times New Roman" w:eastAsia="宋体" w:cs="Times New Roman"/>
                <w:color w:val="auto"/>
                <w:sz w:val="21"/>
                <w:szCs w:val="21"/>
              </w:rPr>
              <w:t>综上，项目纳污河流满足</w:t>
            </w:r>
            <w:r>
              <w:rPr>
                <w:rFonts w:hint="default" w:ascii="Times New Roman" w:hAnsi="Times New Roman" w:eastAsia="宋体" w:cs="Times New Roman"/>
                <w:bCs/>
                <w:color w:val="auto"/>
                <w:sz w:val="21"/>
                <w:szCs w:val="21"/>
              </w:rPr>
              <w:t>《地表水环境质量标准》（GB3838-2002）中Ⅲ类标准。项目所在地已满足接管城市污水处理厂条件，且厂内污水</w:t>
            </w:r>
            <w:r>
              <w:rPr>
                <w:rFonts w:hint="eastAsia" w:ascii="Times New Roman" w:hAnsi="Times New Roman" w:eastAsia="宋体" w:cs="Times New Roman"/>
                <w:bCs/>
                <w:color w:val="auto"/>
                <w:sz w:val="21"/>
                <w:szCs w:val="21"/>
                <w:lang w:val="en-US" w:eastAsia="zh-CN"/>
              </w:rPr>
              <w:t>排放口</w:t>
            </w:r>
            <w:r>
              <w:rPr>
                <w:rFonts w:hint="default" w:ascii="Times New Roman" w:hAnsi="Times New Roman" w:eastAsia="宋体" w:cs="Times New Roman"/>
                <w:bCs/>
                <w:color w:val="auto"/>
                <w:sz w:val="21"/>
                <w:szCs w:val="21"/>
              </w:rPr>
              <w:t>水质满足污水处理厂接管限值。</w:t>
            </w:r>
            <w:r>
              <w:rPr>
                <w:rFonts w:hint="default" w:ascii="Times New Roman" w:hAnsi="Times New Roman" w:eastAsia="宋体" w:cs="Times New Roman"/>
                <w:color w:val="auto"/>
                <w:sz w:val="21"/>
                <w:szCs w:val="21"/>
              </w:rPr>
              <w:t>引用</w:t>
            </w:r>
            <w:r>
              <w:rPr>
                <w:rFonts w:hint="eastAsia" w:cs="Times New Roman"/>
                <w:color w:val="auto"/>
                <w:sz w:val="21"/>
                <w:szCs w:val="21"/>
                <w:lang w:eastAsia="zh-CN"/>
              </w:rPr>
              <w:t>常州金坛区第二污水处理有限公司</w:t>
            </w:r>
            <w:r>
              <w:rPr>
                <w:rFonts w:hint="default" w:ascii="Times New Roman" w:hAnsi="Times New Roman" w:eastAsia="宋体" w:cs="Times New Roman"/>
                <w:color w:val="auto"/>
                <w:sz w:val="21"/>
                <w:szCs w:val="21"/>
              </w:rPr>
              <w:t>环评结论可知，废水经污水处理厂处理达标排放后对地表水环境影响较小。因此本次评价认为本项目对地表水环境影响是可以接受的</w:t>
            </w:r>
            <w:r>
              <w:rPr>
                <w:color w:val="auto"/>
                <w:sz w:val="21"/>
                <w:szCs w:val="21"/>
              </w:rPr>
              <w:t>。</w:t>
            </w:r>
          </w:p>
          <w:p w14:paraId="5D0DCEB7">
            <w:pPr>
              <w:spacing w:line="360" w:lineRule="auto"/>
              <w:ind w:firstLine="422" w:firstLineChars="200"/>
              <w:rPr>
                <w:b/>
                <w:color w:val="auto"/>
                <w:szCs w:val="21"/>
              </w:rPr>
            </w:pPr>
            <w:r>
              <w:rPr>
                <w:b/>
                <w:color w:val="auto"/>
                <w:szCs w:val="21"/>
              </w:rPr>
              <w:t>三、声环境影响分析</w:t>
            </w:r>
          </w:p>
          <w:p w14:paraId="44CE9CC6">
            <w:pPr>
              <w:adjustRightInd w:val="0"/>
              <w:snapToGrid w:val="0"/>
              <w:spacing w:line="360" w:lineRule="auto"/>
              <w:ind w:firstLine="422" w:firstLineChars="200"/>
              <w:jc w:val="left"/>
              <w:rPr>
                <w:bCs/>
                <w:color w:val="auto"/>
                <w:szCs w:val="21"/>
              </w:rPr>
            </w:pPr>
            <w:r>
              <w:rPr>
                <w:b/>
                <w:color w:val="auto"/>
                <w:szCs w:val="21"/>
              </w:rPr>
              <w:t>1、噪声源</w:t>
            </w:r>
          </w:p>
          <w:p w14:paraId="47A2E2C7">
            <w:pPr>
              <w:pStyle w:val="9"/>
              <w:adjustRightInd w:val="0"/>
              <w:spacing w:before="0" w:line="360" w:lineRule="auto"/>
              <w:ind w:firstLine="412" w:firstLineChars="200"/>
              <w:rPr>
                <w:color w:val="auto"/>
                <w:sz w:val="21"/>
                <w:szCs w:val="21"/>
              </w:rPr>
            </w:pPr>
            <w:r>
              <w:rPr>
                <w:color w:val="auto"/>
                <w:spacing w:val="-2"/>
                <w:sz w:val="21"/>
                <w:szCs w:val="21"/>
              </w:rPr>
              <w:t>本项目新增高噪声设备主要为生产、辅助设备，</w:t>
            </w:r>
            <w:r>
              <w:rPr>
                <w:color w:val="auto"/>
                <w:sz w:val="21"/>
                <w:szCs w:val="21"/>
              </w:rPr>
              <w:t>主要高噪声设备见下表。</w:t>
            </w:r>
          </w:p>
          <w:p w14:paraId="47AA8672">
            <w:pPr>
              <w:adjustRightInd w:val="0"/>
              <w:snapToGrid w:val="0"/>
              <w:jc w:val="center"/>
              <w:rPr>
                <w:rFonts w:hint="eastAsia"/>
                <w:b/>
                <w:color w:val="auto"/>
                <w:szCs w:val="21"/>
              </w:rPr>
            </w:pPr>
            <w:r>
              <w:rPr>
                <w:rFonts w:hint="eastAsia"/>
                <w:b/>
                <w:color w:val="auto"/>
                <w:szCs w:val="21"/>
              </w:rPr>
              <w:t>表4-</w:t>
            </w:r>
            <w:r>
              <w:rPr>
                <w:rFonts w:hint="eastAsia"/>
                <w:b/>
                <w:color w:val="auto"/>
                <w:szCs w:val="21"/>
                <w:lang w:val="en-US" w:eastAsia="zh-CN"/>
              </w:rPr>
              <w:t>20</w:t>
            </w:r>
            <w:r>
              <w:rPr>
                <w:rFonts w:hint="eastAsia"/>
                <w:b/>
                <w:color w:val="auto"/>
                <w:szCs w:val="21"/>
              </w:rPr>
              <w:t xml:space="preserve"> 工业企业噪声源强调查清单（室内声源）</w:t>
            </w:r>
          </w:p>
          <w:tbl>
            <w:tblPr>
              <w:tblStyle w:val="28"/>
              <w:tblW w:w="4986"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36"/>
              <w:gridCol w:w="419"/>
              <w:gridCol w:w="699"/>
              <w:gridCol w:w="353"/>
              <w:gridCol w:w="501"/>
              <w:gridCol w:w="455"/>
              <w:gridCol w:w="410"/>
              <w:gridCol w:w="370"/>
              <w:gridCol w:w="250"/>
              <w:gridCol w:w="405"/>
              <w:gridCol w:w="262"/>
              <w:gridCol w:w="237"/>
              <w:gridCol w:w="318"/>
              <w:gridCol w:w="580"/>
              <w:gridCol w:w="321"/>
              <w:gridCol w:w="580"/>
              <w:gridCol w:w="580"/>
              <w:gridCol w:w="321"/>
              <w:gridCol w:w="321"/>
              <w:gridCol w:w="321"/>
              <w:gridCol w:w="418"/>
            </w:tblGrid>
            <w:tr w14:paraId="20F73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 w:type="pct"/>
                  <w:vMerge w:val="restart"/>
                  <w:noWrap w:val="0"/>
                  <w:tcMar>
                    <w:top w:w="0" w:type="dxa"/>
                    <w:left w:w="0" w:type="dxa"/>
                    <w:bottom w:w="0" w:type="dxa"/>
                    <w:right w:w="0" w:type="dxa"/>
                  </w:tcMar>
                  <w:vAlign w:val="center"/>
                </w:tcPr>
                <w:p w14:paraId="2104C5D4">
                  <w:pPr>
                    <w:adjustRightInd w:val="0"/>
                    <w:snapToGrid w:val="0"/>
                    <w:jc w:val="center"/>
                    <w:rPr>
                      <w:b/>
                      <w:bCs/>
                      <w:color w:val="auto"/>
                      <w:szCs w:val="21"/>
                    </w:rPr>
                  </w:pPr>
                  <w:r>
                    <w:rPr>
                      <w:b/>
                      <w:bCs/>
                      <w:color w:val="auto"/>
                      <w:szCs w:val="21"/>
                    </w:rPr>
                    <w:t>序号</w:t>
                  </w:r>
                </w:p>
              </w:tc>
              <w:tc>
                <w:tcPr>
                  <w:tcW w:w="250" w:type="pct"/>
                  <w:vMerge w:val="restart"/>
                  <w:noWrap w:val="0"/>
                  <w:tcMar>
                    <w:top w:w="0" w:type="dxa"/>
                    <w:left w:w="0" w:type="dxa"/>
                    <w:bottom w:w="0" w:type="dxa"/>
                    <w:right w:w="0" w:type="dxa"/>
                  </w:tcMar>
                  <w:vAlign w:val="center"/>
                </w:tcPr>
                <w:p w14:paraId="365E7025">
                  <w:pPr>
                    <w:adjustRightInd w:val="0"/>
                    <w:snapToGrid w:val="0"/>
                    <w:jc w:val="center"/>
                    <w:rPr>
                      <w:b/>
                      <w:bCs/>
                      <w:color w:val="auto"/>
                      <w:szCs w:val="21"/>
                    </w:rPr>
                  </w:pPr>
                  <w:r>
                    <w:rPr>
                      <w:rFonts w:hint="eastAsia"/>
                      <w:b/>
                      <w:bCs/>
                      <w:color w:val="auto"/>
                      <w:szCs w:val="21"/>
                    </w:rPr>
                    <w:t>建筑物名称</w:t>
                  </w:r>
                </w:p>
              </w:tc>
              <w:tc>
                <w:tcPr>
                  <w:tcW w:w="418" w:type="pct"/>
                  <w:vMerge w:val="restart"/>
                  <w:noWrap w:val="0"/>
                  <w:tcMar>
                    <w:top w:w="0" w:type="dxa"/>
                    <w:left w:w="0" w:type="dxa"/>
                    <w:bottom w:w="0" w:type="dxa"/>
                    <w:right w:w="0" w:type="dxa"/>
                  </w:tcMar>
                  <w:vAlign w:val="center"/>
                </w:tcPr>
                <w:p w14:paraId="3E086982">
                  <w:pPr>
                    <w:adjustRightInd w:val="0"/>
                    <w:snapToGrid w:val="0"/>
                    <w:jc w:val="center"/>
                    <w:rPr>
                      <w:b/>
                      <w:bCs/>
                      <w:color w:val="auto"/>
                      <w:szCs w:val="21"/>
                    </w:rPr>
                  </w:pPr>
                  <w:r>
                    <w:rPr>
                      <w:rFonts w:hint="eastAsia"/>
                      <w:b/>
                      <w:bCs/>
                      <w:color w:val="auto"/>
                      <w:szCs w:val="21"/>
                    </w:rPr>
                    <w:t>声源名称</w:t>
                  </w:r>
                </w:p>
              </w:tc>
              <w:tc>
                <w:tcPr>
                  <w:tcW w:w="211" w:type="pct"/>
                  <w:vMerge w:val="restart"/>
                  <w:noWrap w:val="0"/>
                  <w:tcMar>
                    <w:top w:w="0" w:type="dxa"/>
                    <w:left w:w="0" w:type="dxa"/>
                    <w:bottom w:w="0" w:type="dxa"/>
                    <w:right w:w="0" w:type="dxa"/>
                  </w:tcMar>
                  <w:vAlign w:val="center"/>
                </w:tcPr>
                <w:p w14:paraId="0E2D2312">
                  <w:pPr>
                    <w:adjustRightInd w:val="0"/>
                    <w:snapToGrid w:val="0"/>
                    <w:jc w:val="center"/>
                    <w:rPr>
                      <w:b/>
                      <w:bCs/>
                      <w:color w:val="auto"/>
                      <w:szCs w:val="21"/>
                    </w:rPr>
                  </w:pPr>
                  <w:r>
                    <w:rPr>
                      <w:rFonts w:hint="eastAsia"/>
                      <w:b/>
                      <w:bCs/>
                      <w:color w:val="auto"/>
                      <w:szCs w:val="21"/>
                    </w:rPr>
                    <w:t>数量</w:t>
                  </w:r>
                </w:p>
              </w:tc>
              <w:tc>
                <w:tcPr>
                  <w:tcW w:w="299" w:type="pct"/>
                  <w:vMerge w:val="restart"/>
                  <w:noWrap w:val="0"/>
                  <w:tcMar>
                    <w:top w:w="0" w:type="dxa"/>
                    <w:left w:w="0" w:type="dxa"/>
                    <w:bottom w:w="0" w:type="dxa"/>
                    <w:right w:w="0" w:type="dxa"/>
                  </w:tcMar>
                  <w:vAlign w:val="center"/>
                </w:tcPr>
                <w:p w14:paraId="29645307">
                  <w:pPr>
                    <w:adjustRightInd w:val="0"/>
                    <w:snapToGrid w:val="0"/>
                    <w:jc w:val="center"/>
                    <w:rPr>
                      <w:b/>
                      <w:bCs/>
                      <w:color w:val="auto"/>
                      <w:szCs w:val="21"/>
                    </w:rPr>
                  </w:pPr>
                  <w:r>
                    <w:rPr>
                      <w:rFonts w:hint="eastAsia"/>
                      <w:b/>
                      <w:bCs/>
                      <w:color w:val="auto"/>
                      <w:szCs w:val="21"/>
                    </w:rPr>
                    <w:t>声功率级/dB（A）</w:t>
                  </w:r>
                </w:p>
              </w:tc>
              <w:tc>
                <w:tcPr>
                  <w:tcW w:w="272" w:type="pct"/>
                  <w:vMerge w:val="restart"/>
                  <w:noWrap w:val="0"/>
                  <w:tcMar>
                    <w:top w:w="0" w:type="dxa"/>
                    <w:left w:w="0" w:type="dxa"/>
                    <w:bottom w:w="0" w:type="dxa"/>
                    <w:right w:w="0" w:type="dxa"/>
                  </w:tcMar>
                  <w:vAlign w:val="center"/>
                </w:tcPr>
                <w:p w14:paraId="596E845A">
                  <w:pPr>
                    <w:adjustRightInd w:val="0"/>
                    <w:snapToGrid w:val="0"/>
                    <w:jc w:val="center"/>
                    <w:rPr>
                      <w:b/>
                      <w:bCs/>
                      <w:color w:val="auto"/>
                      <w:szCs w:val="21"/>
                    </w:rPr>
                  </w:pPr>
                  <w:r>
                    <w:rPr>
                      <w:rFonts w:hint="eastAsia"/>
                      <w:b/>
                      <w:bCs/>
                      <w:color w:val="auto"/>
                      <w:szCs w:val="21"/>
                    </w:rPr>
                    <w:t>声源控制措施</w:t>
                  </w:r>
                </w:p>
              </w:tc>
              <w:tc>
                <w:tcPr>
                  <w:tcW w:w="616" w:type="pct"/>
                  <w:gridSpan w:val="3"/>
                  <w:noWrap w:val="0"/>
                  <w:tcMar>
                    <w:top w:w="0" w:type="dxa"/>
                    <w:left w:w="0" w:type="dxa"/>
                    <w:bottom w:w="0" w:type="dxa"/>
                    <w:right w:w="0" w:type="dxa"/>
                  </w:tcMar>
                  <w:vAlign w:val="center"/>
                </w:tcPr>
                <w:p w14:paraId="6A59A0D3">
                  <w:pPr>
                    <w:adjustRightInd w:val="0"/>
                    <w:snapToGrid w:val="0"/>
                    <w:jc w:val="center"/>
                    <w:rPr>
                      <w:b/>
                      <w:bCs/>
                      <w:color w:val="auto"/>
                      <w:szCs w:val="21"/>
                    </w:rPr>
                  </w:pPr>
                  <w:r>
                    <w:rPr>
                      <w:rFonts w:hint="eastAsia"/>
                      <w:b/>
                      <w:bCs/>
                      <w:color w:val="auto"/>
                      <w:szCs w:val="21"/>
                    </w:rPr>
                    <w:t>空间相对位置/m</w:t>
                  </w:r>
                </w:p>
              </w:tc>
              <w:tc>
                <w:tcPr>
                  <w:tcW w:w="731" w:type="pct"/>
                  <w:gridSpan w:val="4"/>
                  <w:noWrap w:val="0"/>
                  <w:tcMar>
                    <w:top w:w="0" w:type="dxa"/>
                    <w:left w:w="0" w:type="dxa"/>
                    <w:bottom w:w="0" w:type="dxa"/>
                    <w:right w:w="0" w:type="dxa"/>
                  </w:tcMar>
                  <w:vAlign w:val="center"/>
                </w:tcPr>
                <w:p w14:paraId="18EA05E5">
                  <w:pPr>
                    <w:adjustRightInd w:val="0"/>
                    <w:snapToGrid w:val="0"/>
                    <w:jc w:val="center"/>
                    <w:rPr>
                      <w:rFonts w:hint="eastAsia"/>
                      <w:b/>
                      <w:bCs/>
                      <w:color w:val="auto"/>
                      <w:szCs w:val="21"/>
                    </w:rPr>
                  </w:pPr>
                  <w:r>
                    <w:rPr>
                      <w:rFonts w:hint="eastAsia"/>
                      <w:b/>
                      <w:bCs/>
                      <w:color w:val="auto"/>
                      <w:szCs w:val="21"/>
                    </w:rPr>
                    <w:t>距室内边界距离/m</w:t>
                  </w:r>
                </w:p>
              </w:tc>
              <w:tc>
                <w:tcPr>
                  <w:tcW w:w="347" w:type="pct"/>
                  <w:vMerge w:val="restart"/>
                  <w:noWrap w:val="0"/>
                  <w:tcMar>
                    <w:top w:w="0" w:type="dxa"/>
                    <w:left w:w="0" w:type="dxa"/>
                    <w:bottom w:w="0" w:type="dxa"/>
                    <w:right w:w="0" w:type="dxa"/>
                  </w:tcMar>
                  <w:vAlign w:val="center"/>
                </w:tcPr>
                <w:p w14:paraId="4DF87A2D">
                  <w:pPr>
                    <w:adjustRightInd w:val="0"/>
                    <w:snapToGrid w:val="0"/>
                    <w:jc w:val="center"/>
                    <w:rPr>
                      <w:b/>
                      <w:bCs/>
                      <w:color w:val="auto"/>
                      <w:szCs w:val="21"/>
                    </w:rPr>
                  </w:pPr>
                  <w:r>
                    <w:rPr>
                      <w:rFonts w:hint="eastAsia"/>
                      <w:b/>
                      <w:bCs/>
                      <w:color w:val="auto"/>
                      <w:szCs w:val="21"/>
                    </w:rPr>
                    <w:t>室内边界声级/dB（A）</w:t>
                  </w:r>
                </w:p>
              </w:tc>
              <w:tc>
                <w:tcPr>
                  <w:tcW w:w="192" w:type="pct"/>
                  <w:vMerge w:val="restart"/>
                  <w:noWrap w:val="0"/>
                  <w:tcMar>
                    <w:top w:w="0" w:type="dxa"/>
                    <w:left w:w="0" w:type="dxa"/>
                    <w:bottom w:w="0" w:type="dxa"/>
                    <w:right w:w="0" w:type="dxa"/>
                  </w:tcMar>
                  <w:vAlign w:val="center"/>
                </w:tcPr>
                <w:p w14:paraId="53CD661A">
                  <w:pPr>
                    <w:adjustRightInd w:val="0"/>
                    <w:snapToGrid w:val="0"/>
                    <w:jc w:val="center"/>
                    <w:rPr>
                      <w:b/>
                      <w:bCs/>
                      <w:color w:val="auto"/>
                      <w:szCs w:val="21"/>
                    </w:rPr>
                  </w:pPr>
                  <w:r>
                    <w:rPr>
                      <w:rFonts w:hint="eastAsia"/>
                      <w:b/>
                      <w:bCs/>
                      <w:color w:val="auto"/>
                      <w:szCs w:val="21"/>
                    </w:rPr>
                    <w:t>运行时段</w:t>
                  </w:r>
                </w:p>
              </w:tc>
              <w:tc>
                <w:tcPr>
                  <w:tcW w:w="347" w:type="pct"/>
                  <w:vMerge w:val="restart"/>
                  <w:noWrap w:val="0"/>
                  <w:tcMar>
                    <w:top w:w="0" w:type="dxa"/>
                    <w:left w:w="0" w:type="dxa"/>
                    <w:bottom w:w="0" w:type="dxa"/>
                    <w:right w:w="0" w:type="dxa"/>
                  </w:tcMar>
                  <w:vAlign w:val="center"/>
                </w:tcPr>
                <w:p w14:paraId="3BBE6B5F">
                  <w:pPr>
                    <w:adjustRightInd w:val="0"/>
                    <w:snapToGrid w:val="0"/>
                    <w:jc w:val="center"/>
                    <w:rPr>
                      <w:b/>
                      <w:bCs/>
                      <w:color w:val="auto"/>
                      <w:szCs w:val="21"/>
                    </w:rPr>
                  </w:pPr>
                  <w:r>
                    <w:rPr>
                      <w:rFonts w:hint="eastAsia"/>
                      <w:b/>
                      <w:bCs/>
                      <w:color w:val="auto"/>
                      <w:szCs w:val="21"/>
                    </w:rPr>
                    <w:t>建筑物插入损失/dB（A）</w:t>
                  </w:r>
                </w:p>
              </w:tc>
              <w:tc>
                <w:tcPr>
                  <w:tcW w:w="1173" w:type="pct"/>
                  <w:gridSpan w:val="5"/>
                  <w:noWrap w:val="0"/>
                  <w:tcMar>
                    <w:top w:w="0" w:type="dxa"/>
                    <w:left w:w="0" w:type="dxa"/>
                    <w:bottom w:w="0" w:type="dxa"/>
                    <w:right w:w="0" w:type="dxa"/>
                  </w:tcMar>
                  <w:vAlign w:val="center"/>
                </w:tcPr>
                <w:p w14:paraId="63DD40A8">
                  <w:pPr>
                    <w:adjustRightInd w:val="0"/>
                    <w:snapToGrid w:val="0"/>
                    <w:jc w:val="center"/>
                    <w:rPr>
                      <w:b/>
                      <w:bCs/>
                      <w:color w:val="auto"/>
                      <w:szCs w:val="21"/>
                    </w:rPr>
                  </w:pPr>
                  <w:r>
                    <w:rPr>
                      <w:rFonts w:hint="eastAsia"/>
                      <w:b/>
                      <w:bCs/>
                      <w:color w:val="auto"/>
                      <w:szCs w:val="21"/>
                    </w:rPr>
                    <w:t>建筑物外噪声</w:t>
                  </w:r>
                </w:p>
              </w:tc>
            </w:tr>
            <w:tr w14:paraId="32A7D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 w:type="pct"/>
                  <w:vMerge w:val="continue"/>
                  <w:noWrap w:val="0"/>
                  <w:tcMar>
                    <w:top w:w="0" w:type="dxa"/>
                    <w:left w:w="0" w:type="dxa"/>
                    <w:bottom w:w="0" w:type="dxa"/>
                    <w:right w:w="0" w:type="dxa"/>
                  </w:tcMar>
                  <w:vAlign w:val="center"/>
                </w:tcPr>
                <w:p w14:paraId="48CFCB7D">
                  <w:pPr>
                    <w:adjustRightInd w:val="0"/>
                    <w:snapToGrid w:val="0"/>
                    <w:jc w:val="center"/>
                    <w:rPr>
                      <w:b/>
                      <w:bCs/>
                      <w:color w:val="auto"/>
                      <w:szCs w:val="21"/>
                    </w:rPr>
                  </w:pPr>
                </w:p>
              </w:tc>
              <w:tc>
                <w:tcPr>
                  <w:tcW w:w="250" w:type="pct"/>
                  <w:vMerge w:val="continue"/>
                  <w:noWrap w:val="0"/>
                  <w:tcMar>
                    <w:top w:w="0" w:type="dxa"/>
                    <w:left w:w="0" w:type="dxa"/>
                    <w:bottom w:w="0" w:type="dxa"/>
                    <w:right w:w="0" w:type="dxa"/>
                  </w:tcMar>
                  <w:vAlign w:val="center"/>
                </w:tcPr>
                <w:p w14:paraId="37182B1D">
                  <w:pPr>
                    <w:adjustRightInd w:val="0"/>
                    <w:snapToGrid w:val="0"/>
                    <w:jc w:val="center"/>
                    <w:rPr>
                      <w:rFonts w:hint="eastAsia"/>
                      <w:b/>
                      <w:bCs/>
                      <w:color w:val="auto"/>
                      <w:szCs w:val="21"/>
                    </w:rPr>
                  </w:pPr>
                </w:p>
              </w:tc>
              <w:tc>
                <w:tcPr>
                  <w:tcW w:w="418" w:type="pct"/>
                  <w:vMerge w:val="continue"/>
                  <w:noWrap w:val="0"/>
                  <w:tcMar>
                    <w:top w:w="0" w:type="dxa"/>
                    <w:left w:w="0" w:type="dxa"/>
                    <w:bottom w:w="0" w:type="dxa"/>
                    <w:right w:w="0" w:type="dxa"/>
                  </w:tcMar>
                  <w:vAlign w:val="center"/>
                </w:tcPr>
                <w:p w14:paraId="00E3EB2E">
                  <w:pPr>
                    <w:adjustRightInd w:val="0"/>
                    <w:snapToGrid w:val="0"/>
                    <w:jc w:val="center"/>
                    <w:rPr>
                      <w:rFonts w:hint="eastAsia"/>
                      <w:b/>
                      <w:bCs/>
                      <w:color w:val="auto"/>
                      <w:szCs w:val="21"/>
                    </w:rPr>
                  </w:pPr>
                </w:p>
              </w:tc>
              <w:tc>
                <w:tcPr>
                  <w:tcW w:w="211" w:type="pct"/>
                  <w:vMerge w:val="continue"/>
                  <w:noWrap w:val="0"/>
                  <w:tcMar>
                    <w:top w:w="0" w:type="dxa"/>
                    <w:left w:w="0" w:type="dxa"/>
                    <w:bottom w:w="0" w:type="dxa"/>
                    <w:right w:w="0" w:type="dxa"/>
                  </w:tcMar>
                  <w:vAlign w:val="center"/>
                </w:tcPr>
                <w:p w14:paraId="0726D71D">
                  <w:pPr>
                    <w:adjustRightInd w:val="0"/>
                    <w:snapToGrid w:val="0"/>
                    <w:jc w:val="center"/>
                    <w:rPr>
                      <w:rFonts w:hint="eastAsia"/>
                      <w:b/>
                      <w:bCs/>
                      <w:color w:val="auto"/>
                      <w:szCs w:val="21"/>
                    </w:rPr>
                  </w:pPr>
                </w:p>
              </w:tc>
              <w:tc>
                <w:tcPr>
                  <w:tcW w:w="299" w:type="pct"/>
                  <w:vMerge w:val="continue"/>
                  <w:noWrap w:val="0"/>
                  <w:tcMar>
                    <w:top w:w="0" w:type="dxa"/>
                    <w:left w:w="0" w:type="dxa"/>
                    <w:bottom w:w="0" w:type="dxa"/>
                    <w:right w:w="0" w:type="dxa"/>
                  </w:tcMar>
                  <w:vAlign w:val="center"/>
                </w:tcPr>
                <w:p w14:paraId="69E74A84">
                  <w:pPr>
                    <w:adjustRightInd w:val="0"/>
                    <w:snapToGrid w:val="0"/>
                    <w:jc w:val="center"/>
                    <w:rPr>
                      <w:b/>
                      <w:bCs/>
                      <w:color w:val="auto"/>
                      <w:szCs w:val="21"/>
                    </w:rPr>
                  </w:pPr>
                </w:p>
              </w:tc>
              <w:tc>
                <w:tcPr>
                  <w:tcW w:w="272" w:type="pct"/>
                  <w:vMerge w:val="continue"/>
                  <w:noWrap w:val="0"/>
                  <w:tcMar>
                    <w:top w:w="0" w:type="dxa"/>
                    <w:left w:w="0" w:type="dxa"/>
                    <w:bottom w:w="0" w:type="dxa"/>
                    <w:right w:w="0" w:type="dxa"/>
                  </w:tcMar>
                  <w:vAlign w:val="center"/>
                </w:tcPr>
                <w:p w14:paraId="2C5B8F8A">
                  <w:pPr>
                    <w:adjustRightInd w:val="0"/>
                    <w:snapToGrid w:val="0"/>
                    <w:jc w:val="center"/>
                    <w:rPr>
                      <w:b/>
                      <w:bCs/>
                      <w:color w:val="auto"/>
                      <w:szCs w:val="21"/>
                    </w:rPr>
                  </w:pPr>
                </w:p>
              </w:tc>
              <w:tc>
                <w:tcPr>
                  <w:tcW w:w="245" w:type="pct"/>
                  <w:vMerge w:val="restart"/>
                  <w:noWrap w:val="0"/>
                  <w:tcMar>
                    <w:top w:w="0" w:type="dxa"/>
                    <w:left w:w="0" w:type="dxa"/>
                    <w:bottom w:w="0" w:type="dxa"/>
                    <w:right w:w="0" w:type="dxa"/>
                  </w:tcMar>
                  <w:vAlign w:val="center"/>
                </w:tcPr>
                <w:p w14:paraId="3645FF58">
                  <w:pPr>
                    <w:adjustRightInd w:val="0"/>
                    <w:snapToGrid w:val="0"/>
                    <w:jc w:val="center"/>
                    <w:rPr>
                      <w:b/>
                      <w:bCs/>
                      <w:color w:val="auto"/>
                      <w:szCs w:val="21"/>
                    </w:rPr>
                  </w:pPr>
                  <w:r>
                    <w:rPr>
                      <w:rFonts w:hint="eastAsia"/>
                      <w:b/>
                      <w:bCs/>
                      <w:color w:val="auto"/>
                      <w:szCs w:val="21"/>
                    </w:rPr>
                    <w:t>X</w:t>
                  </w:r>
                </w:p>
              </w:tc>
              <w:tc>
                <w:tcPr>
                  <w:tcW w:w="221" w:type="pct"/>
                  <w:vMerge w:val="restart"/>
                  <w:noWrap w:val="0"/>
                  <w:tcMar>
                    <w:top w:w="0" w:type="dxa"/>
                    <w:left w:w="0" w:type="dxa"/>
                    <w:bottom w:w="0" w:type="dxa"/>
                    <w:right w:w="0" w:type="dxa"/>
                  </w:tcMar>
                  <w:vAlign w:val="center"/>
                </w:tcPr>
                <w:p w14:paraId="347F0C7E">
                  <w:pPr>
                    <w:adjustRightInd w:val="0"/>
                    <w:snapToGrid w:val="0"/>
                    <w:jc w:val="center"/>
                    <w:rPr>
                      <w:b/>
                      <w:bCs/>
                      <w:color w:val="auto"/>
                      <w:szCs w:val="21"/>
                    </w:rPr>
                  </w:pPr>
                  <w:r>
                    <w:rPr>
                      <w:rFonts w:hint="eastAsia"/>
                      <w:b/>
                      <w:bCs/>
                      <w:color w:val="auto"/>
                      <w:szCs w:val="21"/>
                    </w:rPr>
                    <w:t>Y</w:t>
                  </w:r>
                </w:p>
              </w:tc>
              <w:tc>
                <w:tcPr>
                  <w:tcW w:w="149" w:type="pct"/>
                  <w:vMerge w:val="restart"/>
                  <w:noWrap w:val="0"/>
                  <w:tcMar>
                    <w:top w:w="0" w:type="dxa"/>
                    <w:left w:w="0" w:type="dxa"/>
                    <w:bottom w:w="0" w:type="dxa"/>
                    <w:right w:w="0" w:type="dxa"/>
                  </w:tcMar>
                  <w:vAlign w:val="center"/>
                </w:tcPr>
                <w:p w14:paraId="2E69321E">
                  <w:pPr>
                    <w:adjustRightInd w:val="0"/>
                    <w:snapToGrid w:val="0"/>
                    <w:jc w:val="center"/>
                    <w:rPr>
                      <w:b/>
                      <w:bCs/>
                      <w:color w:val="auto"/>
                      <w:szCs w:val="21"/>
                    </w:rPr>
                  </w:pPr>
                  <w:r>
                    <w:rPr>
                      <w:rFonts w:hint="eastAsia"/>
                      <w:b/>
                      <w:bCs/>
                      <w:color w:val="auto"/>
                      <w:szCs w:val="21"/>
                    </w:rPr>
                    <w:t>Z</w:t>
                  </w:r>
                </w:p>
              </w:tc>
              <w:tc>
                <w:tcPr>
                  <w:tcW w:w="242" w:type="pct"/>
                  <w:vMerge w:val="restart"/>
                  <w:noWrap w:val="0"/>
                  <w:tcMar>
                    <w:top w:w="0" w:type="dxa"/>
                    <w:left w:w="0" w:type="dxa"/>
                    <w:bottom w:w="0" w:type="dxa"/>
                    <w:right w:w="0" w:type="dxa"/>
                  </w:tcMar>
                  <w:vAlign w:val="center"/>
                </w:tcPr>
                <w:p w14:paraId="6B536CDF">
                  <w:pPr>
                    <w:adjustRightInd w:val="0"/>
                    <w:snapToGrid w:val="0"/>
                    <w:jc w:val="center"/>
                    <w:rPr>
                      <w:b/>
                      <w:bCs/>
                      <w:color w:val="auto"/>
                      <w:szCs w:val="21"/>
                    </w:rPr>
                  </w:pPr>
                  <w:r>
                    <w:rPr>
                      <w:rFonts w:hint="eastAsia"/>
                      <w:b/>
                      <w:bCs/>
                      <w:color w:val="auto"/>
                      <w:szCs w:val="21"/>
                    </w:rPr>
                    <w:t>东</w:t>
                  </w:r>
                </w:p>
              </w:tc>
              <w:tc>
                <w:tcPr>
                  <w:tcW w:w="156" w:type="pct"/>
                  <w:vMerge w:val="restart"/>
                  <w:noWrap w:val="0"/>
                  <w:tcMar>
                    <w:top w:w="0" w:type="dxa"/>
                    <w:left w:w="0" w:type="dxa"/>
                    <w:bottom w:w="0" w:type="dxa"/>
                    <w:right w:w="0" w:type="dxa"/>
                  </w:tcMar>
                  <w:vAlign w:val="center"/>
                </w:tcPr>
                <w:p w14:paraId="1DB3EA85">
                  <w:pPr>
                    <w:adjustRightInd w:val="0"/>
                    <w:snapToGrid w:val="0"/>
                    <w:jc w:val="center"/>
                    <w:rPr>
                      <w:b/>
                      <w:bCs/>
                      <w:color w:val="auto"/>
                      <w:szCs w:val="21"/>
                    </w:rPr>
                  </w:pPr>
                  <w:r>
                    <w:rPr>
                      <w:rFonts w:hint="eastAsia"/>
                      <w:b/>
                      <w:bCs/>
                      <w:color w:val="auto"/>
                      <w:szCs w:val="21"/>
                    </w:rPr>
                    <w:t>南</w:t>
                  </w:r>
                </w:p>
              </w:tc>
              <w:tc>
                <w:tcPr>
                  <w:tcW w:w="141" w:type="pct"/>
                  <w:vMerge w:val="restart"/>
                  <w:noWrap w:val="0"/>
                  <w:tcMar>
                    <w:top w:w="0" w:type="dxa"/>
                    <w:left w:w="0" w:type="dxa"/>
                    <w:bottom w:w="0" w:type="dxa"/>
                    <w:right w:w="0" w:type="dxa"/>
                  </w:tcMar>
                  <w:vAlign w:val="center"/>
                </w:tcPr>
                <w:p w14:paraId="1263E745">
                  <w:pPr>
                    <w:adjustRightInd w:val="0"/>
                    <w:snapToGrid w:val="0"/>
                    <w:jc w:val="center"/>
                    <w:rPr>
                      <w:b/>
                      <w:bCs/>
                      <w:color w:val="auto"/>
                      <w:szCs w:val="21"/>
                    </w:rPr>
                  </w:pPr>
                  <w:r>
                    <w:rPr>
                      <w:rFonts w:hint="eastAsia"/>
                      <w:b/>
                      <w:bCs/>
                      <w:color w:val="auto"/>
                      <w:szCs w:val="21"/>
                    </w:rPr>
                    <w:t>西</w:t>
                  </w:r>
                </w:p>
              </w:tc>
              <w:tc>
                <w:tcPr>
                  <w:tcW w:w="190" w:type="pct"/>
                  <w:vMerge w:val="restart"/>
                  <w:noWrap w:val="0"/>
                  <w:tcMar>
                    <w:top w:w="0" w:type="dxa"/>
                    <w:left w:w="0" w:type="dxa"/>
                    <w:bottom w:w="0" w:type="dxa"/>
                    <w:right w:w="0" w:type="dxa"/>
                  </w:tcMar>
                  <w:vAlign w:val="center"/>
                </w:tcPr>
                <w:p w14:paraId="319D9AB1">
                  <w:pPr>
                    <w:adjustRightInd w:val="0"/>
                    <w:snapToGrid w:val="0"/>
                    <w:jc w:val="center"/>
                    <w:rPr>
                      <w:b/>
                      <w:bCs/>
                      <w:color w:val="auto"/>
                      <w:szCs w:val="21"/>
                    </w:rPr>
                  </w:pPr>
                  <w:r>
                    <w:rPr>
                      <w:rFonts w:hint="eastAsia"/>
                      <w:b/>
                      <w:bCs/>
                      <w:color w:val="auto"/>
                      <w:szCs w:val="21"/>
                    </w:rPr>
                    <w:t>北</w:t>
                  </w:r>
                </w:p>
              </w:tc>
              <w:tc>
                <w:tcPr>
                  <w:tcW w:w="347" w:type="pct"/>
                  <w:vMerge w:val="continue"/>
                  <w:noWrap w:val="0"/>
                  <w:tcMar>
                    <w:top w:w="0" w:type="dxa"/>
                    <w:left w:w="0" w:type="dxa"/>
                    <w:bottom w:w="0" w:type="dxa"/>
                    <w:right w:w="0" w:type="dxa"/>
                  </w:tcMar>
                  <w:vAlign w:val="center"/>
                </w:tcPr>
                <w:p w14:paraId="5D1AC9B0">
                  <w:pPr>
                    <w:adjustRightInd w:val="0"/>
                    <w:snapToGrid w:val="0"/>
                    <w:jc w:val="center"/>
                    <w:rPr>
                      <w:b/>
                      <w:bCs/>
                      <w:color w:val="auto"/>
                      <w:szCs w:val="21"/>
                    </w:rPr>
                  </w:pPr>
                </w:p>
              </w:tc>
              <w:tc>
                <w:tcPr>
                  <w:tcW w:w="192" w:type="pct"/>
                  <w:vMerge w:val="continue"/>
                  <w:noWrap w:val="0"/>
                  <w:tcMar>
                    <w:top w:w="0" w:type="dxa"/>
                    <w:left w:w="0" w:type="dxa"/>
                    <w:bottom w:w="0" w:type="dxa"/>
                    <w:right w:w="0" w:type="dxa"/>
                  </w:tcMar>
                  <w:vAlign w:val="center"/>
                </w:tcPr>
                <w:p w14:paraId="4798697F">
                  <w:pPr>
                    <w:adjustRightInd w:val="0"/>
                    <w:snapToGrid w:val="0"/>
                    <w:jc w:val="center"/>
                    <w:rPr>
                      <w:b/>
                      <w:bCs/>
                      <w:color w:val="auto"/>
                      <w:szCs w:val="21"/>
                    </w:rPr>
                  </w:pPr>
                </w:p>
              </w:tc>
              <w:tc>
                <w:tcPr>
                  <w:tcW w:w="347" w:type="pct"/>
                  <w:vMerge w:val="continue"/>
                  <w:noWrap w:val="0"/>
                  <w:tcMar>
                    <w:top w:w="0" w:type="dxa"/>
                    <w:left w:w="0" w:type="dxa"/>
                    <w:bottom w:w="0" w:type="dxa"/>
                    <w:right w:w="0" w:type="dxa"/>
                  </w:tcMar>
                  <w:vAlign w:val="center"/>
                </w:tcPr>
                <w:p w14:paraId="3BBD7A70">
                  <w:pPr>
                    <w:adjustRightInd w:val="0"/>
                    <w:snapToGrid w:val="0"/>
                    <w:jc w:val="center"/>
                    <w:rPr>
                      <w:b/>
                      <w:bCs/>
                      <w:color w:val="auto"/>
                      <w:szCs w:val="21"/>
                    </w:rPr>
                  </w:pPr>
                </w:p>
              </w:tc>
              <w:tc>
                <w:tcPr>
                  <w:tcW w:w="347" w:type="pct"/>
                  <w:vMerge w:val="restart"/>
                  <w:noWrap w:val="0"/>
                  <w:tcMar>
                    <w:top w:w="0" w:type="dxa"/>
                    <w:left w:w="0" w:type="dxa"/>
                    <w:bottom w:w="0" w:type="dxa"/>
                    <w:right w:w="0" w:type="dxa"/>
                  </w:tcMar>
                  <w:vAlign w:val="center"/>
                </w:tcPr>
                <w:p w14:paraId="05C1974B">
                  <w:pPr>
                    <w:adjustRightInd w:val="0"/>
                    <w:snapToGrid w:val="0"/>
                    <w:jc w:val="center"/>
                    <w:rPr>
                      <w:b/>
                      <w:bCs/>
                      <w:color w:val="auto"/>
                      <w:szCs w:val="21"/>
                    </w:rPr>
                  </w:pPr>
                  <w:r>
                    <w:rPr>
                      <w:rFonts w:hint="eastAsia"/>
                      <w:b/>
                      <w:bCs/>
                      <w:color w:val="auto"/>
                      <w:szCs w:val="21"/>
                    </w:rPr>
                    <w:t>声压级/dB（A）</w:t>
                  </w:r>
                </w:p>
              </w:tc>
              <w:tc>
                <w:tcPr>
                  <w:tcW w:w="826" w:type="pct"/>
                  <w:gridSpan w:val="4"/>
                  <w:noWrap w:val="0"/>
                  <w:tcMar>
                    <w:top w:w="0" w:type="dxa"/>
                    <w:left w:w="0" w:type="dxa"/>
                    <w:bottom w:w="0" w:type="dxa"/>
                    <w:right w:w="0" w:type="dxa"/>
                  </w:tcMar>
                  <w:vAlign w:val="center"/>
                </w:tcPr>
                <w:p w14:paraId="46918704">
                  <w:pPr>
                    <w:adjustRightInd w:val="0"/>
                    <w:snapToGrid w:val="0"/>
                    <w:jc w:val="center"/>
                    <w:rPr>
                      <w:rFonts w:hint="eastAsia"/>
                      <w:b/>
                      <w:bCs/>
                      <w:color w:val="auto"/>
                      <w:szCs w:val="21"/>
                    </w:rPr>
                  </w:pPr>
                  <w:r>
                    <w:rPr>
                      <w:rFonts w:hint="eastAsia"/>
                      <w:b/>
                      <w:bCs/>
                      <w:color w:val="auto"/>
                      <w:szCs w:val="21"/>
                    </w:rPr>
                    <w:t>建筑物外距离/m</w:t>
                  </w:r>
                </w:p>
              </w:tc>
            </w:tr>
            <w:tr w14:paraId="1CDB7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 w:type="pct"/>
                  <w:vMerge w:val="continue"/>
                  <w:noWrap w:val="0"/>
                  <w:tcMar>
                    <w:top w:w="0" w:type="dxa"/>
                    <w:left w:w="0" w:type="dxa"/>
                    <w:bottom w:w="0" w:type="dxa"/>
                    <w:right w:w="0" w:type="dxa"/>
                  </w:tcMar>
                  <w:vAlign w:val="center"/>
                </w:tcPr>
                <w:p w14:paraId="79ACDD21">
                  <w:pPr>
                    <w:adjustRightInd w:val="0"/>
                    <w:snapToGrid w:val="0"/>
                    <w:jc w:val="center"/>
                    <w:rPr>
                      <w:b/>
                      <w:bCs/>
                      <w:color w:val="auto"/>
                      <w:szCs w:val="21"/>
                    </w:rPr>
                  </w:pPr>
                </w:p>
              </w:tc>
              <w:tc>
                <w:tcPr>
                  <w:tcW w:w="250" w:type="pct"/>
                  <w:vMerge w:val="continue"/>
                  <w:noWrap w:val="0"/>
                  <w:tcMar>
                    <w:top w:w="0" w:type="dxa"/>
                    <w:left w:w="0" w:type="dxa"/>
                    <w:bottom w:w="0" w:type="dxa"/>
                    <w:right w:w="0" w:type="dxa"/>
                  </w:tcMar>
                  <w:vAlign w:val="center"/>
                </w:tcPr>
                <w:p w14:paraId="542819C0">
                  <w:pPr>
                    <w:adjustRightInd w:val="0"/>
                    <w:snapToGrid w:val="0"/>
                    <w:jc w:val="center"/>
                    <w:rPr>
                      <w:rFonts w:hint="eastAsia"/>
                      <w:b/>
                      <w:bCs/>
                      <w:color w:val="auto"/>
                      <w:szCs w:val="21"/>
                    </w:rPr>
                  </w:pPr>
                </w:p>
              </w:tc>
              <w:tc>
                <w:tcPr>
                  <w:tcW w:w="418" w:type="pct"/>
                  <w:vMerge w:val="continue"/>
                  <w:noWrap w:val="0"/>
                  <w:tcMar>
                    <w:top w:w="0" w:type="dxa"/>
                    <w:left w:w="0" w:type="dxa"/>
                    <w:bottom w:w="0" w:type="dxa"/>
                    <w:right w:w="0" w:type="dxa"/>
                  </w:tcMar>
                  <w:vAlign w:val="center"/>
                </w:tcPr>
                <w:p w14:paraId="730F047E">
                  <w:pPr>
                    <w:adjustRightInd w:val="0"/>
                    <w:snapToGrid w:val="0"/>
                    <w:jc w:val="center"/>
                    <w:rPr>
                      <w:rFonts w:hint="eastAsia"/>
                      <w:b/>
                      <w:bCs/>
                      <w:color w:val="auto"/>
                      <w:szCs w:val="21"/>
                    </w:rPr>
                  </w:pPr>
                </w:p>
              </w:tc>
              <w:tc>
                <w:tcPr>
                  <w:tcW w:w="211" w:type="pct"/>
                  <w:vMerge w:val="continue"/>
                  <w:noWrap w:val="0"/>
                  <w:tcMar>
                    <w:top w:w="0" w:type="dxa"/>
                    <w:left w:w="0" w:type="dxa"/>
                    <w:bottom w:w="0" w:type="dxa"/>
                    <w:right w:w="0" w:type="dxa"/>
                  </w:tcMar>
                  <w:vAlign w:val="center"/>
                </w:tcPr>
                <w:p w14:paraId="080753CA">
                  <w:pPr>
                    <w:adjustRightInd w:val="0"/>
                    <w:snapToGrid w:val="0"/>
                    <w:jc w:val="center"/>
                    <w:rPr>
                      <w:rFonts w:hint="eastAsia"/>
                      <w:b/>
                      <w:bCs/>
                      <w:color w:val="auto"/>
                      <w:szCs w:val="21"/>
                    </w:rPr>
                  </w:pPr>
                </w:p>
              </w:tc>
              <w:tc>
                <w:tcPr>
                  <w:tcW w:w="299" w:type="pct"/>
                  <w:vMerge w:val="continue"/>
                  <w:noWrap w:val="0"/>
                  <w:tcMar>
                    <w:top w:w="0" w:type="dxa"/>
                    <w:left w:w="0" w:type="dxa"/>
                    <w:bottom w:w="0" w:type="dxa"/>
                    <w:right w:w="0" w:type="dxa"/>
                  </w:tcMar>
                  <w:vAlign w:val="center"/>
                </w:tcPr>
                <w:p w14:paraId="400DFE3A">
                  <w:pPr>
                    <w:adjustRightInd w:val="0"/>
                    <w:snapToGrid w:val="0"/>
                    <w:jc w:val="center"/>
                    <w:rPr>
                      <w:rFonts w:hint="eastAsia"/>
                      <w:b/>
                      <w:bCs/>
                      <w:color w:val="auto"/>
                      <w:szCs w:val="21"/>
                    </w:rPr>
                  </w:pPr>
                </w:p>
              </w:tc>
              <w:tc>
                <w:tcPr>
                  <w:tcW w:w="272" w:type="pct"/>
                  <w:vMerge w:val="continue"/>
                  <w:noWrap w:val="0"/>
                  <w:tcMar>
                    <w:top w:w="0" w:type="dxa"/>
                    <w:left w:w="0" w:type="dxa"/>
                    <w:bottom w:w="0" w:type="dxa"/>
                    <w:right w:w="0" w:type="dxa"/>
                  </w:tcMar>
                  <w:vAlign w:val="center"/>
                </w:tcPr>
                <w:p w14:paraId="40AC2371">
                  <w:pPr>
                    <w:adjustRightInd w:val="0"/>
                    <w:snapToGrid w:val="0"/>
                    <w:jc w:val="center"/>
                    <w:rPr>
                      <w:b/>
                      <w:bCs/>
                      <w:color w:val="auto"/>
                      <w:szCs w:val="21"/>
                    </w:rPr>
                  </w:pPr>
                </w:p>
              </w:tc>
              <w:tc>
                <w:tcPr>
                  <w:tcW w:w="245" w:type="pct"/>
                  <w:vMerge w:val="continue"/>
                  <w:noWrap w:val="0"/>
                  <w:tcMar>
                    <w:top w:w="0" w:type="dxa"/>
                    <w:left w:w="0" w:type="dxa"/>
                    <w:bottom w:w="0" w:type="dxa"/>
                    <w:right w:w="0" w:type="dxa"/>
                  </w:tcMar>
                  <w:vAlign w:val="center"/>
                </w:tcPr>
                <w:p w14:paraId="0FB0A8AE">
                  <w:pPr>
                    <w:adjustRightInd w:val="0"/>
                    <w:snapToGrid w:val="0"/>
                    <w:jc w:val="center"/>
                    <w:rPr>
                      <w:rFonts w:hint="eastAsia"/>
                      <w:b/>
                      <w:bCs/>
                      <w:color w:val="auto"/>
                      <w:szCs w:val="21"/>
                    </w:rPr>
                  </w:pPr>
                </w:p>
              </w:tc>
              <w:tc>
                <w:tcPr>
                  <w:tcW w:w="221" w:type="pct"/>
                  <w:vMerge w:val="continue"/>
                  <w:noWrap w:val="0"/>
                  <w:tcMar>
                    <w:top w:w="0" w:type="dxa"/>
                    <w:left w:w="0" w:type="dxa"/>
                    <w:bottom w:w="0" w:type="dxa"/>
                    <w:right w:w="0" w:type="dxa"/>
                  </w:tcMar>
                  <w:vAlign w:val="center"/>
                </w:tcPr>
                <w:p w14:paraId="6DA87E1C">
                  <w:pPr>
                    <w:adjustRightInd w:val="0"/>
                    <w:snapToGrid w:val="0"/>
                    <w:jc w:val="center"/>
                    <w:rPr>
                      <w:rFonts w:hint="eastAsia"/>
                      <w:b/>
                      <w:bCs/>
                      <w:color w:val="auto"/>
                      <w:szCs w:val="21"/>
                    </w:rPr>
                  </w:pPr>
                </w:p>
              </w:tc>
              <w:tc>
                <w:tcPr>
                  <w:tcW w:w="149" w:type="pct"/>
                  <w:vMerge w:val="continue"/>
                  <w:noWrap w:val="0"/>
                  <w:tcMar>
                    <w:top w:w="0" w:type="dxa"/>
                    <w:left w:w="0" w:type="dxa"/>
                    <w:bottom w:w="0" w:type="dxa"/>
                    <w:right w:w="0" w:type="dxa"/>
                  </w:tcMar>
                  <w:vAlign w:val="center"/>
                </w:tcPr>
                <w:p w14:paraId="185635F8">
                  <w:pPr>
                    <w:adjustRightInd w:val="0"/>
                    <w:snapToGrid w:val="0"/>
                    <w:jc w:val="center"/>
                    <w:rPr>
                      <w:rFonts w:hint="eastAsia"/>
                      <w:b/>
                      <w:bCs/>
                      <w:color w:val="auto"/>
                      <w:szCs w:val="21"/>
                    </w:rPr>
                  </w:pPr>
                </w:p>
              </w:tc>
              <w:tc>
                <w:tcPr>
                  <w:tcW w:w="242" w:type="pct"/>
                  <w:vMerge w:val="continue"/>
                  <w:noWrap w:val="0"/>
                  <w:tcMar>
                    <w:top w:w="0" w:type="dxa"/>
                    <w:left w:w="0" w:type="dxa"/>
                    <w:bottom w:w="0" w:type="dxa"/>
                    <w:right w:w="0" w:type="dxa"/>
                  </w:tcMar>
                  <w:vAlign w:val="center"/>
                </w:tcPr>
                <w:p w14:paraId="10B8F052">
                  <w:pPr>
                    <w:adjustRightInd w:val="0"/>
                    <w:snapToGrid w:val="0"/>
                    <w:jc w:val="center"/>
                    <w:rPr>
                      <w:rFonts w:hint="eastAsia"/>
                      <w:b/>
                      <w:bCs/>
                      <w:color w:val="auto"/>
                      <w:szCs w:val="21"/>
                    </w:rPr>
                  </w:pPr>
                </w:p>
              </w:tc>
              <w:tc>
                <w:tcPr>
                  <w:tcW w:w="156" w:type="pct"/>
                  <w:vMerge w:val="continue"/>
                  <w:noWrap w:val="0"/>
                  <w:tcMar>
                    <w:top w:w="0" w:type="dxa"/>
                    <w:left w:w="0" w:type="dxa"/>
                    <w:bottom w:w="0" w:type="dxa"/>
                    <w:right w:w="0" w:type="dxa"/>
                  </w:tcMar>
                  <w:vAlign w:val="center"/>
                </w:tcPr>
                <w:p w14:paraId="10FE7CD5">
                  <w:pPr>
                    <w:adjustRightInd w:val="0"/>
                    <w:snapToGrid w:val="0"/>
                    <w:jc w:val="center"/>
                    <w:rPr>
                      <w:rFonts w:hint="eastAsia"/>
                      <w:b/>
                      <w:bCs/>
                      <w:color w:val="auto"/>
                      <w:szCs w:val="21"/>
                    </w:rPr>
                  </w:pPr>
                </w:p>
              </w:tc>
              <w:tc>
                <w:tcPr>
                  <w:tcW w:w="141" w:type="pct"/>
                  <w:vMerge w:val="continue"/>
                  <w:noWrap w:val="0"/>
                  <w:tcMar>
                    <w:top w:w="0" w:type="dxa"/>
                    <w:left w:w="0" w:type="dxa"/>
                    <w:bottom w:w="0" w:type="dxa"/>
                    <w:right w:w="0" w:type="dxa"/>
                  </w:tcMar>
                  <w:vAlign w:val="center"/>
                </w:tcPr>
                <w:p w14:paraId="45946890">
                  <w:pPr>
                    <w:adjustRightInd w:val="0"/>
                    <w:snapToGrid w:val="0"/>
                    <w:jc w:val="center"/>
                    <w:rPr>
                      <w:rFonts w:hint="eastAsia"/>
                      <w:b/>
                      <w:bCs/>
                      <w:color w:val="auto"/>
                      <w:szCs w:val="21"/>
                    </w:rPr>
                  </w:pPr>
                </w:p>
              </w:tc>
              <w:tc>
                <w:tcPr>
                  <w:tcW w:w="190" w:type="pct"/>
                  <w:vMerge w:val="continue"/>
                  <w:noWrap w:val="0"/>
                  <w:tcMar>
                    <w:top w:w="0" w:type="dxa"/>
                    <w:left w:w="0" w:type="dxa"/>
                    <w:bottom w:w="0" w:type="dxa"/>
                    <w:right w:w="0" w:type="dxa"/>
                  </w:tcMar>
                  <w:vAlign w:val="center"/>
                </w:tcPr>
                <w:p w14:paraId="3E2737B6">
                  <w:pPr>
                    <w:adjustRightInd w:val="0"/>
                    <w:snapToGrid w:val="0"/>
                    <w:jc w:val="center"/>
                    <w:rPr>
                      <w:rFonts w:hint="eastAsia"/>
                      <w:b/>
                      <w:bCs/>
                      <w:color w:val="auto"/>
                      <w:szCs w:val="21"/>
                    </w:rPr>
                  </w:pPr>
                </w:p>
              </w:tc>
              <w:tc>
                <w:tcPr>
                  <w:tcW w:w="347" w:type="pct"/>
                  <w:vMerge w:val="continue"/>
                  <w:noWrap w:val="0"/>
                  <w:tcMar>
                    <w:top w:w="0" w:type="dxa"/>
                    <w:left w:w="0" w:type="dxa"/>
                    <w:bottom w:w="0" w:type="dxa"/>
                    <w:right w:w="0" w:type="dxa"/>
                  </w:tcMar>
                  <w:vAlign w:val="center"/>
                </w:tcPr>
                <w:p w14:paraId="44DB1CEA">
                  <w:pPr>
                    <w:adjustRightInd w:val="0"/>
                    <w:snapToGrid w:val="0"/>
                    <w:jc w:val="center"/>
                    <w:rPr>
                      <w:b/>
                      <w:bCs/>
                      <w:color w:val="auto"/>
                      <w:szCs w:val="21"/>
                    </w:rPr>
                  </w:pPr>
                </w:p>
              </w:tc>
              <w:tc>
                <w:tcPr>
                  <w:tcW w:w="192" w:type="pct"/>
                  <w:vMerge w:val="continue"/>
                  <w:noWrap w:val="0"/>
                  <w:tcMar>
                    <w:top w:w="0" w:type="dxa"/>
                    <w:left w:w="0" w:type="dxa"/>
                    <w:bottom w:w="0" w:type="dxa"/>
                    <w:right w:w="0" w:type="dxa"/>
                  </w:tcMar>
                  <w:vAlign w:val="center"/>
                </w:tcPr>
                <w:p w14:paraId="56BA565B">
                  <w:pPr>
                    <w:adjustRightInd w:val="0"/>
                    <w:snapToGrid w:val="0"/>
                    <w:jc w:val="center"/>
                    <w:rPr>
                      <w:b/>
                      <w:bCs/>
                      <w:color w:val="auto"/>
                      <w:szCs w:val="21"/>
                    </w:rPr>
                  </w:pPr>
                </w:p>
              </w:tc>
              <w:tc>
                <w:tcPr>
                  <w:tcW w:w="347" w:type="pct"/>
                  <w:vMerge w:val="continue"/>
                  <w:noWrap w:val="0"/>
                  <w:tcMar>
                    <w:top w:w="0" w:type="dxa"/>
                    <w:left w:w="0" w:type="dxa"/>
                    <w:bottom w:w="0" w:type="dxa"/>
                    <w:right w:w="0" w:type="dxa"/>
                  </w:tcMar>
                  <w:vAlign w:val="center"/>
                </w:tcPr>
                <w:p w14:paraId="2995BE60">
                  <w:pPr>
                    <w:adjustRightInd w:val="0"/>
                    <w:snapToGrid w:val="0"/>
                    <w:jc w:val="center"/>
                    <w:rPr>
                      <w:b/>
                      <w:bCs/>
                      <w:color w:val="auto"/>
                      <w:szCs w:val="21"/>
                    </w:rPr>
                  </w:pPr>
                </w:p>
              </w:tc>
              <w:tc>
                <w:tcPr>
                  <w:tcW w:w="347" w:type="pct"/>
                  <w:vMerge w:val="continue"/>
                  <w:noWrap w:val="0"/>
                  <w:tcMar>
                    <w:top w:w="0" w:type="dxa"/>
                    <w:left w:w="0" w:type="dxa"/>
                    <w:bottom w:w="0" w:type="dxa"/>
                    <w:right w:w="0" w:type="dxa"/>
                  </w:tcMar>
                  <w:vAlign w:val="center"/>
                </w:tcPr>
                <w:p w14:paraId="2AD7701D">
                  <w:pPr>
                    <w:adjustRightInd w:val="0"/>
                    <w:snapToGrid w:val="0"/>
                    <w:jc w:val="center"/>
                    <w:rPr>
                      <w:rFonts w:hint="eastAsia"/>
                      <w:b/>
                      <w:bCs/>
                      <w:color w:val="auto"/>
                      <w:szCs w:val="21"/>
                    </w:rPr>
                  </w:pPr>
                </w:p>
              </w:tc>
              <w:tc>
                <w:tcPr>
                  <w:tcW w:w="192" w:type="pct"/>
                  <w:noWrap w:val="0"/>
                  <w:tcMar>
                    <w:top w:w="0" w:type="dxa"/>
                    <w:left w:w="0" w:type="dxa"/>
                    <w:bottom w:w="0" w:type="dxa"/>
                    <w:right w:w="0" w:type="dxa"/>
                  </w:tcMar>
                  <w:vAlign w:val="center"/>
                </w:tcPr>
                <w:p w14:paraId="06DDD8FF">
                  <w:pPr>
                    <w:adjustRightInd w:val="0"/>
                    <w:snapToGrid w:val="0"/>
                    <w:jc w:val="center"/>
                    <w:rPr>
                      <w:b/>
                      <w:bCs/>
                      <w:color w:val="auto"/>
                      <w:szCs w:val="21"/>
                    </w:rPr>
                  </w:pPr>
                  <w:r>
                    <w:rPr>
                      <w:rFonts w:hint="eastAsia"/>
                      <w:b/>
                      <w:bCs/>
                      <w:color w:val="auto"/>
                      <w:szCs w:val="21"/>
                    </w:rPr>
                    <w:t>东</w:t>
                  </w:r>
                </w:p>
              </w:tc>
              <w:tc>
                <w:tcPr>
                  <w:tcW w:w="192" w:type="pct"/>
                  <w:noWrap w:val="0"/>
                  <w:tcMar>
                    <w:top w:w="0" w:type="dxa"/>
                    <w:left w:w="0" w:type="dxa"/>
                    <w:bottom w:w="0" w:type="dxa"/>
                    <w:right w:w="0" w:type="dxa"/>
                  </w:tcMar>
                  <w:vAlign w:val="center"/>
                </w:tcPr>
                <w:p w14:paraId="758F741F">
                  <w:pPr>
                    <w:adjustRightInd w:val="0"/>
                    <w:snapToGrid w:val="0"/>
                    <w:jc w:val="center"/>
                    <w:rPr>
                      <w:b/>
                      <w:bCs/>
                      <w:color w:val="auto"/>
                      <w:szCs w:val="21"/>
                    </w:rPr>
                  </w:pPr>
                  <w:r>
                    <w:rPr>
                      <w:rFonts w:hint="eastAsia"/>
                      <w:b/>
                      <w:bCs/>
                      <w:color w:val="auto"/>
                      <w:szCs w:val="21"/>
                    </w:rPr>
                    <w:t>南</w:t>
                  </w:r>
                </w:p>
              </w:tc>
              <w:tc>
                <w:tcPr>
                  <w:tcW w:w="192" w:type="pct"/>
                  <w:noWrap w:val="0"/>
                  <w:tcMar>
                    <w:top w:w="0" w:type="dxa"/>
                    <w:left w:w="0" w:type="dxa"/>
                    <w:bottom w:w="0" w:type="dxa"/>
                    <w:right w:w="0" w:type="dxa"/>
                  </w:tcMar>
                  <w:vAlign w:val="center"/>
                </w:tcPr>
                <w:p w14:paraId="09C29AAD">
                  <w:pPr>
                    <w:adjustRightInd w:val="0"/>
                    <w:snapToGrid w:val="0"/>
                    <w:jc w:val="center"/>
                    <w:rPr>
                      <w:b/>
                      <w:bCs/>
                      <w:color w:val="auto"/>
                      <w:szCs w:val="21"/>
                    </w:rPr>
                  </w:pPr>
                  <w:r>
                    <w:rPr>
                      <w:rFonts w:hint="eastAsia"/>
                      <w:b/>
                      <w:bCs/>
                      <w:color w:val="auto"/>
                      <w:szCs w:val="21"/>
                    </w:rPr>
                    <w:t>西</w:t>
                  </w:r>
                </w:p>
              </w:tc>
              <w:tc>
                <w:tcPr>
                  <w:tcW w:w="250" w:type="pct"/>
                  <w:noWrap w:val="0"/>
                  <w:tcMar>
                    <w:top w:w="0" w:type="dxa"/>
                    <w:left w:w="0" w:type="dxa"/>
                    <w:bottom w:w="0" w:type="dxa"/>
                    <w:right w:w="0" w:type="dxa"/>
                  </w:tcMar>
                  <w:vAlign w:val="center"/>
                </w:tcPr>
                <w:p w14:paraId="4D32A0F0">
                  <w:pPr>
                    <w:adjustRightInd w:val="0"/>
                    <w:snapToGrid w:val="0"/>
                    <w:jc w:val="center"/>
                    <w:rPr>
                      <w:b/>
                      <w:bCs/>
                      <w:color w:val="auto"/>
                      <w:szCs w:val="21"/>
                    </w:rPr>
                  </w:pPr>
                  <w:r>
                    <w:rPr>
                      <w:rFonts w:hint="eastAsia"/>
                      <w:b/>
                      <w:bCs/>
                      <w:color w:val="auto"/>
                      <w:szCs w:val="21"/>
                    </w:rPr>
                    <w:t>北</w:t>
                  </w:r>
                </w:p>
              </w:tc>
            </w:tr>
            <w:tr w14:paraId="6E3A7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 w:type="pct"/>
                  <w:noWrap w:val="0"/>
                  <w:tcMar>
                    <w:top w:w="0" w:type="dxa"/>
                    <w:left w:w="0" w:type="dxa"/>
                    <w:bottom w:w="0" w:type="dxa"/>
                    <w:right w:w="0" w:type="dxa"/>
                  </w:tcMar>
                  <w:vAlign w:val="center"/>
                </w:tcPr>
                <w:p w14:paraId="33C1EE0C">
                  <w:pPr>
                    <w:adjustRightInd w:val="0"/>
                    <w:snapToGrid w:val="0"/>
                    <w:jc w:val="center"/>
                    <w:rPr>
                      <w:color w:val="auto"/>
                      <w:szCs w:val="21"/>
                    </w:rPr>
                  </w:pPr>
                  <w:r>
                    <w:rPr>
                      <w:rFonts w:hint="eastAsia"/>
                      <w:color w:val="auto"/>
                      <w:szCs w:val="21"/>
                    </w:rPr>
                    <w:t>1</w:t>
                  </w:r>
                </w:p>
              </w:tc>
              <w:tc>
                <w:tcPr>
                  <w:tcW w:w="250" w:type="pct"/>
                  <w:vMerge w:val="restart"/>
                  <w:noWrap w:val="0"/>
                  <w:tcMar>
                    <w:top w:w="0" w:type="dxa"/>
                    <w:left w:w="0" w:type="dxa"/>
                    <w:bottom w:w="0" w:type="dxa"/>
                    <w:right w:w="0" w:type="dxa"/>
                  </w:tcMar>
                  <w:vAlign w:val="center"/>
                </w:tcPr>
                <w:p w14:paraId="208AA722">
                  <w:pPr>
                    <w:adjustRightInd w:val="0"/>
                    <w:snapToGrid w:val="0"/>
                    <w:jc w:val="center"/>
                    <w:rPr>
                      <w:color w:val="auto"/>
                      <w:szCs w:val="21"/>
                    </w:rPr>
                  </w:pPr>
                  <w:r>
                    <w:rPr>
                      <w:rFonts w:hint="eastAsia"/>
                      <w:color w:val="auto"/>
                      <w:szCs w:val="21"/>
                    </w:rPr>
                    <w:t>生产车间</w:t>
                  </w:r>
                </w:p>
              </w:tc>
              <w:tc>
                <w:tcPr>
                  <w:tcW w:w="418" w:type="pct"/>
                  <w:shd w:val="clear" w:color="auto" w:fill="auto"/>
                  <w:noWrap w:val="0"/>
                  <w:tcMar>
                    <w:top w:w="0" w:type="dxa"/>
                    <w:left w:w="0" w:type="dxa"/>
                    <w:bottom w:w="0" w:type="dxa"/>
                    <w:right w:w="0" w:type="dxa"/>
                  </w:tcMar>
                  <w:vAlign w:val="center"/>
                </w:tcPr>
                <w:p w14:paraId="7F38F127">
                  <w:pPr>
                    <w:keepNext w:val="0"/>
                    <w:keepLines w:val="0"/>
                    <w:pageBreakBefore w:val="0"/>
                    <w:widowControl/>
                    <w:kinsoku/>
                    <w:wordWrap/>
                    <w:overflowPunct/>
                    <w:topLinePunct w:val="0"/>
                    <w:bidi w:val="0"/>
                    <w:adjustRightInd w:val="0"/>
                    <w:snapToGrid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高速搅拌机</w:t>
                  </w:r>
                </w:p>
              </w:tc>
              <w:tc>
                <w:tcPr>
                  <w:tcW w:w="211" w:type="pct"/>
                  <w:shd w:val="clear" w:color="auto" w:fill="auto"/>
                  <w:noWrap w:val="0"/>
                  <w:tcMar>
                    <w:top w:w="0" w:type="dxa"/>
                    <w:left w:w="0" w:type="dxa"/>
                    <w:bottom w:w="0" w:type="dxa"/>
                    <w:right w:w="0" w:type="dxa"/>
                  </w:tcMar>
                  <w:vAlign w:val="center"/>
                </w:tcPr>
                <w:p w14:paraId="68667D87">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299" w:type="pct"/>
                  <w:noWrap w:val="0"/>
                  <w:tcMar>
                    <w:top w:w="0" w:type="dxa"/>
                    <w:left w:w="0" w:type="dxa"/>
                    <w:bottom w:w="0" w:type="dxa"/>
                    <w:right w:w="0" w:type="dxa"/>
                  </w:tcMar>
                  <w:vAlign w:val="center"/>
                </w:tcPr>
                <w:p w14:paraId="1FF506A7">
                  <w:pPr>
                    <w:adjustRightInd w:val="0"/>
                    <w:snapToGrid w:val="0"/>
                    <w:jc w:val="center"/>
                    <w:rPr>
                      <w:rFonts w:hint="default" w:eastAsia="宋体"/>
                      <w:color w:val="auto"/>
                      <w:szCs w:val="21"/>
                      <w:lang w:val="en-US" w:eastAsia="zh-CN"/>
                    </w:rPr>
                  </w:pPr>
                  <w:r>
                    <w:rPr>
                      <w:rFonts w:hint="eastAsia"/>
                      <w:color w:val="auto"/>
                      <w:szCs w:val="21"/>
                      <w:lang w:val="en-US" w:eastAsia="zh-CN"/>
                    </w:rPr>
                    <w:t>80</w:t>
                  </w:r>
                </w:p>
              </w:tc>
              <w:tc>
                <w:tcPr>
                  <w:tcW w:w="272" w:type="pct"/>
                  <w:vMerge w:val="restart"/>
                  <w:noWrap w:val="0"/>
                  <w:tcMar>
                    <w:top w:w="0" w:type="dxa"/>
                    <w:left w:w="0" w:type="dxa"/>
                    <w:bottom w:w="0" w:type="dxa"/>
                    <w:right w:w="0" w:type="dxa"/>
                  </w:tcMar>
                  <w:vAlign w:val="center"/>
                </w:tcPr>
                <w:p w14:paraId="23B5580B">
                  <w:pPr>
                    <w:adjustRightInd w:val="0"/>
                    <w:snapToGrid w:val="0"/>
                    <w:jc w:val="center"/>
                    <w:rPr>
                      <w:color w:val="auto"/>
                      <w:szCs w:val="21"/>
                    </w:rPr>
                  </w:pPr>
                  <w:r>
                    <w:rPr>
                      <w:color w:val="auto"/>
                      <w:szCs w:val="21"/>
                    </w:rPr>
                    <w:t>合理布局+消声+减振+厂房隔声</w:t>
                  </w:r>
                </w:p>
              </w:tc>
              <w:tc>
                <w:tcPr>
                  <w:tcW w:w="245" w:type="pct"/>
                  <w:noWrap w:val="0"/>
                  <w:tcMar>
                    <w:top w:w="0" w:type="dxa"/>
                    <w:left w:w="0" w:type="dxa"/>
                    <w:bottom w:w="0" w:type="dxa"/>
                    <w:right w:w="0" w:type="dxa"/>
                  </w:tcMar>
                  <w:vAlign w:val="center"/>
                </w:tcPr>
                <w:p w14:paraId="12D1F97F">
                  <w:pPr>
                    <w:adjustRightInd w:val="0"/>
                    <w:snapToGrid w:val="0"/>
                    <w:jc w:val="center"/>
                    <w:rPr>
                      <w:rFonts w:hint="default" w:eastAsia="宋体"/>
                      <w:color w:val="auto"/>
                      <w:szCs w:val="21"/>
                      <w:lang w:val="en-US" w:eastAsia="zh-CN"/>
                    </w:rPr>
                  </w:pPr>
                  <w:r>
                    <w:rPr>
                      <w:rFonts w:hint="eastAsia"/>
                      <w:color w:val="auto"/>
                      <w:szCs w:val="21"/>
                      <w:lang w:val="en-US" w:eastAsia="zh-CN"/>
                    </w:rPr>
                    <w:t>20</w:t>
                  </w:r>
                </w:p>
              </w:tc>
              <w:tc>
                <w:tcPr>
                  <w:tcW w:w="221" w:type="pct"/>
                  <w:noWrap w:val="0"/>
                  <w:tcMar>
                    <w:top w:w="0" w:type="dxa"/>
                    <w:left w:w="0" w:type="dxa"/>
                    <w:bottom w:w="0" w:type="dxa"/>
                    <w:right w:w="0" w:type="dxa"/>
                  </w:tcMar>
                  <w:vAlign w:val="center"/>
                </w:tcPr>
                <w:p w14:paraId="31F9BFB8">
                  <w:pPr>
                    <w:adjustRightInd w:val="0"/>
                    <w:snapToGrid w:val="0"/>
                    <w:jc w:val="center"/>
                    <w:rPr>
                      <w:rFonts w:hint="default" w:eastAsia="宋体"/>
                      <w:color w:val="auto"/>
                      <w:szCs w:val="21"/>
                      <w:lang w:val="en-US" w:eastAsia="zh-CN"/>
                    </w:rPr>
                  </w:pPr>
                  <w:r>
                    <w:rPr>
                      <w:rFonts w:hint="eastAsia"/>
                      <w:color w:val="auto"/>
                      <w:szCs w:val="21"/>
                      <w:lang w:val="en-US" w:eastAsia="zh-CN"/>
                    </w:rPr>
                    <w:t>120</w:t>
                  </w:r>
                </w:p>
              </w:tc>
              <w:tc>
                <w:tcPr>
                  <w:tcW w:w="149" w:type="pct"/>
                  <w:noWrap w:val="0"/>
                  <w:tcMar>
                    <w:top w:w="0" w:type="dxa"/>
                    <w:left w:w="0" w:type="dxa"/>
                    <w:bottom w:w="0" w:type="dxa"/>
                    <w:right w:w="0" w:type="dxa"/>
                  </w:tcMar>
                  <w:vAlign w:val="center"/>
                </w:tcPr>
                <w:p w14:paraId="33A2E7DA">
                  <w:pPr>
                    <w:adjustRightInd w:val="0"/>
                    <w:snapToGrid w:val="0"/>
                    <w:jc w:val="center"/>
                    <w:rPr>
                      <w:rFonts w:hint="eastAsia" w:eastAsia="宋体"/>
                      <w:color w:val="auto"/>
                      <w:szCs w:val="21"/>
                      <w:lang w:val="en-US" w:eastAsia="zh-CN"/>
                    </w:rPr>
                  </w:pPr>
                  <w:r>
                    <w:rPr>
                      <w:rFonts w:hint="eastAsia"/>
                      <w:color w:val="auto"/>
                      <w:szCs w:val="21"/>
                      <w:lang w:val="en-US" w:eastAsia="zh-CN"/>
                    </w:rPr>
                    <w:t>0</w:t>
                  </w:r>
                </w:p>
              </w:tc>
              <w:tc>
                <w:tcPr>
                  <w:tcW w:w="242" w:type="pct"/>
                  <w:noWrap w:val="0"/>
                  <w:tcMar>
                    <w:top w:w="0" w:type="dxa"/>
                    <w:left w:w="0" w:type="dxa"/>
                    <w:bottom w:w="0" w:type="dxa"/>
                    <w:right w:w="0" w:type="dxa"/>
                  </w:tcMar>
                  <w:vAlign w:val="center"/>
                </w:tcPr>
                <w:p w14:paraId="70A84A6A">
                  <w:pPr>
                    <w:adjustRightInd w:val="0"/>
                    <w:snapToGrid w:val="0"/>
                    <w:jc w:val="center"/>
                    <w:rPr>
                      <w:rFonts w:hint="default" w:eastAsia="宋体"/>
                      <w:color w:val="auto"/>
                      <w:szCs w:val="21"/>
                      <w:lang w:val="en-US" w:eastAsia="zh-CN"/>
                    </w:rPr>
                  </w:pPr>
                  <w:r>
                    <w:rPr>
                      <w:rFonts w:hint="eastAsia"/>
                      <w:color w:val="auto"/>
                      <w:szCs w:val="21"/>
                      <w:lang w:val="en-US" w:eastAsia="zh-CN"/>
                    </w:rPr>
                    <w:t>30</w:t>
                  </w:r>
                </w:p>
              </w:tc>
              <w:tc>
                <w:tcPr>
                  <w:tcW w:w="156" w:type="pct"/>
                  <w:noWrap w:val="0"/>
                  <w:tcMar>
                    <w:top w:w="0" w:type="dxa"/>
                    <w:left w:w="0" w:type="dxa"/>
                    <w:bottom w:w="0" w:type="dxa"/>
                    <w:right w:w="0" w:type="dxa"/>
                  </w:tcMar>
                  <w:vAlign w:val="center"/>
                </w:tcPr>
                <w:p w14:paraId="23BCEB37">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85</w:t>
                  </w:r>
                </w:p>
              </w:tc>
              <w:tc>
                <w:tcPr>
                  <w:tcW w:w="141" w:type="pct"/>
                  <w:noWrap w:val="0"/>
                  <w:tcMar>
                    <w:top w:w="0" w:type="dxa"/>
                    <w:left w:w="0" w:type="dxa"/>
                    <w:bottom w:w="0" w:type="dxa"/>
                    <w:right w:w="0" w:type="dxa"/>
                  </w:tcMar>
                  <w:vAlign w:val="center"/>
                </w:tcPr>
                <w:p w14:paraId="249B7D5A">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190" w:type="pct"/>
                  <w:noWrap w:val="0"/>
                  <w:tcMar>
                    <w:top w:w="0" w:type="dxa"/>
                    <w:left w:w="0" w:type="dxa"/>
                    <w:bottom w:w="0" w:type="dxa"/>
                    <w:right w:w="0" w:type="dxa"/>
                  </w:tcMar>
                  <w:vAlign w:val="center"/>
                </w:tcPr>
                <w:p w14:paraId="0F6424AD">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10</w:t>
                  </w:r>
                </w:p>
              </w:tc>
              <w:tc>
                <w:tcPr>
                  <w:tcW w:w="347" w:type="pct"/>
                  <w:shd w:val="clear" w:color="auto" w:fill="auto"/>
                  <w:noWrap w:val="0"/>
                  <w:tcMar>
                    <w:top w:w="0" w:type="dxa"/>
                    <w:left w:w="0" w:type="dxa"/>
                    <w:bottom w:w="0" w:type="dxa"/>
                    <w:right w:w="0" w:type="dxa"/>
                  </w:tcMar>
                  <w:vAlign w:val="center"/>
                </w:tcPr>
                <w:p w14:paraId="418F084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80</w:t>
                  </w:r>
                </w:p>
              </w:tc>
              <w:tc>
                <w:tcPr>
                  <w:tcW w:w="192" w:type="pct"/>
                  <w:vMerge w:val="restart"/>
                  <w:noWrap w:val="0"/>
                  <w:tcMar>
                    <w:top w:w="0" w:type="dxa"/>
                    <w:left w:w="0" w:type="dxa"/>
                    <w:bottom w:w="0" w:type="dxa"/>
                    <w:right w:w="0" w:type="dxa"/>
                  </w:tcMar>
                  <w:vAlign w:val="center"/>
                </w:tcPr>
                <w:p w14:paraId="2CA402BC">
                  <w:pPr>
                    <w:adjustRightInd w:val="0"/>
                    <w:snapToGrid w:val="0"/>
                    <w:jc w:val="center"/>
                    <w:rPr>
                      <w:rFonts w:hint="default" w:eastAsia="宋体"/>
                      <w:color w:val="auto"/>
                      <w:szCs w:val="21"/>
                      <w:lang w:val="en-US" w:eastAsia="zh-CN"/>
                    </w:rPr>
                  </w:pPr>
                  <w:r>
                    <w:rPr>
                      <w:rFonts w:hint="eastAsia"/>
                      <w:color w:val="auto"/>
                      <w:szCs w:val="21"/>
                      <w:lang w:val="en-US" w:eastAsia="zh-CN"/>
                    </w:rPr>
                    <w:t>昼</w:t>
                  </w:r>
                </w:p>
              </w:tc>
              <w:tc>
                <w:tcPr>
                  <w:tcW w:w="347" w:type="pct"/>
                  <w:noWrap w:val="0"/>
                  <w:tcMar>
                    <w:top w:w="0" w:type="dxa"/>
                    <w:left w:w="0" w:type="dxa"/>
                    <w:bottom w:w="0" w:type="dxa"/>
                    <w:right w:w="0" w:type="dxa"/>
                  </w:tcMar>
                  <w:vAlign w:val="center"/>
                </w:tcPr>
                <w:p w14:paraId="3E6FF8E6">
                  <w:pPr>
                    <w:adjustRightInd w:val="0"/>
                    <w:snapToGrid w:val="0"/>
                    <w:jc w:val="center"/>
                    <w:rPr>
                      <w:color w:val="auto"/>
                      <w:szCs w:val="21"/>
                    </w:rPr>
                  </w:pPr>
                  <w:r>
                    <w:rPr>
                      <w:rFonts w:hint="eastAsia"/>
                      <w:color w:val="auto"/>
                      <w:szCs w:val="21"/>
                    </w:rPr>
                    <w:t>25</w:t>
                  </w:r>
                </w:p>
              </w:tc>
              <w:tc>
                <w:tcPr>
                  <w:tcW w:w="347" w:type="pct"/>
                  <w:noWrap w:val="0"/>
                  <w:tcMar>
                    <w:top w:w="0" w:type="dxa"/>
                    <w:left w:w="0" w:type="dxa"/>
                    <w:bottom w:w="0" w:type="dxa"/>
                    <w:right w:w="0" w:type="dxa"/>
                  </w:tcMar>
                  <w:vAlign w:val="center"/>
                </w:tcPr>
                <w:p w14:paraId="24B5E775">
                  <w:pPr>
                    <w:adjustRightInd w:val="0"/>
                    <w:snapToGrid w:val="0"/>
                    <w:jc w:val="center"/>
                    <w:rPr>
                      <w:rFonts w:hint="default" w:eastAsia="宋体"/>
                      <w:color w:val="auto"/>
                      <w:szCs w:val="21"/>
                      <w:lang w:val="en-US" w:eastAsia="zh-CN"/>
                    </w:rPr>
                  </w:pPr>
                  <w:r>
                    <w:rPr>
                      <w:rFonts w:hint="eastAsia"/>
                      <w:color w:val="auto"/>
                      <w:szCs w:val="21"/>
                      <w:lang w:val="en-US" w:eastAsia="zh-CN"/>
                    </w:rPr>
                    <w:t>55</w:t>
                  </w:r>
                </w:p>
              </w:tc>
              <w:tc>
                <w:tcPr>
                  <w:tcW w:w="192" w:type="pct"/>
                  <w:noWrap w:val="0"/>
                  <w:tcMar>
                    <w:top w:w="0" w:type="dxa"/>
                    <w:left w:w="0" w:type="dxa"/>
                    <w:bottom w:w="0" w:type="dxa"/>
                    <w:right w:w="0" w:type="dxa"/>
                  </w:tcMar>
                  <w:vAlign w:val="center"/>
                </w:tcPr>
                <w:p w14:paraId="6469501F">
                  <w:pPr>
                    <w:adjustRightInd w:val="0"/>
                    <w:snapToGrid w:val="0"/>
                    <w:jc w:val="center"/>
                    <w:rPr>
                      <w:rFonts w:hint="default" w:eastAsia="宋体"/>
                      <w:color w:val="auto"/>
                      <w:szCs w:val="21"/>
                      <w:lang w:val="en-US" w:eastAsia="zh-CN"/>
                    </w:rPr>
                  </w:pPr>
                  <w:r>
                    <w:rPr>
                      <w:rFonts w:hint="eastAsia"/>
                      <w:color w:val="auto"/>
                      <w:szCs w:val="21"/>
                      <w:lang w:val="en-US" w:eastAsia="zh-CN"/>
                    </w:rPr>
                    <w:t>110</w:t>
                  </w:r>
                </w:p>
              </w:tc>
              <w:tc>
                <w:tcPr>
                  <w:tcW w:w="192" w:type="pct"/>
                  <w:noWrap w:val="0"/>
                  <w:tcMar>
                    <w:top w:w="0" w:type="dxa"/>
                    <w:left w:w="0" w:type="dxa"/>
                    <w:bottom w:w="0" w:type="dxa"/>
                    <w:right w:w="0" w:type="dxa"/>
                  </w:tcMar>
                  <w:vAlign w:val="center"/>
                </w:tcPr>
                <w:p w14:paraId="04D61A76">
                  <w:pPr>
                    <w:adjustRightInd w:val="0"/>
                    <w:snapToGrid w:val="0"/>
                    <w:jc w:val="center"/>
                    <w:rPr>
                      <w:rFonts w:hint="default" w:eastAsia="宋体"/>
                      <w:color w:val="auto"/>
                      <w:szCs w:val="21"/>
                      <w:lang w:val="en-US" w:eastAsia="zh-CN"/>
                    </w:rPr>
                  </w:pPr>
                  <w:r>
                    <w:rPr>
                      <w:rFonts w:hint="eastAsia"/>
                      <w:color w:val="auto"/>
                      <w:szCs w:val="21"/>
                      <w:lang w:val="en-US" w:eastAsia="zh-CN"/>
                    </w:rPr>
                    <w:t>30</w:t>
                  </w:r>
                </w:p>
              </w:tc>
              <w:tc>
                <w:tcPr>
                  <w:tcW w:w="192" w:type="pct"/>
                  <w:noWrap w:val="0"/>
                  <w:tcMar>
                    <w:top w:w="0" w:type="dxa"/>
                    <w:left w:w="0" w:type="dxa"/>
                    <w:bottom w:w="0" w:type="dxa"/>
                    <w:right w:w="0" w:type="dxa"/>
                  </w:tcMar>
                  <w:vAlign w:val="center"/>
                </w:tcPr>
                <w:p w14:paraId="273C1DF3">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250" w:type="pct"/>
                  <w:noWrap w:val="0"/>
                  <w:tcMar>
                    <w:top w:w="0" w:type="dxa"/>
                    <w:left w:w="0" w:type="dxa"/>
                    <w:bottom w:w="0" w:type="dxa"/>
                    <w:right w:w="0" w:type="dxa"/>
                  </w:tcMar>
                  <w:vAlign w:val="center"/>
                </w:tcPr>
                <w:p w14:paraId="375ADE0B">
                  <w:pPr>
                    <w:adjustRightInd w:val="0"/>
                    <w:snapToGrid w:val="0"/>
                    <w:jc w:val="center"/>
                    <w:rPr>
                      <w:rFonts w:hint="default" w:eastAsia="宋体"/>
                      <w:color w:val="auto"/>
                      <w:szCs w:val="21"/>
                      <w:lang w:val="en-US" w:eastAsia="zh-CN"/>
                    </w:rPr>
                  </w:pPr>
                  <w:r>
                    <w:rPr>
                      <w:rFonts w:hint="eastAsia"/>
                      <w:color w:val="auto"/>
                      <w:szCs w:val="21"/>
                      <w:lang w:val="en-US" w:eastAsia="zh-CN"/>
                    </w:rPr>
                    <w:t>50</w:t>
                  </w:r>
                </w:p>
              </w:tc>
            </w:tr>
            <w:tr w14:paraId="25848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 w:type="pct"/>
                  <w:noWrap w:val="0"/>
                  <w:tcMar>
                    <w:top w:w="0" w:type="dxa"/>
                    <w:left w:w="0" w:type="dxa"/>
                    <w:bottom w:w="0" w:type="dxa"/>
                    <w:right w:w="0" w:type="dxa"/>
                  </w:tcMar>
                  <w:vAlign w:val="center"/>
                </w:tcPr>
                <w:p w14:paraId="31C65593">
                  <w:pPr>
                    <w:adjustRightInd w:val="0"/>
                    <w:snapToGrid w:val="0"/>
                    <w:jc w:val="center"/>
                    <w:rPr>
                      <w:rFonts w:hint="eastAsia"/>
                      <w:color w:val="auto"/>
                      <w:kern w:val="2"/>
                      <w:sz w:val="21"/>
                      <w:szCs w:val="21"/>
                      <w:lang w:val="en-US" w:eastAsia="zh-CN" w:bidi="ar-SA"/>
                    </w:rPr>
                  </w:pPr>
                  <w:r>
                    <w:rPr>
                      <w:rFonts w:hint="eastAsia"/>
                      <w:color w:val="auto"/>
                      <w:szCs w:val="21"/>
                    </w:rPr>
                    <w:t>2</w:t>
                  </w:r>
                </w:p>
              </w:tc>
              <w:tc>
                <w:tcPr>
                  <w:tcW w:w="250" w:type="pct"/>
                  <w:vMerge w:val="continue"/>
                  <w:noWrap w:val="0"/>
                  <w:tcMar>
                    <w:top w:w="0" w:type="dxa"/>
                    <w:left w:w="0" w:type="dxa"/>
                    <w:bottom w:w="0" w:type="dxa"/>
                    <w:right w:w="0" w:type="dxa"/>
                  </w:tcMar>
                  <w:vAlign w:val="center"/>
                </w:tcPr>
                <w:p w14:paraId="650870C4">
                  <w:pPr>
                    <w:adjustRightInd w:val="0"/>
                    <w:snapToGrid w:val="0"/>
                    <w:jc w:val="center"/>
                    <w:rPr>
                      <w:rFonts w:hint="eastAsia"/>
                      <w:color w:val="auto"/>
                      <w:szCs w:val="21"/>
                    </w:rPr>
                  </w:pPr>
                </w:p>
              </w:tc>
              <w:tc>
                <w:tcPr>
                  <w:tcW w:w="418" w:type="pct"/>
                  <w:shd w:val="clear" w:color="auto" w:fill="auto"/>
                  <w:noWrap w:val="0"/>
                  <w:tcMar>
                    <w:top w:w="0" w:type="dxa"/>
                    <w:left w:w="0" w:type="dxa"/>
                    <w:bottom w:w="0" w:type="dxa"/>
                    <w:right w:w="0" w:type="dxa"/>
                  </w:tcMar>
                  <w:vAlign w:val="center"/>
                </w:tcPr>
                <w:p w14:paraId="01E98E4C">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混料机</w:t>
                  </w:r>
                </w:p>
              </w:tc>
              <w:tc>
                <w:tcPr>
                  <w:tcW w:w="211" w:type="pct"/>
                  <w:shd w:val="clear" w:color="auto" w:fill="auto"/>
                  <w:noWrap w:val="0"/>
                  <w:tcMar>
                    <w:top w:w="0" w:type="dxa"/>
                    <w:left w:w="0" w:type="dxa"/>
                    <w:bottom w:w="0" w:type="dxa"/>
                    <w:right w:w="0" w:type="dxa"/>
                  </w:tcMar>
                  <w:vAlign w:val="center"/>
                </w:tcPr>
                <w:p w14:paraId="2FA4F8F3">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299" w:type="pct"/>
                  <w:noWrap w:val="0"/>
                  <w:tcMar>
                    <w:top w:w="0" w:type="dxa"/>
                    <w:left w:w="0" w:type="dxa"/>
                    <w:bottom w:w="0" w:type="dxa"/>
                    <w:right w:w="0" w:type="dxa"/>
                  </w:tcMar>
                  <w:vAlign w:val="center"/>
                </w:tcPr>
                <w:p w14:paraId="07CFBDEE">
                  <w:pPr>
                    <w:adjustRightInd w:val="0"/>
                    <w:snapToGrid w:val="0"/>
                    <w:jc w:val="center"/>
                    <w:rPr>
                      <w:rFonts w:hint="default"/>
                      <w:color w:val="auto"/>
                      <w:szCs w:val="21"/>
                      <w:lang w:val="en-US" w:eastAsia="zh-CN"/>
                    </w:rPr>
                  </w:pPr>
                  <w:r>
                    <w:rPr>
                      <w:rFonts w:hint="eastAsia"/>
                      <w:color w:val="auto"/>
                      <w:szCs w:val="21"/>
                      <w:lang w:val="en-US" w:eastAsia="zh-CN"/>
                    </w:rPr>
                    <w:t>80</w:t>
                  </w:r>
                </w:p>
              </w:tc>
              <w:tc>
                <w:tcPr>
                  <w:tcW w:w="272" w:type="pct"/>
                  <w:vMerge w:val="continue"/>
                  <w:noWrap w:val="0"/>
                  <w:tcMar>
                    <w:top w:w="0" w:type="dxa"/>
                    <w:left w:w="0" w:type="dxa"/>
                    <w:bottom w:w="0" w:type="dxa"/>
                    <w:right w:w="0" w:type="dxa"/>
                  </w:tcMar>
                  <w:vAlign w:val="center"/>
                </w:tcPr>
                <w:p w14:paraId="637C9A53">
                  <w:pPr>
                    <w:adjustRightInd w:val="0"/>
                    <w:snapToGrid w:val="0"/>
                    <w:jc w:val="center"/>
                    <w:rPr>
                      <w:color w:val="auto"/>
                      <w:szCs w:val="21"/>
                    </w:rPr>
                  </w:pPr>
                </w:p>
              </w:tc>
              <w:tc>
                <w:tcPr>
                  <w:tcW w:w="245" w:type="pct"/>
                  <w:noWrap w:val="0"/>
                  <w:tcMar>
                    <w:top w:w="0" w:type="dxa"/>
                    <w:left w:w="0" w:type="dxa"/>
                    <w:bottom w:w="0" w:type="dxa"/>
                    <w:right w:w="0" w:type="dxa"/>
                  </w:tcMar>
                  <w:vAlign w:val="center"/>
                </w:tcPr>
                <w:p w14:paraId="35C6C1C1">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20</w:t>
                  </w:r>
                </w:p>
              </w:tc>
              <w:tc>
                <w:tcPr>
                  <w:tcW w:w="221" w:type="pct"/>
                  <w:noWrap w:val="0"/>
                  <w:tcMar>
                    <w:top w:w="0" w:type="dxa"/>
                    <w:left w:w="0" w:type="dxa"/>
                    <w:bottom w:w="0" w:type="dxa"/>
                    <w:right w:w="0" w:type="dxa"/>
                  </w:tcMar>
                  <w:vAlign w:val="center"/>
                </w:tcPr>
                <w:p w14:paraId="10F9681B">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110</w:t>
                  </w:r>
                </w:p>
              </w:tc>
              <w:tc>
                <w:tcPr>
                  <w:tcW w:w="149" w:type="pct"/>
                  <w:noWrap w:val="0"/>
                  <w:tcMar>
                    <w:top w:w="0" w:type="dxa"/>
                    <w:left w:w="0" w:type="dxa"/>
                    <w:bottom w:w="0" w:type="dxa"/>
                    <w:right w:w="0" w:type="dxa"/>
                  </w:tcMar>
                  <w:vAlign w:val="center"/>
                </w:tcPr>
                <w:p w14:paraId="60F95611">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0</w:t>
                  </w:r>
                </w:p>
              </w:tc>
              <w:tc>
                <w:tcPr>
                  <w:tcW w:w="242" w:type="pct"/>
                  <w:noWrap w:val="0"/>
                  <w:tcMar>
                    <w:top w:w="0" w:type="dxa"/>
                    <w:left w:w="0" w:type="dxa"/>
                    <w:bottom w:w="0" w:type="dxa"/>
                    <w:right w:w="0" w:type="dxa"/>
                  </w:tcMar>
                  <w:vAlign w:val="center"/>
                </w:tcPr>
                <w:p w14:paraId="62D67185">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30</w:t>
                  </w:r>
                </w:p>
              </w:tc>
              <w:tc>
                <w:tcPr>
                  <w:tcW w:w="156" w:type="pct"/>
                  <w:noWrap w:val="0"/>
                  <w:tcMar>
                    <w:top w:w="0" w:type="dxa"/>
                    <w:left w:w="0" w:type="dxa"/>
                    <w:bottom w:w="0" w:type="dxa"/>
                    <w:right w:w="0" w:type="dxa"/>
                  </w:tcMar>
                  <w:vAlign w:val="center"/>
                </w:tcPr>
                <w:p w14:paraId="2A9FB708">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80</w:t>
                  </w:r>
                </w:p>
              </w:tc>
              <w:tc>
                <w:tcPr>
                  <w:tcW w:w="141" w:type="pct"/>
                  <w:noWrap w:val="0"/>
                  <w:tcMar>
                    <w:top w:w="0" w:type="dxa"/>
                    <w:left w:w="0" w:type="dxa"/>
                    <w:bottom w:w="0" w:type="dxa"/>
                    <w:right w:w="0" w:type="dxa"/>
                  </w:tcMar>
                  <w:vAlign w:val="center"/>
                </w:tcPr>
                <w:p w14:paraId="57648CBF">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10</w:t>
                  </w:r>
                </w:p>
              </w:tc>
              <w:tc>
                <w:tcPr>
                  <w:tcW w:w="190" w:type="pct"/>
                  <w:noWrap w:val="0"/>
                  <w:tcMar>
                    <w:top w:w="0" w:type="dxa"/>
                    <w:left w:w="0" w:type="dxa"/>
                    <w:bottom w:w="0" w:type="dxa"/>
                    <w:right w:w="0" w:type="dxa"/>
                  </w:tcMar>
                  <w:vAlign w:val="center"/>
                </w:tcPr>
                <w:p w14:paraId="26B543C6">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15</w:t>
                  </w:r>
                </w:p>
              </w:tc>
              <w:tc>
                <w:tcPr>
                  <w:tcW w:w="347" w:type="pct"/>
                  <w:shd w:val="clear" w:color="auto" w:fill="auto"/>
                  <w:noWrap w:val="0"/>
                  <w:tcMar>
                    <w:top w:w="0" w:type="dxa"/>
                    <w:left w:w="0" w:type="dxa"/>
                    <w:bottom w:w="0" w:type="dxa"/>
                    <w:right w:w="0" w:type="dxa"/>
                  </w:tcMar>
                  <w:vAlign w:val="center"/>
                </w:tcPr>
                <w:p w14:paraId="7B0644A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80</w:t>
                  </w:r>
                </w:p>
              </w:tc>
              <w:tc>
                <w:tcPr>
                  <w:tcW w:w="192" w:type="pct"/>
                  <w:vMerge w:val="continue"/>
                  <w:noWrap w:val="0"/>
                  <w:tcMar>
                    <w:top w:w="0" w:type="dxa"/>
                    <w:left w:w="0" w:type="dxa"/>
                    <w:bottom w:w="0" w:type="dxa"/>
                    <w:right w:w="0" w:type="dxa"/>
                  </w:tcMar>
                  <w:vAlign w:val="center"/>
                </w:tcPr>
                <w:p w14:paraId="737D62DA">
                  <w:pPr>
                    <w:adjustRightInd w:val="0"/>
                    <w:snapToGrid w:val="0"/>
                    <w:jc w:val="center"/>
                    <w:rPr>
                      <w:rFonts w:hint="eastAsia"/>
                      <w:color w:val="auto"/>
                      <w:szCs w:val="21"/>
                      <w:lang w:val="en-US" w:eastAsia="zh-CN"/>
                    </w:rPr>
                  </w:pPr>
                </w:p>
              </w:tc>
              <w:tc>
                <w:tcPr>
                  <w:tcW w:w="347" w:type="pct"/>
                  <w:noWrap w:val="0"/>
                  <w:tcMar>
                    <w:top w:w="0" w:type="dxa"/>
                    <w:left w:w="0" w:type="dxa"/>
                    <w:bottom w:w="0" w:type="dxa"/>
                    <w:right w:w="0" w:type="dxa"/>
                  </w:tcMar>
                  <w:vAlign w:val="center"/>
                </w:tcPr>
                <w:p w14:paraId="6BBE1F1F">
                  <w:pPr>
                    <w:adjustRightInd w:val="0"/>
                    <w:snapToGrid w:val="0"/>
                    <w:jc w:val="center"/>
                    <w:rPr>
                      <w:rFonts w:hint="default" w:eastAsia="宋体"/>
                      <w:color w:val="auto"/>
                      <w:szCs w:val="21"/>
                      <w:lang w:val="en-US" w:eastAsia="zh-CN"/>
                    </w:rPr>
                  </w:pPr>
                  <w:r>
                    <w:rPr>
                      <w:rFonts w:hint="eastAsia"/>
                      <w:color w:val="auto"/>
                      <w:szCs w:val="21"/>
                      <w:lang w:val="en-US" w:eastAsia="zh-CN"/>
                    </w:rPr>
                    <w:t>25</w:t>
                  </w:r>
                </w:p>
              </w:tc>
              <w:tc>
                <w:tcPr>
                  <w:tcW w:w="347" w:type="pct"/>
                  <w:noWrap w:val="0"/>
                  <w:tcMar>
                    <w:top w:w="0" w:type="dxa"/>
                    <w:left w:w="0" w:type="dxa"/>
                    <w:bottom w:w="0" w:type="dxa"/>
                    <w:right w:w="0" w:type="dxa"/>
                  </w:tcMar>
                  <w:vAlign w:val="center"/>
                </w:tcPr>
                <w:p w14:paraId="34F8F1FC">
                  <w:pPr>
                    <w:adjustRightInd w:val="0"/>
                    <w:snapToGrid w:val="0"/>
                    <w:jc w:val="center"/>
                    <w:rPr>
                      <w:rFonts w:hint="default" w:eastAsia="宋体"/>
                      <w:color w:val="auto"/>
                      <w:szCs w:val="21"/>
                      <w:lang w:val="en-US" w:eastAsia="zh-CN"/>
                    </w:rPr>
                  </w:pPr>
                  <w:r>
                    <w:rPr>
                      <w:rFonts w:hint="eastAsia"/>
                      <w:color w:val="auto"/>
                      <w:szCs w:val="21"/>
                      <w:lang w:val="en-US" w:eastAsia="zh-CN"/>
                    </w:rPr>
                    <w:t>55</w:t>
                  </w:r>
                </w:p>
              </w:tc>
              <w:tc>
                <w:tcPr>
                  <w:tcW w:w="321" w:type="dxa"/>
                  <w:noWrap w:val="0"/>
                  <w:tcMar>
                    <w:top w:w="0" w:type="dxa"/>
                    <w:left w:w="0" w:type="dxa"/>
                    <w:bottom w:w="0" w:type="dxa"/>
                    <w:right w:w="0" w:type="dxa"/>
                  </w:tcMar>
                  <w:vAlign w:val="center"/>
                </w:tcPr>
                <w:p w14:paraId="75C7CEF8">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110</w:t>
                  </w:r>
                </w:p>
              </w:tc>
              <w:tc>
                <w:tcPr>
                  <w:tcW w:w="321" w:type="dxa"/>
                  <w:noWrap w:val="0"/>
                  <w:tcMar>
                    <w:top w:w="0" w:type="dxa"/>
                    <w:left w:w="0" w:type="dxa"/>
                    <w:bottom w:w="0" w:type="dxa"/>
                    <w:right w:w="0" w:type="dxa"/>
                  </w:tcMar>
                  <w:vAlign w:val="center"/>
                </w:tcPr>
                <w:p w14:paraId="06043CE1">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30</w:t>
                  </w:r>
                </w:p>
              </w:tc>
              <w:tc>
                <w:tcPr>
                  <w:tcW w:w="321" w:type="dxa"/>
                  <w:noWrap w:val="0"/>
                  <w:tcMar>
                    <w:top w:w="0" w:type="dxa"/>
                    <w:left w:w="0" w:type="dxa"/>
                    <w:bottom w:w="0" w:type="dxa"/>
                    <w:right w:w="0" w:type="dxa"/>
                  </w:tcMar>
                  <w:vAlign w:val="center"/>
                </w:tcPr>
                <w:p w14:paraId="0E8BEFFA">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10</w:t>
                  </w:r>
                </w:p>
              </w:tc>
              <w:tc>
                <w:tcPr>
                  <w:tcW w:w="418" w:type="dxa"/>
                  <w:noWrap w:val="0"/>
                  <w:tcMar>
                    <w:top w:w="0" w:type="dxa"/>
                    <w:left w:w="0" w:type="dxa"/>
                    <w:bottom w:w="0" w:type="dxa"/>
                    <w:right w:w="0" w:type="dxa"/>
                  </w:tcMar>
                  <w:vAlign w:val="center"/>
                </w:tcPr>
                <w:p w14:paraId="78C1BE1D">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50</w:t>
                  </w:r>
                </w:p>
              </w:tc>
            </w:tr>
            <w:tr w14:paraId="1D3FA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 w:type="pct"/>
                  <w:noWrap w:val="0"/>
                  <w:tcMar>
                    <w:top w:w="0" w:type="dxa"/>
                    <w:left w:w="0" w:type="dxa"/>
                    <w:bottom w:w="0" w:type="dxa"/>
                    <w:right w:w="0" w:type="dxa"/>
                  </w:tcMar>
                  <w:vAlign w:val="center"/>
                </w:tcPr>
                <w:p w14:paraId="2137517F">
                  <w:pPr>
                    <w:adjustRightInd w:val="0"/>
                    <w:snapToGrid w:val="0"/>
                    <w:jc w:val="center"/>
                    <w:rPr>
                      <w:rFonts w:hint="eastAsia"/>
                      <w:color w:val="auto"/>
                      <w:kern w:val="2"/>
                      <w:sz w:val="21"/>
                      <w:szCs w:val="21"/>
                      <w:lang w:val="en-US" w:eastAsia="zh-CN" w:bidi="ar-SA"/>
                    </w:rPr>
                  </w:pPr>
                  <w:r>
                    <w:rPr>
                      <w:rFonts w:hint="eastAsia"/>
                      <w:color w:val="auto"/>
                      <w:szCs w:val="21"/>
                    </w:rPr>
                    <w:t>3</w:t>
                  </w:r>
                </w:p>
              </w:tc>
              <w:tc>
                <w:tcPr>
                  <w:tcW w:w="250" w:type="pct"/>
                  <w:vMerge w:val="continue"/>
                  <w:noWrap w:val="0"/>
                  <w:tcMar>
                    <w:top w:w="0" w:type="dxa"/>
                    <w:left w:w="0" w:type="dxa"/>
                    <w:bottom w:w="0" w:type="dxa"/>
                    <w:right w:w="0" w:type="dxa"/>
                  </w:tcMar>
                  <w:vAlign w:val="center"/>
                </w:tcPr>
                <w:p w14:paraId="41E8100C">
                  <w:pPr>
                    <w:adjustRightInd w:val="0"/>
                    <w:snapToGrid w:val="0"/>
                    <w:jc w:val="center"/>
                    <w:rPr>
                      <w:color w:val="auto"/>
                      <w:szCs w:val="21"/>
                    </w:rPr>
                  </w:pPr>
                </w:p>
              </w:tc>
              <w:tc>
                <w:tcPr>
                  <w:tcW w:w="418" w:type="pct"/>
                  <w:shd w:val="clear" w:color="auto" w:fill="auto"/>
                  <w:noWrap w:val="0"/>
                  <w:tcMar>
                    <w:top w:w="0" w:type="dxa"/>
                    <w:left w:w="0" w:type="dxa"/>
                    <w:bottom w:w="0" w:type="dxa"/>
                    <w:right w:w="0" w:type="dxa"/>
                  </w:tcMar>
                  <w:vAlign w:val="center"/>
                </w:tcPr>
                <w:p w14:paraId="2CC714F3">
                  <w:pPr>
                    <w:pStyle w:val="91"/>
                    <w:keepNext w:val="0"/>
                    <w:keepLines w:val="0"/>
                    <w:pageBreakBefore w:val="0"/>
                    <w:kinsoku/>
                    <w:wordWrap/>
                    <w:overflowPunct/>
                    <w:topLinePunct w:val="0"/>
                    <w:bidi w:val="0"/>
                    <w:adjustRightInd w:val="0"/>
                    <w:snapToGrid w:val="0"/>
                    <w:rPr>
                      <w:rFonts w:hint="eastAsia" w:ascii="Times New Roman" w:hAnsi="Times New Roman" w:eastAsia="宋体" w:cs="Times New Roman"/>
                      <w:b w:val="0"/>
                      <w:bCs/>
                      <w:color w:val="auto"/>
                      <w:kern w:val="2"/>
                      <w:sz w:val="21"/>
                      <w:szCs w:val="21"/>
                      <w:lang w:val="en-US" w:eastAsia="zh-CN" w:bidi="ar-SA"/>
                    </w:rPr>
                  </w:pPr>
                  <w:r>
                    <w:rPr>
                      <w:rFonts w:ascii="Times New Roman" w:hAnsi="Times New Roman" w:eastAsia="宋体"/>
                      <w:b w:val="0"/>
                      <w:bCs/>
                      <w:color w:val="auto"/>
                      <w:sz w:val="21"/>
                      <w:szCs w:val="21"/>
                    </w:rPr>
                    <w:t>挤出机</w:t>
                  </w:r>
                </w:p>
              </w:tc>
              <w:tc>
                <w:tcPr>
                  <w:tcW w:w="211" w:type="pct"/>
                  <w:shd w:val="clear" w:color="auto" w:fill="auto"/>
                  <w:noWrap w:val="0"/>
                  <w:tcMar>
                    <w:top w:w="0" w:type="dxa"/>
                    <w:left w:w="0" w:type="dxa"/>
                    <w:bottom w:w="0" w:type="dxa"/>
                    <w:right w:w="0" w:type="dxa"/>
                  </w:tcMar>
                  <w:vAlign w:val="center"/>
                </w:tcPr>
                <w:p w14:paraId="5D897289">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299" w:type="pct"/>
                  <w:noWrap w:val="0"/>
                  <w:tcMar>
                    <w:top w:w="0" w:type="dxa"/>
                    <w:left w:w="0" w:type="dxa"/>
                    <w:bottom w:w="0" w:type="dxa"/>
                    <w:right w:w="0" w:type="dxa"/>
                  </w:tcMar>
                  <w:vAlign w:val="center"/>
                </w:tcPr>
                <w:p w14:paraId="5208FA16">
                  <w:pPr>
                    <w:adjustRightInd w:val="0"/>
                    <w:snapToGrid w:val="0"/>
                    <w:jc w:val="center"/>
                    <w:rPr>
                      <w:rFonts w:hint="default" w:eastAsia="宋体"/>
                      <w:color w:val="auto"/>
                      <w:szCs w:val="21"/>
                      <w:lang w:val="en-US" w:eastAsia="zh-CN"/>
                    </w:rPr>
                  </w:pPr>
                  <w:r>
                    <w:rPr>
                      <w:rFonts w:hint="eastAsia"/>
                      <w:color w:val="auto"/>
                      <w:szCs w:val="21"/>
                      <w:lang w:val="en-US" w:eastAsia="zh-CN"/>
                    </w:rPr>
                    <w:t>85</w:t>
                  </w:r>
                </w:p>
              </w:tc>
              <w:tc>
                <w:tcPr>
                  <w:tcW w:w="272" w:type="pct"/>
                  <w:vMerge w:val="continue"/>
                  <w:noWrap w:val="0"/>
                  <w:tcMar>
                    <w:top w:w="0" w:type="dxa"/>
                    <w:left w:w="0" w:type="dxa"/>
                    <w:bottom w:w="0" w:type="dxa"/>
                    <w:right w:w="0" w:type="dxa"/>
                  </w:tcMar>
                  <w:vAlign w:val="center"/>
                </w:tcPr>
                <w:p w14:paraId="09F5CD38">
                  <w:pPr>
                    <w:adjustRightInd w:val="0"/>
                    <w:snapToGrid w:val="0"/>
                    <w:jc w:val="center"/>
                    <w:rPr>
                      <w:color w:val="auto"/>
                      <w:szCs w:val="21"/>
                    </w:rPr>
                  </w:pPr>
                </w:p>
              </w:tc>
              <w:tc>
                <w:tcPr>
                  <w:tcW w:w="245" w:type="pct"/>
                  <w:noWrap w:val="0"/>
                  <w:tcMar>
                    <w:top w:w="0" w:type="dxa"/>
                    <w:left w:w="0" w:type="dxa"/>
                    <w:bottom w:w="0" w:type="dxa"/>
                    <w:right w:w="0" w:type="dxa"/>
                  </w:tcMar>
                  <w:vAlign w:val="center"/>
                </w:tcPr>
                <w:p w14:paraId="03F08A0C">
                  <w:pPr>
                    <w:adjustRightInd w:val="0"/>
                    <w:snapToGrid w:val="0"/>
                    <w:jc w:val="center"/>
                    <w:rPr>
                      <w:rFonts w:hint="default" w:eastAsia="宋体"/>
                      <w:color w:val="auto"/>
                      <w:szCs w:val="21"/>
                      <w:lang w:val="en-US" w:eastAsia="zh-CN"/>
                    </w:rPr>
                  </w:pPr>
                  <w:r>
                    <w:rPr>
                      <w:rFonts w:hint="eastAsia"/>
                      <w:color w:val="auto"/>
                      <w:szCs w:val="21"/>
                      <w:lang w:val="en-US" w:eastAsia="zh-CN"/>
                    </w:rPr>
                    <w:t>20</w:t>
                  </w:r>
                </w:p>
              </w:tc>
              <w:tc>
                <w:tcPr>
                  <w:tcW w:w="221" w:type="pct"/>
                  <w:noWrap w:val="0"/>
                  <w:tcMar>
                    <w:top w:w="0" w:type="dxa"/>
                    <w:left w:w="0" w:type="dxa"/>
                    <w:bottom w:w="0" w:type="dxa"/>
                    <w:right w:w="0" w:type="dxa"/>
                  </w:tcMar>
                  <w:vAlign w:val="center"/>
                </w:tcPr>
                <w:p w14:paraId="2EE8A663">
                  <w:pPr>
                    <w:adjustRightInd w:val="0"/>
                    <w:snapToGrid w:val="0"/>
                    <w:jc w:val="center"/>
                    <w:rPr>
                      <w:rFonts w:hint="default" w:eastAsia="宋体"/>
                      <w:color w:val="auto"/>
                      <w:szCs w:val="21"/>
                      <w:lang w:val="en-US" w:eastAsia="zh-CN"/>
                    </w:rPr>
                  </w:pPr>
                  <w:r>
                    <w:rPr>
                      <w:rFonts w:hint="eastAsia"/>
                      <w:color w:val="auto"/>
                      <w:szCs w:val="21"/>
                      <w:lang w:val="en-US" w:eastAsia="zh-CN"/>
                    </w:rPr>
                    <w:t>100</w:t>
                  </w:r>
                </w:p>
              </w:tc>
              <w:tc>
                <w:tcPr>
                  <w:tcW w:w="149" w:type="pct"/>
                  <w:noWrap w:val="0"/>
                  <w:tcMar>
                    <w:top w:w="0" w:type="dxa"/>
                    <w:left w:w="0" w:type="dxa"/>
                    <w:bottom w:w="0" w:type="dxa"/>
                    <w:right w:w="0" w:type="dxa"/>
                  </w:tcMar>
                  <w:vAlign w:val="center"/>
                </w:tcPr>
                <w:p w14:paraId="5E514C11">
                  <w:pPr>
                    <w:adjustRightInd w:val="0"/>
                    <w:snapToGrid w:val="0"/>
                    <w:jc w:val="center"/>
                    <w:rPr>
                      <w:rFonts w:hint="eastAsia" w:eastAsia="宋体"/>
                      <w:color w:val="auto"/>
                      <w:szCs w:val="21"/>
                      <w:lang w:val="en-US" w:eastAsia="zh-CN"/>
                    </w:rPr>
                  </w:pPr>
                  <w:r>
                    <w:rPr>
                      <w:rFonts w:hint="eastAsia"/>
                      <w:color w:val="auto"/>
                      <w:szCs w:val="21"/>
                      <w:lang w:val="en-US" w:eastAsia="zh-CN"/>
                    </w:rPr>
                    <w:t>0</w:t>
                  </w:r>
                </w:p>
              </w:tc>
              <w:tc>
                <w:tcPr>
                  <w:tcW w:w="242" w:type="pct"/>
                  <w:noWrap w:val="0"/>
                  <w:tcMar>
                    <w:top w:w="0" w:type="dxa"/>
                    <w:left w:w="0" w:type="dxa"/>
                    <w:bottom w:w="0" w:type="dxa"/>
                    <w:right w:w="0" w:type="dxa"/>
                  </w:tcMar>
                  <w:vAlign w:val="center"/>
                </w:tcPr>
                <w:p w14:paraId="4DA5B34B">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30</w:t>
                  </w:r>
                </w:p>
              </w:tc>
              <w:tc>
                <w:tcPr>
                  <w:tcW w:w="156" w:type="pct"/>
                  <w:noWrap w:val="0"/>
                  <w:tcMar>
                    <w:top w:w="0" w:type="dxa"/>
                    <w:left w:w="0" w:type="dxa"/>
                    <w:bottom w:w="0" w:type="dxa"/>
                    <w:right w:w="0" w:type="dxa"/>
                  </w:tcMar>
                  <w:vAlign w:val="center"/>
                </w:tcPr>
                <w:p w14:paraId="07E99F81">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45</w:t>
                  </w:r>
                </w:p>
              </w:tc>
              <w:tc>
                <w:tcPr>
                  <w:tcW w:w="141" w:type="pct"/>
                  <w:noWrap w:val="0"/>
                  <w:tcMar>
                    <w:top w:w="0" w:type="dxa"/>
                    <w:left w:w="0" w:type="dxa"/>
                    <w:bottom w:w="0" w:type="dxa"/>
                    <w:right w:w="0" w:type="dxa"/>
                  </w:tcMar>
                  <w:vAlign w:val="center"/>
                </w:tcPr>
                <w:p w14:paraId="63589AE1">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10</w:t>
                  </w:r>
                </w:p>
              </w:tc>
              <w:tc>
                <w:tcPr>
                  <w:tcW w:w="190" w:type="pct"/>
                  <w:noWrap w:val="0"/>
                  <w:tcMar>
                    <w:top w:w="0" w:type="dxa"/>
                    <w:left w:w="0" w:type="dxa"/>
                    <w:bottom w:w="0" w:type="dxa"/>
                    <w:right w:w="0" w:type="dxa"/>
                  </w:tcMar>
                  <w:vAlign w:val="center"/>
                </w:tcPr>
                <w:p w14:paraId="4D93220F">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20</w:t>
                  </w:r>
                </w:p>
              </w:tc>
              <w:tc>
                <w:tcPr>
                  <w:tcW w:w="347" w:type="pct"/>
                  <w:shd w:val="clear" w:color="auto" w:fill="auto"/>
                  <w:noWrap w:val="0"/>
                  <w:tcMar>
                    <w:top w:w="0" w:type="dxa"/>
                    <w:left w:w="0" w:type="dxa"/>
                    <w:bottom w:w="0" w:type="dxa"/>
                    <w:right w:w="0" w:type="dxa"/>
                  </w:tcMar>
                  <w:vAlign w:val="center"/>
                </w:tcPr>
                <w:p w14:paraId="0E2A658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85</w:t>
                  </w:r>
                </w:p>
              </w:tc>
              <w:tc>
                <w:tcPr>
                  <w:tcW w:w="192" w:type="pct"/>
                  <w:vMerge w:val="continue"/>
                  <w:noWrap w:val="0"/>
                  <w:tcMar>
                    <w:top w:w="0" w:type="dxa"/>
                    <w:left w:w="0" w:type="dxa"/>
                    <w:bottom w:w="0" w:type="dxa"/>
                    <w:right w:w="0" w:type="dxa"/>
                  </w:tcMar>
                  <w:vAlign w:val="center"/>
                </w:tcPr>
                <w:p w14:paraId="098A12B7">
                  <w:pPr>
                    <w:adjustRightInd w:val="0"/>
                    <w:snapToGrid w:val="0"/>
                    <w:jc w:val="center"/>
                    <w:rPr>
                      <w:color w:val="auto"/>
                      <w:szCs w:val="21"/>
                    </w:rPr>
                  </w:pPr>
                </w:p>
              </w:tc>
              <w:tc>
                <w:tcPr>
                  <w:tcW w:w="347" w:type="pct"/>
                  <w:noWrap w:val="0"/>
                  <w:tcMar>
                    <w:top w:w="0" w:type="dxa"/>
                    <w:left w:w="0" w:type="dxa"/>
                    <w:bottom w:w="0" w:type="dxa"/>
                    <w:right w:w="0" w:type="dxa"/>
                  </w:tcMar>
                  <w:vAlign w:val="center"/>
                </w:tcPr>
                <w:p w14:paraId="229F08CF">
                  <w:pPr>
                    <w:adjustRightInd w:val="0"/>
                    <w:snapToGrid w:val="0"/>
                    <w:jc w:val="center"/>
                    <w:rPr>
                      <w:rFonts w:hint="eastAsia"/>
                      <w:color w:val="auto"/>
                      <w:szCs w:val="21"/>
                    </w:rPr>
                  </w:pPr>
                  <w:r>
                    <w:rPr>
                      <w:rFonts w:hint="eastAsia"/>
                      <w:color w:val="auto"/>
                      <w:szCs w:val="21"/>
                    </w:rPr>
                    <w:t>25</w:t>
                  </w:r>
                </w:p>
              </w:tc>
              <w:tc>
                <w:tcPr>
                  <w:tcW w:w="347" w:type="pct"/>
                  <w:noWrap w:val="0"/>
                  <w:tcMar>
                    <w:top w:w="0" w:type="dxa"/>
                    <w:left w:w="0" w:type="dxa"/>
                    <w:bottom w:w="0" w:type="dxa"/>
                    <w:right w:w="0" w:type="dxa"/>
                  </w:tcMar>
                  <w:vAlign w:val="center"/>
                </w:tcPr>
                <w:p w14:paraId="015C7D68">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60</w:t>
                  </w:r>
                </w:p>
              </w:tc>
              <w:tc>
                <w:tcPr>
                  <w:tcW w:w="321" w:type="dxa"/>
                  <w:noWrap w:val="0"/>
                  <w:tcMar>
                    <w:top w:w="0" w:type="dxa"/>
                    <w:left w:w="0" w:type="dxa"/>
                    <w:bottom w:w="0" w:type="dxa"/>
                    <w:right w:w="0" w:type="dxa"/>
                  </w:tcMar>
                  <w:vAlign w:val="center"/>
                </w:tcPr>
                <w:p w14:paraId="0E2BCCD8">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110</w:t>
                  </w:r>
                </w:p>
              </w:tc>
              <w:tc>
                <w:tcPr>
                  <w:tcW w:w="321" w:type="dxa"/>
                  <w:noWrap w:val="0"/>
                  <w:tcMar>
                    <w:top w:w="0" w:type="dxa"/>
                    <w:left w:w="0" w:type="dxa"/>
                    <w:bottom w:w="0" w:type="dxa"/>
                    <w:right w:w="0" w:type="dxa"/>
                  </w:tcMar>
                  <w:vAlign w:val="center"/>
                </w:tcPr>
                <w:p w14:paraId="298240C0">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30</w:t>
                  </w:r>
                </w:p>
              </w:tc>
              <w:tc>
                <w:tcPr>
                  <w:tcW w:w="321" w:type="dxa"/>
                  <w:noWrap w:val="0"/>
                  <w:tcMar>
                    <w:top w:w="0" w:type="dxa"/>
                    <w:left w:w="0" w:type="dxa"/>
                    <w:bottom w:w="0" w:type="dxa"/>
                    <w:right w:w="0" w:type="dxa"/>
                  </w:tcMar>
                  <w:vAlign w:val="center"/>
                </w:tcPr>
                <w:p w14:paraId="47E6502A">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10</w:t>
                  </w:r>
                </w:p>
              </w:tc>
              <w:tc>
                <w:tcPr>
                  <w:tcW w:w="418" w:type="dxa"/>
                  <w:noWrap w:val="0"/>
                  <w:tcMar>
                    <w:top w:w="0" w:type="dxa"/>
                    <w:left w:w="0" w:type="dxa"/>
                    <w:bottom w:w="0" w:type="dxa"/>
                    <w:right w:w="0" w:type="dxa"/>
                  </w:tcMar>
                  <w:vAlign w:val="center"/>
                </w:tcPr>
                <w:p w14:paraId="2464CDB7">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50</w:t>
                  </w:r>
                </w:p>
              </w:tc>
            </w:tr>
            <w:tr w14:paraId="34B65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 w:type="pct"/>
                  <w:noWrap w:val="0"/>
                  <w:tcMar>
                    <w:top w:w="0" w:type="dxa"/>
                    <w:left w:w="0" w:type="dxa"/>
                    <w:bottom w:w="0" w:type="dxa"/>
                    <w:right w:w="0" w:type="dxa"/>
                  </w:tcMar>
                  <w:vAlign w:val="center"/>
                </w:tcPr>
                <w:p w14:paraId="669F688E">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4</w:t>
                  </w:r>
                </w:p>
              </w:tc>
              <w:tc>
                <w:tcPr>
                  <w:tcW w:w="250" w:type="pct"/>
                  <w:vMerge w:val="continue"/>
                  <w:noWrap w:val="0"/>
                  <w:tcMar>
                    <w:top w:w="0" w:type="dxa"/>
                    <w:left w:w="0" w:type="dxa"/>
                    <w:bottom w:w="0" w:type="dxa"/>
                    <w:right w:w="0" w:type="dxa"/>
                  </w:tcMar>
                  <w:vAlign w:val="center"/>
                </w:tcPr>
                <w:p w14:paraId="33DD9784">
                  <w:pPr>
                    <w:adjustRightInd w:val="0"/>
                    <w:snapToGrid w:val="0"/>
                    <w:jc w:val="center"/>
                    <w:rPr>
                      <w:color w:val="auto"/>
                      <w:szCs w:val="21"/>
                    </w:rPr>
                  </w:pPr>
                </w:p>
              </w:tc>
              <w:tc>
                <w:tcPr>
                  <w:tcW w:w="418" w:type="pct"/>
                  <w:shd w:val="clear" w:color="auto" w:fill="auto"/>
                  <w:noWrap w:val="0"/>
                  <w:tcMar>
                    <w:top w:w="0" w:type="dxa"/>
                    <w:left w:w="0" w:type="dxa"/>
                    <w:bottom w:w="0" w:type="dxa"/>
                    <w:right w:w="0" w:type="dxa"/>
                  </w:tcMar>
                  <w:vAlign w:val="center"/>
                </w:tcPr>
                <w:p w14:paraId="02ADE38A">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振动筛</w:t>
                  </w:r>
                </w:p>
              </w:tc>
              <w:tc>
                <w:tcPr>
                  <w:tcW w:w="211" w:type="pct"/>
                  <w:shd w:val="clear" w:color="auto" w:fill="auto"/>
                  <w:noWrap w:val="0"/>
                  <w:tcMar>
                    <w:top w:w="0" w:type="dxa"/>
                    <w:left w:w="0" w:type="dxa"/>
                    <w:bottom w:w="0" w:type="dxa"/>
                    <w:right w:w="0" w:type="dxa"/>
                  </w:tcMar>
                  <w:vAlign w:val="center"/>
                </w:tcPr>
                <w:p w14:paraId="7B8A5036">
                  <w:pPr>
                    <w:keepNext w:val="0"/>
                    <w:keepLines w:val="0"/>
                    <w:pageBreakBefore w:val="0"/>
                    <w:widowControl/>
                    <w:kinsoku/>
                    <w:wordWrap/>
                    <w:overflowPunct/>
                    <w:topLinePunct w:val="0"/>
                    <w:bidi w:val="0"/>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299" w:type="pct"/>
                  <w:noWrap w:val="0"/>
                  <w:tcMar>
                    <w:top w:w="0" w:type="dxa"/>
                    <w:left w:w="0" w:type="dxa"/>
                    <w:bottom w:w="0" w:type="dxa"/>
                    <w:right w:w="0" w:type="dxa"/>
                  </w:tcMar>
                  <w:vAlign w:val="center"/>
                </w:tcPr>
                <w:p w14:paraId="44D11453">
                  <w:pPr>
                    <w:adjustRightInd w:val="0"/>
                    <w:snapToGrid w:val="0"/>
                    <w:jc w:val="center"/>
                    <w:rPr>
                      <w:rFonts w:hint="default"/>
                      <w:color w:val="auto"/>
                      <w:szCs w:val="21"/>
                      <w:lang w:val="en-US" w:eastAsia="zh-CN"/>
                    </w:rPr>
                  </w:pPr>
                  <w:r>
                    <w:rPr>
                      <w:rFonts w:hint="eastAsia"/>
                      <w:color w:val="auto"/>
                      <w:szCs w:val="21"/>
                      <w:lang w:val="en-US" w:eastAsia="zh-CN"/>
                    </w:rPr>
                    <w:t>85</w:t>
                  </w:r>
                </w:p>
              </w:tc>
              <w:tc>
                <w:tcPr>
                  <w:tcW w:w="272" w:type="pct"/>
                  <w:vMerge w:val="continue"/>
                  <w:noWrap w:val="0"/>
                  <w:tcMar>
                    <w:top w:w="0" w:type="dxa"/>
                    <w:left w:w="0" w:type="dxa"/>
                    <w:bottom w:w="0" w:type="dxa"/>
                    <w:right w:w="0" w:type="dxa"/>
                  </w:tcMar>
                  <w:vAlign w:val="center"/>
                </w:tcPr>
                <w:p w14:paraId="286D1B18">
                  <w:pPr>
                    <w:adjustRightInd w:val="0"/>
                    <w:snapToGrid w:val="0"/>
                    <w:jc w:val="center"/>
                    <w:rPr>
                      <w:color w:val="auto"/>
                      <w:szCs w:val="21"/>
                    </w:rPr>
                  </w:pPr>
                </w:p>
              </w:tc>
              <w:tc>
                <w:tcPr>
                  <w:tcW w:w="245" w:type="pct"/>
                  <w:noWrap w:val="0"/>
                  <w:tcMar>
                    <w:top w:w="0" w:type="dxa"/>
                    <w:left w:w="0" w:type="dxa"/>
                    <w:bottom w:w="0" w:type="dxa"/>
                    <w:right w:w="0" w:type="dxa"/>
                  </w:tcMar>
                  <w:vAlign w:val="center"/>
                </w:tcPr>
                <w:p w14:paraId="07C3E260">
                  <w:pPr>
                    <w:adjustRightInd w:val="0"/>
                    <w:snapToGrid w:val="0"/>
                    <w:jc w:val="center"/>
                    <w:rPr>
                      <w:rFonts w:hint="default" w:eastAsia="宋体"/>
                      <w:color w:val="auto"/>
                      <w:szCs w:val="21"/>
                      <w:lang w:val="en-US" w:eastAsia="zh-CN"/>
                    </w:rPr>
                  </w:pPr>
                  <w:r>
                    <w:rPr>
                      <w:rFonts w:hint="eastAsia"/>
                      <w:color w:val="auto"/>
                      <w:szCs w:val="21"/>
                      <w:lang w:val="en-US" w:eastAsia="zh-CN"/>
                    </w:rPr>
                    <w:t>15</w:t>
                  </w:r>
                </w:p>
              </w:tc>
              <w:tc>
                <w:tcPr>
                  <w:tcW w:w="221" w:type="pct"/>
                  <w:noWrap w:val="0"/>
                  <w:tcMar>
                    <w:top w:w="0" w:type="dxa"/>
                    <w:left w:w="0" w:type="dxa"/>
                    <w:bottom w:w="0" w:type="dxa"/>
                    <w:right w:w="0" w:type="dxa"/>
                  </w:tcMar>
                  <w:vAlign w:val="center"/>
                </w:tcPr>
                <w:p w14:paraId="03D8F4DA">
                  <w:pPr>
                    <w:adjustRightInd w:val="0"/>
                    <w:snapToGrid w:val="0"/>
                    <w:jc w:val="center"/>
                    <w:rPr>
                      <w:rFonts w:hint="default" w:eastAsia="宋体"/>
                      <w:color w:val="auto"/>
                      <w:szCs w:val="21"/>
                      <w:lang w:val="en-US" w:eastAsia="zh-CN"/>
                    </w:rPr>
                  </w:pPr>
                  <w:r>
                    <w:rPr>
                      <w:rFonts w:hint="eastAsia"/>
                      <w:color w:val="auto"/>
                      <w:szCs w:val="21"/>
                      <w:lang w:val="en-US" w:eastAsia="zh-CN"/>
                    </w:rPr>
                    <w:t>100</w:t>
                  </w:r>
                </w:p>
              </w:tc>
              <w:tc>
                <w:tcPr>
                  <w:tcW w:w="149" w:type="pct"/>
                  <w:noWrap w:val="0"/>
                  <w:tcMar>
                    <w:top w:w="0" w:type="dxa"/>
                    <w:left w:w="0" w:type="dxa"/>
                    <w:bottom w:w="0" w:type="dxa"/>
                    <w:right w:w="0" w:type="dxa"/>
                  </w:tcMar>
                  <w:vAlign w:val="center"/>
                </w:tcPr>
                <w:p w14:paraId="0146CE46">
                  <w:pPr>
                    <w:adjustRightInd w:val="0"/>
                    <w:snapToGrid w:val="0"/>
                    <w:jc w:val="center"/>
                    <w:rPr>
                      <w:rFonts w:hint="default"/>
                      <w:color w:val="auto"/>
                      <w:szCs w:val="21"/>
                      <w:lang w:val="en-US" w:eastAsia="zh-CN"/>
                    </w:rPr>
                  </w:pPr>
                  <w:r>
                    <w:rPr>
                      <w:rFonts w:hint="eastAsia"/>
                      <w:color w:val="auto"/>
                      <w:szCs w:val="21"/>
                      <w:lang w:val="en-US" w:eastAsia="zh-CN"/>
                    </w:rPr>
                    <w:t>0</w:t>
                  </w:r>
                </w:p>
              </w:tc>
              <w:tc>
                <w:tcPr>
                  <w:tcW w:w="242" w:type="pct"/>
                  <w:noWrap w:val="0"/>
                  <w:tcMar>
                    <w:top w:w="0" w:type="dxa"/>
                    <w:left w:w="0" w:type="dxa"/>
                    <w:bottom w:w="0" w:type="dxa"/>
                    <w:right w:w="0" w:type="dxa"/>
                  </w:tcMar>
                  <w:vAlign w:val="center"/>
                </w:tcPr>
                <w:p w14:paraId="6F67689F">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35</w:t>
                  </w:r>
                </w:p>
              </w:tc>
              <w:tc>
                <w:tcPr>
                  <w:tcW w:w="156" w:type="pct"/>
                  <w:noWrap w:val="0"/>
                  <w:tcMar>
                    <w:top w:w="0" w:type="dxa"/>
                    <w:left w:w="0" w:type="dxa"/>
                    <w:bottom w:w="0" w:type="dxa"/>
                    <w:right w:w="0" w:type="dxa"/>
                  </w:tcMar>
                  <w:vAlign w:val="center"/>
                </w:tcPr>
                <w:p w14:paraId="0B956DDC">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45</w:t>
                  </w:r>
                </w:p>
              </w:tc>
              <w:tc>
                <w:tcPr>
                  <w:tcW w:w="141" w:type="pct"/>
                  <w:noWrap w:val="0"/>
                  <w:tcMar>
                    <w:top w:w="0" w:type="dxa"/>
                    <w:left w:w="0" w:type="dxa"/>
                    <w:bottom w:w="0" w:type="dxa"/>
                    <w:right w:w="0" w:type="dxa"/>
                  </w:tcMar>
                  <w:vAlign w:val="center"/>
                </w:tcPr>
                <w:p w14:paraId="7B6CF182">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10</w:t>
                  </w:r>
                </w:p>
              </w:tc>
              <w:tc>
                <w:tcPr>
                  <w:tcW w:w="190" w:type="pct"/>
                  <w:noWrap w:val="0"/>
                  <w:tcMar>
                    <w:top w:w="0" w:type="dxa"/>
                    <w:left w:w="0" w:type="dxa"/>
                    <w:bottom w:w="0" w:type="dxa"/>
                    <w:right w:w="0" w:type="dxa"/>
                  </w:tcMar>
                  <w:vAlign w:val="center"/>
                </w:tcPr>
                <w:p w14:paraId="5474701E">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20</w:t>
                  </w:r>
                </w:p>
              </w:tc>
              <w:tc>
                <w:tcPr>
                  <w:tcW w:w="347" w:type="pct"/>
                  <w:shd w:val="clear" w:color="auto" w:fill="auto"/>
                  <w:noWrap w:val="0"/>
                  <w:tcMar>
                    <w:top w:w="0" w:type="dxa"/>
                    <w:left w:w="0" w:type="dxa"/>
                    <w:bottom w:w="0" w:type="dxa"/>
                    <w:right w:w="0" w:type="dxa"/>
                  </w:tcMar>
                  <w:vAlign w:val="center"/>
                </w:tcPr>
                <w:p w14:paraId="75F93FD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85</w:t>
                  </w:r>
                </w:p>
              </w:tc>
              <w:tc>
                <w:tcPr>
                  <w:tcW w:w="192" w:type="pct"/>
                  <w:vMerge w:val="continue"/>
                  <w:noWrap w:val="0"/>
                  <w:tcMar>
                    <w:top w:w="0" w:type="dxa"/>
                    <w:left w:w="0" w:type="dxa"/>
                    <w:bottom w:w="0" w:type="dxa"/>
                    <w:right w:w="0" w:type="dxa"/>
                  </w:tcMar>
                  <w:vAlign w:val="center"/>
                </w:tcPr>
                <w:p w14:paraId="2811515A">
                  <w:pPr>
                    <w:adjustRightInd w:val="0"/>
                    <w:snapToGrid w:val="0"/>
                    <w:jc w:val="center"/>
                    <w:rPr>
                      <w:color w:val="auto"/>
                      <w:szCs w:val="21"/>
                    </w:rPr>
                  </w:pPr>
                </w:p>
              </w:tc>
              <w:tc>
                <w:tcPr>
                  <w:tcW w:w="347" w:type="pct"/>
                  <w:noWrap w:val="0"/>
                  <w:tcMar>
                    <w:top w:w="0" w:type="dxa"/>
                    <w:left w:w="0" w:type="dxa"/>
                    <w:bottom w:w="0" w:type="dxa"/>
                    <w:right w:w="0" w:type="dxa"/>
                  </w:tcMar>
                  <w:vAlign w:val="center"/>
                </w:tcPr>
                <w:p w14:paraId="2D816DDD">
                  <w:pPr>
                    <w:adjustRightInd w:val="0"/>
                    <w:snapToGrid w:val="0"/>
                    <w:jc w:val="center"/>
                    <w:rPr>
                      <w:rFonts w:hint="eastAsia"/>
                      <w:color w:val="auto"/>
                      <w:szCs w:val="21"/>
                    </w:rPr>
                  </w:pPr>
                  <w:r>
                    <w:rPr>
                      <w:rFonts w:hint="eastAsia"/>
                      <w:color w:val="auto"/>
                      <w:szCs w:val="21"/>
                    </w:rPr>
                    <w:t>25</w:t>
                  </w:r>
                </w:p>
              </w:tc>
              <w:tc>
                <w:tcPr>
                  <w:tcW w:w="347" w:type="pct"/>
                  <w:noWrap w:val="0"/>
                  <w:tcMar>
                    <w:top w:w="0" w:type="dxa"/>
                    <w:left w:w="0" w:type="dxa"/>
                    <w:bottom w:w="0" w:type="dxa"/>
                    <w:right w:w="0" w:type="dxa"/>
                  </w:tcMar>
                  <w:vAlign w:val="center"/>
                </w:tcPr>
                <w:p w14:paraId="3B6BAC44">
                  <w:pPr>
                    <w:adjustRightInd w:val="0"/>
                    <w:snapToGrid w:val="0"/>
                    <w:jc w:val="center"/>
                    <w:rPr>
                      <w:rFonts w:hint="default"/>
                      <w:color w:val="auto"/>
                      <w:szCs w:val="21"/>
                      <w:lang w:val="en-US" w:eastAsia="zh-CN"/>
                    </w:rPr>
                  </w:pPr>
                  <w:r>
                    <w:rPr>
                      <w:rFonts w:hint="eastAsia"/>
                      <w:color w:val="auto"/>
                      <w:szCs w:val="21"/>
                      <w:lang w:val="en-US" w:eastAsia="zh-CN"/>
                    </w:rPr>
                    <w:t>60</w:t>
                  </w:r>
                </w:p>
              </w:tc>
              <w:tc>
                <w:tcPr>
                  <w:tcW w:w="321" w:type="dxa"/>
                  <w:noWrap w:val="0"/>
                  <w:tcMar>
                    <w:top w:w="0" w:type="dxa"/>
                    <w:left w:w="0" w:type="dxa"/>
                    <w:bottom w:w="0" w:type="dxa"/>
                    <w:right w:w="0" w:type="dxa"/>
                  </w:tcMar>
                  <w:vAlign w:val="center"/>
                </w:tcPr>
                <w:p w14:paraId="6599033D">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110</w:t>
                  </w:r>
                </w:p>
              </w:tc>
              <w:tc>
                <w:tcPr>
                  <w:tcW w:w="321" w:type="dxa"/>
                  <w:noWrap w:val="0"/>
                  <w:tcMar>
                    <w:top w:w="0" w:type="dxa"/>
                    <w:left w:w="0" w:type="dxa"/>
                    <w:bottom w:w="0" w:type="dxa"/>
                    <w:right w:w="0" w:type="dxa"/>
                  </w:tcMar>
                  <w:vAlign w:val="center"/>
                </w:tcPr>
                <w:p w14:paraId="7EEA6333">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30</w:t>
                  </w:r>
                </w:p>
              </w:tc>
              <w:tc>
                <w:tcPr>
                  <w:tcW w:w="321" w:type="dxa"/>
                  <w:noWrap w:val="0"/>
                  <w:tcMar>
                    <w:top w:w="0" w:type="dxa"/>
                    <w:left w:w="0" w:type="dxa"/>
                    <w:bottom w:w="0" w:type="dxa"/>
                    <w:right w:w="0" w:type="dxa"/>
                  </w:tcMar>
                  <w:vAlign w:val="center"/>
                </w:tcPr>
                <w:p w14:paraId="32561D43">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10</w:t>
                  </w:r>
                </w:p>
              </w:tc>
              <w:tc>
                <w:tcPr>
                  <w:tcW w:w="418" w:type="dxa"/>
                  <w:noWrap w:val="0"/>
                  <w:tcMar>
                    <w:top w:w="0" w:type="dxa"/>
                    <w:left w:w="0" w:type="dxa"/>
                    <w:bottom w:w="0" w:type="dxa"/>
                    <w:right w:w="0" w:type="dxa"/>
                  </w:tcMar>
                  <w:vAlign w:val="center"/>
                </w:tcPr>
                <w:p w14:paraId="0BCAD8CB">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50</w:t>
                  </w:r>
                </w:p>
              </w:tc>
            </w:tr>
            <w:tr w14:paraId="68EF7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 w:type="pct"/>
                  <w:noWrap w:val="0"/>
                  <w:tcMar>
                    <w:top w:w="0" w:type="dxa"/>
                    <w:left w:w="0" w:type="dxa"/>
                    <w:bottom w:w="0" w:type="dxa"/>
                    <w:right w:w="0" w:type="dxa"/>
                  </w:tcMar>
                  <w:vAlign w:val="center"/>
                </w:tcPr>
                <w:p w14:paraId="712E953E">
                  <w:pPr>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5</w:t>
                  </w:r>
                </w:p>
              </w:tc>
              <w:tc>
                <w:tcPr>
                  <w:tcW w:w="250" w:type="pct"/>
                  <w:vMerge w:val="continue"/>
                  <w:noWrap w:val="0"/>
                  <w:tcMar>
                    <w:top w:w="0" w:type="dxa"/>
                    <w:left w:w="0" w:type="dxa"/>
                    <w:bottom w:w="0" w:type="dxa"/>
                    <w:right w:w="0" w:type="dxa"/>
                  </w:tcMar>
                  <w:vAlign w:val="center"/>
                </w:tcPr>
                <w:p w14:paraId="69C735C0">
                  <w:pPr>
                    <w:adjustRightInd w:val="0"/>
                    <w:snapToGrid w:val="0"/>
                    <w:jc w:val="center"/>
                    <w:rPr>
                      <w:color w:val="auto"/>
                      <w:szCs w:val="21"/>
                    </w:rPr>
                  </w:pPr>
                </w:p>
              </w:tc>
              <w:tc>
                <w:tcPr>
                  <w:tcW w:w="418" w:type="pct"/>
                  <w:shd w:val="clear" w:color="auto" w:fill="auto"/>
                  <w:noWrap w:val="0"/>
                  <w:tcMar>
                    <w:top w:w="0" w:type="dxa"/>
                    <w:left w:w="0" w:type="dxa"/>
                    <w:bottom w:w="0" w:type="dxa"/>
                    <w:right w:w="0" w:type="dxa"/>
                  </w:tcMar>
                  <w:vAlign w:val="center"/>
                </w:tcPr>
                <w:p w14:paraId="3DA71DBB">
                  <w:pPr>
                    <w:pStyle w:val="91"/>
                    <w:keepNext w:val="0"/>
                    <w:keepLines w:val="0"/>
                    <w:pageBreakBefore w:val="0"/>
                    <w:kinsoku/>
                    <w:wordWrap/>
                    <w:overflowPunct/>
                    <w:topLinePunct w:val="0"/>
                    <w:bidi w:val="0"/>
                    <w:adjustRightInd w:val="0"/>
                    <w:snapToGrid w:val="0"/>
                    <w:rPr>
                      <w:rFonts w:hint="eastAsia" w:ascii="Times New Roman" w:hAnsi="Times New Roman" w:eastAsia="宋体" w:cs="Times New Roman"/>
                      <w:b w:val="0"/>
                      <w:bCs/>
                      <w:color w:val="auto"/>
                      <w:kern w:val="2"/>
                      <w:sz w:val="21"/>
                      <w:szCs w:val="21"/>
                      <w:lang w:val="en-US" w:eastAsia="zh-CN" w:bidi="ar-SA"/>
                    </w:rPr>
                  </w:pPr>
                  <w:r>
                    <w:rPr>
                      <w:rFonts w:ascii="Times New Roman" w:hAnsi="Times New Roman" w:eastAsia="宋体"/>
                      <w:b w:val="0"/>
                      <w:bCs/>
                      <w:color w:val="auto"/>
                      <w:sz w:val="21"/>
                      <w:szCs w:val="21"/>
                    </w:rPr>
                    <w:t>破碎机</w:t>
                  </w:r>
                </w:p>
              </w:tc>
              <w:tc>
                <w:tcPr>
                  <w:tcW w:w="211" w:type="pct"/>
                  <w:shd w:val="clear" w:color="auto" w:fill="auto"/>
                  <w:noWrap w:val="0"/>
                  <w:tcMar>
                    <w:top w:w="0" w:type="dxa"/>
                    <w:left w:w="0" w:type="dxa"/>
                    <w:bottom w:w="0" w:type="dxa"/>
                    <w:right w:w="0" w:type="dxa"/>
                  </w:tcMar>
                  <w:vAlign w:val="center"/>
                </w:tcPr>
                <w:p w14:paraId="658A2FBA">
                  <w:pPr>
                    <w:keepNext w:val="0"/>
                    <w:keepLines w:val="0"/>
                    <w:pageBreakBefore w:val="0"/>
                    <w:widowControl/>
                    <w:kinsoku/>
                    <w:wordWrap/>
                    <w:overflowPunct/>
                    <w:topLinePunct w:val="0"/>
                    <w:bidi w:val="0"/>
                    <w:adjustRightInd w:val="0"/>
                    <w:snapToGrid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299" w:type="pct"/>
                  <w:noWrap w:val="0"/>
                  <w:tcMar>
                    <w:top w:w="0" w:type="dxa"/>
                    <w:left w:w="0" w:type="dxa"/>
                    <w:bottom w:w="0" w:type="dxa"/>
                    <w:right w:w="0" w:type="dxa"/>
                  </w:tcMar>
                  <w:vAlign w:val="center"/>
                </w:tcPr>
                <w:p w14:paraId="74BF415B">
                  <w:pPr>
                    <w:adjustRightInd w:val="0"/>
                    <w:snapToGrid w:val="0"/>
                    <w:jc w:val="center"/>
                    <w:rPr>
                      <w:rFonts w:hint="default" w:eastAsia="宋体"/>
                      <w:color w:val="auto"/>
                      <w:szCs w:val="21"/>
                      <w:lang w:val="en-US" w:eastAsia="zh-CN"/>
                    </w:rPr>
                  </w:pPr>
                  <w:r>
                    <w:rPr>
                      <w:rFonts w:hint="eastAsia"/>
                      <w:color w:val="auto"/>
                      <w:szCs w:val="21"/>
                      <w:lang w:val="en-US" w:eastAsia="zh-CN"/>
                    </w:rPr>
                    <w:t>80</w:t>
                  </w:r>
                </w:p>
              </w:tc>
              <w:tc>
                <w:tcPr>
                  <w:tcW w:w="272" w:type="pct"/>
                  <w:vMerge w:val="continue"/>
                  <w:noWrap w:val="0"/>
                  <w:tcMar>
                    <w:top w:w="0" w:type="dxa"/>
                    <w:left w:w="0" w:type="dxa"/>
                    <w:bottom w:w="0" w:type="dxa"/>
                    <w:right w:w="0" w:type="dxa"/>
                  </w:tcMar>
                  <w:vAlign w:val="center"/>
                </w:tcPr>
                <w:p w14:paraId="3F033106">
                  <w:pPr>
                    <w:adjustRightInd w:val="0"/>
                    <w:snapToGrid w:val="0"/>
                    <w:jc w:val="center"/>
                    <w:rPr>
                      <w:color w:val="auto"/>
                      <w:szCs w:val="21"/>
                    </w:rPr>
                  </w:pPr>
                </w:p>
              </w:tc>
              <w:tc>
                <w:tcPr>
                  <w:tcW w:w="245" w:type="pct"/>
                  <w:noWrap w:val="0"/>
                  <w:tcMar>
                    <w:top w:w="0" w:type="dxa"/>
                    <w:left w:w="0" w:type="dxa"/>
                    <w:bottom w:w="0" w:type="dxa"/>
                    <w:right w:w="0" w:type="dxa"/>
                  </w:tcMar>
                  <w:vAlign w:val="center"/>
                </w:tcPr>
                <w:p w14:paraId="1EDA1437">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221" w:type="pct"/>
                  <w:noWrap w:val="0"/>
                  <w:tcMar>
                    <w:top w:w="0" w:type="dxa"/>
                    <w:left w:w="0" w:type="dxa"/>
                    <w:bottom w:w="0" w:type="dxa"/>
                    <w:right w:w="0" w:type="dxa"/>
                  </w:tcMar>
                  <w:vAlign w:val="center"/>
                </w:tcPr>
                <w:p w14:paraId="72877FBE">
                  <w:pPr>
                    <w:adjustRightInd w:val="0"/>
                    <w:snapToGrid w:val="0"/>
                    <w:jc w:val="center"/>
                    <w:rPr>
                      <w:rFonts w:hint="default" w:eastAsia="宋体"/>
                      <w:color w:val="auto"/>
                      <w:szCs w:val="21"/>
                      <w:lang w:val="en-US" w:eastAsia="zh-CN"/>
                    </w:rPr>
                  </w:pPr>
                  <w:r>
                    <w:rPr>
                      <w:rFonts w:hint="eastAsia"/>
                      <w:color w:val="auto"/>
                      <w:szCs w:val="21"/>
                      <w:lang w:val="en-US" w:eastAsia="zh-CN"/>
                    </w:rPr>
                    <w:t>80</w:t>
                  </w:r>
                </w:p>
              </w:tc>
              <w:tc>
                <w:tcPr>
                  <w:tcW w:w="149" w:type="pct"/>
                  <w:noWrap w:val="0"/>
                  <w:tcMar>
                    <w:top w:w="0" w:type="dxa"/>
                    <w:left w:w="0" w:type="dxa"/>
                    <w:bottom w:w="0" w:type="dxa"/>
                    <w:right w:w="0" w:type="dxa"/>
                  </w:tcMar>
                  <w:vAlign w:val="center"/>
                </w:tcPr>
                <w:p w14:paraId="3ED4AF31">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242" w:type="pct"/>
                  <w:noWrap w:val="0"/>
                  <w:tcMar>
                    <w:top w:w="0" w:type="dxa"/>
                    <w:left w:w="0" w:type="dxa"/>
                    <w:bottom w:w="0" w:type="dxa"/>
                    <w:right w:w="0" w:type="dxa"/>
                  </w:tcMar>
                  <w:vAlign w:val="center"/>
                </w:tcPr>
                <w:p w14:paraId="1CBA41BE">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40</w:t>
                  </w:r>
                </w:p>
              </w:tc>
              <w:tc>
                <w:tcPr>
                  <w:tcW w:w="156" w:type="pct"/>
                  <w:noWrap w:val="0"/>
                  <w:tcMar>
                    <w:top w:w="0" w:type="dxa"/>
                    <w:left w:w="0" w:type="dxa"/>
                    <w:bottom w:w="0" w:type="dxa"/>
                    <w:right w:w="0" w:type="dxa"/>
                  </w:tcMar>
                  <w:vAlign w:val="center"/>
                </w:tcPr>
                <w:p w14:paraId="0D3F6280">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45</w:t>
                  </w:r>
                </w:p>
              </w:tc>
              <w:tc>
                <w:tcPr>
                  <w:tcW w:w="141" w:type="pct"/>
                  <w:noWrap w:val="0"/>
                  <w:tcMar>
                    <w:top w:w="0" w:type="dxa"/>
                    <w:left w:w="0" w:type="dxa"/>
                    <w:bottom w:w="0" w:type="dxa"/>
                    <w:right w:w="0" w:type="dxa"/>
                  </w:tcMar>
                  <w:vAlign w:val="center"/>
                </w:tcPr>
                <w:p w14:paraId="102BB4F4">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10</w:t>
                  </w:r>
                </w:p>
              </w:tc>
              <w:tc>
                <w:tcPr>
                  <w:tcW w:w="190" w:type="pct"/>
                  <w:noWrap w:val="0"/>
                  <w:tcMar>
                    <w:top w:w="0" w:type="dxa"/>
                    <w:left w:w="0" w:type="dxa"/>
                    <w:bottom w:w="0" w:type="dxa"/>
                    <w:right w:w="0" w:type="dxa"/>
                  </w:tcMar>
                  <w:vAlign w:val="center"/>
                </w:tcPr>
                <w:p w14:paraId="7A5CC73B">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40</w:t>
                  </w:r>
                </w:p>
              </w:tc>
              <w:tc>
                <w:tcPr>
                  <w:tcW w:w="347" w:type="pct"/>
                  <w:shd w:val="clear" w:color="auto" w:fill="auto"/>
                  <w:noWrap w:val="0"/>
                  <w:tcMar>
                    <w:top w:w="0" w:type="dxa"/>
                    <w:left w:w="0" w:type="dxa"/>
                    <w:bottom w:w="0" w:type="dxa"/>
                    <w:right w:w="0" w:type="dxa"/>
                  </w:tcMar>
                  <w:vAlign w:val="center"/>
                </w:tcPr>
                <w:p w14:paraId="1B9DB97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80</w:t>
                  </w:r>
                </w:p>
              </w:tc>
              <w:tc>
                <w:tcPr>
                  <w:tcW w:w="192" w:type="pct"/>
                  <w:vMerge w:val="continue"/>
                  <w:noWrap w:val="0"/>
                  <w:tcMar>
                    <w:top w:w="0" w:type="dxa"/>
                    <w:left w:w="0" w:type="dxa"/>
                    <w:bottom w:w="0" w:type="dxa"/>
                    <w:right w:w="0" w:type="dxa"/>
                  </w:tcMar>
                  <w:vAlign w:val="center"/>
                </w:tcPr>
                <w:p w14:paraId="5CD63017">
                  <w:pPr>
                    <w:adjustRightInd w:val="0"/>
                    <w:snapToGrid w:val="0"/>
                    <w:jc w:val="center"/>
                    <w:rPr>
                      <w:color w:val="auto"/>
                      <w:szCs w:val="21"/>
                    </w:rPr>
                  </w:pPr>
                </w:p>
              </w:tc>
              <w:tc>
                <w:tcPr>
                  <w:tcW w:w="347" w:type="pct"/>
                  <w:noWrap w:val="0"/>
                  <w:tcMar>
                    <w:top w:w="0" w:type="dxa"/>
                    <w:left w:w="0" w:type="dxa"/>
                    <w:bottom w:w="0" w:type="dxa"/>
                    <w:right w:w="0" w:type="dxa"/>
                  </w:tcMar>
                  <w:vAlign w:val="center"/>
                </w:tcPr>
                <w:p w14:paraId="7BB22C21">
                  <w:pPr>
                    <w:adjustRightInd w:val="0"/>
                    <w:snapToGrid w:val="0"/>
                    <w:jc w:val="center"/>
                    <w:rPr>
                      <w:rFonts w:hint="eastAsia"/>
                      <w:color w:val="auto"/>
                      <w:szCs w:val="21"/>
                    </w:rPr>
                  </w:pPr>
                  <w:r>
                    <w:rPr>
                      <w:rFonts w:hint="eastAsia"/>
                      <w:color w:val="auto"/>
                      <w:szCs w:val="21"/>
                    </w:rPr>
                    <w:t>25</w:t>
                  </w:r>
                </w:p>
              </w:tc>
              <w:tc>
                <w:tcPr>
                  <w:tcW w:w="347" w:type="pct"/>
                  <w:noWrap w:val="0"/>
                  <w:tcMar>
                    <w:top w:w="0" w:type="dxa"/>
                    <w:left w:w="0" w:type="dxa"/>
                    <w:bottom w:w="0" w:type="dxa"/>
                    <w:right w:w="0" w:type="dxa"/>
                  </w:tcMar>
                  <w:vAlign w:val="center"/>
                </w:tcPr>
                <w:p w14:paraId="38970AA6">
                  <w:pPr>
                    <w:adjustRightInd w:val="0"/>
                    <w:snapToGrid w:val="0"/>
                    <w:jc w:val="center"/>
                    <w:rPr>
                      <w:rFonts w:hint="default" w:eastAsia="宋体"/>
                      <w:color w:val="auto"/>
                      <w:szCs w:val="21"/>
                      <w:lang w:val="en-US" w:eastAsia="zh-CN"/>
                    </w:rPr>
                  </w:pPr>
                  <w:r>
                    <w:rPr>
                      <w:rFonts w:hint="eastAsia"/>
                      <w:color w:val="auto"/>
                      <w:szCs w:val="21"/>
                      <w:lang w:val="en-US" w:eastAsia="zh-CN"/>
                    </w:rPr>
                    <w:t>55</w:t>
                  </w:r>
                </w:p>
              </w:tc>
              <w:tc>
                <w:tcPr>
                  <w:tcW w:w="321" w:type="dxa"/>
                  <w:noWrap w:val="0"/>
                  <w:tcMar>
                    <w:top w:w="0" w:type="dxa"/>
                    <w:left w:w="0" w:type="dxa"/>
                    <w:bottom w:w="0" w:type="dxa"/>
                    <w:right w:w="0" w:type="dxa"/>
                  </w:tcMar>
                  <w:vAlign w:val="center"/>
                </w:tcPr>
                <w:p w14:paraId="5BE0ADD8">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110</w:t>
                  </w:r>
                </w:p>
              </w:tc>
              <w:tc>
                <w:tcPr>
                  <w:tcW w:w="321" w:type="dxa"/>
                  <w:noWrap w:val="0"/>
                  <w:tcMar>
                    <w:top w:w="0" w:type="dxa"/>
                    <w:left w:w="0" w:type="dxa"/>
                    <w:bottom w:w="0" w:type="dxa"/>
                    <w:right w:w="0" w:type="dxa"/>
                  </w:tcMar>
                  <w:vAlign w:val="center"/>
                </w:tcPr>
                <w:p w14:paraId="2EF95DD2">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30</w:t>
                  </w:r>
                </w:p>
              </w:tc>
              <w:tc>
                <w:tcPr>
                  <w:tcW w:w="321" w:type="dxa"/>
                  <w:noWrap w:val="0"/>
                  <w:tcMar>
                    <w:top w:w="0" w:type="dxa"/>
                    <w:left w:w="0" w:type="dxa"/>
                    <w:bottom w:w="0" w:type="dxa"/>
                    <w:right w:w="0" w:type="dxa"/>
                  </w:tcMar>
                  <w:vAlign w:val="center"/>
                </w:tcPr>
                <w:p w14:paraId="4296172C">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10</w:t>
                  </w:r>
                </w:p>
              </w:tc>
              <w:tc>
                <w:tcPr>
                  <w:tcW w:w="418" w:type="dxa"/>
                  <w:noWrap w:val="0"/>
                  <w:tcMar>
                    <w:top w:w="0" w:type="dxa"/>
                    <w:left w:w="0" w:type="dxa"/>
                    <w:bottom w:w="0" w:type="dxa"/>
                    <w:right w:w="0" w:type="dxa"/>
                  </w:tcMar>
                  <w:vAlign w:val="center"/>
                </w:tcPr>
                <w:p w14:paraId="0EE2AF15">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50</w:t>
                  </w:r>
                </w:p>
              </w:tc>
            </w:tr>
            <w:tr w14:paraId="28AD7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000" w:type="pct"/>
                  <w:gridSpan w:val="21"/>
                  <w:noWrap w:val="0"/>
                  <w:tcMar>
                    <w:top w:w="0" w:type="dxa"/>
                    <w:left w:w="0" w:type="dxa"/>
                    <w:bottom w:w="0" w:type="dxa"/>
                    <w:right w:w="0" w:type="dxa"/>
                  </w:tcMar>
                  <w:vAlign w:val="center"/>
                </w:tcPr>
                <w:p w14:paraId="1803E807">
                  <w:pPr>
                    <w:widowControl/>
                    <w:adjustRightInd w:val="0"/>
                    <w:snapToGrid w:val="0"/>
                    <w:jc w:val="left"/>
                    <w:textAlignment w:val="center"/>
                    <w:rPr>
                      <w:color w:val="auto"/>
                      <w:kern w:val="0"/>
                      <w:szCs w:val="21"/>
                      <w:lang w:bidi="ar"/>
                    </w:rPr>
                  </w:pPr>
                  <w:r>
                    <w:rPr>
                      <w:rFonts w:hint="eastAsia"/>
                      <w:color w:val="auto"/>
                      <w:kern w:val="0"/>
                      <w:szCs w:val="21"/>
                      <w:lang w:bidi="ar"/>
                    </w:rPr>
                    <w:t>注：空间相对位置中以厂区西南角为原点（0，0），Z轴以地面高度为0点。</w:t>
                  </w:r>
                </w:p>
              </w:tc>
            </w:tr>
          </w:tbl>
          <w:p w14:paraId="6C3D0ED6">
            <w:pPr>
              <w:adjustRightInd w:val="0"/>
              <w:snapToGrid w:val="0"/>
              <w:spacing w:before="120" w:beforeLines="50"/>
              <w:jc w:val="center"/>
              <w:rPr>
                <w:rFonts w:hint="eastAsia"/>
                <w:b/>
                <w:color w:val="auto"/>
                <w:szCs w:val="21"/>
              </w:rPr>
            </w:pPr>
            <w:r>
              <w:rPr>
                <w:rFonts w:hint="eastAsia"/>
                <w:b/>
                <w:color w:val="auto"/>
                <w:szCs w:val="21"/>
              </w:rPr>
              <w:t>表4-</w:t>
            </w:r>
            <w:r>
              <w:rPr>
                <w:rFonts w:hint="eastAsia"/>
                <w:b/>
                <w:color w:val="auto"/>
                <w:szCs w:val="21"/>
                <w:lang w:val="en-US" w:eastAsia="zh-CN"/>
              </w:rPr>
              <w:t>21</w:t>
            </w:r>
            <w:r>
              <w:rPr>
                <w:rFonts w:hint="eastAsia"/>
                <w:b/>
                <w:color w:val="auto"/>
                <w:szCs w:val="21"/>
              </w:rPr>
              <w:t xml:space="preserve"> 工业企业噪声源强调查清单（室外声源）</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61"/>
              <w:gridCol w:w="978"/>
              <w:gridCol w:w="769"/>
              <w:gridCol w:w="678"/>
              <w:gridCol w:w="658"/>
              <w:gridCol w:w="668"/>
              <w:gridCol w:w="1688"/>
              <w:gridCol w:w="1870"/>
              <w:gridCol w:w="702"/>
            </w:tblGrid>
            <w:tr w14:paraId="23F8B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5" w:type="pct"/>
                  <w:vMerge w:val="restart"/>
                  <w:noWrap w:val="0"/>
                  <w:vAlign w:val="center"/>
                </w:tcPr>
                <w:p w14:paraId="71FEDB86">
                  <w:pPr>
                    <w:adjustRightInd w:val="0"/>
                    <w:snapToGrid w:val="0"/>
                    <w:jc w:val="center"/>
                    <w:rPr>
                      <w:b/>
                      <w:bCs/>
                      <w:color w:val="auto"/>
                      <w:szCs w:val="21"/>
                    </w:rPr>
                  </w:pPr>
                  <w:r>
                    <w:rPr>
                      <w:b/>
                      <w:bCs/>
                      <w:color w:val="auto"/>
                      <w:szCs w:val="21"/>
                    </w:rPr>
                    <w:t>序号</w:t>
                  </w:r>
                </w:p>
              </w:tc>
              <w:tc>
                <w:tcPr>
                  <w:tcW w:w="584" w:type="pct"/>
                  <w:vMerge w:val="restart"/>
                  <w:noWrap w:val="0"/>
                  <w:vAlign w:val="center"/>
                </w:tcPr>
                <w:p w14:paraId="45820EB7">
                  <w:pPr>
                    <w:adjustRightInd w:val="0"/>
                    <w:snapToGrid w:val="0"/>
                    <w:jc w:val="center"/>
                    <w:rPr>
                      <w:b/>
                      <w:bCs/>
                      <w:color w:val="auto"/>
                      <w:szCs w:val="21"/>
                    </w:rPr>
                  </w:pPr>
                  <w:r>
                    <w:rPr>
                      <w:rFonts w:hint="eastAsia"/>
                      <w:b/>
                      <w:bCs/>
                      <w:color w:val="auto"/>
                      <w:szCs w:val="21"/>
                    </w:rPr>
                    <w:t>声源名称</w:t>
                  </w:r>
                </w:p>
              </w:tc>
              <w:tc>
                <w:tcPr>
                  <w:tcW w:w="459" w:type="pct"/>
                  <w:vMerge w:val="restart"/>
                  <w:noWrap w:val="0"/>
                  <w:vAlign w:val="center"/>
                </w:tcPr>
                <w:p w14:paraId="0BAC733C">
                  <w:pPr>
                    <w:adjustRightInd w:val="0"/>
                    <w:snapToGrid w:val="0"/>
                    <w:jc w:val="center"/>
                    <w:rPr>
                      <w:b/>
                      <w:bCs/>
                      <w:color w:val="auto"/>
                      <w:szCs w:val="21"/>
                    </w:rPr>
                  </w:pPr>
                  <w:r>
                    <w:rPr>
                      <w:rFonts w:hint="eastAsia"/>
                      <w:b/>
                      <w:bCs/>
                      <w:color w:val="auto"/>
                      <w:szCs w:val="21"/>
                    </w:rPr>
                    <w:t>数量</w:t>
                  </w:r>
                </w:p>
              </w:tc>
              <w:tc>
                <w:tcPr>
                  <w:tcW w:w="1196" w:type="pct"/>
                  <w:gridSpan w:val="3"/>
                  <w:noWrap w:val="0"/>
                  <w:vAlign w:val="center"/>
                </w:tcPr>
                <w:p w14:paraId="5B071CF2">
                  <w:pPr>
                    <w:adjustRightInd w:val="0"/>
                    <w:snapToGrid w:val="0"/>
                    <w:jc w:val="center"/>
                    <w:rPr>
                      <w:b/>
                      <w:bCs/>
                      <w:color w:val="auto"/>
                      <w:szCs w:val="21"/>
                    </w:rPr>
                  </w:pPr>
                  <w:r>
                    <w:rPr>
                      <w:rFonts w:hint="eastAsia"/>
                      <w:b/>
                      <w:bCs/>
                      <w:color w:val="auto"/>
                      <w:szCs w:val="21"/>
                    </w:rPr>
                    <w:t>空间相对位置/m</w:t>
                  </w:r>
                </w:p>
              </w:tc>
              <w:tc>
                <w:tcPr>
                  <w:tcW w:w="1008" w:type="pct"/>
                  <w:noWrap w:val="0"/>
                  <w:vAlign w:val="center"/>
                </w:tcPr>
                <w:p w14:paraId="7A1697EA">
                  <w:pPr>
                    <w:adjustRightInd w:val="0"/>
                    <w:snapToGrid w:val="0"/>
                    <w:jc w:val="center"/>
                    <w:rPr>
                      <w:rFonts w:hint="eastAsia"/>
                      <w:b/>
                      <w:bCs/>
                      <w:color w:val="auto"/>
                      <w:szCs w:val="21"/>
                    </w:rPr>
                  </w:pPr>
                  <w:r>
                    <w:rPr>
                      <w:rFonts w:hint="eastAsia"/>
                      <w:b/>
                      <w:bCs/>
                      <w:color w:val="auto"/>
                      <w:szCs w:val="21"/>
                    </w:rPr>
                    <w:t>声源源强</w:t>
                  </w:r>
                </w:p>
              </w:tc>
              <w:tc>
                <w:tcPr>
                  <w:tcW w:w="1116" w:type="pct"/>
                  <w:vMerge w:val="restart"/>
                  <w:noWrap w:val="0"/>
                  <w:vAlign w:val="center"/>
                </w:tcPr>
                <w:p w14:paraId="5688FBA8">
                  <w:pPr>
                    <w:adjustRightInd w:val="0"/>
                    <w:snapToGrid w:val="0"/>
                    <w:jc w:val="center"/>
                    <w:rPr>
                      <w:rFonts w:hint="eastAsia"/>
                      <w:b/>
                      <w:bCs/>
                      <w:color w:val="auto"/>
                      <w:szCs w:val="21"/>
                    </w:rPr>
                  </w:pPr>
                  <w:r>
                    <w:rPr>
                      <w:rFonts w:hint="eastAsia"/>
                      <w:b/>
                      <w:bCs/>
                      <w:color w:val="auto"/>
                      <w:szCs w:val="21"/>
                    </w:rPr>
                    <w:t>声源控制措施</w:t>
                  </w:r>
                </w:p>
              </w:tc>
              <w:tc>
                <w:tcPr>
                  <w:tcW w:w="419" w:type="pct"/>
                  <w:vMerge w:val="restart"/>
                  <w:noWrap w:val="0"/>
                  <w:vAlign w:val="center"/>
                </w:tcPr>
                <w:p w14:paraId="03AD17F0">
                  <w:pPr>
                    <w:adjustRightInd w:val="0"/>
                    <w:snapToGrid w:val="0"/>
                    <w:jc w:val="center"/>
                    <w:rPr>
                      <w:b/>
                      <w:bCs/>
                      <w:color w:val="auto"/>
                      <w:szCs w:val="21"/>
                    </w:rPr>
                  </w:pPr>
                  <w:r>
                    <w:rPr>
                      <w:rFonts w:hint="eastAsia"/>
                      <w:b/>
                      <w:bCs/>
                      <w:color w:val="auto"/>
                      <w:szCs w:val="21"/>
                    </w:rPr>
                    <w:t>运行时段</w:t>
                  </w:r>
                </w:p>
              </w:tc>
            </w:tr>
            <w:tr w14:paraId="4E61A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5" w:type="pct"/>
                  <w:vMerge w:val="continue"/>
                  <w:noWrap w:val="0"/>
                  <w:vAlign w:val="center"/>
                </w:tcPr>
                <w:p w14:paraId="2E2403F0">
                  <w:pPr>
                    <w:adjustRightInd w:val="0"/>
                    <w:snapToGrid w:val="0"/>
                    <w:jc w:val="center"/>
                    <w:rPr>
                      <w:b/>
                      <w:bCs/>
                      <w:color w:val="auto"/>
                      <w:szCs w:val="21"/>
                    </w:rPr>
                  </w:pPr>
                </w:p>
              </w:tc>
              <w:tc>
                <w:tcPr>
                  <w:tcW w:w="584" w:type="pct"/>
                  <w:vMerge w:val="continue"/>
                  <w:noWrap w:val="0"/>
                  <w:vAlign w:val="center"/>
                </w:tcPr>
                <w:p w14:paraId="311B0AAE">
                  <w:pPr>
                    <w:adjustRightInd w:val="0"/>
                    <w:snapToGrid w:val="0"/>
                    <w:jc w:val="center"/>
                    <w:rPr>
                      <w:rFonts w:hint="eastAsia"/>
                      <w:b/>
                      <w:bCs/>
                      <w:color w:val="auto"/>
                      <w:szCs w:val="21"/>
                    </w:rPr>
                  </w:pPr>
                </w:p>
              </w:tc>
              <w:tc>
                <w:tcPr>
                  <w:tcW w:w="459" w:type="pct"/>
                  <w:vMerge w:val="continue"/>
                  <w:noWrap w:val="0"/>
                  <w:vAlign w:val="center"/>
                </w:tcPr>
                <w:p w14:paraId="2F5CEAE5">
                  <w:pPr>
                    <w:adjustRightInd w:val="0"/>
                    <w:snapToGrid w:val="0"/>
                    <w:jc w:val="center"/>
                    <w:rPr>
                      <w:rFonts w:hint="eastAsia"/>
                      <w:b/>
                      <w:bCs/>
                      <w:color w:val="auto"/>
                      <w:szCs w:val="21"/>
                    </w:rPr>
                  </w:pPr>
                </w:p>
              </w:tc>
              <w:tc>
                <w:tcPr>
                  <w:tcW w:w="404" w:type="pct"/>
                  <w:noWrap w:val="0"/>
                  <w:vAlign w:val="center"/>
                </w:tcPr>
                <w:p w14:paraId="2D49BB5C">
                  <w:pPr>
                    <w:adjustRightInd w:val="0"/>
                    <w:snapToGrid w:val="0"/>
                    <w:jc w:val="center"/>
                    <w:rPr>
                      <w:b/>
                      <w:bCs/>
                      <w:color w:val="auto"/>
                      <w:szCs w:val="21"/>
                    </w:rPr>
                  </w:pPr>
                  <w:r>
                    <w:rPr>
                      <w:rFonts w:hint="eastAsia"/>
                      <w:b/>
                      <w:bCs/>
                      <w:color w:val="auto"/>
                      <w:szCs w:val="21"/>
                    </w:rPr>
                    <w:t>X</w:t>
                  </w:r>
                </w:p>
              </w:tc>
              <w:tc>
                <w:tcPr>
                  <w:tcW w:w="392" w:type="pct"/>
                  <w:noWrap w:val="0"/>
                  <w:vAlign w:val="center"/>
                </w:tcPr>
                <w:p w14:paraId="4D26C0B3">
                  <w:pPr>
                    <w:adjustRightInd w:val="0"/>
                    <w:snapToGrid w:val="0"/>
                    <w:jc w:val="center"/>
                    <w:rPr>
                      <w:b/>
                      <w:bCs/>
                      <w:color w:val="auto"/>
                      <w:szCs w:val="21"/>
                    </w:rPr>
                  </w:pPr>
                  <w:r>
                    <w:rPr>
                      <w:rFonts w:hint="eastAsia"/>
                      <w:b/>
                      <w:bCs/>
                      <w:color w:val="auto"/>
                      <w:szCs w:val="21"/>
                    </w:rPr>
                    <w:t>Y</w:t>
                  </w:r>
                </w:p>
              </w:tc>
              <w:tc>
                <w:tcPr>
                  <w:tcW w:w="398" w:type="pct"/>
                  <w:noWrap w:val="0"/>
                  <w:vAlign w:val="center"/>
                </w:tcPr>
                <w:p w14:paraId="6CBE1829">
                  <w:pPr>
                    <w:adjustRightInd w:val="0"/>
                    <w:snapToGrid w:val="0"/>
                    <w:jc w:val="center"/>
                    <w:rPr>
                      <w:b/>
                      <w:bCs/>
                      <w:color w:val="auto"/>
                      <w:szCs w:val="21"/>
                    </w:rPr>
                  </w:pPr>
                  <w:r>
                    <w:rPr>
                      <w:rFonts w:hint="eastAsia"/>
                      <w:b/>
                      <w:bCs/>
                      <w:color w:val="auto"/>
                      <w:szCs w:val="21"/>
                    </w:rPr>
                    <w:t>Z</w:t>
                  </w:r>
                </w:p>
              </w:tc>
              <w:tc>
                <w:tcPr>
                  <w:tcW w:w="1008" w:type="pct"/>
                  <w:noWrap w:val="0"/>
                  <w:vAlign w:val="center"/>
                </w:tcPr>
                <w:p w14:paraId="420FF018">
                  <w:pPr>
                    <w:adjustRightInd w:val="0"/>
                    <w:snapToGrid w:val="0"/>
                    <w:jc w:val="center"/>
                    <w:rPr>
                      <w:b/>
                      <w:bCs/>
                      <w:color w:val="auto"/>
                      <w:szCs w:val="21"/>
                    </w:rPr>
                  </w:pPr>
                  <w:r>
                    <w:rPr>
                      <w:rFonts w:hint="eastAsia"/>
                      <w:b/>
                      <w:bCs/>
                      <w:color w:val="auto"/>
                      <w:szCs w:val="21"/>
                    </w:rPr>
                    <w:t>声功率级/dB（A）</w:t>
                  </w:r>
                </w:p>
              </w:tc>
              <w:tc>
                <w:tcPr>
                  <w:tcW w:w="1116" w:type="pct"/>
                  <w:vMerge w:val="continue"/>
                  <w:noWrap w:val="0"/>
                  <w:vAlign w:val="center"/>
                </w:tcPr>
                <w:p w14:paraId="08918D56">
                  <w:pPr>
                    <w:adjustRightInd w:val="0"/>
                    <w:snapToGrid w:val="0"/>
                    <w:jc w:val="center"/>
                    <w:rPr>
                      <w:rFonts w:hint="eastAsia"/>
                      <w:color w:val="auto"/>
                      <w:szCs w:val="21"/>
                    </w:rPr>
                  </w:pPr>
                </w:p>
              </w:tc>
              <w:tc>
                <w:tcPr>
                  <w:tcW w:w="419" w:type="pct"/>
                  <w:vMerge w:val="continue"/>
                  <w:noWrap w:val="0"/>
                  <w:vAlign w:val="center"/>
                </w:tcPr>
                <w:p w14:paraId="6BEE40EC">
                  <w:pPr>
                    <w:adjustRightInd w:val="0"/>
                    <w:snapToGrid w:val="0"/>
                    <w:jc w:val="center"/>
                    <w:rPr>
                      <w:rFonts w:hint="eastAsia"/>
                      <w:color w:val="auto"/>
                      <w:szCs w:val="21"/>
                    </w:rPr>
                  </w:pPr>
                </w:p>
              </w:tc>
            </w:tr>
            <w:tr w14:paraId="46CC9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5" w:type="pct"/>
                  <w:noWrap w:val="0"/>
                  <w:vAlign w:val="center"/>
                </w:tcPr>
                <w:p w14:paraId="5677E234">
                  <w:pPr>
                    <w:adjustRightInd w:val="0"/>
                    <w:snapToGrid w:val="0"/>
                    <w:jc w:val="center"/>
                    <w:rPr>
                      <w:color w:val="auto"/>
                      <w:szCs w:val="21"/>
                    </w:rPr>
                  </w:pPr>
                  <w:r>
                    <w:rPr>
                      <w:rFonts w:hint="eastAsia"/>
                      <w:color w:val="auto"/>
                      <w:szCs w:val="21"/>
                    </w:rPr>
                    <w:t>1</w:t>
                  </w:r>
                </w:p>
              </w:tc>
              <w:tc>
                <w:tcPr>
                  <w:tcW w:w="584" w:type="pct"/>
                  <w:shd w:val="clear" w:color="auto" w:fill="auto"/>
                  <w:noWrap w:val="0"/>
                  <w:vAlign w:val="center"/>
                </w:tcPr>
                <w:p w14:paraId="149C33ED">
                  <w:pPr>
                    <w:pStyle w:val="91"/>
                    <w:keepNext w:val="0"/>
                    <w:keepLines w:val="0"/>
                    <w:pageBreakBefore w:val="0"/>
                    <w:kinsoku/>
                    <w:wordWrap/>
                    <w:overflowPunct/>
                    <w:topLinePunct w:val="0"/>
                    <w:bidi w:val="0"/>
                    <w:adjustRightInd w:val="0"/>
                    <w:snapToGrid w:val="0"/>
                    <w:rPr>
                      <w:rFonts w:hint="eastAsia" w:ascii="Times New Roman" w:hAnsi="Times New Roman" w:eastAsia="宋体" w:cs="Times New Roman"/>
                      <w:b w:val="0"/>
                      <w:bCs/>
                      <w:color w:val="auto"/>
                      <w:kern w:val="2"/>
                      <w:sz w:val="21"/>
                      <w:szCs w:val="21"/>
                      <w:lang w:val="en-US" w:eastAsia="zh-CN" w:bidi="ar-SA"/>
                    </w:rPr>
                  </w:pPr>
                  <w:r>
                    <w:rPr>
                      <w:rFonts w:ascii="Times New Roman" w:hAnsi="Times New Roman" w:eastAsia="宋体"/>
                      <w:b w:val="0"/>
                      <w:bCs/>
                      <w:color w:val="auto"/>
                      <w:sz w:val="21"/>
                      <w:szCs w:val="21"/>
                    </w:rPr>
                    <w:t>冷却塔</w:t>
                  </w:r>
                </w:p>
              </w:tc>
              <w:tc>
                <w:tcPr>
                  <w:tcW w:w="459" w:type="pct"/>
                  <w:noWrap w:val="0"/>
                  <w:vAlign w:val="center"/>
                </w:tcPr>
                <w:p w14:paraId="6368A29B">
                  <w:pPr>
                    <w:adjustRightInd w:val="0"/>
                    <w:snapToGrid w:val="0"/>
                    <w:jc w:val="center"/>
                    <w:rPr>
                      <w:rFonts w:hint="eastAsia" w:eastAsia="宋体"/>
                      <w:color w:val="auto"/>
                      <w:szCs w:val="21"/>
                      <w:lang w:eastAsia="zh-CN"/>
                    </w:rPr>
                  </w:pPr>
                  <w:r>
                    <w:rPr>
                      <w:rFonts w:hint="eastAsia"/>
                      <w:color w:val="auto"/>
                      <w:szCs w:val="21"/>
                      <w:lang w:val="en-US" w:eastAsia="zh-CN"/>
                    </w:rPr>
                    <w:t>1</w:t>
                  </w:r>
                </w:p>
              </w:tc>
              <w:tc>
                <w:tcPr>
                  <w:tcW w:w="404" w:type="pct"/>
                  <w:noWrap w:val="0"/>
                  <w:vAlign w:val="center"/>
                </w:tcPr>
                <w:p w14:paraId="155290C6">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20</w:t>
                  </w:r>
                </w:p>
              </w:tc>
              <w:tc>
                <w:tcPr>
                  <w:tcW w:w="392" w:type="pct"/>
                  <w:noWrap w:val="0"/>
                  <w:vAlign w:val="center"/>
                </w:tcPr>
                <w:p w14:paraId="1D5E9289">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130</w:t>
                  </w:r>
                </w:p>
              </w:tc>
              <w:tc>
                <w:tcPr>
                  <w:tcW w:w="398" w:type="pct"/>
                  <w:noWrap w:val="0"/>
                  <w:vAlign w:val="center"/>
                </w:tcPr>
                <w:p w14:paraId="08D30F16">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0</w:t>
                  </w:r>
                </w:p>
              </w:tc>
              <w:tc>
                <w:tcPr>
                  <w:tcW w:w="1008" w:type="pct"/>
                  <w:noWrap w:val="0"/>
                  <w:vAlign w:val="center"/>
                </w:tcPr>
                <w:p w14:paraId="0BDCAC0F">
                  <w:pPr>
                    <w:adjustRightInd w:val="0"/>
                    <w:snapToGrid w:val="0"/>
                    <w:jc w:val="center"/>
                    <w:rPr>
                      <w:color w:val="auto"/>
                      <w:szCs w:val="21"/>
                    </w:rPr>
                  </w:pPr>
                  <w:r>
                    <w:rPr>
                      <w:color w:val="auto"/>
                      <w:szCs w:val="21"/>
                    </w:rPr>
                    <w:t>85</w:t>
                  </w:r>
                </w:p>
              </w:tc>
              <w:tc>
                <w:tcPr>
                  <w:tcW w:w="1116" w:type="pct"/>
                  <w:vMerge w:val="restart"/>
                  <w:noWrap w:val="0"/>
                  <w:vAlign w:val="center"/>
                </w:tcPr>
                <w:p w14:paraId="7AEB8FD5">
                  <w:pPr>
                    <w:adjustRightInd w:val="0"/>
                    <w:snapToGrid w:val="0"/>
                    <w:jc w:val="center"/>
                    <w:rPr>
                      <w:color w:val="auto"/>
                      <w:szCs w:val="21"/>
                    </w:rPr>
                  </w:pPr>
                  <w:r>
                    <w:rPr>
                      <w:color w:val="auto"/>
                      <w:szCs w:val="21"/>
                    </w:rPr>
                    <w:t>合理布局+厂房隔声</w:t>
                  </w:r>
                </w:p>
              </w:tc>
              <w:tc>
                <w:tcPr>
                  <w:tcW w:w="419" w:type="pct"/>
                  <w:vMerge w:val="restart"/>
                  <w:noWrap w:val="0"/>
                  <w:vAlign w:val="center"/>
                </w:tcPr>
                <w:p w14:paraId="210FAC44">
                  <w:pPr>
                    <w:adjustRightInd w:val="0"/>
                    <w:snapToGrid w:val="0"/>
                    <w:jc w:val="center"/>
                    <w:rPr>
                      <w:color w:val="auto"/>
                      <w:szCs w:val="21"/>
                    </w:rPr>
                  </w:pPr>
                  <w:r>
                    <w:rPr>
                      <w:rFonts w:hint="eastAsia"/>
                      <w:color w:val="auto"/>
                      <w:szCs w:val="21"/>
                      <w:lang w:val="en-US" w:eastAsia="zh-CN"/>
                    </w:rPr>
                    <w:t>昼</w:t>
                  </w:r>
                </w:p>
              </w:tc>
            </w:tr>
            <w:tr w14:paraId="22FCD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5" w:type="pct"/>
                  <w:noWrap w:val="0"/>
                  <w:vAlign w:val="center"/>
                </w:tcPr>
                <w:p w14:paraId="396D6794">
                  <w:pPr>
                    <w:adjustRightInd w:val="0"/>
                    <w:snapToGrid w:val="0"/>
                    <w:jc w:val="center"/>
                    <w:rPr>
                      <w:rFonts w:hint="eastAsia" w:eastAsia="宋体"/>
                      <w:color w:val="auto"/>
                      <w:szCs w:val="21"/>
                      <w:lang w:val="en-US" w:eastAsia="zh-CN"/>
                    </w:rPr>
                  </w:pPr>
                  <w:r>
                    <w:rPr>
                      <w:rFonts w:hint="eastAsia"/>
                      <w:color w:val="auto"/>
                      <w:szCs w:val="21"/>
                      <w:lang w:val="en-US" w:eastAsia="zh-CN"/>
                    </w:rPr>
                    <w:t>2</w:t>
                  </w:r>
                </w:p>
              </w:tc>
              <w:tc>
                <w:tcPr>
                  <w:tcW w:w="584" w:type="pct"/>
                  <w:shd w:val="clear" w:color="auto" w:fill="auto"/>
                  <w:noWrap w:val="0"/>
                  <w:vAlign w:val="center"/>
                </w:tcPr>
                <w:p w14:paraId="47BA2C07">
                  <w:pPr>
                    <w:pStyle w:val="9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color w:val="auto"/>
                      <w:kern w:val="2"/>
                      <w:sz w:val="21"/>
                      <w:szCs w:val="21"/>
                      <w:lang w:val="en-US" w:eastAsia="zh-CN" w:bidi="ar-SA"/>
                    </w:rPr>
                  </w:pPr>
                  <w:r>
                    <w:rPr>
                      <w:rFonts w:ascii="Times New Roman" w:hAnsi="Times New Roman" w:eastAsia="宋体" w:cs="Times New Roman"/>
                      <w:b w:val="0"/>
                      <w:bCs/>
                      <w:color w:val="auto"/>
                      <w:sz w:val="21"/>
                      <w:szCs w:val="21"/>
                    </w:rPr>
                    <w:t>空压机</w:t>
                  </w:r>
                </w:p>
              </w:tc>
              <w:tc>
                <w:tcPr>
                  <w:tcW w:w="459" w:type="pct"/>
                  <w:noWrap w:val="0"/>
                  <w:vAlign w:val="center"/>
                </w:tcPr>
                <w:p w14:paraId="50571EA0">
                  <w:pPr>
                    <w:adjustRightInd w:val="0"/>
                    <w:snapToGrid w:val="0"/>
                    <w:jc w:val="center"/>
                    <w:rPr>
                      <w:rFonts w:hint="default"/>
                      <w:color w:val="auto"/>
                      <w:szCs w:val="21"/>
                      <w:lang w:val="en-US" w:eastAsia="zh-CN"/>
                    </w:rPr>
                  </w:pPr>
                  <w:r>
                    <w:rPr>
                      <w:rFonts w:hint="eastAsia"/>
                      <w:color w:val="auto"/>
                      <w:szCs w:val="21"/>
                      <w:lang w:val="en-US" w:eastAsia="zh-CN"/>
                    </w:rPr>
                    <w:t>1</w:t>
                  </w:r>
                </w:p>
              </w:tc>
              <w:tc>
                <w:tcPr>
                  <w:tcW w:w="404" w:type="pct"/>
                  <w:noWrap w:val="0"/>
                  <w:vAlign w:val="center"/>
                </w:tcPr>
                <w:p w14:paraId="20B9EEC1">
                  <w:pPr>
                    <w:adjustRightInd w:val="0"/>
                    <w:snapToGrid w:val="0"/>
                    <w:jc w:val="center"/>
                    <w:rPr>
                      <w:rFonts w:hint="eastAsia" w:eastAsia="宋体"/>
                      <w:color w:val="auto"/>
                      <w:kern w:val="2"/>
                      <w:sz w:val="21"/>
                      <w:szCs w:val="21"/>
                      <w:lang w:val="en-US" w:eastAsia="zh-CN" w:bidi="ar-SA"/>
                    </w:rPr>
                  </w:pPr>
                  <w:r>
                    <w:rPr>
                      <w:rFonts w:hint="eastAsia"/>
                      <w:color w:val="auto"/>
                      <w:kern w:val="2"/>
                      <w:sz w:val="21"/>
                      <w:szCs w:val="21"/>
                      <w:lang w:val="en-US" w:eastAsia="zh-CN" w:bidi="ar-SA"/>
                    </w:rPr>
                    <w:t>20</w:t>
                  </w:r>
                </w:p>
              </w:tc>
              <w:tc>
                <w:tcPr>
                  <w:tcW w:w="392" w:type="pct"/>
                  <w:noWrap w:val="0"/>
                  <w:vAlign w:val="center"/>
                </w:tcPr>
                <w:p w14:paraId="35A99DE6">
                  <w:pPr>
                    <w:adjustRightInd w:val="0"/>
                    <w:snapToGrid w:val="0"/>
                    <w:jc w:val="center"/>
                    <w:rPr>
                      <w:rFonts w:hint="eastAsia" w:eastAsia="宋体"/>
                      <w:color w:val="auto"/>
                      <w:kern w:val="2"/>
                      <w:sz w:val="21"/>
                      <w:szCs w:val="21"/>
                      <w:lang w:val="en-US" w:eastAsia="zh-CN" w:bidi="ar-SA"/>
                    </w:rPr>
                  </w:pPr>
                  <w:r>
                    <w:rPr>
                      <w:rFonts w:hint="eastAsia"/>
                      <w:color w:val="auto"/>
                      <w:kern w:val="2"/>
                      <w:sz w:val="21"/>
                      <w:szCs w:val="21"/>
                      <w:lang w:val="en-US" w:eastAsia="zh-CN" w:bidi="ar-SA"/>
                    </w:rPr>
                    <w:t>130</w:t>
                  </w:r>
                </w:p>
              </w:tc>
              <w:tc>
                <w:tcPr>
                  <w:tcW w:w="398" w:type="pct"/>
                  <w:noWrap w:val="0"/>
                  <w:vAlign w:val="center"/>
                </w:tcPr>
                <w:p w14:paraId="0CE481B2">
                  <w:pPr>
                    <w:adjustRightInd w:val="0"/>
                    <w:snapToGrid w:val="0"/>
                    <w:jc w:val="center"/>
                    <w:rPr>
                      <w:rFonts w:hint="eastAsia" w:eastAsia="宋体"/>
                      <w:color w:val="auto"/>
                      <w:kern w:val="2"/>
                      <w:sz w:val="21"/>
                      <w:szCs w:val="21"/>
                      <w:lang w:val="en-US" w:eastAsia="zh-CN" w:bidi="ar-SA"/>
                    </w:rPr>
                  </w:pPr>
                  <w:r>
                    <w:rPr>
                      <w:rFonts w:hint="eastAsia"/>
                      <w:color w:val="auto"/>
                      <w:kern w:val="2"/>
                      <w:sz w:val="21"/>
                      <w:szCs w:val="21"/>
                      <w:lang w:val="en-US" w:eastAsia="zh-CN" w:bidi="ar-SA"/>
                    </w:rPr>
                    <w:t>0</w:t>
                  </w:r>
                </w:p>
              </w:tc>
              <w:tc>
                <w:tcPr>
                  <w:tcW w:w="1008" w:type="pct"/>
                  <w:noWrap w:val="0"/>
                  <w:vAlign w:val="center"/>
                </w:tcPr>
                <w:p w14:paraId="57774716">
                  <w:pPr>
                    <w:adjustRightInd w:val="0"/>
                    <w:snapToGrid w:val="0"/>
                    <w:jc w:val="center"/>
                    <w:rPr>
                      <w:color w:val="auto"/>
                      <w:szCs w:val="21"/>
                    </w:rPr>
                  </w:pPr>
                  <w:r>
                    <w:rPr>
                      <w:color w:val="auto"/>
                      <w:szCs w:val="21"/>
                    </w:rPr>
                    <w:t>85</w:t>
                  </w:r>
                </w:p>
              </w:tc>
              <w:tc>
                <w:tcPr>
                  <w:tcW w:w="1116" w:type="pct"/>
                  <w:vMerge w:val="continue"/>
                  <w:noWrap w:val="0"/>
                  <w:vAlign w:val="center"/>
                </w:tcPr>
                <w:p w14:paraId="3C29490E">
                  <w:pPr>
                    <w:adjustRightInd w:val="0"/>
                    <w:snapToGrid w:val="0"/>
                    <w:jc w:val="center"/>
                    <w:rPr>
                      <w:color w:val="auto"/>
                      <w:szCs w:val="21"/>
                    </w:rPr>
                  </w:pPr>
                </w:p>
              </w:tc>
              <w:tc>
                <w:tcPr>
                  <w:tcW w:w="419" w:type="pct"/>
                  <w:vMerge w:val="continue"/>
                  <w:noWrap w:val="0"/>
                  <w:vAlign w:val="center"/>
                </w:tcPr>
                <w:p w14:paraId="54D01617">
                  <w:pPr>
                    <w:adjustRightInd w:val="0"/>
                    <w:snapToGrid w:val="0"/>
                    <w:jc w:val="center"/>
                    <w:rPr>
                      <w:rFonts w:hint="eastAsia"/>
                      <w:color w:val="auto"/>
                      <w:szCs w:val="21"/>
                    </w:rPr>
                  </w:pPr>
                </w:p>
              </w:tc>
            </w:tr>
            <w:tr w14:paraId="26703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5" w:type="pct"/>
                  <w:noWrap w:val="0"/>
                  <w:vAlign w:val="center"/>
                </w:tcPr>
                <w:p w14:paraId="76EB2444">
                  <w:pPr>
                    <w:adjustRightInd w:val="0"/>
                    <w:snapToGrid w:val="0"/>
                    <w:jc w:val="center"/>
                    <w:rPr>
                      <w:rFonts w:hint="default"/>
                      <w:color w:val="auto"/>
                      <w:szCs w:val="21"/>
                      <w:lang w:val="en-US" w:eastAsia="zh-CN"/>
                    </w:rPr>
                  </w:pPr>
                  <w:r>
                    <w:rPr>
                      <w:rFonts w:hint="eastAsia"/>
                      <w:color w:val="auto"/>
                      <w:szCs w:val="21"/>
                      <w:lang w:val="en-US" w:eastAsia="zh-CN"/>
                    </w:rPr>
                    <w:t>3</w:t>
                  </w:r>
                </w:p>
              </w:tc>
              <w:tc>
                <w:tcPr>
                  <w:tcW w:w="584" w:type="pct"/>
                  <w:noWrap w:val="0"/>
                  <w:vAlign w:val="center"/>
                </w:tcPr>
                <w:p w14:paraId="54DAA6F8">
                  <w:pPr>
                    <w:adjustRightInd w:val="0"/>
                    <w:snapToGrid w:val="0"/>
                    <w:jc w:val="center"/>
                    <w:rPr>
                      <w:rFonts w:hint="default"/>
                      <w:color w:val="auto"/>
                      <w:szCs w:val="21"/>
                      <w:lang w:val="en-US" w:eastAsia="zh-CN"/>
                    </w:rPr>
                  </w:pPr>
                  <w:r>
                    <w:rPr>
                      <w:rFonts w:hint="eastAsia"/>
                      <w:color w:val="auto"/>
                      <w:szCs w:val="21"/>
                      <w:lang w:val="en-US" w:eastAsia="zh-CN"/>
                    </w:rPr>
                    <w:t>风机</w:t>
                  </w:r>
                </w:p>
              </w:tc>
              <w:tc>
                <w:tcPr>
                  <w:tcW w:w="459" w:type="pct"/>
                  <w:noWrap w:val="0"/>
                  <w:vAlign w:val="center"/>
                </w:tcPr>
                <w:p w14:paraId="7F2FFFBE">
                  <w:pPr>
                    <w:adjustRightInd w:val="0"/>
                    <w:snapToGrid w:val="0"/>
                    <w:jc w:val="center"/>
                    <w:rPr>
                      <w:rFonts w:hint="default"/>
                      <w:color w:val="auto"/>
                      <w:szCs w:val="21"/>
                      <w:lang w:val="en-US" w:eastAsia="zh-CN"/>
                    </w:rPr>
                  </w:pPr>
                  <w:r>
                    <w:rPr>
                      <w:rFonts w:hint="eastAsia"/>
                      <w:color w:val="auto"/>
                      <w:szCs w:val="21"/>
                      <w:lang w:val="en-US" w:eastAsia="zh-CN"/>
                    </w:rPr>
                    <w:t>2</w:t>
                  </w:r>
                </w:p>
              </w:tc>
              <w:tc>
                <w:tcPr>
                  <w:tcW w:w="404" w:type="pct"/>
                  <w:noWrap w:val="0"/>
                  <w:vAlign w:val="center"/>
                </w:tcPr>
                <w:p w14:paraId="57EC4B57">
                  <w:pPr>
                    <w:adjustRightInd w:val="0"/>
                    <w:snapToGrid w:val="0"/>
                    <w:jc w:val="center"/>
                    <w:rPr>
                      <w:rFonts w:hint="default"/>
                      <w:color w:val="auto"/>
                      <w:szCs w:val="21"/>
                      <w:lang w:val="en-US" w:eastAsia="zh-CN"/>
                    </w:rPr>
                  </w:pPr>
                  <w:r>
                    <w:rPr>
                      <w:rFonts w:hint="eastAsia"/>
                      <w:color w:val="auto"/>
                      <w:szCs w:val="21"/>
                      <w:lang w:val="en-US" w:eastAsia="zh-CN"/>
                    </w:rPr>
                    <w:t>30</w:t>
                  </w:r>
                </w:p>
              </w:tc>
              <w:tc>
                <w:tcPr>
                  <w:tcW w:w="392" w:type="pct"/>
                  <w:noWrap w:val="0"/>
                  <w:vAlign w:val="center"/>
                </w:tcPr>
                <w:p w14:paraId="7E4B7C64">
                  <w:pPr>
                    <w:adjustRightInd w:val="0"/>
                    <w:snapToGrid w:val="0"/>
                    <w:jc w:val="center"/>
                    <w:rPr>
                      <w:rFonts w:hint="default"/>
                      <w:color w:val="auto"/>
                      <w:szCs w:val="21"/>
                      <w:lang w:val="en-US" w:eastAsia="zh-CN"/>
                    </w:rPr>
                  </w:pPr>
                  <w:r>
                    <w:rPr>
                      <w:rFonts w:hint="eastAsia"/>
                      <w:color w:val="auto"/>
                      <w:szCs w:val="21"/>
                      <w:lang w:val="en-US" w:eastAsia="zh-CN"/>
                    </w:rPr>
                    <w:t>130</w:t>
                  </w:r>
                </w:p>
              </w:tc>
              <w:tc>
                <w:tcPr>
                  <w:tcW w:w="398" w:type="pct"/>
                  <w:noWrap w:val="0"/>
                  <w:vAlign w:val="center"/>
                </w:tcPr>
                <w:p w14:paraId="59425626">
                  <w:pPr>
                    <w:adjustRightInd w:val="0"/>
                    <w:snapToGrid w:val="0"/>
                    <w:jc w:val="center"/>
                    <w:rPr>
                      <w:rFonts w:hint="eastAsia"/>
                      <w:color w:val="auto"/>
                      <w:szCs w:val="21"/>
                      <w:lang w:val="en-US" w:eastAsia="zh-CN"/>
                    </w:rPr>
                  </w:pPr>
                  <w:r>
                    <w:rPr>
                      <w:rFonts w:hint="eastAsia"/>
                      <w:color w:val="auto"/>
                      <w:kern w:val="2"/>
                      <w:sz w:val="21"/>
                      <w:szCs w:val="21"/>
                      <w:lang w:val="en-US" w:eastAsia="zh-CN" w:bidi="ar-SA"/>
                    </w:rPr>
                    <w:t>0</w:t>
                  </w:r>
                </w:p>
              </w:tc>
              <w:tc>
                <w:tcPr>
                  <w:tcW w:w="1008" w:type="pct"/>
                  <w:noWrap w:val="0"/>
                  <w:vAlign w:val="center"/>
                </w:tcPr>
                <w:p w14:paraId="433B305C">
                  <w:pPr>
                    <w:adjustRightInd w:val="0"/>
                    <w:snapToGrid w:val="0"/>
                    <w:jc w:val="center"/>
                    <w:rPr>
                      <w:color w:val="auto"/>
                      <w:szCs w:val="21"/>
                    </w:rPr>
                  </w:pPr>
                  <w:r>
                    <w:rPr>
                      <w:color w:val="auto"/>
                      <w:szCs w:val="21"/>
                    </w:rPr>
                    <w:t>85</w:t>
                  </w:r>
                </w:p>
              </w:tc>
              <w:tc>
                <w:tcPr>
                  <w:tcW w:w="1116" w:type="pct"/>
                  <w:vMerge w:val="continue"/>
                  <w:noWrap w:val="0"/>
                  <w:vAlign w:val="center"/>
                </w:tcPr>
                <w:p w14:paraId="5B7EAC86">
                  <w:pPr>
                    <w:adjustRightInd w:val="0"/>
                    <w:snapToGrid w:val="0"/>
                    <w:jc w:val="center"/>
                    <w:rPr>
                      <w:color w:val="auto"/>
                      <w:szCs w:val="21"/>
                    </w:rPr>
                  </w:pPr>
                </w:p>
              </w:tc>
              <w:tc>
                <w:tcPr>
                  <w:tcW w:w="419" w:type="pct"/>
                  <w:vMerge w:val="continue"/>
                  <w:noWrap w:val="0"/>
                  <w:vAlign w:val="center"/>
                </w:tcPr>
                <w:p w14:paraId="30C3C66C">
                  <w:pPr>
                    <w:adjustRightInd w:val="0"/>
                    <w:snapToGrid w:val="0"/>
                    <w:jc w:val="center"/>
                    <w:rPr>
                      <w:rFonts w:hint="eastAsia"/>
                      <w:color w:val="auto"/>
                      <w:szCs w:val="21"/>
                    </w:rPr>
                  </w:pPr>
                </w:p>
              </w:tc>
            </w:tr>
            <w:tr w14:paraId="7DF9E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9"/>
                  <w:noWrap w:val="0"/>
                  <w:vAlign w:val="center"/>
                </w:tcPr>
                <w:p w14:paraId="74326CE6">
                  <w:pPr>
                    <w:widowControl/>
                    <w:adjustRightInd w:val="0"/>
                    <w:snapToGrid w:val="0"/>
                    <w:jc w:val="left"/>
                    <w:textAlignment w:val="center"/>
                    <w:rPr>
                      <w:rFonts w:hint="eastAsia"/>
                      <w:color w:val="auto"/>
                      <w:kern w:val="0"/>
                      <w:szCs w:val="21"/>
                      <w:lang w:bidi="ar"/>
                    </w:rPr>
                  </w:pPr>
                  <w:r>
                    <w:rPr>
                      <w:rFonts w:hint="eastAsia"/>
                      <w:color w:val="auto"/>
                      <w:kern w:val="0"/>
                      <w:szCs w:val="21"/>
                      <w:lang w:bidi="ar"/>
                    </w:rPr>
                    <w:t>注：空间相对位置中以厂区西南角为原点（0，0），Z轴以地面高度为0点。</w:t>
                  </w:r>
                </w:p>
              </w:tc>
            </w:tr>
          </w:tbl>
          <w:p w14:paraId="65A991A7">
            <w:pPr>
              <w:adjustRightInd w:val="0"/>
              <w:snapToGrid w:val="0"/>
              <w:spacing w:before="120" w:beforeLines="50" w:line="360" w:lineRule="auto"/>
              <w:ind w:firstLine="422" w:firstLineChars="200"/>
              <w:jc w:val="left"/>
              <w:rPr>
                <w:b/>
                <w:bCs/>
                <w:color w:val="auto"/>
                <w:szCs w:val="21"/>
              </w:rPr>
            </w:pPr>
            <w:r>
              <w:rPr>
                <w:b/>
                <w:bCs/>
                <w:color w:val="auto"/>
                <w:szCs w:val="21"/>
              </w:rPr>
              <w:t>2、</w:t>
            </w:r>
            <w:r>
              <w:rPr>
                <w:b/>
                <w:color w:val="auto"/>
                <w:kern w:val="0"/>
                <w:szCs w:val="21"/>
              </w:rPr>
              <w:t>达标排放</w:t>
            </w:r>
          </w:p>
          <w:p w14:paraId="52509DC1">
            <w:pPr>
              <w:adjustRightInd w:val="0"/>
              <w:snapToGrid w:val="0"/>
              <w:spacing w:line="360" w:lineRule="auto"/>
              <w:ind w:firstLine="420" w:firstLineChars="200"/>
              <w:jc w:val="left"/>
              <w:rPr>
                <w:color w:val="auto"/>
                <w:szCs w:val="21"/>
              </w:rPr>
            </w:pPr>
            <w:r>
              <w:rPr>
                <w:color w:val="auto"/>
                <w:szCs w:val="21"/>
              </w:rPr>
              <w:t>项目周边无敏感点，因此项目运营期噪声影响选择各厂界作为关心点进行影响预测。根据《环境影响评价技术导则 声环境（HJ2.4-2021）的规定，选取预测模式，应用过程中将根据具体情况作必要简化，考虑噪声距离衰减和隔声措施，预测其受到的影响，厂界噪声预测结果见</w:t>
            </w:r>
            <w:r>
              <w:rPr>
                <w:rFonts w:hint="eastAsia"/>
                <w:color w:val="auto"/>
                <w:szCs w:val="21"/>
                <w:lang w:val="en-US" w:eastAsia="zh-CN"/>
              </w:rPr>
              <w:t>下表</w:t>
            </w:r>
            <w:r>
              <w:rPr>
                <w:color w:val="auto"/>
                <w:szCs w:val="21"/>
              </w:rPr>
              <w:t>。</w:t>
            </w:r>
          </w:p>
          <w:p w14:paraId="7326BA00">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p>
          <w:p w14:paraId="49BFAE07">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p>
          <w:p w14:paraId="285E39E7">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p>
          <w:p w14:paraId="78825D32">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p>
          <w:p w14:paraId="51AED3C6">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表4-</w:t>
            </w:r>
            <w:r>
              <w:rPr>
                <w:rFonts w:hint="eastAsia"/>
                <w:b/>
                <w:bCs/>
                <w:color w:val="auto"/>
                <w:szCs w:val="21"/>
                <w:lang w:val="en-US" w:eastAsia="zh-CN"/>
              </w:rPr>
              <w:t>22</w:t>
            </w:r>
            <w:r>
              <w:rPr>
                <w:rFonts w:hint="eastAsia"/>
                <w:b/>
                <w:bCs/>
                <w:color w:val="auto"/>
                <w:szCs w:val="21"/>
              </w:rPr>
              <w:t xml:space="preserve"> </w:t>
            </w:r>
            <w:r>
              <w:rPr>
                <w:b/>
                <w:bCs/>
                <w:color w:val="auto"/>
                <w:szCs w:val="21"/>
              </w:rPr>
              <w:t>噪声影响预测结果表  单位：dB（A）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741"/>
              <w:gridCol w:w="1741"/>
              <w:gridCol w:w="1741"/>
              <w:gridCol w:w="1746"/>
            </w:tblGrid>
            <w:tr w14:paraId="28365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pct"/>
                  <w:vMerge w:val="restart"/>
                  <w:noWrap w:val="0"/>
                  <w:tcMar>
                    <w:top w:w="0" w:type="dxa"/>
                    <w:left w:w="0" w:type="dxa"/>
                    <w:bottom w:w="0" w:type="dxa"/>
                    <w:right w:w="0" w:type="dxa"/>
                  </w:tcMar>
                  <w:vAlign w:val="center"/>
                </w:tcPr>
                <w:p w14:paraId="675C2EEB">
                  <w:pPr>
                    <w:autoSpaceDE w:val="0"/>
                    <w:autoSpaceDN w:val="0"/>
                    <w:jc w:val="center"/>
                    <w:rPr>
                      <w:b/>
                      <w:bCs/>
                      <w:color w:val="auto"/>
                      <w:szCs w:val="21"/>
                    </w:rPr>
                  </w:pPr>
                  <w:r>
                    <w:rPr>
                      <w:b/>
                      <w:bCs/>
                      <w:color w:val="auto"/>
                      <w:szCs w:val="21"/>
                    </w:rPr>
                    <w:t>噪声值</w:t>
                  </w:r>
                </w:p>
              </w:tc>
              <w:tc>
                <w:tcPr>
                  <w:tcW w:w="4159" w:type="pct"/>
                  <w:gridSpan w:val="4"/>
                  <w:noWrap w:val="0"/>
                  <w:tcMar>
                    <w:top w:w="0" w:type="dxa"/>
                    <w:left w:w="0" w:type="dxa"/>
                    <w:bottom w:w="0" w:type="dxa"/>
                    <w:right w:w="0" w:type="dxa"/>
                  </w:tcMar>
                  <w:vAlign w:val="center"/>
                </w:tcPr>
                <w:p w14:paraId="10549400">
                  <w:pPr>
                    <w:autoSpaceDE w:val="0"/>
                    <w:autoSpaceDN w:val="0"/>
                    <w:jc w:val="center"/>
                    <w:rPr>
                      <w:b/>
                      <w:bCs/>
                      <w:color w:val="auto"/>
                      <w:szCs w:val="21"/>
                    </w:rPr>
                  </w:pPr>
                  <w:r>
                    <w:rPr>
                      <w:b/>
                      <w:bCs/>
                      <w:color w:val="auto"/>
                      <w:szCs w:val="21"/>
                    </w:rPr>
                    <w:t>厂界</w:t>
                  </w:r>
                </w:p>
              </w:tc>
            </w:tr>
            <w:tr w14:paraId="7F5EF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pct"/>
                  <w:vMerge w:val="continue"/>
                  <w:noWrap w:val="0"/>
                  <w:tcMar>
                    <w:top w:w="0" w:type="dxa"/>
                    <w:left w:w="0" w:type="dxa"/>
                    <w:bottom w:w="0" w:type="dxa"/>
                    <w:right w:w="0" w:type="dxa"/>
                  </w:tcMar>
                  <w:vAlign w:val="center"/>
                </w:tcPr>
                <w:p w14:paraId="200E6C54">
                  <w:pPr>
                    <w:autoSpaceDE w:val="0"/>
                    <w:autoSpaceDN w:val="0"/>
                    <w:jc w:val="center"/>
                    <w:rPr>
                      <w:b/>
                      <w:bCs/>
                      <w:color w:val="auto"/>
                      <w:szCs w:val="21"/>
                    </w:rPr>
                  </w:pPr>
                </w:p>
              </w:tc>
              <w:tc>
                <w:tcPr>
                  <w:tcW w:w="1039" w:type="pct"/>
                  <w:noWrap w:val="0"/>
                  <w:tcMar>
                    <w:top w:w="0" w:type="dxa"/>
                    <w:left w:w="0" w:type="dxa"/>
                    <w:bottom w:w="0" w:type="dxa"/>
                    <w:right w:w="0" w:type="dxa"/>
                  </w:tcMar>
                  <w:vAlign w:val="center"/>
                </w:tcPr>
                <w:p w14:paraId="488F6A9E">
                  <w:pPr>
                    <w:autoSpaceDE w:val="0"/>
                    <w:autoSpaceDN w:val="0"/>
                    <w:jc w:val="center"/>
                    <w:rPr>
                      <w:b/>
                      <w:bCs/>
                      <w:color w:val="auto"/>
                      <w:szCs w:val="21"/>
                    </w:rPr>
                  </w:pPr>
                  <w:r>
                    <w:rPr>
                      <w:b/>
                      <w:bCs/>
                      <w:color w:val="auto"/>
                      <w:szCs w:val="21"/>
                    </w:rPr>
                    <w:t>东厂界</w:t>
                  </w:r>
                </w:p>
              </w:tc>
              <w:tc>
                <w:tcPr>
                  <w:tcW w:w="1039" w:type="pct"/>
                  <w:noWrap w:val="0"/>
                  <w:tcMar>
                    <w:top w:w="0" w:type="dxa"/>
                    <w:left w:w="0" w:type="dxa"/>
                    <w:bottom w:w="0" w:type="dxa"/>
                    <w:right w:w="0" w:type="dxa"/>
                  </w:tcMar>
                  <w:vAlign w:val="center"/>
                </w:tcPr>
                <w:p w14:paraId="2BF664AE">
                  <w:pPr>
                    <w:adjustRightInd w:val="0"/>
                    <w:snapToGrid w:val="0"/>
                    <w:jc w:val="center"/>
                    <w:rPr>
                      <w:b/>
                      <w:bCs/>
                      <w:color w:val="auto"/>
                      <w:szCs w:val="21"/>
                    </w:rPr>
                  </w:pPr>
                  <w:r>
                    <w:rPr>
                      <w:b/>
                      <w:bCs/>
                      <w:color w:val="auto"/>
                      <w:szCs w:val="21"/>
                    </w:rPr>
                    <w:t>南厂界</w:t>
                  </w:r>
                </w:p>
              </w:tc>
              <w:tc>
                <w:tcPr>
                  <w:tcW w:w="1039" w:type="pct"/>
                  <w:noWrap w:val="0"/>
                  <w:tcMar>
                    <w:top w:w="0" w:type="dxa"/>
                    <w:left w:w="0" w:type="dxa"/>
                    <w:bottom w:w="0" w:type="dxa"/>
                    <w:right w:w="0" w:type="dxa"/>
                  </w:tcMar>
                  <w:vAlign w:val="center"/>
                </w:tcPr>
                <w:p w14:paraId="73FC70B9">
                  <w:pPr>
                    <w:adjustRightInd w:val="0"/>
                    <w:snapToGrid w:val="0"/>
                    <w:jc w:val="center"/>
                    <w:rPr>
                      <w:b/>
                      <w:bCs/>
                      <w:color w:val="auto"/>
                      <w:szCs w:val="21"/>
                    </w:rPr>
                  </w:pPr>
                  <w:r>
                    <w:rPr>
                      <w:b/>
                      <w:bCs/>
                      <w:color w:val="auto"/>
                      <w:szCs w:val="21"/>
                    </w:rPr>
                    <w:t>西厂界</w:t>
                  </w:r>
                </w:p>
              </w:tc>
              <w:tc>
                <w:tcPr>
                  <w:tcW w:w="1040" w:type="pct"/>
                  <w:noWrap w:val="0"/>
                  <w:tcMar>
                    <w:top w:w="0" w:type="dxa"/>
                    <w:left w:w="0" w:type="dxa"/>
                    <w:bottom w:w="0" w:type="dxa"/>
                    <w:right w:w="0" w:type="dxa"/>
                  </w:tcMar>
                  <w:vAlign w:val="center"/>
                </w:tcPr>
                <w:p w14:paraId="0B165D47">
                  <w:pPr>
                    <w:adjustRightInd w:val="0"/>
                    <w:snapToGrid w:val="0"/>
                    <w:jc w:val="center"/>
                    <w:rPr>
                      <w:b/>
                      <w:bCs/>
                      <w:color w:val="auto"/>
                      <w:szCs w:val="21"/>
                    </w:rPr>
                  </w:pPr>
                  <w:r>
                    <w:rPr>
                      <w:b/>
                      <w:bCs/>
                      <w:color w:val="auto"/>
                      <w:szCs w:val="21"/>
                    </w:rPr>
                    <w:t>北厂界</w:t>
                  </w:r>
                </w:p>
              </w:tc>
            </w:tr>
            <w:tr w14:paraId="2A882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pct"/>
                  <w:noWrap w:val="0"/>
                  <w:tcMar>
                    <w:top w:w="0" w:type="dxa"/>
                    <w:left w:w="0" w:type="dxa"/>
                    <w:bottom w:w="0" w:type="dxa"/>
                    <w:right w:w="0" w:type="dxa"/>
                  </w:tcMar>
                  <w:vAlign w:val="center"/>
                </w:tcPr>
                <w:p w14:paraId="57311BFF">
                  <w:pPr>
                    <w:autoSpaceDE w:val="0"/>
                    <w:autoSpaceDN w:val="0"/>
                    <w:jc w:val="center"/>
                    <w:rPr>
                      <w:color w:val="auto"/>
                      <w:szCs w:val="21"/>
                    </w:rPr>
                  </w:pPr>
                  <w:r>
                    <w:rPr>
                      <w:color w:val="auto"/>
                      <w:szCs w:val="21"/>
                    </w:rPr>
                    <w:t>贡献值</w:t>
                  </w:r>
                </w:p>
              </w:tc>
              <w:tc>
                <w:tcPr>
                  <w:tcW w:w="1039" w:type="pct"/>
                  <w:noWrap w:val="0"/>
                  <w:tcMar>
                    <w:top w:w="0" w:type="dxa"/>
                    <w:left w:w="0" w:type="dxa"/>
                    <w:bottom w:w="0" w:type="dxa"/>
                    <w:right w:w="0" w:type="dxa"/>
                  </w:tcMar>
                  <w:vAlign w:val="center"/>
                </w:tcPr>
                <w:p w14:paraId="24FDDF1F">
                  <w:pPr>
                    <w:adjustRightInd w:val="0"/>
                    <w:snapToGrid w:val="0"/>
                    <w:jc w:val="center"/>
                    <w:rPr>
                      <w:rFonts w:hint="default" w:eastAsia="宋体"/>
                      <w:bCs/>
                      <w:color w:val="auto"/>
                      <w:szCs w:val="21"/>
                      <w:lang w:val="en-US" w:eastAsia="zh-CN"/>
                    </w:rPr>
                  </w:pPr>
                  <w:r>
                    <w:rPr>
                      <w:rFonts w:hint="eastAsia" w:eastAsia="宋体"/>
                      <w:bCs/>
                      <w:color w:val="auto"/>
                      <w:szCs w:val="21"/>
                      <w:lang w:val="en-US" w:eastAsia="zh-CN"/>
                    </w:rPr>
                    <w:t>31.86</w:t>
                  </w:r>
                </w:p>
              </w:tc>
              <w:tc>
                <w:tcPr>
                  <w:tcW w:w="1039" w:type="pct"/>
                  <w:noWrap w:val="0"/>
                  <w:tcMar>
                    <w:top w:w="0" w:type="dxa"/>
                    <w:left w:w="0" w:type="dxa"/>
                    <w:bottom w:w="0" w:type="dxa"/>
                    <w:right w:w="0" w:type="dxa"/>
                  </w:tcMar>
                  <w:vAlign w:val="center"/>
                </w:tcPr>
                <w:p w14:paraId="6FDF138A">
                  <w:pPr>
                    <w:adjustRightInd w:val="0"/>
                    <w:snapToGrid w:val="0"/>
                    <w:jc w:val="center"/>
                    <w:rPr>
                      <w:rFonts w:hint="default" w:eastAsia="宋体"/>
                      <w:bCs/>
                      <w:color w:val="auto"/>
                      <w:szCs w:val="21"/>
                      <w:lang w:val="en-US" w:eastAsia="zh-CN"/>
                    </w:rPr>
                  </w:pPr>
                  <w:r>
                    <w:rPr>
                      <w:rFonts w:hint="eastAsia" w:eastAsia="宋体"/>
                      <w:bCs/>
                      <w:color w:val="auto"/>
                      <w:szCs w:val="21"/>
                      <w:lang w:val="en-US" w:eastAsia="zh-CN"/>
                    </w:rPr>
                    <w:t>43.14</w:t>
                  </w:r>
                </w:p>
              </w:tc>
              <w:tc>
                <w:tcPr>
                  <w:tcW w:w="1039" w:type="pct"/>
                  <w:noWrap w:val="0"/>
                  <w:tcMar>
                    <w:top w:w="0" w:type="dxa"/>
                    <w:left w:w="0" w:type="dxa"/>
                    <w:bottom w:w="0" w:type="dxa"/>
                    <w:right w:w="0" w:type="dxa"/>
                  </w:tcMar>
                  <w:vAlign w:val="center"/>
                </w:tcPr>
                <w:p w14:paraId="4509F809">
                  <w:pPr>
                    <w:adjustRightInd w:val="0"/>
                    <w:snapToGrid w:val="0"/>
                    <w:jc w:val="center"/>
                    <w:rPr>
                      <w:rFonts w:hint="default" w:eastAsia="宋体"/>
                      <w:bCs/>
                      <w:color w:val="auto"/>
                      <w:szCs w:val="21"/>
                      <w:lang w:val="en-US" w:eastAsia="zh-CN"/>
                    </w:rPr>
                  </w:pPr>
                  <w:r>
                    <w:rPr>
                      <w:rFonts w:hint="eastAsia"/>
                      <w:bCs/>
                      <w:color w:val="auto"/>
                      <w:szCs w:val="21"/>
                      <w:lang w:val="en-US" w:eastAsia="zh-CN"/>
                    </w:rPr>
                    <w:t>48.68</w:t>
                  </w:r>
                </w:p>
              </w:tc>
              <w:tc>
                <w:tcPr>
                  <w:tcW w:w="1041" w:type="pct"/>
                  <w:noWrap w:val="0"/>
                  <w:tcMar>
                    <w:top w:w="0" w:type="dxa"/>
                    <w:left w:w="0" w:type="dxa"/>
                    <w:bottom w:w="0" w:type="dxa"/>
                    <w:right w:w="0" w:type="dxa"/>
                  </w:tcMar>
                  <w:vAlign w:val="center"/>
                </w:tcPr>
                <w:p w14:paraId="72D6CA83">
                  <w:pPr>
                    <w:adjustRightInd w:val="0"/>
                    <w:snapToGrid w:val="0"/>
                    <w:jc w:val="center"/>
                    <w:rPr>
                      <w:rFonts w:hint="default" w:eastAsia="宋体"/>
                      <w:bCs/>
                      <w:color w:val="auto"/>
                      <w:szCs w:val="21"/>
                      <w:lang w:val="en-US" w:eastAsia="zh-CN"/>
                    </w:rPr>
                  </w:pPr>
                  <w:r>
                    <w:rPr>
                      <w:rFonts w:hint="eastAsia" w:eastAsia="宋体"/>
                      <w:bCs/>
                      <w:color w:val="auto"/>
                      <w:szCs w:val="21"/>
                      <w:lang w:val="en-US" w:eastAsia="zh-CN"/>
                    </w:rPr>
                    <w:t>38.7</w:t>
                  </w:r>
                </w:p>
              </w:tc>
            </w:tr>
            <w:tr w14:paraId="7C0F1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pct"/>
                  <w:noWrap w:val="0"/>
                  <w:tcMar>
                    <w:top w:w="0" w:type="dxa"/>
                    <w:left w:w="0" w:type="dxa"/>
                    <w:bottom w:w="0" w:type="dxa"/>
                    <w:right w:w="0" w:type="dxa"/>
                  </w:tcMar>
                  <w:vAlign w:val="center"/>
                </w:tcPr>
                <w:p w14:paraId="100AF33F">
                  <w:pPr>
                    <w:autoSpaceDE w:val="0"/>
                    <w:autoSpaceDN w:val="0"/>
                    <w:jc w:val="center"/>
                    <w:rPr>
                      <w:color w:val="auto"/>
                      <w:szCs w:val="21"/>
                    </w:rPr>
                  </w:pPr>
                  <w:r>
                    <w:rPr>
                      <w:color w:val="auto"/>
                      <w:szCs w:val="21"/>
                    </w:rPr>
                    <w:t>标准值</w:t>
                  </w:r>
                </w:p>
              </w:tc>
              <w:tc>
                <w:tcPr>
                  <w:tcW w:w="4159" w:type="pct"/>
                  <w:gridSpan w:val="4"/>
                  <w:noWrap w:val="0"/>
                  <w:tcMar>
                    <w:top w:w="0" w:type="dxa"/>
                    <w:left w:w="0" w:type="dxa"/>
                    <w:bottom w:w="0" w:type="dxa"/>
                    <w:right w:w="0" w:type="dxa"/>
                  </w:tcMar>
                  <w:vAlign w:val="center"/>
                </w:tcPr>
                <w:p w14:paraId="61D65ED9">
                  <w:pPr>
                    <w:adjustRightInd w:val="0"/>
                    <w:snapToGrid w:val="0"/>
                    <w:jc w:val="center"/>
                    <w:rPr>
                      <w:rFonts w:hint="default" w:eastAsia="宋体"/>
                      <w:color w:val="auto"/>
                      <w:szCs w:val="21"/>
                      <w:lang w:val="en-US" w:eastAsia="zh-CN"/>
                    </w:rPr>
                  </w:pPr>
                  <w:r>
                    <w:rPr>
                      <w:color w:val="auto"/>
                      <w:szCs w:val="21"/>
                    </w:rPr>
                    <w:t>昼间≤</w:t>
                  </w:r>
                  <w:r>
                    <w:rPr>
                      <w:rFonts w:hint="eastAsia"/>
                      <w:color w:val="auto"/>
                      <w:szCs w:val="21"/>
                    </w:rPr>
                    <w:t>6</w:t>
                  </w:r>
                  <w:r>
                    <w:rPr>
                      <w:rFonts w:hint="eastAsia"/>
                      <w:color w:val="auto"/>
                      <w:szCs w:val="21"/>
                      <w:lang w:val="en-US" w:eastAsia="zh-CN"/>
                    </w:rPr>
                    <w:t>0</w:t>
                  </w:r>
                  <w:r>
                    <w:rPr>
                      <w:color w:val="auto"/>
                      <w:szCs w:val="21"/>
                    </w:rPr>
                    <w:t>dB(A)</w:t>
                  </w:r>
                </w:p>
              </w:tc>
            </w:tr>
          </w:tbl>
          <w:p w14:paraId="074F95D9">
            <w:pPr>
              <w:keepNext w:val="0"/>
              <w:keepLines w:val="0"/>
              <w:pageBreakBefore w:val="0"/>
              <w:widowControl w:val="0"/>
              <w:shd w:val="clear" w:color="auto" w:fill="auto"/>
              <w:kinsoku/>
              <w:wordWrap/>
              <w:overflowPunct/>
              <w:topLinePunct w:val="0"/>
              <w:autoSpaceDE/>
              <w:autoSpaceDN/>
              <w:bidi w:val="0"/>
              <w:adjustRightInd w:val="0"/>
              <w:snapToGrid w:val="0"/>
              <w:spacing w:before="157" w:beforeLines="50" w:line="360" w:lineRule="auto"/>
              <w:ind w:firstLine="422" w:firstLineChars="200"/>
              <w:jc w:val="both"/>
              <w:textAlignment w:val="auto"/>
              <w:rPr>
                <w:b/>
                <w:color w:val="auto"/>
                <w:szCs w:val="21"/>
              </w:rPr>
            </w:pPr>
            <w:r>
              <w:rPr>
                <w:b/>
                <w:color w:val="auto"/>
                <w:szCs w:val="21"/>
              </w:rPr>
              <w:t>3、</w:t>
            </w:r>
            <w:r>
              <w:rPr>
                <w:rFonts w:hint="eastAsia"/>
                <w:b/>
                <w:color w:val="auto"/>
                <w:szCs w:val="21"/>
              </w:rPr>
              <w:t>声环境影响分析结论</w:t>
            </w:r>
          </w:p>
          <w:p w14:paraId="31CA3C7A">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both"/>
              <w:textAlignment w:val="auto"/>
              <w:rPr>
                <w:color w:val="auto"/>
                <w:szCs w:val="21"/>
              </w:rPr>
            </w:pPr>
            <w:r>
              <w:rPr>
                <w:color w:val="auto"/>
                <w:szCs w:val="21"/>
              </w:rPr>
              <w:t>由预测结果可见，本项目高噪声设备经合理布局、消声、减振、厂房隔声及距离衰减后，东、南、西、北四个厂界噪声达到《工业企业厂界环境噪声排放标准》（GB12348-2008）表1中</w:t>
            </w:r>
            <w:r>
              <w:rPr>
                <w:rFonts w:hint="eastAsia"/>
                <w:color w:val="auto"/>
                <w:szCs w:val="21"/>
                <w:lang w:val="en-US" w:eastAsia="zh-CN"/>
              </w:rPr>
              <w:t>2</w:t>
            </w:r>
            <w:r>
              <w:rPr>
                <w:color w:val="auto"/>
                <w:szCs w:val="21"/>
              </w:rPr>
              <w:t>类声环境功能区环境噪声限值，即：昼间噪声值≤</w:t>
            </w:r>
            <w:r>
              <w:rPr>
                <w:rFonts w:hint="eastAsia"/>
                <w:color w:val="auto"/>
                <w:szCs w:val="21"/>
                <w:lang w:val="en-US" w:eastAsia="zh-CN"/>
              </w:rPr>
              <w:t>60</w:t>
            </w:r>
            <w:r>
              <w:rPr>
                <w:color w:val="auto"/>
                <w:szCs w:val="21"/>
              </w:rPr>
              <w:t>dB（A）</w:t>
            </w:r>
            <w:r>
              <w:rPr>
                <w:rFonts w:hint="eastAsia"/>
                <w:color w:val="auto"/>
                <w:szCs w:val="21"/>
                <w:lang w:eastAsia="zh-CN"/>
              </w:rPr>
              <w:t>、</w:t>
            </w:r>
            <w:r>
              <w:rPr>
                <w:rFonts w:hint="eastAsia"/>
                <w:color w:val="auto"/>
                <w:szCs w:val="21"/>
                <w:lang w:val="en-US" w:eastAsia="zh-CN"/>
              </w:rPr>
              <w:t>夜间噪声值</w:t>
            </w:r>
            <w:r>
              <w:rPr>
                <w:color w:val="auto"/>
                <w:szCs w:val="21"/>
              </w:rPr>
              <w:t>≤</w:t>
            </w:r>
            <w:r>
              <w:rPr>
                <w:rFonts w:hint="eastAsia"/>
                <w:color w:val="auto"/>
                <w:szCs w:val="21"/>
                <w:lang w:val="en-US" w:eastAsia="zh-CN"/>
              </w:rPr>
              <w:t>50</w:t>
            </w:r>
            <w:r>
              <w:rPr>
                <w:color w:val="auto"/>
                <w:szCs w:val="21"/>
              </w:rPr>
              <w:t>dB（A），对周围环境影响较小。</w:t>
            </w:r>
          </w:p>
          <w:p w14:paraId="24B61647">
            <w:pPr>
              <w:keepNext w:val="0"/>
              <w:keepLines w:val="0"/>
              <w:pageBreakBefore w:val="0"/>
              <w:widowControl w:val="0"/>
              <w:shd w:val="clear" w:color="auto" w:fill="auto"/>
              <w:tabs>
                <w:tab w:val="left" w:pos="6920"/>
              </w:tabs>
              <w:kinsoku/>
              <w:wordWrap/>
              <w:overflowPunct/>
              <w:topLinePunct w:val="0"/>
              <w:autoSpaceDE/>
              <w:autoSpaceDN/>
              <w:bidi w:val="0"/>
              <w:adjustRightInd w:val="0"/>
              <w:snapToGrid w:val="0"/>
              <w:spacing w:line="360" w:lineRule="auto"/>
              <w:ind w:firstLine="482"/>
              <w:jc w:val="both"/>
              <w:textAlignment w:val="auto"/>
              <w:rPr>
                <w:b/>
                <w:bCs/>
                <w:color w:val="auto"/>
              </w:rPr>
            </w:pPr>
            <w:r>
              <w:rPr>
                <w:rFonts w:hint="eastAsia"/>
                <w:b/>
                <w:bCs/>
                <w:color w:val="auto"/>
              </w:rPr>
              <w:t>4、噪声监测计划</w:t>
            </w:r>
          </w:p>
          <w:p w14:paraId="1F7076E9">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表4-</w:t>
            </w:r>
            <w:r>
              <w:rPr>
                <w:rFonts w:hint="eastAsia"/>
                <w:b/>
                <w:bCs/>
                <w:color w:val="auto"/>
                <w:szCs w:val="21"/>
                <w:lang w:val="en-US" w:eastAsia="zh-CN"/>
              </w:rPr>
              <w:t>23</w:t>
            </w:r>
            <w:r>
              <w:rPr>
                <w:b/>
                <w:bCs/>
                <w:color w:val="auto"/>
                <w:szCs w:val="21"/>
              </w:rPr>
              <w:t xml:space="preserve"> 噪声污染源监测计划</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25"/>
              <w:gridCol w:w="1763"/>
              <w:gridCol w:w="1678"/>
              <w:gridCol w:w="1742"/>
              <w:gridCol w:w="2069"/>
            </w:tblGrid>
            <w:tr w14:paraId="18D3E0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25" w:type="dxa"/>
                  <w:noWrap w:val="0"/>
                  <w:tcMar>
                    <w:top w:w="0" w:type="dxa"/>
                    <w:left w:w="0" w:type="dxa"/>
                    <w:bottom w:w="0" w:type="dxa"/>
                    <w:right w:w="0" w:type="dxa"/>
                  </w:tcMar>
                  <w:vAlign w:val="center"/>
                </w:tcPr>
                <w:p w14:paraId="6AB1E2CE">
                  <w:pPr>
                    <w:adjustRightInd w:val="0"/>
                    <w:snapToGrid w:val="0"/>
                    <w:jc w:val="center"/>
                    <w:rPr>
                      <w:b/>
                      <w:bCs/>
                      <w:color w:val="auto"/>
                      <w:szCs w:val="21"/>
                    </w:rPr>
                  </w:pPr>
                  <w:r>
                    <w:rPr>
                      <w:b/>
                      <w:color w:val="auto"/>
                      <w:szCs w:val="21"/>
                    </w:rPr>
                    <w:t>时段</w:t>
                  </w:r>
                </w:p>
              </w:tc>
              <w:tc>
                <w:tcPr>
                  <w:tcW w:w="1763" w:type="dxa"/>
                  <w:noWrap w:val="0"/>
                  <w:tcMar>
                    <w:top w:w="0" w:type="dxa"/>
                    <w:left w:w="0" w:type="dxa"/>
                    <w:bottom w:w="0" w:type="dxa"/>
                    <w:right w:w="0" w:type="dxa"/>
                  </w:tcMar>
                  <w:vAlign w:val="center"/>
                </w:tcPr>
                <w:p w14:paraId="408151D0">
                  <w:pPr>
                    <w:jc w:val="center"/>
                    <w:rPr>
                      <w:b/>
                      <w:bCs/>
                      <w:color w:val="auto"/>
                      <w:szCs w:val="21"/>
                    </w:rPr>
                  </w:pPr>
                  <w:r>
                    <w:rPr>
                      <w:b/>
                      <w:bCs/>
                      <w:color w:val="auto"/>
                      <w:szCs w:val="21"/>
                    </w:rPr>
                    <w:t>监测点位</w:t>
                  </w:r>
                </w:p>
              </w:tc>
              <w:tc>
                <w:tcPr>
                  <w:tcW w:w="1678" w:type="dxa"/>
                  <w:noWrap w:val="0"/>
                  <w:tcMar>
                    <w:top w:w="0" w:type="dxa"/>
                    <w:left w:w="0" w:type="dxa"/>
                    <w:bottom w:w="0" w:type="dxa"/>
                    <w:right w:w="0" w:type="dxa"/>
                  </w:tcMar>
                  <w:vAlign w:val="center"/>
                </w:tcPr>
                <w:p w14:paraId="51BF06DA">
                  <w:pPr>
                    <w:jc w:val="center"/>
                    <w:rPr>
                      <w:b/>
                      <w:bCs/>
                      <w:color w:val="auto"/>
                      <w:szCs w:val="21"/>
                    </w:rPr>
                  </w:pPr>
                  <w:r>
                    <w:rPr>
                      <w:b/>
                      <w:bCs/>
                      <w:color w:val="auto"/>
                      <w:szCs w:val="21"/>
                    </w:rPr>
                    <w:t>监测项目</w:t>
                  </w:r>
                </w:p>
              </w:tc>
              <w:tc>
                <w:tcPr>
                  <w:tcW w:w="1742" w:type="dxa"/>
                  <w:noWrap w:val="0"/>
                  <w:tcMar>
                    <w:top w:w="0" w:type="dxa"/>
                    <w:left w:w="0" w:type="dxa"/>
                    <w:bottom w:w="0" w:type="dxa"/>
                    <w:right w:w="0" w:type="dxa"/>
                  </w:tcMar>
                  <w:vAlign w:val="center"/>
                </w:tcPr>
                <w:p w14:paraId="73A81615">
                  <w:pPr>
                    <w:jc w:val="center"/>
                    <w:rPr>
                      <w:b/>
                      <w:bCs/>
                      <w:color w:val="auto"/>
                      <w:szCs w:val="21"/>
                    </w:rPr>
                  </w:pPr>
                  <w:r>
                    <w:rPr>
                      <w:b/>
                      <w:bCs/>
                      <w:color w:val="auto"/>
                      <w:szCs w:val="21"/>
                    </w:rPr>
                    <w:t>监测频率</w:t>
                  </w:r>
                </w:p>
              </w:tc>
              <w:tc>
                <w:tcPr>
                  <w:tcW w:w="2069" w:type="dxa"/>
                  <w:noWrap w:val="0"/>
                  <w:tcMar>
                    <w:top w:w="0" w:type="dxa"/>
                    <w:left w:w="0" w:type="dxa"/>
                    <w:bottom w:w="0" w:type="dxa"/>
                    <w:right w:w="0" w:type="dxa"/>
                  </w:tcMar>
                  <w:vAlign w:val="center"/>
                </w:tcPr>
                <w:p w14:paraId="57065456">
                  <w:pPr>
                    <w:jc w:val="center"/>
                    <w:rPr>
                      <w:b/>
                      <w:bCs/>
                      <w:color w:val="auto"/>
                      <w:szCs w:val="21"/>
                    </w:rPr>
                  </w:pPr>
                  <w:r>
                    <w:rPr>
                      <w:b/>
                      <w:bCs/>
                      <w:color w:val="auto"/>
                      <w:szCs w:val="21"/>
                    </w:rPr>
                    <w:t>执行排放标准</w:t>
                  </w:r>
                </w:p>
              </w:tc>
            </w:tr>
            <w:tr w14:paraId="7763DE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25" w:type="dxa"/>
                  <w:shd w:val="clear" w:color="auto" w:fill="auto"/>
                  <w:noWrap w:val="0"/>
                  <w:tcMar>
                    <w:top w:w="0" w:type="dxa"/>
                    <w:left w:w="0" w:type="dxa"/>
                    <w:bottom w:w="0" w:type="dxa"/>
                    <w:right w:w="0" w:type="dxa"/>
                  </w:tcMar>
                  <w:vAlign w:val="center"/>
                </w:tcPr>
                <w:p w14:paraId="5AC2D9C5">
                  <w:pPr>
                    <w:widowControl/>
                    <w:jc w:val="center"/>
                    <w:rPr>
                      <w:rFonts w:hint="eastAsia" w:ascii="Times New Roman" w:hAnsi="Times New Roman" w:eastAsia="宋体" w:cs="Times New Roman"/>
                      <w:color w:val="auto"/>
                      <w:kern w:val="2"/>
                      <w:sz w:val="21"/>
                      <w:szCs w:val="21"/>
                      <w:lang w:val="en-US" w:eastAsia="zh-CN" w:bidi="ar-SA"/>
                    </w:rPr>
                  </w:pPr>
                  <w:r>
                    <w:rPr>
                      <w:color w:val="auto"/>
                      <w:szCs w:val="21"/>
                    </w:rPr>
                    <w:t>日常监测</w:t>
                  </w:r>
                </w:p>
              </w:tc>
              <w:tc>
                <w:tcPr>
                  <w:tcW w:w="1763" w:type="dxa"/>
                  <w:shd w:val="clear" w:color="auto" w:fill="auto"/>
                  <w:noWrap w:val="0"/>
                  <w:tcMar>
                    <w:top w:w="0" w:type="dxa"/>
                    <w:left w:w="0" w:type="dxa"/>
                    <w:bottom w:w="0" w:type="dxa"/>
                    <w:right w:w="0" w:type="dxa"/>
                  </w:tcMar>
                  <w:vAlign w:val="center"/>
                </w:tcPr>
                <w:p w14:paraId="010217A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东、南、西、北</w:t>
                  </w:r>
                  <w:r>
                    <w:rPr>
                      <w:color w:val="auto"/>
                      <w:szCs w:val="21"/>
                    </w:rPr>
                    <w:t>厂界外1m处</w:t>
                  </w:r>
                </w:p>
              </w:tc>
              <w:tc>
                <w:tcPr>
                  <w:tcW w:w="1678" w:type="dxa"/>
                  <w:shd w:val="clear" w:color="auto" w:fill="auto"/>
                  <w:noWrap w:val="0"/>
                  <w:tcMar>
                    <w:top w:w="0" w:type="dxa"/>
                    <w:left w:w="0" w:type="dxa"/>
                    <w:bottom w:w="0" w:type="dxa"/>
                    <w:right w:w="0" w:type="dxa"/>
                  </w:tcMar>
                  <w:vAlign w:val="center"/>
                </w:tcPr>
                <w:p w14:paraId="35E9193C">
                  <w:pPr>
                    <w:jc w:val="center"/>
                    <w:rPr>
                      <w:rFonts w:ascii="Times New Roman" w:hAnsi="Times New Roman" w:eastAsia="宋体" w:cs="Times New Roman"/>
                      <w:color w:val="auto"/>
                      <w:kern w:val="2"/>
                      <w:sz w:val="21"/>
                      <w:szCs w:val="21"/>
                      <w:lang w:val="en-US" w:eastAsia="zh-CN" w:bidi="ar-SA"/>
                    </w:rPr>
                  </w:pPr>
                  <w:r>
                    <w:rPr>
                      <w:color w:val="auto"/>
                      <w:szCs w:val="21"/>
                    </w:rPr>
                    <w:t>等效连续A声级</w:t>
                  </w:r>
                </w:p>
              </w:tc>
              <w:tc>
                <w:tcPr>
                  <w:tcW w:w="1742" w:type="dxa"/>
                  <w:shd w:val="clear" w:color="auto" w:fill="auto"/>
                  <w:noWrap w:val="0"/>
                  <w:tcMar>
                    <w:top w:w="0" w:type="dxa"/>
                    <w:left w:w="0" w:type="dxa"/>
                    <w:bottom w:w="0" w:type="dxa"/>
                    <w:right w:w="0" w:type="dxa"/>
                  </w:tcMar>
                  <w:vAlign w:val="center"/>
                </w:tcPr>
                <w:p w14:paraId="6C7ADB70">
                  <w:pPr>
                    <w:jc w:val="center"/>
                    <w:rPr>
                      <w:rFonts w:ascii="Times New Roman" w:hAnsi="Times New Roman" w:eastAsia="宋体" w:cs="Times New Roman"/>
                      <w:color w:val="auto"/>
                      <w:kern w:val="2"/>
                      <w:sz w:val="21"/>
                      <w:szCs w:val="21"/>
                      <w:lang w:val="en-US" w:eastAsia="zh-CN" w:bidi="ar-SA"/>
                    </w:rPr>
                  </w:pPr>
                  <w:r>
                    <w:rPr>
                      <w:color w:val="auto"/>
                      <w:szCs w:val="21"/>
                    </w:rPr>
                    <w:t>一次/季度（昼、夜间各一次）</w:t>
                  </w:r>
                </w:p>
              </w:tc>
              <w:tc>
                <w:tcPr>
                  <w:tcW w:w="2069" w:type="dxa"/>
                  <w:noWrap w:val="0"/>
                  <w:tcMar>
                    <w:top w:w="0" w:type="dxa"/>
                    <w:left w:w="0" w:type="dxa"/>
                    <w:bottom w:w="0" w:type="dxa"/>
                    <w:right w:w="0" w:type="dxa"/>
                  </w:tcMar>
                  <w:vAlign w:val="center"/>
                </w:tcPr>
                <w:p w14:paraId="6A7B0D9D">
                  <w:pPr>
                    <w:jc w:val="center"/>
                    <w:rPr>
                      <w:rFonts w:hint="eastAsia"/>
                      <w:color w:val="auto"/>
                      <w:szCs w:val="21"/>
                    </w:rPr>
                  </w:pPr>
                  <w:r>
                    <w:rPr>
                      <w:color w:val="auto"/>
                      <w:szCs w:val="21"/>
                    </w:rPr>
                    <w:t>《工业企业厂界环境噪声排放标准》（GB12348-2008）</w:t>
                  </w:r>
                  <w:r>
                    <w:rPr>
                      <w:rFonts w:hint="eastAsia"/>
                      <w:color w:val="auto"/>
                      <w:szCs w:val="21"/>
                    </w:rPr>
                    <w:t>2</w:t>
                  </w:r>
                  <w:r>
                    <w:rPr>
                      <w:color w:val="auto"/>
                      <w:szCs w:val="21"/>
                    </w:rPr>
                    <w:t>类</w:t>
                  </w:r>
                </w:p>
              </w:tc>
            </w:tr>
          </w:tbl>
          <w:p w14:paraId="02077F86">
            <w:pPr>
              <w:spacing w:before="120" w:beforeLines="50" w:line="360" w:lineRule="auto"/>
              <w:ind w:firstLine="422" w:firstLineChars="200"/>
              <w:rPr>
                <w:b/>
                <w:color w:val="auto"/>
                <w:szCs w:val="21"/>
              </w:rPr>
            </w:pPr>
            <w:r>
              <w:rPr>
                <w:b/>
                <w:color w:val="auto"/>
                <w:szCs w:val="21"/>
              </w:rPr>
              <w:t>四、固废影响分析</w:t>
            </w:r>
          </w:p>
          <w:p w14:paraId="2E8E3CD1">
            <w:pPr>
              <w:adjustRightInd w:val="0"/>
              <w:snapToGrid w:val="0"/>
              <w:spacing w:line="360" w:lineRule="auto"/>
              <w:ind w:firstLine="422" w:firstLineChars="200"/>
              <w:jc w:val="left"/>
              <w:rPr>
                <w:b/>
                <w:bCs/>
                <w:color w:val="auto"/>
                <w:szCs w:val="21"/>
              </w:rPr>
            </w:pPr>
            <w:r>
              <w:rPr>
                <w:b/>
                <w:bCs/>
                <w:color w:val="auto"/>
                <w:szCs w:val="21"/>
              </w:rPr>
              <w:t>1、固废产生源强</w:t>
            </w:r>
          </w:p>
          <w:p w14:paraId="2DBFA3A5">
            <w:pPr>
              <w:adjustRightInd w:val="0"/>
              <w:snapToGrid w:val="0"/>
              <w:spacing w:line="360" w:lineRule="auto"/>
              <w:ind w:firstLine="420" w:firstLineChars="200"/>
              <w:rPr>
                <w:color w:val="auto"/>
                <w:szCs w:val="21"/>
              </w:rPr>
            </w:pPr>
            <w:r>
              <w:rPr>
                <w:color w:val="auto"/>
                <w:szCs w:val="21"/>
              </w:rPr>
              <w:t>运行期</w:t>
            </w:r>
            <w:r>
              <w:rPr>
                <w:rFonts w:hint="eastAsia"/>
                <w:color w:val="auto"/>
                <w:szCs w:val="21"/>
                <w:lang w:val="en-US" w:eastAsia="zh-CN"/>
              </w:rPr>
              <w:t>的</w:t>
            </w:r>
            <w:r>
              <w:rPr>
                <w:rFonts w:hint="eastAsia"/>
                <w:color w:val="FF0000"/>
                <w:szCs w:val="21"/>
                <w:lang w:val="en-US" w:eastAsia="zh-CN"/>
              </w:rPr>
              <w:t>废边角料</w:t>
            </w:r>
            <w:r>
              <w:rPr>
                <w:rFonts w:hint="eastAsia"/>
                <w:color w:val="auto"/>
                <w:szCs w:val="21"/>
                <w:lang w:val="en-US" w:eastAsia="zh-CN"/>
              </w:rPr>
              <w:t>和不合格品均粉碎回用，本项目</w:t>
            </w:r>
            <w:r>
              <w:rPr>
                <w:color w:val="auto"/>
                <w:szCs w:val="21"/>
              </w:rPr>
              <w:t>的固体废弃物主要为</w:t>
            </w:r>
            <w:r>
              <w:rPr>
                <w:rFonts w:hint="eastAsia" w:ascii="Times New Roman" w:hAnsi="Times New Roman" w:eastAsia="宋体" w:cs="Times New Roman"/>
                <w:bCs/>
                <w:color w:val="auto"/>
                <w:kern w:val="2"/>
                <w:sz w:val="21"/>
                <w:szCs w:val="21"/>
                <w:lang w:val="en-US" w:eastAsia="zh-CN" w:bidi="ar-SA"/>
              </w:rPr>
              <w:t>废包装袋</w:t>
            </w:r>
            <w:r>
              <w:rPr>
                <w:rFonts w:hint="eastAsia" w:ascii="Times New Roman" w:hAnsi="Times New Roman" w:eastAsia="宋体" w:cs="Times New Roman"/>
                <w:color w:val="auto"/>
                <w:sz w:val="21"/>
                <w:szCs w:val="21"/>
                <w:lang w:val="en-US" w:eastAsia="zh-CN"/>
              </w:rPr>
              <w:t>、布袋捕集物、沉渣、</w:t>
            </w:r>
            <w:r>
              <w:rPr>
                <w:rFonts w:hint="eastAsia"/>
                <w:color w:val="auto"/>
                <w:szCs w:val="21"/>
                <w:lang w:val="en-US" w:eastAsia="zh-CN"/>
              </w:rPr>
              <w:t>喷淋塔废液</w:t>
            </w:r>
            <w:r>
              <w:rPr>
                <w:rFonts w:hint="eastAsia" w:ascii="Times New Roman" w:hAnsi="Times New Roman" w:eastAsia="宋体" w:cs="Times New Roman"/>
                <w:color w:val="auto"/>
                <w:sz w:val="21"/>
                <w:szCs w:val="21"/>
                <w:lang w:val="en-US" w:eastAsia="zh-CN"/>
              </w:rPr>
              <w:t>、废活性炭、废润滑油、废油桶、废包装桶、废含油抹布</w:t>
            </w:r>
            <w:r>
              <w:rPr>
                <w:rFonts w:hint="eastAsia"/>
                <w:color w:val="auto"/>
                <w:szCs w:val="21"/>
                <w:lang w:val="en-US" w:eastAsia="zh-CN"/>
              </w:rPr>
              <w:t>、</w:t>
            </w:r>
            <w:r>
              <w:rPr>
                <w:color w:val="auto"/>
                <w:szCs w:val="21"/>
              </w:rPr>
              <w:t>生活垃圾。</w:t>
            </w:r>
          </w:p>
          <w:p w14:paraId="317339E0">
            <w:pPr>
              <w:adjustRightInd w:val="0"/>
              <w:snapToGrid w:val="0"/>
              <w:spacing w:line="360" w:lineRule="auto"/>
              <w:ind w:firstLine="420" w:firstLineChars="200"/>
              <w:rPr>
                <w:color w:val="auto"/>
                <w:szCs w:val="21"/>
              </w:rPr>
            </w:pPr>
            <w:r>
              <w:rPr>
                <w:color w:val="auto"/>
                <w:szCs w:val="21"/>
              </w:rPr>
              <w:t>（1）一般工业固废：</w:t>
            </w:r>
          </w:p>
          <w:p w14:paraId="266C5FA0">
            <w:pPr>
              <w:tabs>
                <w:tab w:val="left" w:pos="0"/>
              </w:tabs>
              <w:adjustRightInd w:val="0"/>
              <w:snapToGrid w:val="0"/>
              <w:spacing w:line="360" w:lineRule="auto"/>
              <w:ind w:firstLine="420" w:firstLineChars="200"/>
              <w:rPr>
                <w:rFonts w:hint="default"/>
                <w:color w:val="auto"/>
                <w:szCs w:val="21"/>
                <w:lang w:val="en-US" w:eastAsia="zh-CN"/>
              </w:rPr>
            </w:pPr>
            <w:r>
              <w:rPr>
                <w:rFonts w:hint="eastAsia" w:ascii="Times New Roman" w:hAnsi="Times New Roman" w:eastAsia="宋体" w:cs="Times New Roman"/>
                <w:bCs/>
                <w:color w:val="auto"/>
                <w:kern w:val="2"/>
                <w:sz w:val="21"/>
                <w:szCs w:val="21"/>
                <w:lang w:val="en-US" w:eastAsia="zh-CN" w:bidi="ar-SA"/>
              </w:rPr>
              <w:t>废包装袋：本项目聚丙烯、三元乙丙橡胶、滑石粉、色母粒均为袋装，产生</w:t>
            </w:r>
            <w:r>
              <w:rPr>
                <w:rFonts w:hint="eastAsia" w:ascii="Times New Roman" w:hAnsi="Times New Roman" w:eastAsia="宋体" w:cs="Times New Roman"/>
                <w:bCs/>
                <w:color w:val="0000FF"/>
                <w:kern w:val="2"/>
                <w:sz w:val="21"/>
                <w:szCs w:val="21"/>
                <w:lang w:val="en-US" w:eastAsia="zh-CN" w:bidi="ar-SA"/>
              </w:rPr>
              <w:t>7</w:t>
            </w:r>
            <w:r>
              <w:rPr>
                <w:rFonts w:hint="eastAsia" w:cs="Times New Roman"/>
                <w:bCs/>
                <w:color w:val="0000FF"/>
                <w:kern w:val="2"/>
                <w:sz w:val="21"/>
                <w:szCs w:val="21"/>
                <w:lang w:val="en-US" w:eastAsia="zh-CN" w:bidi="ar-SA"/>
              </w:rPr>
              <w:t>20</w:t>
            </w:r>
            <w:r>
              <w:rPr>
                <w:rFonts w:hint="eastAsia" w:ascii="Times New Roman" w:hAnsi="Times New Roman" w:eastAsia="宋体" w:cs="Times New Roman"/>
                <w:bCs/>
                <w:color w:val="0000FF"/>
                <w:kern w:val="2"/>
                <w:sz w:val="21"/>
                <w:szCs w:val="21"/>
                <w:lang w:val="en-US" w:eastAsia="zh-CN" w:bidi="ar-SA"/>
              </w:rPr>
              <w:t>00</w:t>
            </w:r>
            <w:r>
              <w:rPr>
                <w:rFonts w:hint="eastAsia" w:ascii="Times New Roman" w:hAnsi="Times New Roman" w:eastAsia="宋体" w:cs="Times New Roman"/>
                <w:bCs/>
                <w:color w:val="auto"/>
                <w:kern w:val="2"/>
                <w:sz w:val="21"/>
                <w:szCs w:val="21"/>
                <w:lang w:val="en-US" w:eastAsia="zh-CN" w:bidi="ar-SA"/>
              </w:rPr>
              <w:t>个袋子，袋子重量约0.05kg/个，则废包装袋产生量约</w:t>
            </w:r>
            <w:r>
              <w:rPr>
                <w:rFonts w:hint="eastAsia" w:ascii="Times New Roman" w:hAnsi="Times New Roman" w:eastAsia="宋体" w:cs="Times New Roman"/>
                <w:bCs/>
                <w:color w:val="0000FF"/>
                <w:kern w:val="2"/>
                <w:sz w:val="21"/>
                <w:szCs w:val="21"/>
                <w:lang w:val="en-US" w:eastAsia="zh-CN" w:bidi="ar-SA"/>
              </w:rPr>
              <w:t>3.6t/a</w:t>
            </w:r>
            <w:r>
              <w:rPr>
                <w:rFonts w:hint="eastAsia" w:ascii="Times New Roman" w:hAnsi="Times New Roman" w:eastAsia="宋体" w:cs="Times New Roman"/>
                <w:bCs/>
                <w:color w:val="auto"/>
                <w:kern w:val="2"/>
                <w:sz w:val="21"/>
                <w:szCs w:val="21"/>
                <w:lang w:val="en-US" w:eastAsia="zh-CN" w:bidi="ar-SA"/>
              </w:rPr>
              <w:t>。</w:t>
            </w:r>
          </w:p>
          <w:p w14:paraId="574C43D3">
            <w:pPr>
              <w:tabs>
                <w:tab w:val="left" w:pos="0"/>
              </w:tabs>
              <w:adjustRightInd w:val="0"/>
              <w:snapToGrid w:val="0"/>
              <w:spacing w:line="360" w:lineRule="auto"/>
              <w:ind w:firstLine="420" w:firstLineChars="200"/>
              <w:rPr>
                <w:rFonts w:hint="default"/>
                <w:color w:val="auto"/>
                <w:szCs w:val="21"/>
                <w:lang w:val="en-US" w:eastAsia="zh-CN"/>
              </w:rPr>
            </w:pPr>
            <w:r>
              <w:rPr>
                <w:rFonts w:hint="eastAsia" w:ascii="Times New Roman" w:hAnsi="Times New Roman" w:eastAsia="宋体" w:cs="Times New Roman"/>
                <w:color w:val="auto"/>
                <w:sz w:val="21"/>
                <w:szCs w:val="21"/>
                <w:lang w:val="en-US" w:eastAsia="zh-CN"/>
              </w:rPr>
              <w:t>布袋捕集物、沉渣：本项目布袋除尘器捕集的粉尘0.16t，以及切粒、粉筛水槽过滤的沉渣，产生量约0.14t/a，年产生布袋捕集物、沉渣0.32t/a。</w:t>
            </w:r>
          </w:p>
          <w:p w14:paraId="5AB47328">
            <w:pPr>
              <w:tabs>
                <w:tab w:val="left" w:pos="0"/>
              </w:tabs>
              <w:adjustRightInd w:val="0"/>
              <w:snapToGrid w:val="0"/>
              <w:spacing w:line="360" w:lineRule="auto"/>
              <w:ind w:firstLine="420" w:firstLineChars="200"/>
              <w:rPr>
                <w:color w:val="auto"/>
                <w:szCs w:val="21"/>
              </w:rPr>
            </w:pPr>
            <w:r>
              <w:rPr>
                <w:rFonts w:hint="eastAsia"/>
                <w:color w:val="auto"/>
                <w:szCs w:val="21"/>
              </w:rPr>
              <w:t>（2）</w:t>
            </w:r>
            <w:r>
              <w:rPr>
                <w:color w:val="auto"/>
                <w:szCs w:val="21"/>
              </w:rPr>
              <w:t>危险废物：</w:t>
            </w:r>
          </w:p>
          <w:p w14:paraId="217651C9">
            <w:pPr>
              <w:spacing w:line="360" w:lineRule="auto"/>
              <w:ind w:firstLine="420" w:firstLineChars="200"/>
              <w:rPr>
                <w:rFonts w:hint="eastAsia"/>
                <w:color w:val="auto"/>
                <w:szCs w:val="21"/>
                <w:lang w:val="en-US" w:eastAsia="zh-CN"/>
              </w:rPr>
            </w:pPr>
            <w:r>
              <w:rPr>
                <w:rFonts w:hint="eastAsia"/>
                <w:color w:val="auto"/>
                <w:szCs w:val="21"/>
                <w:lang w:val="en-US" w:eastAsia="zh-CN"/>
              </w:rPr>
              <w:t>喷淋塔废液：本项目设置水喷淋装置用于去除油雾，水喷淋用水循环使用，每年更换一次废液，则更换量为1t/a</w:t>
            </w:r>
            <w:r>
              <w:rPr>
                <w:rFonts w:hint="eastAsia"/>
                <w:color w:val="auto"/>
                <w:szCs w:val="21"/>
              </w:rPr>
              <w:t>，委托有资质单位处置</w:t>
            </w:r>
            <w:r>
              <w:rPr>
                <w:rFonts w:hint="eastAsia"/>
                <w:color w:val="auto"/>
                <w:szCs w:val="21"/>
                <w:lang w:val="en-US" w:eastAsia="zh-CN"/>
              </w:rPr>
              <w:t>。</w:t>
            </w:r>
          </w:p>
          <w:p w14:paraId="6B831A63">
            <w:pPr>
              <w:adjustRightInd w:val="0"/>
              <w:snapToGrid w:val="0"/>
              <w:spacing w:line="360" w:lineRule="auto"/>
              <w:ind w:firstLine="420" w:firstLineChars="200"/>
              <w:rPr>
                <w:color w:val="auto"/>
                <w:szCs w:val="21"/>
              </w:rPr>
            </w:pPr>
            <w:r>
              <w:rPr>
                <w:rFonts w:hint="eastAsia"/>
                <w:color w:val="auto"/>
                <w:szCs w:val="21"/>
              </w:rPr>
              <w:t>废活性炭</w:t>
            </w:r>
            <w:r>
              <w:rPr>
                <w:color w:val="auto"/>
                <w:szCs w:val="21"/>
              </w:rPr>
              <w:t>：两级活性炭吸附装置对有机废气去除效率为90%，本项目新增</w:t>
            </w:r>
            <w:r>
              <w:rPr>
                <w:rFonts w:hint="eastAsia"/>
                <w:color w:val="auto"/>
                <w:szCs w:val="21"/>
              </w:rPr>
              <w:t>1</w:t>
            </w:r>
            <w:r>
              <w:rPr>
                <w:color w:val="auto"/>
                <w:szCs w:val="21"/>
              </w:rPr>
              <w:t>套两级活性炭吸附装置，活性炭一次填装量为</w:t>
            </w:r>
            <w:r>
              <w:rPr>
                <w:rFonts w:hint="eastAsia"/>
                <w:color w:val="auto"/>
                <w:szCs w:val="21"/>
                <w:lang w:val="en-US" w:eastAsia="zh-CN"/>
              </w:rPr>
              <w:t>900</w:t>
            </w:r>
            <w:r>
              <w:rPr>
                <w:rFonts w:hint="eastAsia"/>
                <w:color w:val="auto"/>
                <w:szCs w:val="21"/>
              </w:rPr>
              <w:t>kg</w:t>
            </w:r>
            <w:r>
              <w:rPr>
                <w:color w:val="auto"/>
                <w:szCs w:val="21"/>
              </w:rPr>
              <w:t>，则活性炭更换周期见下表。</w:t>
            </w:r>
          </w:p>
          <w:p w14:paraId="3EBB5FAA">
            <w:pPr>
              <w:spacing w:line="360" w:lineRule="auto"/>
              <w:ind w:firstLine="420" w:firstLineChars="200"/>
              <w:rPr>
                <w:color w:val="auto"/>
                <w:szCs w:val="21"/>
              </w:rPr>
            </w:pPr>
            <w:r>
              <w:rPr>
                <w:rFonts w:hint="eastAsia"/>
                <w:color w:val="auto"/>
                <w:szCs w:val="21"/>
              </w:rPr>
              <w:t>根据《省生态环境厅关于深入开展涉VOCs治理重点工作核查的通知》（苏环办〔2022〕218号），本项目使用650碘值蜂窝活性炭，</w:t>
            </w:r>
            <w:r>
              <w:rPr>
                <w:color w:val="auto"/>
                <w:szCs w:val="21"/>
              </w:rPr>
              <w:t>根据活性炭更换周期计算公式：</w:t>
            </w:r>
          </w:p>
          <w:p w14:paraId="10DC8232">
            <w:pPr>
              <w:spacing w:line="360" w:lineRule="auto"/>
              <w:ind w:firstLine="420" w:firstLineChars="200"/>
              <w:jc w:val="center"/>
              <w:rPr>
                <w:color w:val="auto"/>
                <w:szCs w:val="21"/>
              </w:rPr>
            </w:pPr>
            <w:r>
              <w:rPr>
                <w:color w:val="auto"/>
                <w:szCs w:val="21"/>
              </w:rPr>
              <w:t>T=m×s÷（c×10</w:t>
            </w:r>
            <w:r>
              <w:rPr>
                <w:color w:val="auto"/>
                <w:szCs w:val="21"/>
                <w:vertAlign w:val="superscript"/>
              </w:rPr>
              <w:t>-6</w:t>
            </w:r>
            <w:r>
              <w:rPr>
                <w:color w:val="auto"/>
                <w:szCs w:val="21"/>
              </w:rPr>
              <w:t>×Q×t）</w:t>
            </w:r>
          </w:p>
          <w:p w14:paraId="50CF5249">
            <w:pPr>
              <w:spacing w:line="360" w:lineRule="auto"/>
              <w:ind w:firstLine="420" w:firstLineChars="200"/>
              <w:rPr>
                <w:color w:val="auto"/>
                <w:szCs w:val="21"/>
              </w:rPr>
            </w:pPr>
            <w:r>
              <w:rPr>
                <w:color w:val="auto"/>
                <w:szCs w:val="21"/>
              </w:rPr>
              <w:t>式中：</w:t>
            </w:r>
          </w:p>
          <w:p w14:paraId="64AE9EEC">
            <w:pPr>
              <w:spacing w:line="360" w:lineRule="auto"/>
              <w:ind w:firstLine="420" w:firstLineChars="200"/>
              <w:rPr>
                <w:color w:val="auto"/>
                <w:szCs w:val="21"/>
              </w:rPr>
            </w:pPr>
            <w:r>
              <w:rPr>
                <w:color w:val="auto"/>
                <w:szCs w:val="21"/>
              </w:rPr>
              <w:t>T—更换周期，天；</w:t>
            </w:r>
          </w:p>
          <w:p w14:paraId="05861B6F">
            <w:pPr>
              <w:spacing w:line="360" w:lineRule="auto"/>
              <w:ind w:firstLine="420" w:firstLineChars="200"/>
              <w:rPr>
                <w:color w:val="auto"/>
                <w:szCs w:val="21"/>
              </w:rPr>
            </w:pPr>
            <w:r>
              <w:rPr>
                <w:color w:val="auto"/>
                <w:szCs w:val="21"/>
              </w:rPr>
              <w:t>m—活性炭的用量，kg；</w:t>
            </w:r>
          </w:p>
          <w:p w14:paraId="02772687">
            <w:pPr>
              <w:spacing w:line="360" w:lineRule="auto"/>
              <w:ind w:firstLine="420" w:firstLineChars="200"/>
              <w:rPr>
                <w:color w:val="auto"/>
                <w:szCs w:val="21"/>
              </w:rPr>
            </w:pPr>
            <w:r>
              <w:rPr>
                <w:color w:val="auto"/>
                <w:szCs w:val="21"/>
              </w:rPr>
              <w:t>s—动态吸附量，%；（一般取值</w:t>
            </w:r>
            <w:r>
              <w:rPr>
                <w:rFonts w:hint="eastAsia"/>
                <w:color w:val="auto"/>
                <w:szCs w:val="21"/>
              </w:rPr>
              <w:t>10</w:t>
            </w:r>
            <w:r>
              <w:rPr>
                <w:color w:val="auto"/>
                <w:szCs w:val="21"/>
              </w:rPr>
              <w:t>%）；</w:t>
            </w:r>
          </w:p>
          <w:p w14:paraId="739D28F3">
            <w:pPr>
              <w:spacing w:line="360" w:lineRule="auto"/>
              <w:ind w:firstLine="420" w:firstLineChars="200"/>
              <w:rPr>
                <w:color w:val="auto"/>
                <w:szCs w:val="21"/>
              </w:rPr>
            </w:pPr>
            <w:r>
              <w:rPr>
                <w:color w:val="auto"/>
                <w:szCs w:val="21"/>
              </w:rPr>
              <w:t>c—活性炭削减的VOCs浓度，mg/m</w:t>
            </w:r>
            <w:r>
              <w:rPr>
                <w:color w:val="auto"/>
                <w:szCs w:val="21"/>
                <w:vertAlign w:val="superscript"/>
              </w:rPr>
              <w:t>3</w:t>
            </w:r>
            <w:r>
              <w:rPr>
                <w:color w:val="auto"/>
                <w:szCs w:val="21"/>
              </w:rPr>
              <w:t>；</w:t>
            </w:r>
          </w:p>
          <w:p w14:paraId="778B32F5">
            <w:pPr>
              <w:spacing w:line="360" w:lineRule="auto"/>
              <w:ind w:firstLine="420" w:firstLineChars="200"/>
              <w:rPr>
                <w:color w:val="auto"/>
                <w:szCs w:val="21"/>
              </w:rPr>
            </w:pPr>
            <w:r>
              <w:rPr>
                <w:color w:val="auto"/>
                <w:szCs w:val="21"/>
              </w:rPr>
              <w:t>Q—风量，单位m</w:t>
            </w:r>
            <w:r>
              <w:rPr>
                <w:color w:val="auto"/>
                <w:szCs w:val="21"/>
                <w:vertAlign w:val="superscript"/>
              </w:rPr>
              <w:t>3</w:t>
            </w:r>
            <w:r>
              <w:rPr>
                <w:color w:val="auto"/>
                <w:szCs w:val="21"/>
              </w:rPr>
              <w:t>/h；</w:t>
            </w:r>
          </w:p>
          <w:p w14:paraId="04F8D31E">
            <w:pPr>
              <w:spacing w:line="360" w:lineRule="auto"/>
              <w:ind w:firstLine="420" w:firstLineChars="200"/>
              <w:rPr>
                <w:color w:val="auto"/>
                <w:szCs w:val="21"/>
              </w:rPr>
            </w:pPr>
            <w:r>
              <w:rPr>
                <w:color w:val="auto"/>
                <w:szCs w:val="21"/>
              </w:rPr>
              <w:t>t—运行时间，单位h/d。</w:t>
            </w:r>
          </w:p>
          <w:p w14:paraId="742F5780">
            <w:pPr>
              <w:adjustRightInd w:val="0"/>
              <w:jc w:val="center"/>
              <w:rPr>
                <w:b/>
                <w:color w:val="auto"/>
                <w:szCs w:val="21"/>
              </w:rPr>
            </w:pPr>
            <w:r>
              <w:rPr>
                <w:b/>
                <w:color w:val="auto"/>
                <w:szCs w:val="21"/>
              </w:rPr>
              <w:t>表4-2</w:t>
            </w:r>
            <w:r>
              <w:rPr>
                <w:rFonts w:hint="eastAsia"/>
                <w:b/>
                <w:color w:val="auto"/>
                <w:szCs w:val="21"/>
              </w:rPr>
              <w:t>3</w:t>
            </w:r>
            <w:r>
              <w:rPr>
                <w:b/>
                <w:color w:val="auto"/>
                <w:szCs w:val="21"/>
              </w:rPr>
              <w:t xml:space="preserve"> 活性炭更换周期表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91"/>
              <w:gridCol w:w="816"/>
              <w:gridCol w:w="832"/>
              <w:gridCol w:w="1221"/>
              <w:gridCol w:w="717"/>
              <w:gridCol w:w="887"/>
              <w:gridCol w:w="699"/>
              <w:gridCol w:w="876"/>
              <w:gridCol w:w="679"/>
            </w:tblGrid>
            <w:tr w14:paraId="09759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tcMar>
                    <w:top w:w="0" w:type="dxa"/>
                    <w:left w:w="0" w:type="dxa"/>
                    <w:bottom w:w="0" w:type="dxa"/>
                    <w:right w:w="0" w:type="dxa"/>
                  </w:tcMar>
                  <w:vAlign w:val="center"/>
                </w:tcPr>
                <w:p w14:paraId="7976C31D">
                  <w:pPr>
                    <w:jc w:val="center"/>
                    <w:rPr>
                      <w:b/>
                      <w:color w:val="auto"/>
                      <w:szCs w:val="21"/>
                    </w:rPr>
                  </w:pPr>
                  <w:r>
                    <w:rPr>
                      <w:b/>
                      <w:color w:val="auto"/>
                      <w:szCs w:val="21"/>
                    </w:rPr>
                    <w:t>排气筒编号</w:t>
                  </w:r>
                </w:p>
              </w:tc>
              <w:tc>
                <w:tcPr>
                  <w:tcW w:w="591" w:type="pct"/>
                  <w:noWrap w:val="0"/>
                  <w:tcMar>
                    <w:top w:w="0" w:type="dxa"/>
                    <w:left w:w="0" w:type="dxa"/>
                    <w:bottom w:w="0" w:type="dxa"/>
                    <w:right w:w="0" w:type="dxa"/>
                  </w:tcMar>
                  <w:vAlign w:val="center"/>
                </w:tcPr>
                <w:p w14:paraId="4D6F1675">
                  <w:pPr>
                    <w:jc w:val="center"/>
                    <w:rPr>
                      <w:b/>
                      <w:color w:val="auto"/>
                      <w:szCs w:val="21"/>
                    </w:rPr>
                  </w:pPr>
                  <w:r>
                    <w:rPr>
                      <w:b/>
                      <w:color w:val="auto"/>
                      <w:szCs w:val="21"/>
                    </w:rPr>
                    <w:t>废气产生</w:t>
                  </w:r>
                </w:p>
                <w:p w14:paraId="29F35074">
                  <w:pPr>
                    <w:jc w:val="center"/>
                    <w:rPr>
                      <w:b/>
                      <w:color w:val="auto"/>
                      <w:szCs w:val="21"/>
                    </w:rPr>
                  </w:pPr>
                  <w:r>
                    <w:rPr>
                      <w:b/>
                      <w:color w:val="auto"/>
                      <w:szCs w:val="21"/>
                    </w:rPr>
                    <w:t>环节</w:t>
                  </w:r>
                </w:p>
              </w:tc>
              <w:tc>
                <w:tcPr>
                  <w:tcW w:w="486" w:type="pct"/>
                  <w:noWrap w:val="0"/>
                  <w:tcMar>
                    <w:top w:w="0" w:type="dxa"/>
                    <w:left w:w="0" w:type="dxa"/>
                    <w:bottom w:w="0" w:type="dxa"/>
                    <w:right w:w="0" w:type="dxa"/>
                  </w:tcMar>
                  <w:vAlign w:val="center"/>
                </w:tcPr>
                <w:p w14:paraId="6213396F">
                  <w:pPr>
                    <w:jc w:val="center"/>
                    <w:rPr>
                      <w:b/>
                      <w:color w:val="auto"/>
                      <w:szCs w:val="21"/>
                    </w:rPr>
                  </w:pPr>
                  <w:r>
                    <w:rPr>
                      <w:b/>
                      <w:color w:val="auto"/>
                      <w:szCs w:val="21"/>
                    </w:rPr>
                    <w:t>活性炭用量(kg)</w:t>
                  </w:r>
                </w:p>
              </w:tc>
              <w:tc>
                <w:tcPr>
                  <w:tcW w:w="496" w:type="pct"/>
                  <w:noWrap w:val="0"/>
                  <w:tcMar>
                    <w:top w:w="0" w:type="dxa"/>
                    <w:left w:w="0" w:type="dxa"/>
                    <w:bottom w:w="0" w:type="dxa"/>
                    <w:right w:w="0" w:type="dxa"/>
                  </w:tcMar>
                  <w:vAlign w:val="center"/>
                </w:tcPr>
                <w:p w14:paraId="40B0925C">
                  <w:pPr>
                    <w:jc w:val="center"/>
                    <w:rPr>
                      <w:b/>
                      <w:color w:val="auto"/>
                      <w:szCs w:val="21"/>
                    </w:rPr>
                  </w:pPr>
                  <w:r>
                    <w:rPr>
                      <w:b/>
                      <w:color w:val="auto"/>
                      <w:szCs w:val="21"/>
                    </w:rPr>
                    <w:t>动态吸附量(%)</w:t>
                  </w:r>
                </w:p>
              </w:tc>
              <w:tc>
                <w:tcPr>
                  <w:tcW w:w="727" w:type="pct"/>
                  <w:noWrap w:val="0"/>
                  <w:tcMar>
                    <w:top w:w="0" w:type="dxa"/>
                    <w:left w:w="0" w:type="dxa"/>
                    <w:bottom w:w="0" w:type="dxa"/>
                    <w:right w:w="0" w:type="dxa"/>
                  </w:tcMar>
                  <w:vAlign w:val="center"/>
                </w:tcPr>
                <w:p w14:paraId="077B68E8">
                  <w:pPr>
                    <w:jc w:val="center"/>
                    <w:rPr>
                      <w:b/>
                      <w:color w:val="auto"/>
                      <w:szCs w:val="21"/>
                    </w:rPr>
                  </w:pPr>
                  <w:r>
                    <w:rPr>
                      <w:b/>
                      <w:color w:val="auto"/>
                      <w:szCs w:val="21"/>
                    </w:rPr>
                    <w:t>活性炭削减VOCs浓度(mg/m</w:t>
                  </w:r>
                  <w:r>
                    <w:rPr>
                      <w:b/>
                      <w:color w:val="auto"/>
                      <w:szCs w:val="21"/>
                      <w:vertAlign w:val="superscript"/>
                    </w:rPr>
                    <w:t>3</w:t>
                  </w:r>
                  <w:r>
                    <w:rPr>
                      <w:b/>
                      <w:color w:val="auto"/>
                      <w:szCs w:val="21"/>
                    </w:rPr>
                    <w:t>)</w:t>
                  </w:r>
                </w:p>
              </w:tc>
              <w:tc>
                <w:tcPr>
                  <w:tcW w:w="428" w:type="pct"/>
                  <w:noWrap w:val="0"/>
                  <w:tcMar>
                    <w:top w:w="0" w:type="dxa"/>
                    <w:left w:w="0" w:type="dxa"/>
                    <w:bottom w:w="0" w:type="dxa"/>
                    <w:right w:w="0" w:type="dxa"/>
                  </w:tcMar>
                  <w:vAlign w:val="center"/>
                </w:tcPr>
                <w:p w14:paraId="56446ADC">
                  <w:pPr>
                    <w:jc w:val="center"/>
                    <w:rPr>
                      <w:b/>
                      <w:color w:val="auto"/>
                      <w:szCs w:val="21"/>
                    </w:rPr>
                  </w:pPr>
                  <w:r>
                    <w:rPr>
                      <w:b/>
                      <w:color w:val="auto"/>
                      <w:szCs w:val="21"/>
                    </w:rPr>
                    <w:t>风量</w:t>
                  </w:r>
                </w:p>
                <w:p w14:paraId="23777259">
                  <w:pPr>
                    <w:jc w:val="center"/>
                    <w:rPr>
                      <w:b/>
                      <w:color w:val="auto"/>
                      <w:szCs w:val="21"/>
                    </w:rPr>
                  </w:pPr>
                  <w:r>
                    <w:rPr>
                      <w:b/>
                      <w:color w:val="auto"/>
                      <w:szCs w:val="21"/>
                    </w:rPr>
                    <w:t>(m</w:t>
                  </w:r>
                  <w:r>
                    <w:rPr>
                      <w:b/>
                      <w:color w:val="auto"/>
                      <w:szCs w:val="21"/>
                      <w:vertAlign w:val="subscript"/>
                    </w:rPr>
                    <w:softHyphen/>
                  </w:r>
                  <w:r>
                    <w:rPr>
                      <w:b/>
                      <w:color w:val="auto"/>
                      <w:szCs w:val="21"/>
                      <w:vertAlign w:val="superscript"/>
                    </w:rPr>
                    <w:t>3</w:t>
                  </w:r>
                  <w:r>
                    <w:rPr>
                      <w:b/>
                      <w:color w:val="auto"/>
                      <w:szCs w:val="21"/>
                    </w:rPr>
                    <w:t>/h)</w:t>
                  </w:r>
                </w:p>
              </w:tc>
              <w:tc>
                <w:tcPr>
                  <w:tcW w:w="529" w:type="pct"/>
                  <w:noWrap w:val="0"/>
                  <w:tcMar>
                    <w:top w:w="0" w:type="dxa"/>
                    <w:left w:w="0" w:type="dxa"/>
                    <w:bottom w:w="0" w:type="dxa"/>
                    <w:right w:w="0" w:type="dxa"/>
                  </w:tcMar>
                  <w:vAlign w:val="center"/>
                </w:tcPr>
                <w:p w14:paraId="13323442">
                  <w:pPr>
                    <w:jc w:val="center"/>
                    <w:rPr>
                      <w:b/>
                      <w:color w:val="auto"/>
                      <w:szCs w:val="21"/>
                    </w:rPr>
                  </w:pPr>
                  <w:r>
                    <w:rPr>
                      <w:b/>
                      <w:color w:val="auto"/>
                      <w:szCs w:val="21"/>
                    </w:rPr>
                    <w:t>运行</w:t>
                  </w:r>
                </w:p>
                <w:p w14:paraId="2845FF95">
                  <w:pPr>
                    <w:jc w:val="center"/>
                    <w:rPr>
                      <w:b/>
                      <w:color w:val="auto"/>
                      <w:szCs w:val="21"/>
                    </w:rPr>
                  </w:pPr>
                  <w:r>
                    <w:rPr>
                      <w:b/>
                      <w:color w:val="auto"/>
                      <w:szCs w:val="21"/>
                    </w:rPr>
                    <w:t>时间(h/d)</w:t>
                  </w:r>
                </w:p>
              </w:tc>
              <w:tc>
                <w:tcPr>
                  <w:tcW w:w="417" w:type="pct"/>
                  <w:noWrap w:val="0"/>
                  <w:tcMar>
                    <w:top w:w="0" w:type="dxa"/>
                    <w:left w:w="0" w:type="dxa"/>
                    <w:bottom w:w="0" w:type="dxa"/>
                    <w:right w:w="0" w:type="dxa"/>
                  </w:tcMar>
                  <w:vAlign w:val="center"/>
                </w:tcPr>
                <w:p w14:paraId="724C11B5">
                  <w:pPr>
                    <w:jc w:val="center"/>
                    <w:rPr>
                      <w:b/>
                      <w:color w:val="auto"/>
                      <w:szCs w:val="21"/>
                    </w:rPr>
                  </w:pPr>
                  <w:r>
                    <w:rPr>
                      <w:b/>
                      <w:color w:val="auto"/>
                      <w:szCs w:val="21"/>
                    </w:rPr>
                    <w:t>计算结果(天)</w:t>
                  </w:r>
                </w:p>
              </w:tc>
              <w:tc>
                <w:tcPr>
                  <w:tcW w:w="523" w:type="pct"/>
                  <w:noWrap w:val="0"/>
                  <w:tcMar>
                    <w:top w:w="0" w:type="dxa"/>
                    <w:left w:w="0" w:type="dxa"/>
                    <w:bottom w:w="0" w:type="dxa"/>
                    <w:right w:w="0" w:type="dxa"/>
                  </w:tcMar>
                  <w:vAlign w:val="center"/>
                </w:tcPr>
                <w:p w14:paraId="0C359504">
                  <w:pPr>
                    <w:jc w:val="center"/>
                    <w:rPr>
                      <w:b/>
                      <w:color w:val="auto"/>
                      <w:szCs w:val="21"/>
                    </w:rPr>
                  </w:pPr>
                  <w:r>
                    <w:rPr>
                      <w:b/>
                      <w:color w:val="auto"/>
                      <w:szCs w:val="21"/>
                    </w:rPr>
                    <w:t>设计方案要求(天)</w:t>
                  </w:r>
                </w:p>
              </w:tc>
              <w:tc>
                <w:tcPr>
                  <w:tcW w:w="405" w:type="pct"/>
                  <w:noWrap w:val="0"/>
                  <w:tcMar>
                    <w:top w:w="0" w:type="dxa"/>
                    <w:left w:w="0" w:type="dxa"/>
                    <w:bottom w:w="0" w:type="dxa"/>
                    <w:right w:w="0" w:type="dxa"/>
                  </w:tcMar>
                  <w:vAlign w:val="center"/>
                </w:tcPr>
                <w:p w14:paraId="0B2AA7AA">
                  <w:pPr>
                    <w:jc w:val="center"/>
                    <w:rPr>
                      <w:b/>
                      <w:color w:val="auto"/>
                      <w:szCs w:val="21"/>
                    </w:rPr>
                  </w:pPr>
                  <w:r>
                    <w:rPr>
                      <w:b/>
                      <w:color w:val="auto"/>
                      <w:szCs w:val="21"/>
                    </w:rPr>
                    <w:t>更换周期(</w:t>
                  </w:r>
                  <w:r>
                    <w:rPr>
                      <w:rFonts w:hint="eastAsia"/>
                      <w:b/>
                      <w:color w:val="auto"/>
                      <w:szCs w:val="21"/>
                    </w:rPr>
                    <w:t>月</w:t>
                  </w:r>
                  <w:r>
                    <w:rPr>
                      <w:b/>
                      <w:color w:val="auto"/>
                      <w:szCs w:val="21"/>
                    </w:rPr>
                    <w:t>)</w:t>
                  </w:r>
                </w:p>
              </w:tc>
            </w:tr>
            <w:tr w14:paraId="76623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tcMar>
                    <w:top w:w="0" w:type="dxa"/>
                    <w:left w:w="0" w:type="dxa"/>
                    <w:bottom w:w="0" w:type="dxa"/>
                    <w:right w:w="0" w:type="dxa"/>
                  </w:tcMar>
                  <w:vAlign w:val="center"/>
                </w:tcPr>
                <w:p w14:paraId="69744F15">
                  <w:pPr>
                    <w:jc w:val="center"/>
                    <w:rPr>
                      <w:bCs/>
                      <w:color w:val="auto"/>
                      <w:szCs w:val="21"/>
                    </w:rPr>
                  </w:pPr>
                  <w:r>
                    <w:rPr>
                      <w:rFonts w:hint="eastAsia"/>
                      <w:bCs/>
                      <w:color w:val="auto"/>
                      <w:szCs w:val="21"/>
                    </w:rPr>
                    <w:t>DA001</w:t>
                  </w:r>
                </w:p>
              </w:tc>
              <w:tc>
                <w:tcPr>
                  <w:tcW w:w="591" w:type="pct"/>
                  <w:noWrap w:val="0"/>
                  <w:tcMar>
                    <w:top w:w="0" w:type="dxa"/>
                    <w:left w:w="0" w:type="dxa"/>
                    <w:bottom w:w="0" w:type="dxa"/>
                    <w:right w:w="0" w:type="dxa"/>
                  </w:tcMar>
                  <w:vAlign w:val="center"/>
                </w:tcPr>
                <w:p w14:paraId="50D7F806">
                  <w:pPr>
                    <w:jc w:val="center"/>
                    <w:rPr>
                      <w:rFonts w:hint="default" w:eastAsia="宋体"/>
                      <w:bCs/>
                      <w:color w:val="auto"/>
                      <w:szCs w:val="21"/>
                      <w:lang w:val="en-US" w:eastAsia="zh-CN"/>
                    </w:rPr>
                  </w:pPr>
                  <w:r>
                    <w:rPr>
                      <w:rFonts w:hint="eastAsia" w:ascii="Times New Roman" w:hAnsi="Times New Roman" w:eastAsia="宋体" w:cs="Times New Roman"/>
                      <w:b w:val="0"/>
                      <w:bCs/>
                      <w:color w:val="auto"/>
                      <w:sz w:val="21"/>
                      <w:szCs w:val="21"/>
                      <w:lang w:val="en-US" w:eastAsia="zh-CN" w:bidi="ar"/>
                    </w:rPr>
                    <w:t>挤出、烘干、测试</w:t>
                  </w:r>
                </w:p>
              </w:tc>
              <w:tc>
                <w:tcPr>
                  <w:tcW w:w="486" w:type="pct"/>
                  <w:noWrap w:val="0"/>
                  <w:tcMar>
                    <w:top w:w="0" w:type="dxa"/>
                    <w:left w:w="0" w:type="dxa"/>
                    <w:bottom w:w="0" w:type="dxa"/>
                    <w:right w:w="0" w:type="dxa"/>
                  </w:tcMar>
                  <w:vAlign w:val="center"/>
                </w:tcPr>
                <w:p w14:paraId="2EE33373">
                  <w:pPr>
                    <w:jc w:val="center"/>
                    <w:rPr>
                      <w:rFonts w:hint="default" w:eastAsia="宋体"/>
                      <w:bCs/>
                      <w:color w:val="auto"/>
                      <w:szCs w:val="21"/>
                      <w:lang w:val="en-US" w:eastAsia="zh-CN"/>
                    </w:rPr>
                  </w:pPr>
                  <w:r>
                    <w:rPr>
                      <w:rFonts w:hint="eastAsia"/>
                      <w:bCs/>
                      <w:color w:val="auto"/>
                      <w:szCs w:val="21"/>
                      <w:lang w:val="en-US" w:eastAsia="zh-CN"/>
                    </w:rPr>
                    <w:t>900</w:t>
                  </w:r>
                </w:p>
              </w:tc>
              <w:tc>
                <w:tcPr>
                  <w:tcW w:w="496" w:type="pct"/>
                  <w:noWrap w:val="0"/>
                  <w:tcMar>
                    <w:top w:w="0" w:type="dxa"/>
                    <w:left w:w="0" w:type="dxa"/>
                    <w:bottom w:w="0" w:type="dxa"/>
                    <w:right w:w="0" w:type="dxa"/>
                  </w:tcMar>
                  <w:vAlign w:val="center"/>
                </w:tcPr>
                <w:p w14:paraId="705BDD02">
                  <w:pPr>
                    <w:jc w:val="center"/>
                    <w:rPr>
                      <w:bCs/>
                      <w:color w:val="auto"/>
                      <w:szCs w:val="21"/>
                    </w:rPr>
                  </w:pPr>
                  <w:r>
                    <w:rPr>
                      <w:rFonts w:hint="eastAsia"/>
                      <w:bCs/>
                      <w:color w:val="auto"/>
                      <w:szCs w:val="21"/>
                    </w:rPr>
                    <w:t>10</w:t>
                  </w:r>
                  <w:r>
                    <w:rPr>
                      <w:bCs/>
                      <w:color w:val="auto"/>
                      <w:szCs w:val="21"/>
                    </w:rPr>
                    <w:t>%</w:t>
                  </w:r>
                </w:p>
              </w:tc>
              <w:tc>
                <w:tcPr>
                  <w:tcW w:w="727" w:type="pct"/>
                  <w:noWrap w:val="0"/>
                  <w:tcMar>
                    <w:top w:w="0" w:type="dxa"/>
                    <w:left w:w="0" w:type="dxa"/>
                    <w:bottom w:w="0" w:type="dxa"/>
                    <w:right w:w="0" w:type="dxa"/>
                  </w:tcMar>
                  <w:vAlign w:val="center"/>
                </w:tcPr>
                <w:p w14:paraId="6934A29F">
                  <w:pPr>
                    <w:jc w:val="center"/>
                    <w:rPr>
                      <w:rFonts w:hint="default" w:eastAsia="宋体"/>
                      <w:bCs/>
                      <w:color w:val="auto"/>
                      <w:szCs w:val="21"/>
                      <w:lang w:val="en-US" w:eastAsia="zh-CN"/>
                    </w:rPr>
                  </w:pPr>
                  <w:r>
                    <w:rPr>
                      <w:rFonts w:hint="eastAsia"/>
                      <w:bCs/>
                      <w:color w:val="0000FF"/>
                      <w:szCs w:val="21"/>
                      <w:lang w:val="en-US" w:eastAsia="zh-CN"/>
                    </w:rPr>
                    <w:t>14.58</w:t>
                  </w:r>
                </w:p>
              </w:tc>
              <w:tc>
                <w:tcPr>
                  <w:tcW w:w="428" w:type="pct"/>
                  <w:noWrap w:val="0"/>
                  <w:tcMar>
                    <w:top w:w="0" w:type="dxa"/>
                    <w:left w:w="0" w:type="dxa"/>
                    <w:bottom w:w="0" w:type="dxa"/>
                    <w:right w:w="0" w:type="dxa"/>
                  </w:tcMar>
                  <w:vAlign w:val="center"/>
                </w:tcPr>
                <w:p w14:paraId="1F728AC7">
                  <w:pPr>
                    <w:jc w:val="center"/>
                    <w:rPr>
                      <w:rFonts w:hint="default" w:eastAsia="宋体"/>
                      <w:bCs/>
                      <w:color w:val="auto"/>
                      <w:szCs w:val="21"/>
                      <w:lang w:val="en-US" w:eastAsia="zh-CN"/>
                    </w:rPr>
                  </w:pPr>
                  <w:r>
                    <w:rPr>
                      <w:rFonts w:hint="eastAsia"/>
                      <w:bCs/>
                      <w:color w:val="auto"/>
                      <w:szCs w:val="21"/>
                      <w:lang w:val="en-US" w:eastAsia="zh-CN"/>
                    </w:rPr>
                    <w:t>10000</w:t>
                  </w:r>
                </w:p>
              </w:tc>
              <w:tc>
                <w:tcPr>
                  <w:tcW w:w="529" w:type="pct"/>
                  <w:noWrap w:val="0"/>
                  <w:tcMar>
                    <w:top w:w="0" w:type="dxa"/>
                    <w:left w:w="0" w:type="dxa"/>
                    <w:bottom w:w="0" w:type="dxa"/>
                    <w:right w:w="0" w:type="dxa"/>
                  </w:tcMar>
                  <w:vAlign w:val="center"/>
                </w:tcPr>
                <w:p w14:paraId="2DD60DC2">
                  <w:pPr>
                    <w:jc w:val="center"/>
                    <w:rPr>
                      <w:rFonts w:hint="eastAsia" w:eastAsia="宋体"/>
                      <w:bCs/>
                      <w:color w:val="auto"/>
                      <w:szCs w:val="21"/>
                      <w:lang w:eastAsia="zh-CN"/>
                    </w:rPr>
                  </w:pPr>
                  <w:r>
                    <w:rPr>
                      <w:rFonts w:hint="eastAsia"/>
                      <w:bCs/>
                      <w:color w:val="auto"/>
                      <w:szCs w:val="21"/>
                      <w:lang w:val="en-US" w:eastAsia="zh-CN"/>
                    </w:rPr>
                    <w:t>8</w:t>
                  </w:r>
                </w:p>
              </w:tc>
              <w:tc>
                <w:tcPr>
                  <w:tcW w:w="417" w:type="pct"/>
                  <w:noWrap w:val="0"/>
                  <w:tcMar>
                    <w:top w:w="0" w:type="dxa"/>
                    <w:left w:w="0" w:type="dxa"/>
                    <w:bottom w:w="0" w:type="dxa"/>
                    <w:right w:w="0" w:type="dxa"/>
                  </w:tcMar>
                  <w:vAlign w:val="center"/>
                </w:tcPr>
                <w:p w14:paraId="71BD5517">
                  <w:pPr>
                    <w:jc w:val="center"/>
                    <w:rPr>
                      <w:rFonts w:hint="default" w:eastAsia="宋体"/>
                      <w:bCs/>
                      <w:color w:val="auto"/>
                      <w:szCs w:val="21"/>
                      <w:lang w:val="en-US" w:eastAsia="zh-CN"/>
                    </w:rPr>
                  </w:pPr>
                  <w:r>
                    <w:rPr>
                      <w:rFonts w:hint="eastAsia"/>
                      <w:bCs/>
                      <w:color w:val="auto"/>
                      <w:szCs w:val="21"/>
                      <w:lang w:val="en-US" w:eastAsia="zh-CN"/>
                    </w:rPr>
                    <w:t>77.16</w:t>
                  </w:r>
                </w:p>
              </w:tc>
              <w:tc>
                <w:tcPr>
                  <w:tcW w:w="523" w:type="pct"/>
                  <w:noWrap w:val="0"/>
                  <w:tcMar>
                    <w:top w:w="0" w:type="dxa"/>
                    <w:left w:w="0" w:type="dxa"/>
                    <w:bottom w:w="0" w:type="dxa"/>
                    <w:right w:w="0" w:type="dxa"/>
                  </w:tcMar>
                  <w:vAlign w:val="center"/>
                </w:tcPr>
                <w:p w14:paraId="47AB6BB0">
                  <w:pPr>
                    <w:jc w:val="center"/>
                    <w:rPr>
                      <w:bCs/>
                      <w:color w:val="auto"/>
                      <w:szCs w:val="21"/>
                    </w:rPr>
                  </w:pPr>
                  <w:r>
                    <w:rPr>
                      <w:bCs/>
                      <w:color w:val="auto"/>
                      <w:szCs w:val="21"/>
                    </w:rPr>
                    <w:t>/</w:t>
                  </w:r>
                </w:p>
              </w:tc>
              <w:tc>
                <w:tcPr>
                  <w:tcW w:w="405" w:type="pct"/>
                  <w:noWrap w:val="0"/>
                  <w:tcMar>
                    <w:top w:w="0" w:type="dxa"/>
                    <w:left w:w="0" w:type="dxa"/>
                    <w:bottom w:w="0" w:type="dxa"/>
                    <w:right w:w="0" w:type="dxa"/>
                  </w:tcMar>
                  <w:vAlign w:val="center"/>
                </w:tcPr>
                <w:p w14:paraId="4F9C18C6">
                  <w:pPr>
                    <w:jc w:val="center"/>
                    <w:rPr>
                      <w:bCs/>
                      <w:color w:val="auto"/>
                      <w:szCs w:val="21"/>
                    </w:rPr>
                  </w:pPr>
                  <w:r>
                    <w:rPr>
                      <w:rFonts w:hint="eastAsia"/>
                      <w:bCs/>
                      <w:color w:val="auto"/>
                      <w:szCs w:val="21"/>
                    </w:rPr>
                    <w:t>3</w:t>
                  </w:r>
                </w:p>
              </w:tc>
            </w:tr>
          </w:tbl>
          <w:p w14:paraId="6B0A586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color w:val="auto"/>
                <w:szCs w:val="21"/>
              </w:rPr>
              <w:t>根据上表，</w:t>
            </w:r>
            <w:r>
              <w:rPr>
                <w:rFonts w:hint="eastAsia"/>
                <w:color w:val="auto"/>
                <w:szCs w:val="21"/>
              </w:rPr>
              <w:t>本项目</w:t>
            </w:r>
            <w:r>
              <w:rPr>
                <w:color w:val="auto"/>
                <w:szCs w:val="21"/>
              </w:rPr>
              <w:t>活性炭更换周期为</w:t>
            </w:r>
            <w:r>
              <w:rPr>
                <w:rFonts w:hint="eastAsia"/>
                <w:color w:val="auto"/>
                <w:szCs w:val="21"/>
              </w:rPr>
              <w:t>3月更换1次，同时</w:t>
            </w:r>
            <w:r>
              <w:rPr>
                <w:color w:val="auto"/>
                <w:szCs w:val="21"/>
              </w:rPr>
              <w:t>根据《省生态环境厅关于深入开展涉VOCs治理重点工作入户核查的通知》，活性炭更换周期一般不应超过累计运行500小时或3个月，</w:t>
            </w:r>
            <w:r>
              <w:rPr>
                <w:rFonts w:hint="eastAsia"/>
                <w:color w:val="auto"/>
                <w:szCs w:val="21"/>
              </w:rPr>
              <w:t>本项目按照每3个月更换一次，年更换4次</w:t>
            </w:r>
            <w:r>
              <w:rPr>
                <w:color w:val="auto"/>
                <w:szCs w:val="21"/>
              </w:rPr>
              <w:t>，</w:t>
            </w:r>
            <w:r>
              <w:rPr>
                <w:rFonts w:hint="eastAsia"/>
                <w:color w:val="auto"/>
                <w:szCs w:val="21"/>
              </w:rPr>
              <w:t>则更换</w:t>
            </w:r>
            <w:r>
              <w:rPr>
                <w:color w:val="auto"/>
                <w:szCs w:val="21"/>
              </w:rPr>
              <w:t>活性炭约</w:t>
            </w:r>
            <w:r>
              <w:rPr>
                <w:rFonts w:hint="eastAsia"/>
                <w:color w:val="auto"/>
                <w:szCs w:val="21"/>
                <w:lang w:val="en-US" w:eastAsia="zh-CN"/>
              </w:rPr>
              <w:t>3.6</w:t>
            </w:r>
            <w:r>
              <w:rPr>
                <w:color w:val="auto"/>
                <w:szCs w:val="21"/>
              </w:rPr>
              <w:t>t/a</w:t>
            </w:r>
            <w:r>
              <w:rPr>
                <w:rFonts w:hint="eastAsia"/>
                <w:color w:val="auto"/>
                <w:szCs w:val="21"/>
              </w:rPr>
              <w:t>，产生废活性炭约</w:t>
            </w:r>
            <w:r>
              <w:rPr>
                <w:rFonts w:hint="eastAsia"/>
                <w:color w:val="0000FF"/>
                <w:szCs w:val="21"/>
                <w:lang w:val="en-US" w:eastAsia="zh-CN"/>
              </w:rPr>
              <w:t>3.95</w:t>
            </w:r>
            <w:r>
              <w:rPr>
                <w:color w:val="0000FF"/>
                <w:szCs w:val="21"/>
              </w:rPr>
              <w:t>t/a</w:t>
            </w:r>
            <w:r>
              <w:rPr>
                <w:color w:val="auto"/>
                <w:szCs w:val="21"/>
              </w:rPr>
              <w:t>（含吸附的有机废气</w:t>
            </w:r>
            <w:r>
              <w:rPr>
                <w:rFonts w:hint="eastAsia"/>
                <w:color w:val="auto"/>
                <w:szCs w:val="21"/>
              </w:rPr>
              <w:t>约</w:t>
            </w:r>
            <w:r>
              <w:rPr>
                <w:rFonts w:hint="eastAsia"/>
                <w:color w:val="0000FF"/>
                <w:szCs w:val="21"/>
                <w:lang w:val="en-US" w:eastAsia="zh-CN"/>
              </w:rPr>
              <w:t>0.3502</w:t>
            </w:r>
            <w:r>
              <w:rPr>
                <w:rFonts w:hint="eastAsia"/>
                <w:color w:val="0000FF"/>
                <w:szCs w:val="21"/>
              </w:rPr>
              <w:t>t</w:t>
            </w:r>
            <w:r>
              <w:rPr>
                <w:color w:val="auto"/>
                <w:szCs w:val="21"/>
              </w:rPr>
              <w:t>）</w:t>
            </w:r>
            <w:r>
              <w:rPr>
                <w:rFonts w:hint="eastAsia"/>
                <w:color w:val="auto"/>
                <w:szCs w:val="21"/>
                <w:lang w:eastAsia="zh-CN"/>
              </w:rPr>
              <w:t>。</w:t>
            </w:r>
          </w:p>
          <w:p w14:paraId="4433F7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宋体"/>
                <w:color w:val="auto"/>
                <w:szCs w:val="21"/>
                <w:lang w:val="en-US" w:eastAsia="zh-CN"/>
              </w:rPr>
            </w:pPr>
            <w:r>
              <w:rPr>
                <w:rFonts w:hint="eastAsia" w:ascii="Times New Roman" w:hAnsi="Times New Roman" w:eastAsia="宋体" w:cs="Times New Roman"/>
                <w:color w:val="auto"/>
                <w:sz w:val="21"/>
                <w:szCs w:val="21"/>
                <w:lang w:val="en-US" w:eastAsia="zh-CN"/>
              </w:rPr>
              <w:t>废润滑油：本项目设备维护润滑油使用量为1t/a，废润滑油产生量约为0.4t/a，</w:t>
            </w:r>
            <w:r>
              <w:rPr>
                <w:rFonts w:hint="eastAsia"/>
                <w:color w:val="auto"/>
                <w:szCs w:val="21"/>
              </w:rPr>
              <w:t>委托有资质单位处置</w:t>
            </w:r>
            <w:r>
              <w:rPr>
                <w:rFonts w:hint="eastAsia"/>
                <w:color w:val="auto"/>
                <w:szCs w:val="21"/>
                <w:lang w:eastAsia="zh-CN"/>
              </w:rPr>
              <w:t>。</w:t>
            </w:r>
          </w:p>
          <w:p w14:paraId="7F2AFC7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废油桶：本项目环保增塑剂</w:t>
            </w:r>
            <w:r>
              <w:rPr>
                <w:rFonts w:hint="eastAsia" w:cs="Times New Roman"/>
                <w:color w:val="auto"/>
                <w:szCs w:val="21"/>
                <w:lang w:val="en-US" w:eastAsia="zh-CN"/>
              </w:rPr>
              <w:t>石蜡油、润滑油均为矿物油，使用过程</w:t>
            </w:r>
            <w:r>
              <w:rPr>
                <w:rFonts w:hint="eastAsia" w:ascii="Times New Roman" w:hAnsi="Times New Roman" w:eastAsia="宋体" w:cs="Times New Roman"/>
                <w:color w:val="auto"/>
                <w:szCs w:val="21"/>
                <w:lang w:val="en-US" w:eastAsia="zh-CN"/>
              </w:rPr>
              <w:t>产生废油桶。使用环保增塑剂产生废油桶11</w:t>
            </w:r>
            <w:r>
              <w:rPr>
                <w:rFonts w:hint="eastAsia" w:cs="Times New Roman"/>
                <w:color w:val="auto"/>
                <w:szCs w:val="21"/>
                <w:lang w:val="en-US" w:eastAsia="zh-CN"/>
              </w:rPr>
              <w:t>31</w:t>
            </w:r>
            <w:r>
              <w:rPr>
                <w:rFonts w:hint="eastAsia" w:ascii="Times New Roman" w:hAnsi="Times New Roman" w:eastAsia="宋体" w:cs="Times New Roman"/>
                <w:color w:val="auto"/>
                <w:szCs w:val="21"/>
                <w:lang w:val="en-US" w:eastAsia="zh-CN"/>
              </w:rPr>
              <w:t>个/a，</w:t>
            </w:r>
            <w:r>
              <w:rPr>
                <w:rFonts w:hint="eastAsia" w:ascii="Times New Roman" w:hAnsi="Times New Roman" w:eastAsia="宋体" w:cs="Times New Roman"/>
                <w:color w:val="0000FF"/>
                <w:szCs w:val="21"/>
                <w:lang w:val="en-US" w:eastAsia="zh-CN"/>
              </w:rPr>
              <w:t>约11.</w:t>
            </w:r>
            <w:r>
              <w:rPr>
                <w:rFonts w:hint="eastAsia" w:cs="Times New Roman"/>
                <w:color w:val="0000FF"/>
                <w:szCs w:val="21"/>
                <w:lang w:val="en-US" w:eastAsia="zh-CN"/>
              </w:rPr>
              <w:t>31</w:t>
            </w:r>
            <w:r>
              <w:rPr>
                <w:rFonts w:hint="eastAsia" w:ascii="Times New Roman" w:hAnsi="Times New Roman" w:eastAsia="宋体" w:cs="Times New Roman"/>
                <w:color w:val="0000FF"/>
                <w:szCs w:val="21"/>
                <w:lang w:val="en-US" w:eastAsia="zh-CN"/>
              </w:rPr>
              <w:t>t/a，</w:t>
            </w:r>
            <w:r>
              <w:rPr>
                <w:rFonts w:hint="eastAsia" w:ascii="Times New Roman" w:hAnsi="Times New Roman" w:eastAsia="宋体" w:cs="Times New Roman"/>
                <w:color w:val="auto"/>
                <w:szCs w:val="21"/>
                <w:lang w:val="en-US" w:eastAsia="zh-CN"/>
              </w:rPr>
              <w:t>使用润滑油产生废油桶50个/a，约0.05t/a，</w:t>
            </w:r>
            <w:r>
              <w:rPr>
                <w:rFonts w:hint="eastAsia" w:cs="Times New Roman"/>
                <w:color w:val="auto"/>
                <w:szCs w:val="21"/>
                <w:lang w:val="en-US" w:eastAsia="zh-CN"/>
              </w:rPr>
              <w:t>产生废油桶约</w:t>
            </w:r>
            <w:r>
              <w:rPr>
                <w:rFonts w:hint="eastAsia" w:cs="Times New Roman"/>
                <w:color w:val="0000FF"/>
                <w:szCs w:val="21"/>
                <w:lang w:val="en-US" w:eastAsia="zh-CN"/>
              </w:rPr>
              <w:t>11.36t/a，</w:t>
            </w:r>
            <w:r>
              <w:rPr>
                <w:rFonts w:hint="eastAsia" w:ascii="Times New Roman" w:hAnsi="Times New Roman" w:eastAsia="宋体" w:cs="Times New Roman"/>
                <w:color w:val="auto"/>
                <w:szCs w:val="21"/>
                <w:lang w:val="en-US" w:eastAsia="zh-CN"/>
              </w:rPr>
              <w:t>委托有资质单位处置。</w:t>
            </w:r>
          </w:p>
          <w:p w14:paraId="182EEE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废包装桶：本项目使用抗氧剂产生废包装桶，使用抗氧化剂产生废包装桶80个/年，约0.08t/a，委托有资质单位处置。</w:t>
            </w:r>
          </w:p>
          <w:p w14:paraId="06EAEA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废含油抹布：本项目在清理、维护设备工序会使用抹布，会产生沾染润滑油的废含油抹布，产生量约为0.01t/a，委托有资质单位处置。</w:t>
            </w:r>
          </w:p>
          <w:p w14:paraId="1C92F427">
            <w:pPr>
              <w:adjustRightInd w:val="0"/>
              <w:snapToGrid w:val="0"/>
              <w:spacing w:line="360" w:lineRule="auto"/>
              <w:ind w:firstLine="420" w:firstLineChars="200"/>
              <w:rPr>
                <w:rFonts w:hint="eastAsia" w:eastAsia="宋体"/>
                <w:color w:val="auto"/>
                <w:szCs w:val="21"/>
                <w:lang w:eastAsia="zh-CN"/>
              </w:rPr>
            </w:pPr>
            <w:r>
              <w:rPr>
                <w:rFonts w:hint="eastAsia"/>
                <w:color w:val="auto"/>
                <w:szCs w:val="21"/>
                <w:lang w:eastAsia="zh-CN"/>
              </w:rPr>
              <w:t>（</w:t>
            </w:r>
            <w:r>
              <w:rPr>
                <w:rFonts w:hint="eastAsia"/>
                <w:color w:val="auto"/>
                <w:szCs w:val="21"/>
                <w:lang w:val="en-US" w:eastAsia="zh-CN"/>
              </w:rPr>
              <w:t>3</w:t>
            </w:r>
            <w:r>
              <w:rPr>
                <w:rFonts w:hint="eastAsia"/>
                <w:color w:val="auto"/>
                <w:szCs w:val="21"/>
                <w:lang w:eastAsia="zh-CN"/>
              </w:rPr>
              <w:t>）</w:t>
            </w:r>
            <w:r>
              <w:rPr>
                <w:color w:val="auto"/>
                <w:szCs w:val="21"/>
              </w:rPr>
              <w:t>生活垃圾</w:t>
            </w:r>
          </w:p>
          <w:p w14:paraId="56655ABE">
            <w:pPr>
              <w:adjustRightInd w:val="0"/>
              <w:snapToGrid w:val="0"/>
              <w:spacing w:line="360" w:lineRule="auto"/>
              <w:ind w:firstLine="420" w:firstLineChars="200"/>
              <w:rPr>
                <w:bCs/>
                <w:color w:val="auto"/>
                <w:szCs w:val="21"/>
              </w:rPr>
            </w:pPr>
            <w:r>
              <w:rPr>
                <w:color w:val="auto"/>
                <w:szCs w:val="21"/>
              </w:rPr>
              <w:t>员工办公生活产生的生活垃圾按每人</w:t>
            </w:r>
            <w:r>
              <w:rPr>
                <w:rFonts w:hint="eastAsia"/>
                <w:color w:val="auto"/>
                <w:szCs w:val="21"/>
              </w:rPr>
              <w:t>0.5</w:t>
            </w:r>
            <w:r>
              <w:rPr>
                <w:color w:val="auto"/>
                <w:szCs w:val="21"/>
              </w:rPr>
              <w:t>kg/人•d计，本项目</w:t>
            </w:r>
            <w:r>
              <w:rPr>
                <w:rFonts w:hint="eastAsia"/>
                <w:color w:val="auto"/>
                <w:szCs w:val="21"/>
              </w:rPr>
              <w:t>新增</w:t>
            </w:r>
            <w:r>
              <w:rPr>
                <w:rFonts w:hint="eastAsia"/>
                <w:color w:val="auto"/>
                <w:szCs w:val="21"/>
                <w:lang w:val="en-US" w:eastAsia="zh-CN"/>
              </w:rPr>
              <w:t>6</w:t>
            </w:r>
            <w:r>
              <w:rPr>
                <w:color w:val="auto"/>
                <w:szCs w:val="21"/>
              </w:rPr>
              <w:t>人，</w:t>
            </w:r>
            <w:r>
              <w:rPr>
                <w:rFonts w:hint="eastAsia"/>
                <w:color w:val="auto"/>
                <w:szCs w:val="21"/>
              </w:rPr>
              <w:t>年产生生活垃圾</w:t>
            </w:r>
            <w:r>
              <w:rPr>
                <w:rFonts w:hint="eastAsia"/>
                <w:color w:val="auto"/>
                <w:szCs w:val="21"/>
                <w:lang w:val="en-US" w:eastAsia="zh-CN"/>
              </w:rPr>
              <w:t>0.9</w:t>
            </w:r>
            <w:r>
              <w:rPr>
                <w:rFonts w:hint="eastAsia"/>
                <w:color w:val="auto"/>
                <w:szCs w:val="21"/>
              </w:rPr>
              <w:t>t/a，</w:t>
            </w:r>
            <w:r>
              <w:rPr>
                <w:color w:val="auto"/>
                <w:szCs w:val="21"/>
              </w:rPr>
              <w:t>委托环卫部门定期清运。</w:t>
            </w:r>
          </w:p>
          <w:p w14:paraId="6D24A80A">
            <w:pPr>
              <w:adjustRightInd w:val="0"/>
              <w:snapToGrid w:val="0"/>
              <w:spacing w:line="360" w:lineRule="auto"/>
              <w:ind w:firstLine="422" w:firstLineChars="200"/>
              <w:rPr>
                <w:color w:val="auto"/>
                <w:szCs w:val="21"/>
              </w:rPr>
            </w:pPr>
            <w:r>
              <w:rPr>
                <w:b/>
                <w:color w:val="auto"/>
                <w:szCs w:val="21"/>
              </w:rPr>
              <w:t>2、固体废物属性判定</w:t>
            </w:r>
          </w:p>
          <w:p w14:paraId="53B7808D">
            <w:pPr>
              <w:adjustRightInd w:val="0"/>
              <w:snapToGrid w:val="0"/>
              <w:spacing w:line="360" w:lineRule="auto"/>
              <w:ind w:firstLine="420" w:firstLineChars="200"/>
              <w:rPr>
                <w:b/>
                <w:color w:val="auto"/>
                <w:szCs w:val="21"/>
              </w:rPr>
            </w:pPr>
            <w:r>
              <w:rPr>
                <w:bCs/>
                <w:color w:val="auto"/>
                <w:szCs w:val="21"/>
              </w:rPr>
              <w:t>根据《中华人民共和国固体废物污染环境防治法》</w:t>
            </w:r>
            <w:r>
              <w:rPr>
                <w:bCs/>
                <w:color w:val="FF0000"/>
                <w:szCs w:val="21"/>
              </w:rPr>
              <w:t>《固体废物鉴别标准 通则》（GB34330-20</w:t>
            </w:r>
            <w:r>
              <w:rPr>
                <w:rFonts w:hint="eastAsia"/>
                <w:bCs/>
                <w:color w:val="FF0000"/>
                <w:szCs w:val="21"/>
                <w:lang w:val="en-US" w:eastAsia="zh-CN"/>
              </w:rPr>
              <w:t>25</w:t>
            </w:r>
            <w:r>
              <w:rPr>
                <w:bCs/>
                <w:color w:val="FF0000"/>
                <w:szCs w:val="21"/>
              </w:rPr>
              <w:t>）</w:t>
            </w:r>
            <w:r>
              <w:rPr>
                <w:bCs/>
                <w:color w:val="auto"/>
                <w:szCs w:val="21"/>
              </w:rPr>
              <w:t>、《建设项目危险废物环境影响评价指南》（公告2017年第43号）和《关于贯彻落实建设项目危险废物环境影响评价指南要求的通知》（苏环办[2018]18号）的规定，判断项目生产过程中产生的副产物是否属于固体废物，判定依据及结果见下表</w:t>
            </w:r>
            <w:r>
              <w:rPr>
                <w:color w:val="auto"/>
                <w:szCs w:val="21"/>
              </w:rPr>
              <w:t>4-</w:t>
            </w:r>
            <w:r>
              <w:rPr>
                <w:rFonts w:hint="eastAsia"/>
                <w:color w:val="auto"/>
                <w:szCs w:val="21"/>
                <w:lang w:val="en-US" w:eastAsia="zh-CN"/>
              </w:rPr>
              <w:t>17</w:t>
            </w:r>
            <w:r>
              <w:rPr>
                <w:color w:val="auto"/>
                <w:szCs w:val="21"/>
              </w:rPr>
              <w:t>。</w:t>
            </w:r>
          </w:p>
          <w:p w14:paraId="147F25B5">
            <w:pPr>
              <w:jc w:val="center"/>
              <w:rPr>
                <w:b/>
                <w:color w:val="auto"/>
                <w:szCs w:val="21"/>
              </w:rPr>
            </w:pPr>
          </w:p>
          <w:p w14:paraId="3C9B0968">
            <w:pPr>
              <w:jc w:val="center"/>
              <w:rPr>
                <w:b/>
                <w:color w:val="auto"/>
                <w:szCs w:val="21"/>
              </w:rPr>
            </w:pPr>
            <w:r>
              <w:rPr>
                <w:b/>
                <w:color w:val="auto"/>
                <w:szCs w:val="21"/>
              </w:rPr>
              <w:t>表4-</w:t>
            </w:r>
            <w:r>
              <w:rPr>
                <w:rFonts w:hint="eastAsia"/>
                <w:b/>
                <w:color w:val="auto"/>
                <w:szCs w:val="21"/>
                <w:lang w:val="en-US" w:eastAsia="zh-CN"/>
              </w:rPr>
              <w:t>24</w:t>
            </w:r>
            <w:r>
              <w:rPr>
                <w:b/>
                <w:color w:val="auto"/>
                <w:szCs w:val="21"/>
              </w:rPr>
              <w:t xml:space="preserve"> 本项目固废产生情况汇总表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112"/>
              <w:gridCol w:w="1067"/>
              <w:gridCol w:w="436"/>
              <w:gridCol w:w="1593"/>
              <w:gridCol w:w="938"/>
              <w:gridCol w:w="941"/>
              <w:gridCol w:w="801"/>
              <w:gridCol w:w="1012"/>
            </w:tblGrid>
            <w:tr w14:paraId="572DF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vMerge w:val="restart"/>
                  <w:noWrap w:val="0"/>
                  <w:tcMar>
                    <w:top w:w="0" w:type="dxa"/>
                    <w:left w:w="0" w:type="dxa"/>
                    <w:bottom w:w="0" w:type="dxa"/>
                    <w:right w:w="0" w:type="dxa"/>
                  </w:tcMar>
                  <w:vAlign w:val="center"/>
                </w:tcPr>
                <w:p w14:paraId="12A0BC6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序号</w:t>
                  </w:r>
                </w:p>
              </w:tc>
              <w:tc>
                <w:tcPr>
                  <w:tcW w:w="664" w:type="pct"/>
                  <w:vMerge w:val="restart"/>
                  <w:noWrap w:val="0"/>
                  <w:tcMar>
                    <w:top w:w="0" w:type="dxa"/>
                    <w:left w:w="0" w:type="dxa"/>
                    <w:bottom w:w="0" w:type="dxa"/>
                    <w:right w:w="0" w:type="dxa"/>
                  </w:tcMar>
                  <w:vAlign w:val="center"/>
                </w:tcPr>
                <w:p w14:paraId="3E63E77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副产物</w:t>
                  </w:r>
                </w:p>
                <w:p w14:paraId="38274A9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名称</w:t>
                  </w:r>
                </w:p>
              </w:tc>
              <w:tc>
                <w:tcPr>
                  <w:tcW w:w="637" w:type="pct"/>
                  <w:vMerge w:val="restart"/>
                  <w:noWrap w:val="0"/>
                  <w:tcMar>
                    <w:top w:w="0" w:type="dxa"/>
                    <w:left w:w="0" w:type="dxa"/>
                    <w:bottom w:w="0" w:type="dxa"/>
                    <w:right w:w="0" w:type="dxa"/>
                  </w:tcMar>
                  <w:vAlign w:val="center"/>
                </w:tcPr>
                <w:p w14:paraId="7496AF9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产生工序</w:t>
                  </w:r>
                </w:p>
              </w:tc>
              <w:tc>
                <w:tcPr>
                  <w:tcW w:w="260" w:type="pct"/>
                  <w:vMerge w:val="restart"/>
                  <w:noWrap w:val="0"/>
                  <w:tcMar>
                    <w:top w:w="0" w:type="dxa"/>
                    <w:left w:w="0" w:type="dxa"/>
                    <w:bottom w:w="0" w:type="dxa"/>
                    <w:right w:w="0" w:type="dxa"/>
                  </w:tcMar>
                  <w:vAlign w:val="center"/>
                </w:tcPr>
                <w:p w14:paraId="1E270DA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形态</w:t>
                  </w:r>
                </w:p>
              </w:tc>
              <w:tc>
                <w:tcPr>
                  <w:tcW w:w="951" w:type="pct"/>
                  <w:vMerge w:val="restart"/>
                  <w:noWrap w:val="0"/>
                  <w:tcMar>
                    <w:top w:w="0" w:type="dxa"/>
                    <w:left w:w="0" w:type="dxa"/>
                    <w:bottom w:w="0" w:type="dxa"/>
                    <w:right w:w="0" w:type="dxa"/>
                  </w:tcMar>
                  <w:vAlign w:val="center"/>
                </w:tcPr>
                <w:p w14:paraId="2FF42B8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主要成分</w:t>
                  </w:r>
                </w:p>
              </w:tc>
              <w:tc>
                <w:tcPr>
                  <w:tcW w:w="560" w:type="pct"/>
                  <w:vMerge w:val="restart"/>
                  <w:noWrap w:val="0"/>
                  <w:tcMar>
                    <w:top w:w="0" w:type="dxa"/>
                    <w:left w:w="0" w:type="dxa"/>
                    <w:bottom w:w="0" w:type="dxa"/>
                    <w:right w:w="0" w:type="dxa"/>
                  </w:tcMar>
                  <w:vAlign w:val="center"/>
                </w:tcPr>
                <w:p w14:paraId="5DE5210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预测产生量（</w:t>
                  </w:r>
                  <w:r>
                    <w:rPr>
                      <w:rFonts w:hint="eastAsia"/>
                      <w:b/>
                      <w:color w:val="auto"/>
                      <w:szCs w:val="21"/>
                    </w:rPr>
                    <w:t>t</w:t>
                  </w:r>
                  <w:r>
                    <w:rPr>
                      <w:b/>
                      <w:color w:val="auto"/>
                      <w:szCs w:val="21"/>
                    </w:rPr>
                    <w:t>/年）</w:t>
                  </w:r>
                </w:p>
              </w:tc>
              <w:tc>
                <w:tcPr>
                  <w:tcW w:w="1644" w:type="pct"/>
                  <w:gridSpan w:val="3"/>
                  <w:noWrap w:val="0"/>
                  <w:tcMar>
                    <w:top w:w="0" w:type="dxa"/>
                    <w:left w:w="0" w:type="dxa"/>
                    <w:bottom w:w="0" w:type="dxa"/>
                    <w:right w:w="0" w:type="dxa"/>
                  </w:tcMar>
                  <w:vAlign w:val="center"/>
                </w:tcPr>
                <w:p w14:paraId="68DE9E2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种类判断</w:t>
                  </w:r>
                </w:p>
              </w:tc>
            </w:tr>
            <w:tr w14:paraId="6A71E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vMerge w:val="continue"/>
                  <w:noWrap w:val="0"/>
                  <w:tcMar>
                    <w:top w:w="0" w:type="dxa"/>
                    <w:left w:w="0" w:type="dxa"/>
                    <w:bottom w:w="0" w:type="dxa"/>
                    <w:right w:w="0" w:type="dxa"/>
                  </w:tcMar>
                  <w:vAlign w:val="center"/>
                </w:tcPr>
                <w:p w14:paraId="1065FCC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p>
              </w:tc>
              <w:tc>
                <w:tcPr>
                  <w:tcW w:w="664" w:type="pct"/>
                  <w:vMerge w:val="continue"/>
                  <w:noWrap w:val="0"/>
                  <w:tcMar>
                    <w:top w:w="0" w:type="dxa"/>
                    <w:left w:w="0" w:type="dxa"/>
                    <w:bottom w:w="0" w:type="dxa"/>
                    <w:right w:w="0" w:type="dxa"/>
                  </w:tcMar>
                  <w:vAlign w:val="center"/>
                </w:tcPr>
                <w:p w14:paraId="1A260BB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p>
              </w:tc>
              <w:tc>
                <w:tcPr>
                  <w:tcW w:w="637" w:type="pct"/>
                  <w:vMerge w:val="continue"/>
                  <w:noWrap w:val="0"/>
                  <w:tcMar>
                    <w:top w:w="0" w:type="dxa"/>
                    <w:left w:w="0" w:type="dxa"/>
                    <w:bottom w:w="0" w:type="dxa"/>
                    <w:right w:w="0" w:type="dxa"/>
                  </w:tcMar>
                  <w:vAlign w:val="center"/>
                </w:tcPr>
                <w:p w14:paraId="1AA730D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p>
              </w:tc>
              <w:tc>
                <w:tcPr>
                  <w:tcW w:w="260" w:type="pct"/>
                  <w:vMerge w:val="continue"/>
                  <w:noWrap w:val="0"/>
                  <w:tcMar>
                    <w:top w:w="0" w:type="dxa"/>
                    <w:left w:w="0" w:type="dxa"/>
                    <w:bottom w:w="0" w:type="dxa"/>
                    <w:right w:w="0" w:type="dxa"/>
                  </w:tcMar>
                  <w:vAlign w:val="center"/>
                </w:tcPr>
                <w:p w14:paraId="6DF8994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p>
              </w:tc>
              <w:tc>
                <w:tcPr>
                  <w:tcW w:w="951" w:type="pct"/>
                  <w:vMerge w:val="continue"/>
                  <w:noWrap w:val="0"/>
                  <w:tcMar>
                    <w:top w:w="0" w:type="dxa"/>
                    <w:left w:w="0" w:type="dxa"/>
                    <w:bottom w:w="0" w:type="dxa"/>
                    <w:right w:w="0" w:type="dxa"/>
                  </w:tcMar>
                  <w:vAlign w:val="center"/>
                </w:tcPr>
                <w:p w14:paraId="07B9EC3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p>
              </w:tc>
              <w:tc>
                <w:tcPr>
                  <w:tcW w:w="560" w:type="pct"/>
                  <w:vMerge w:val="continue"/>
                  <w:noWrap w:val="0"/>
                  <w:tcMar>
                    <w:top w:w="0" w:type="dxa"/>
                    <w:left w:w="0" w:type="dxa"/>
                    <w:bottom w:w="0" w:type="dxa"/>
                    <w:right w:w="0" w:type="dxa"/>
                  </w:tcMar>
                  <w:vAlign w:val="center"/>
                </w:tcPr>
                <w:p w14:paraId="582B81D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p>
              </w:tc>
              <w:tc>
                <w:tcPr>
                  <w:tcW w:w="561" w:type="pct"/>
                  <w:noWrap w:val="0"/>
                  <w:tcMar>
                    <w:top w:w="0" w:type="dxa"/>
                    <w:left w:w="0" w:type="dxa"/>
                    <w:bottom w:w="0" w:type="dxa"/>
                    <w:right w:w="0" w:type="dxa"/>
                  </w:tcMar>
                  <w:vAlign w:val="center"/>
                </w:tcPr>
                <w:p w14:paraId="1E57ED1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固体废物</w:t>
                  </w:r>
                </w:p>
              </w:tc>
              <w:tc>
                <w:tcPr>
                  <w:tcW w:w="478" w:type="pct"/>
                  <w:noWrap w:val="0"/>
                  <w:tcMar>
                    <w:top w:w="0" w:type="dxa"/>
                    <w:left w:w="0" w:type="dxa"/>
                    <w:bottom w:w="0" w:type="dxa"/>
                    <w:right w:w="0" w:type="dxa"/>
                  </w:tcMar>
                  <w:vAlign w:val="center"/>
                </w:tcPr>
                <w:p w14:paraId="160EFCB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副产品</w:t>
                  </w:r>
                </w:p>
              </w:tc>
              <w:tc>
                <w:tcPr>
                  <w:tcW w:w="604" w:type="pct"/>
                  <w:noWrap w:val="0"/>
                  <w:tcMar>
                    <w:top w:w="0" w:type="dxa"/>
                    <w:left w:w="0" w:type="dxa"/>
                    <w:bottom w:w="0" w:type="dxa"/>
                    <w:right w:w="0" w:type="dxa"/>
                  </w:tcMar>
                  <w:vAlign w:val="center"/>
                </w:tcPr>
                <w:p w14:paraId="3D78F8F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color w:val="auto"/>
                      <w:szCs w:val="21"/>
                    </w:rPr>
                  </w:pPr>
                  <w:r>
                    <w:rPr>
                      <w:b/>
                      <w:color w:val="auto"/>
                      <w:szCs w:val="21"/>
                    </w:rPr>
                    <w:t>判定依据</w:t>
                  </w:r>
                </w:p>
              </w:tc>
            </w:tr>
            <w:tr w14:paraId="0AB6F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noWrap w:val="0"/>
                  <w:tcMar>
                    <w:top w:w="0" w:type="dxa"/>
                    <w:left w:w="0" w:type="dxa"/>
                    <w:bottom w:w="0" w:type="dxa"/>
                    <w:right w:w="0" w:type="dxa"/>
                  </w:tcMar>
                  <w:vAlign w:val="center"/>
                </w:tcPr>
                <w:p w14:paraId="364DC15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2"/>
                      <w:sz w:val="21"/>
                      <w:szCs w:val="21"/>
                      <w:lang w:val="en-US" w:eastAsia="zh-CN" w:bidi="ar-SA"/>
                    </w:rPr>
                  </w:pPr>
                  <w:r>
                    <w:rPr>
                      <w:color w:val="auto"/>
                      <w:szCs w:val="21"/>
                    </w:rPr>
                    <w:t>1</w:t>
                  </w:r>
                </w:p>
              </w:tc>
              <w:tc>
                <w:tcPr>
                  <w:tcW w:w="664" w:type="pct"/>
                  <w:noWrap w:val="0"/>
                  <w:tcMar>
                    <w:top w:w="0" w:type="dxa"/>
                    <w:left w:w="0" w:type="dxa"/>
                    <w:bottom w:w="0" w:type="dxa"/>
                    <w:right w:w="0" w:type="dxa"/>
                  </w:tcMar>
                  <w:vAlign w:val="center"/>
                </w:tcPr>
                <w:p w14:paraId="4398C4CC">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ascii="Times New Roman" w:hAnsi="Times New Roman" w:eastAsia="宋体" w:cs="Times New Roman"/>
                      <w:bCs/>
                      <w:color w:val="auto"/>
                      <w:kern w:val="2"/>
                      <w:sz w:val="21"/>
                      <w:szCs w:val="21"/>
                      <w:lang w:val="en-US" w:eastAsia="zh-CN" w:bidi="ar-SA"/>
                    </w:rPr>
                    <w:t>废包装袋</w:t>
                  </w:r>
                </w:p>
              </w:tc>
              <w:tc>
                <w:tcPr>
                  <w:tcW w:w="637" w:type="pct"/>
                  <w:noWrap w:val="0"/>
                  <w:tcMar>
                    <w:top w:w="0" w:type="dxa"/>
                    <w:left w:w="0" w:type="dxa"/>
                    <w:bottom w:w="0" w:type="dxa"/>
                    <w:right w:w="0" w:type="dxa"/>
                  </w:tcMar>
                  <w:vAlign w:val="center"/>
                </w:tcPr>
                <w:p w14:paraId="18F0DACB">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Cs w:val="21"/>
                      <w:highlight w:val="none"/>
                      <w:lang w:val="en-US" w:eastAsia="zh-CN"/>
                    </w:rPr>
                  </w:pPr>
                  <w:r>
                    <w:rPr>
                      <w:rFonts w:hint="eastAsia"/>
                      <w:color w:val="auto"/>
                      <w:lang w:val="en-US" w:eastAsia="zh-CN"/>
                    </w:rPr>
                    <w:t>原料包装</w:t>
                  </w:r>
                </w:p>
              </w:tc>
              <w:tc>
                <w:tcPr>
                  <w:tcW w:w="260" w:type="pct"/>
                  <w:noWrap w:val="0"/>
                  <w:tcMar>
                    <w:top w:w="0" w:type="dxa"/>
                    <w:left w:w="0" w:type="dxa"/>
                    <w:bottom w:w="0" w:type="dxa"/>
                    <w:right w:w="0" w:type="dxa"/>
                  </w:tcMar>
                  <w:vAlign w:val="center"/>
                </w:tcPr>
                <w:p w14:paraId="754855F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eastAsia="宋体"/>
                      <w:color w:val="auto"/>
                      <w:szCs w:val="21"/>
                      <w:lang w:val="en-US" w:eastAsia="zh-CN"/>
                    </w:rPr>
                  </w:pPr>
                  <w:r>
                    <w:rPr>
                      <w:rFonts w:hint="eastAsia"/>
                      <w:color w:val="auto"/>
                      <w:szCs w:val="21"/>
                      <w:lang w:val="en-US" w:eastAsia="zh-CN"/>
                    </w:rPr>
                    <w:t>固</w:t>
                  </w:r>
                </w:p>
              </w:tc>
              <w:tc>
                <w:tcPr>
                  <w:tcW w:w="951" w:type="pct"/>
                  <w:noWrap w:val="0"/>
                  <w:tcMar>
                    <w:top w:w="0" w:type="dxa"/>
                    <w:left w:w="0" w:type="dxa"/>
                    <w:bottom w:w="0" w:type="dxa"/>
                    <w:right w:w="0" w:type="dxa"/>
                  </w:tcMar>
                  <w:vAlign w:val="center"/>
                </w:tcPr>
                <w:p w14:paraId="05AE03A3">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eastAsia="宋体"/>
                      <w:color w:val="auto"/>
                      <w:kern w:val="18"/>
                      <w:sz w:val="21"/>
                      <w:szCs w:val="21"/>
                      <w:lang w:val="en-US" w:eastAsia="zh-CN" w:bidi="ar-SA"/>
                    </w:rPr>
                  </w:pPr>
                  <w:r>
                    <w:rPr>
                      <w:rFonts w:hint="eastAsia"/>
                      <w:color w:val="auto"/>
                      <w:lang w:val="en-US" w:eastAsia="zh-CN"/>
                    </w:rPr>
                    <w:t>塑料</w:t>
                  </w:r>
                </w:p>
              </w:tc>
              <w:tc>
                <w:tcPr>
                  <w:tcW w:w="560" w:type="pct"/>
                  <w:noWrap w:val="0"/>
                  <w:tcMar>
                    <w:top w:w="0" w:type="dxa"/>
                    <w:left w:w="0" w:type="dxa"/>
                    <w:bottom w:w="0" w:type="dxa"/>
                    <w:right w:w="0" w:type="dxa"/>
                  </w:tcMar>
                  <w:vAlign w:val="center"/>
                </w:tcPr>
                <w:p w14:paraId="702CD54C">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0000FF"/>
                      <w:szCs w:val="21"/>
                      <w:lang w:val="en-US" w:eastAsia="zh-CN"/>
                    </w:rPr>
                  </w:pPr>
                  <w:r>
                    <w:rPr>
                      <w:rFonts w:hint="eastAsia" w:ascii="Times New Roman" w:hAnsi="Times New Roman" w:eastAsia="宋体" w:cs="Times New Roman"/>
                      <w:bCs/>
                      <w:color w:val="0000FF"/>
                      <w:kern w:val="2"/>
                      <w:sz w:val="21"/>
                      <w:szCs w:val="21"/>
                      <w:lang w:val="en-US" w:eastAsia="zh-CN" w:bidi="ar-SA"/>
                    </w:rPr>
                    <w:t>3.6</w:t>
                  </w:r>
                </w:p>
              </w:tc>
              <w:tc>
                <w:tcPr>
                  <w:tcW w:w="561" w:type="pct"/>
                  <w:noWrap w:val="0"/>
                  <w:tcMar>
                    <w:top w:w="0" w:type="dxa"/>
                    <w:left w:w="0" w:type="dxa"/>
                    <w:bottom w:w="0" w:type="dxa"/>
                    <w:right w:w="0" w:type="dxa"/>
                  </w:tcMar>
                  <w:vAlign w:val="center"/>
                </w:tcPr>
                <w:p w14:paraId="5E64D691">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color w:val="auto"/>
                      <w:kern w:val="18"/>
                      <w:sz w:val="21"/>
                      <w:szCs w:val="21"/>
                      <w:lang w:val="en-US" w:eastAsia="zh-CN" w:bidi="ar-SA"/>
                    </w:rPr>
                  </w:pPr>
                  <w:r>
                    <w:rPr>
                      <w:color w:val="auto"/>
                      <w:kern w:val="18"/>
                      <w:szCs w:val="21"/>
                    </w:rPr>
                    <w:t>√</w:t>
                  </w:r>
                </w:p>
              </w:tc>
              <w:tc>
                <w:tcPr>
                  <w:tcW w:w="478" w:type="pct"/>
                  <w:noWrap w:val="0"/>
                  <w:tcMar>
                    <w:top w:w="0" w:type="dxa"/>
                    <w:left w:w="0" w:type="dxa"/>
                    <w:bottom w:w="0" w:type="dxa"/>
                    <w:right w:w="0" w:type="dxa"/>
                  </w:tcMar>
                  <w:vAlign w:val="center"/>
                </w:tcPr>
                <w:p w14:paraId="04EAF83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2"/>
                      <w:sz w:val="21"/>
                      <w:szCs w:val="21"/>
                      <w:lang w:val="en-US" w:eastAsia="zh-CN" w:bidi="ar-SA"/>
                    </w:rPr>
                  </w:pPr>
                  <w:r>
                    <w:rPr>
                      <w:color w:val="auto"/>
                      <w:szCs w:val="21"/>
                    </w:rPr>
                    <w:t>/</w:t>
                  </w:r>
                </w:p>
              </w:tc>
              <w:tc>
                <w:tcPr>
                  <w:tcW w:w="604" w:type="pct"/>
                  <w:vMerge w:val="restart"/>
                  <w:noWrap w:val="0"/>
                  <w:tcMar>
                    <w:top w:w="0" w:type="dxa"/>
                    <w:left w:w="0" w:type="dxa"/>
                    <w:bottom w:w="0" w:type="dxa"/>
                    <w:right w:w="0" w:type="dxa"/>
                  </w:tcMar>
                  <w:vAlign w:val="center"/>
                </w:tcPr>
                <w:p w14:paraId="1AE6238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r>
                    <w:rPr>
                      <w:bCs/>
                      <w:color w:val="FF0000"/>
                      <w:szCs w:val="21"/>
                    </w:rPr>
                    <w:t>《固体废物鉴别标准 通则》（GB34330-20</w:t>
                  </w:r>
                  <w:r>
                    <w:rPr>
                      <w:rFonts w:hint="eastAsia"/>
                      <w:bCs/>
                      <w:color w:val="FF0000"/>
                      <w:szCs w:val="21"/>
                      <w:lang w:val="en-US" w:eastAsia="zh-CN"/>
                    </w:rPr>
                    <w:t>25</w:t>
                  </w:r>
                  <w:r>
                    <w:rPr>
                      <w:bCs/>
                      <w:color w:val="FF0000"/>
                      <w:szCs w:val="21"/>
                    </w:rPr>
                    <w:t>）</w:t>
                  </w:r>
                </w:p>
              </w:tc>
            </w:tr>
            <w:tr w14:paraId="5662E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noWrap w:val="0"/>
                  <w:tcMar>
                    <w:top w:w="0" w:type="dxa"/>
                    <w:left w:w="0" w:type="dxa"/>
                    <w:bottom w:w="0" w:type="dxa"/>
                    <w:right w:w="0" w:type="dxa"/>
                  </w:tcMar>
                  <w:vAlign w:val="center"/>
                </w:tcPr>
                <w:p w14:paraId="4183F10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eastAsia="宋体"/>
                      <w:color w:val="auto"/>
                      <w:kern w:val="2"/>
                      <w:sz w:val="21"/>
                      <w:szCs w:val="21"/>
                      <w:lang w:val="en-US" w:eastAsia="zh-CN" w:bidi="ar-SA"/>
                    </w:rPr>
                  </w:pPr>
                  <w:r>
                    <w:rPr>
                      <w:rFonts w:hint="eastAsia"/>
                      <w:color w:val="auto"/>
                      <w:kern w:val="2"/>
                      <w:sz w:val="21"/>
                      <w:szCs w:val="21"/>
                      <w:lang w:val="en-US" w:eastAsia="zh-CN" w:bidi="ar-SA"/>
                    </w:rPr>
                    <w:t>2</w:t>
                  </w:r>
                </w:p>
              </w:tc>
              <w:tc>
                <w:tcPr>
                  <w:tcW w:w="664" w:type="pct"/>
                  <w:noWrap w:val="0"/>
                  <w:tcMar>
                    <w:top w:w="0" w:type="dxa"/>
                    <w:left w:w="0" w:type="dxa"/>
                    <w:bottom w:w="0" w:type="dxa"/>
                    <w:right w:w="0" w:type="dxa"/>
                  </w:tcMar>
                  <w:vAlign w:val="center"/>
                </w:tcPr>
                <w:p w14:paraId="74552B25">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ascii="Times New Roman" w:hAnsi="Times New Roman" w:eastAsia="宋体" w:cs="Times New Roman"/>
                      <w:color w:val="auto"/>
                      <w:sz w:val="21"/>
                      <w:szCs w:val="21"/>
                      <w:lang w:val="en-US" w:eastAsia="zh-CN"/>
                    </w:rPr>
                    <w:t>布袋捕集物、沉渣</w:t>
                  </w:r>
                </w:p>
              </w:tc>
              <w:tc>
                <w:tcPr>
                  <w:tcW w:w="637" w:type="pct"/>
                  <w:noWrap w:val="0"/>
                  <w:tcMar>
                    <w:top w:w="0" w:type="dxa"/>
                    <w:left w:w="0" w:type="dxa"/>
                    <w:bottom w:w="0" w:type="dxa"/>
                    <w:right w:w="0" w:type="dxa"/>
                  </w:tcMar>
                  <w:vAlign w:val="center"/>
                </w:tcPr>
                <w:p w14:paraId="576F446E">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color w:val="auto"/>
                      <w:lang w:val="en-US" w:eastAsia="zh-CN"/>
                    </w:rPr>
                    <w:t>废气处理、筛分</w:t>
                  </w:r>
                </w:p>
              </w:tc>
              <w:tc>
                <w:tcPr>
                  <w:tcW w:w="260" w:type="pct"/>
                  <w:noWrap w:val="0"/>
                  <w:tcMar>
                    <w:top w:w="0" w:type="dxa"/>
                    <w:left w:w="0" w:type="dxa"/>
                    <w:bottom w:w="0" w:type="dxa"/>
                    <w:right w:w="0" w:type="dxa"/>
                  </w:tcMar>
                  <w:vAlign w:val="center"/>
                </w:tcPr>
                <w:p w14:paraId="546F063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r>
                    <w:rPr>
                      <w:color w:val="auto"/>
                      <w:szCs w:val="21"/>
                    </w:rPr>
                    <w:t>固</w:t>
                  </w:r>
                </w:p>
              </w:tc>
              <w:tc>
                <w:tcPr>
                  <w:tcW w:w="951" w:type="pct"/>
                  <w:noWrap w:val="0"/>
                  <w:tcMar>
                    <w:top w:w="0" w:type="dxa"/>
                    <w:left w:w="0" w:type="dxa"/>
                    <w:bottom w:w="0" w:type="dxa"/>
                    <w:right w:w="0" w:type="dxa"/>
                  </w:tcMar>
                  <w:vAlign w:val="center"/>
                </w:tcPr>
                <w:p w14:paraId="658A5368">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color w:val="auto"/>
                      <w:lang w:val="en-US" w:eastAsia="zh-CN"/>
                    </w:rPr>
                    <w:t>塑料</w:t>
                  </w:r>
                </w:p>
              </w:tc>
              <w:tc>
                <w:tcPr>
                  <w:tcW w:w="560" w:type="pct"/>
                  <w:noWrap w:val="0"/>
                  <w:tcMar>
                    <w:top w:w="0" w:type="dxa"/>
                    <w:left w:w="0" w:type="dxa"/>
                    <w:bottom w:w="0" w:type="dxa"/>
                    <w:right w:w="0" w:type="dxa"/>
                  </w:tcMar>
                  <w:vAlign w:val="center"/>
                </w:tcPr>
                <w:p w14:paraId="7B7A0918">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ascii="Times New Roman" w:hAnsi="Times New Roman" w:eastAsia="宋体" w:cs="Times New Roman"/>
                      <w:color w:val="auto"/>
                      <w:sz w:val="21"/>
                      <w:szCs w:val="21"/>
                      <w:lang w:val="en-US" w:eastAsia="zh-CN"/>
                    </w:rPr>
                    <w:t>0.32</w:t>
                  </w:r>
                </w:p>
              </w:tc>
              <w:tc>
                <w:tcPr>
                  <w:tcW w:w="561" w:type="pct"/>
                  <w:noWrap w:val="0"/>
                  <w:tcMar>
                    <w:top w:w="0" w:type="dxa"/>
                    <w:left w:w="0" w:type="dxa"/>
                    <w:bottom w:w="0" w:type="dxa"/>
                    <w:right w:w="0" w:type="dxa"/>
                  </w:tcMar>
                  <w:vAlign w:val="center"/>
                </w:tcPr>
                <w:p w14:paraId="09589E46">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color w:val="auto"/>
                      <w:kern w:val="18"/>
                      <w:sz w:val="21"/>
                      <w:szCs w:val="21"/>
                      <w:lang w:val="en-US" w:eastAsia="zh-CN" w:bidi="ar-SA"/>
                    </w:rPr>
                  </w:pPr>
                  <w:r>
                    <w:rPr>
                      <w:color w:val="auto"/>
                      <w:kern w:val="18"/>
                      <w:szCs w:val="21"/>
                    </w:rPr>
                    <w:t>√</w:t>
                  </w:r>
                </w:p>
              </w:tc>
              <w:tc>
                <w:tcPr>
                  <w:tcW w:w="478" w:type="pct"/>
                  <w:noWrap w:val="0"/>
                  <w:tcMar>
                    <w:top w:w="0" w:type="dxa"/>
                    <w:left w:w="0" w:type="dxa"/>
                    <w:bottom w:w="0" w:type="dxa"/>
                    <w:right w:w="0" w:type="dxa"/>
                  </w:tcMar>
                  <w:vAlign w:val="center"/>
                </w:tcPr>
                <w:p w14:paraId="4C09073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2"/>
                      <w:sz w:val="21"/>
                      <w:szCs w:val="21"/>
                      <w:lang w:val="en-US" w:eastAsia="zh-CN" w:bidi="ar-SA"/>
                    </w:rPr>
                  </w:pPr>
                  <w:r>
                    <w:rPr>
                      <w:color w:val="auto"/>
                      <w:szCs w:val="21"/>
                    </w:rPr>
                    <w:t>/</w:t>
                  </w:r>
                </w:p>
              </w:tc>
              <w:tc>
                <w:tcPr>
                  <w:tcW w:w="604" w:type="pct"/>
                  <w:vMerge w:val="continue"/>
                  <w:noWrap w:val="0"/>
                  <w:tcMar>
                    <w:top w:w="0" w:type="dxa"/>
                    <w:left w:w="0" w:type="dxa"/>
                    <w:bottom w:w="0" w:type="dxa"/>
                    <w:right w:w="0" w:type="dxa"/>
                  </w:tcMar>
                  <w:vAlign w:val="center"/>
                </w:tcPr>
                <w:p w14:paraId="4954F7E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p>
              </w:tc>
            </w:tr>
            <w:tr w14:paraId="4A8F3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shd w:val="clear" w:color="auto" w:fill="auto"/>
                  <w:noWrap w:val="0"/>
                  <w:tcMar>
                    <w:top w:w="0" w:type="dxa"/>
                    <w:left w:w="0" w:type="dxa"/>
                    <w:bottom w:w="0" w:type="dxa"/>
                    <w:right w:w="0" w:type="dxa"/>
                  </w:tcMar>
                  <w:vAlign w:val="center"/>
                </w:tcPr>
                <w:p w14:paraId="1959F26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664" w:type="pct"/>
                  <w:noWrap w:val="0"/>
                  <w:tcMar>
                    <w:top w:w="0" w:type="dxa"/>
                    <w:left w:w="0" w:type="dxa"/>
                    <w:bottom w:w="0" w:type="dxa"/>
                    <w:right w:w="0" w:type="dxa"/>
                  </w:tcMar>
                  <w:vAlign w:val="center"/>
                </w:tcPr>
                <w:p w14:paraId="2E6BDEA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kern w:val="2"/>
                      <w:sz w:val="21"/>
                      <w:szCs w:val="21"/>
                      <w:lang w:val="en-US" w:eastAsia="zh-CN" w:bidi="ar-SA"/>
                    </w:rPr>
                  </w:pPr>
                  <w:r>
                    <w:rPr>
                      <w:rFonts w:hint="eastAsia"/>
                      <w:color w:val="auto"/>
                      <w:szCs w:val="21"/>
                      <w:lang w:val="en-US" w:eastAsia="zh-CN"/>
                    </w:rPr>
                    <w:t>喷淋塔废液</w:t>
                  </w:r>
                </w:p>
              </w:tc>
              <w:tc>
                <w:tcPr>
                  <w:tcW w:w="637" w:type="pct"/>
                  <w:noWrap w:val="0"/>
                  <w:tcMar>
                    <w:top w:w="0" w:type="dxa"/>
                    <w:left w:w="0" w:type="dxa"/>
                    <w:bottom w:w="0" w:type="dxa"/>
                    <w:right w:w="0" w:type="dxa"/>
                  </w:tcMar>
                  <w:vAlign w:val="center"/>
                </w:tcPr>
                <w:p w14:paraId="5EF50E9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kern w:val="2"/>
                      <w:sz w:val="21"/>
                      <w:szCs w:val="21"/>
                      <w:lang w:val="en-US" w:eastAsia="zh-CN" w:bidi="ar-SA"/>
                    </w:rPr>
                  </w:pPr>
                  <w:r>
                    <w:rPr>
                      <w:rFonts w:hint="eastAsia"/>
                      <w:color w:val="auto"/>
                      <w:kern w:val="2"/>
                      <w:sz w:val="21"/>
                      <w:szCs w:val="21"/>
                      <w:lang w:val="en-US" w:eastAsia="zh-CN" w:bidi="ar-SA"/>
                    </w:rPr>
                    <w:t>废气处理</w:t>
                  </w:r>
                </w:p>
              </w:tc>
              <w:tc>
                <w:tcPr>
                  <w:tcW w:w="260" w:type="pct"/>
                  <w:noWrap w:val="0"/>
                  <w:tcMar>
                    <w:top w:w="0" w:type="dxa"/>
                    <w:left w:w="0" w:type="dxa"/>
                    <w:bottom w:w="0" w:type="dxa"/>
                    <w:right w:w="0" w:type="dxa"/>
                  </w:tcMar>
                  <w:vAlign w:val="center"/>
                </w:tcPr>
                <w:p w14:paraId="5ECDC85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kern w:val="2"/>
                      <w:sz w:val="21"/>
                      <w:szCs w:val="21"/>
                      <w:lang w:val="en-US" w:eastAsia="zh-CN" w:bidi="ar-SA"/>
                    </w:rPr>
                  </w:pPr>
                  <w:r>
                    <w:rPr>
                      <w:rFonts w:hint="eastAsia"/>
                      <w:color w:val="auto"/>
                      <w:kern w:val="2"/>
                      <w:sz w:val="21"/>
                      <w:szCs w:val="21"/>
                      <w:lang w:val="en-US" w:eastAsia="zh-CN" w:bidi="ar-SA"/>
                    </w:rPr>
                    <w:t>液</w:t>
                  </w:r>
                </w:p>
              </w:tc>
              <w:tc>
                <w:tcPr>
                  <w:tcW w:w="951" w:type="pct"/>
                  <w:noWrap w:val="0"/>
                  <w:tcMar>
                    <w:top w:w="0" w:type="dxa"/>
                    <w:left w:w="0" w:type="dxa"/>
                    <w:bottom w:w="0" w:type="dxa"/>
                    <w:right w:w="0" w:type="dxa"/>
                  </w:tcMar>
                  <w:vAlign w:val="center"/>
                </w:tcPr>
                <w:p w14:paraId="6CB000BF">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eastAsia="宋体"/>
                      <w:color w:val="auto"/>
                      <w:kern w:val="18"/>
                      <w:sz w:val="21"/>
                      <w:szCs w:val="21"/>
                      <w:lang w:val="en-US" w:eastAsia="zh-CN" w:bidi="ar-SA"/>
                    </w:rPr>
                  </w:pPr>
                  <w:r>
                    <w:rPr>
                      <w:rFonts w:hint="eastAsia"/>
                      <w:color w:val="auto"/>
                      <w:kern w:val="18"/>
                      <w:sz w:val="21"/>
                      <w:szCs w:val="21"/>
                      <w:lang w:val="en-US" w:eastAsia="zh-CN" w:bidi="ar-SA"/>
                    </w:rPr>
                    <w:t>水油烃混合物</w:t>
                  </w:r>
                </w:p>
              </w:tc>
              <w:tc>
                <w:tcPr>
                  <w:tcW w:w="560" w:type="pct"/>
                  <w:noWrap w:val="0"/>
                  <w:tcMar>
                    <w:top w:w="0" w:type="dxa"/>
                    <w:left w:w="0" w:type="dxa"/>
                    <w:bottom w:w="0" w:type="dxa"/>
                    <w:right w:w="0" w:type="dxa"/>
                  </w:tcMar>
                  <w:vAlign w:val="center"/>
                </w:tcPr>
                <w:p w14:paraId="1D7B89F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kern w:val="2"/>
                      <w:sz w:val="21"/>
                      <w:szCs w:val="21"/>
                      <w:lang w:val="en-US" w:eastAsia="zh-CN" w:bidi="ar-SA"/>
                    </w:rPr>
                  </w:pPr>
                  <w:r>
                    <w:rPr>
                      <w:rFonts w:hint="eastAsia"/>
                      <w:color w:val="auto"/>
                      <w:kern w:val="2"/>
                      <w:sz w:val="21"/>
                      <w:szCs w:val="21"/>
                      <w:lang w:val="en-US" w:eastAsia="zh-CN" w:bidi="ar-SA"/>
                    </w:rPr>
                    <w:t>1</w:t>
                  </w:r>
                </w:p>
              </w:tc>
              <w:tc>
                <w:tcPr>
                  <w:tcW w:w="561" w:type="pct"/>
                  <w:shd w:val="clear" w:color="auto" w:fill="auto"/>
                  <w:noWrap w:val="0"/>
                  <w:tcMar>
                    <w:top w:w="0" w:type="dxa"/>
                    <w:left w:w="0" w:type="dxa"/>
                    <w:bottom w:w="0" w:type="dxa"/>
                    <w:right w:w="0" w:type="dxa"/>
                  </w:tcMar>
                  <w:vAlign w:val="center"/>
                </w:tcPr>
                <w:p w14:paraId="4DC49499">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rFonts w:ascii="Times New Roman" w:hAnsi="Times New Roman" w:eastAsia="宋体" w:cs="Times New Roman"/>
                      <w:color w:val="auto"/>
                      <w:kern w:val="18"/>
                      <w:sz w:val="21"/>
                      <w:szCs w:val="21"/>
                      <w:lang w:val="en-US" w:eastAsia="zh-CN" w:bidi="ar-SA"/>
                    </w:rPr>
                  </w:pPr>
                  <w:r>
                    <w:rPr>
                      <w:color w:val="auto"/>
                      <w:kern w:val="18"/>
                      <w:szCs w:val="21"/>
                    </w:rPr>
                    <w:t>√</w:t>
                  </w:r>
                </w:p>
              </w:tc>
              <w:tc>
                <w:tcPr>
                  <w:tcW w:w="478" w:type="pct"/>
                  <w:shd w:val="clear" w:color="auto" w:fill="auto"/>
                  <w:noWrap w:val="0"/>
                  <w:tcMar>
                    <w:top w:w="0" w:type="dxa"/>
                    <w:left w:w="0" w:type="dxa"/>
                    <w:bottom w:w="0" w:type="dxa"/>
                    <w:right w:w="0" w:type="dxa"/>
                  </w:tcMar>
                  <w:vAlign w:val="center"/>
                </w:tcPr>
                <w:p w14:paraId="4EAB7C7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w:t>
                  </w:r>
                </w:p>
              </w:tc>
              <w:tc>
                <w:tcPr>
                  <w:tcW w:w="604" w:type="pct"/>
                  <w:vMerge w:val="continue"/>
                  <w:noWrap w:val="0"/>
                  <w:tcMar>
                    <w:top w:w="0" w:type="dxa"/>
                    <w:left w:w="0" w:type="dxa"/>
                    <w:bottom w:w="0" w:type="dxa"/>
                    <w:right w:w="0" w:type="dxa"/>
                  </w:tcMar>
                  <w:vAlign w:val="center"/>
                </w:tcPr>
                <w:p w14:paraId="21D1392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p>
              </w:tc>
            </w:tr>
            <w:tr w14:paraId="41C76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shd w:val="clear" w:color="auto" w:fill="auto"/>
                  <w:noWrap w:val="0"/>
                  <w:tcMar>
                    <w:top w:w="0" w:type="dxa"/>
                    <w:left w:w="0" w:type="dxa"/>
                    <w:bottom w:w="0" w:type="dxa"/>
                    <w:right w:w="0" w:type="dxa"/>
                  </w:tcMar>
                  <w:vAlign w:val="center"/>
                </w:tcPr>
                <w:p w14:paraId="4FEF887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4</w:t>
                  </w:r>
                </w:p>
              </w:tc>
              <w:tc>
                <w:tcPr>
                  <w:tcW w:w="664" w:type="pct"/>
                  <w:noWrap w:val="0"/>
                  <w:tcMar>
                    <w:top w:w="0" w:type="dxa"/>
                    <w:left w:w="0" w:type="dxa"/>
                    <w:bottom w:w="0" w:type="dxa"/>
                    <w:right w:w="0" w:type="dxa"/>
                  </w:tcMar>
                  <w:vAlign w:val="center"/>
                </w:tcPr>
                <w:p w14:paraId="5F41529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b w:val="0"/>
                      <w:bCs w:val="0"/>
                      <w:color w:val="auto"/>
                      <w:szCs w:val="21"/>
                      <w:lang w:val="en-US" w:eastAsia="zh-CN"/>
                    </w:rPr>
                  </w:pPr>
                  <w:r>
                    <w:rPr>
                      <w:rFonts w:hint="eastAsia"/>
                      <w:b w:val="0"/>
                      <w:bCs w:val="0"/>
                      <w:color w:val="auto"/>
                      <w:szCs w:val="21"/>
                      <w:lang w:val="en-US" w:eastAsia="zh-CN"/>
                    </w:rPr>
                    <w:t>废润滑油</w:t>
                  </w:r>
                </w:p>
              </w:tc>
              <w:tc>
                <w:tcPr>
                  <w:tcW w:w="637" w:type="pct"/>
                  <w:noWrap w:val="0"/>
                  <w:tcMar>
                    <w:top w:w="0" w:type="dxa"/>
                    <w:left w:w="0" w:type="dxa"/>
                    <w:bottom w:w="0" w:type="dxa"/>
                    <w:right w:w="0" w:type="dxa"/>
                  </w:tcMar>
                  <w:vAlign w:val="center"/>
                </w:tcPr>
                <w:p w14:paraId="5B00E68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设备保养</w:t>
                  </w:r>
                </w:p>
              </w:tc>
              <w:tc>
                <w:tcPr>
                  <w:tcW w:w="260" w:type="pct"/>
                  <w:noWrap w:val="0"/>
                  <w:tcMar>
                    <w:top w:w="0" w:type="dxa"/>
                    <w:left w:w="0" w:type="dxa"/>
                    <w:bottom w:w="0" w:type="dxa"/>
                    <w:right w:w="0" w:type="dxa"/>
                  </w:tcMar>
                  <w:vAlign w:val="center"/>
                </w:tcPr>
                <w:p w14:paraId="6A9679C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kern w:val="2"/>
                      <w:sz w:val="21"/>
                      <w:szCs w:val="21"/>
                      <w:lang w:val="en-US" w:eastAsia="zh-CN" w:bidi="ar-SA"/>
                    </w:rPr>
                  </w:pPr>
                  <w:r>
                    <w:rPr>
                      <w:rFonts w:hint="eastAsia"/>
                      <w:color w:val="auto"/>
                      <w:kern w:val="2"/>
                      <w:sz w:val="21"/>
                      <w:szCs w:val="21"/>
                      <w:lang w:val="en-US" w:eastAsia="zh-CN" w:bidi="ar-SA"/>
                    </w:rPr>
                    <w:t>液</w:t>
                  </w:r>
                </w:p>
              </w:tc>
              <w:tc>
                <w:tcPr>
                  <w:tcW w:w="951" w:type="pct"/>
                  <w:noWrap w:val="0"/>
                  <w:tcMar>
                    <w:top w:w="0" w:type="dxa"/>
                    <w:left w:w="0" w:type="dxa"/>
                    <w:bottom w:w="0" w:type="dxa"/>
                    <w:right w:w="0" w:type="dxa"/>
                  </w:tcMar>
                  <w:vAlign w:val="center"/>
                </w:tcPr>
                <w:p w14:paraId="3C477EEB">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eastAsia="宋体"/>
                      <w:color w:val="auto"/>
                      <w:lang w:val="en-US" w:eastAsia="zh-CN"/>
                    </w:rPr>
                  </w:pPr>
                  <w:r>
                    <w:rPr>
                      <w:rFonts w:hint="eastAsia"/>
                      <w:color w:val="auto"/>
                      <w:lang w:val="en-US" w:eastAsia="zh-CN"/>
                    </w:rPr>
                    <w:t>矿物油</w:t>
                  </w:r>
                </w:p>
              </w:tc>
              <w:tc>
                <w:tcPr>
                  <w:tcW w:w="560" w:type="pct"/>
                  <w:noWrap w:val="0"/>
                  <w:tcMar>
                    <w:top w:w="0" w:type="dxa"/>
                    <w:left w:w="0" w:type="dxa"/>
                    <w:bottom w:w="0" w:type="dxa"/>
                    <w:right w:w="0" w:type="dxa"/>
                  </w:tcMar>
                  <w:vAlign w:val="center"/>
                </w:tcPr>
                <w:p w14:paraId="0351F3C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0.4</w:t>
                  </w:r>
                </w:p>
              </w:tc>
              <w:tc>
                <w:tcPr>
                  <w:tcW w:w="561" w:type="pct"/>
                  <w:noWrap w:val="0"/>
                  <w:tcMar>
                    <w:top w:w="0" w:type="dxa"/>
                    <w:left w:w="0" w:type="dxa"/>
                    <w:bottom w:w="0" w:type="dxa"/>
                    <w:right w:w="0" w:type="dxa"/>
                  </w:tcMar>
                  <w:vAlign w:val="center"/>
                </w:tcPr>
                <w:p w14:paraId="27F0331E">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color w:val="auto"/>
                      <w:kern w:val="18"/>
                      <w:sz w:val="21"/>
                      <w:szCs w:val="21"/>
                      <w:lang w:val="en-US" w:eastAsia="zh-CN" w:bidi="ar-SA"/>
                    </w:rPr>
                  </w:pPr>
                  <w:r>
                    <w:rPr>
                      <w:color w:val="auto"/>
                      <w:kern w:val="18"/>
                      <w:szCs w:val="21"/>
                    </w:rPr>
                    <w:t>√</w:t>
                  </w:r>
                </w:p>
              </w:tc>
              <w:tc>
                <w:tcPr>
                  <w:tcW w:w="478" w:type="pct"/>
                  <w:noWrap w:val="0"/>
                  <w:tcMar>
                    <w:top w:w="0" w:type="dxa"/>
                    <w:left w:w="0" w:type="dxa"/>
                    <w:bottom w:w="0" w:type="dxa"/>
                    <w:right w:w="0" w:type="dxa"/>
                  </w:tcMar>
                  <w:vAlign w:val="center"/>
                </w:tcPr>
                <w:p w14:paraId="1523C1C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2"/>
                      <w:sz w:val="21"/>
                      <w:szCs w:val="21"/>
                      <w:lang w:val="en-US" w:eastAsia="zh-CN" w:bidi="ar-SA"/>
                    </w:rPr>
                  </w:pPr>
                  <w:r>
                    <w:rPr>
                      <w:color w:val="auto"/>
                      <w:szCs w:val="21"/>
                    </w:rPr>
                    <w:t>/</w:t>
                  </w:r>
                </w:p>
              </w:tc>
              <w:tc>
                <w:tcPr>
                  <w:tcW w:w="604" w:type="pct"/>
                  <w:vMerge w:val="continue"/>
                  <w:noWrap w:val="0"/>
                  <w:tcMar>
                    <w:top w:w="0" w:type="dxa"/>
                    <w:left w:w="0" w:type="dxa"/>
                    <w:bottom w:w="0" w:type="dxa"/>
                    <w:right w:w="0" w:type="dxa"/>
                  </w:tcMar>
                  <w:vAlign w:val="center"/>
                </w:tcPr>
                <w:p w14:paraId="683E212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p>
              </w:tc>
            </w:tr>
            <w:tr w14:paraId="655AE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shd w:val="clear" w:color="auto" w:fill="auto"/>
                  <w:noWrap w:val="0"/>
                  <w:tcMar>
                    <w:top w:w="0" w:type="dxa"/>
                    <w:left w:w="0" w:type="dxa"/>
                    <w:bottom w:w="0" w:type="dxa"/>
                    <w:right w:w="0" w:type="dxa"/>
                  </w:tcMar>
                  <w:vAlign w:val="center"/>
                </w:tcPr>
                <w:p w14:paraId="19E5F14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5</w:t>
                  </w:r>
                </w:p>
              </w:tc>
              <w:tc>
                <w:tcPr>
                  <w:tcW w:w="664" w:type="pct"/>
                  <w:shd w:val="clear" w:color="auto" w:fill="auto"/>
                  <w:noWrap w:val="0"/>
                  <w:tcMar>
                    <w:top w:w="0" w:type="dxa"/>
                    <w:left w:w="0" w:type="dxa"/>
                    <w:bottom w:w="0" w:type="dxa"/>
                    <w:right w:w="0" w:type="dxa"/>
                  </w:tcMar>
                  <w:vAlign w:val="center"/>
                </w:tcPr>
                <w:p w14:paraId="24C742C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废油桶</w:t>
                  </w:r>
                </w:p>
              </w:tc>
              <w:tc>
                <w:tcPr>
                  <w:tcW w:w="637" w:type="pct"/>
                  <w:shd w:val="clear" w:color="auto" w:fill="auto"/>
                  <w:noWrap w:val="0"/>
                  <w:tcMar>
                    <w:top w:w="0" w:type="dxa"/>
                    <w:left w:w="0" w:type="dxa"/>
                    <w:bottom w:w="0" w:type="dxa"/>
                    <w:right w:w="0" w:type="dxa"/>
                  </w:tcMar>
                  <w:vAlign w:val="center"/>
                </w:tcPr>
                <w:p w14:paraId="396556CD">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kern w:val="18"/>
                      <w:sz w:val="21"/>
                      <w:szCs w:val="21"/>
                      <w:lang w:val="en-US" w:eastAsia="zh-CN" w:bidi="ar-SA"/>
                    </w:rPr>
                  </w:pPr>
                  <w:r>
                    <w:rPr>
                      <w:rFonts w:hint="eastAsia"/>
                      <w:color w:val="auto"/>
                      <w:lang w:val="en-US" w:eastAsia="zh-CN"/>
                    </w:rPr>
                    <w:t>原料包装</w:t>
                  </w:r>
                </w:p>
              </w:tc>
              <w:tc>
                <w:tcPr>
                  <w:tcW w:w="260" w:type="pct"/>
                  <w:noWrap w:val="0"/>
                  <w:tcMar>
                    <w:top w:w="0" w:type="dxa"/>
                    <w:left w:w="0" w:type="dxa"/>
                    <w:bottom w:w="0" w:type="dxa"/>
                    <w:right w:w="0" w:type="dxa"/>
                  </w:tcMar>
                  <w:vAlign w:val="center"/>
                </w:tcPr>
                <w:p w14:paraId="5509981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kern w:val="2"/>
                      <w:sz w:val="21"/>
                      <w:szCs w:val="21"/>
                      <w:lang w:val="en-US" w:eastAsia="zh-CN" w:bidi="ar-SA"/>
                    </w:rPr>
                  </w:pPr>
                  <w:r>
                    <w:rPr>
                      <w:rFonts w:hint="eastAsia"/>
                      <w:color w:val="auto"/>
                      <w:szCs w:val="21"/>
                      <w:lang w:val="en-US" w:eastAsia="zh-CN"/>
                    </w:rPr>
                    <w:t>固</w:t>
                  </w:r>
                </w:p>
              </w:tc>
              <w:tc>
                <w:tcPr>
                  <w:tcW w:w="951" w:type="pct"/>
                  <w:noWrap w:val="0"/>
                  <w:tcMar>
                    <w:top w:w="0" w:type="dxa"/>
                    <w:left w:w="0" w:type="dxa"/>
                    <w:bottom w:w="0" w:type="dxa"/>
                    <w:right w:w="0" w:type="dxa"/>
                  </w:tcMar>
                  <w:vAlign w:val="center"/>
                </w:tcPr>
                <w:p w14:paraId="204E01B1">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eastAsia="宋体"/>
                      <w:color w:val="auto"/>
                      <w:lang w:val="en-US" w:eastAsia="zh-CN"/>
                    </w:rPr>
                  </w:pPr>
                  <w:r>
                    <w:rPr>
                      <w:rFonts w:hint="eastAsia"/>
                      <w:color w:val="auto"/>
                      <w:lang w:val="en-US" w:eastAsia="zh-CN"/>
                    </w:rPr>
                    <w:t>桶、矿物油</w:t>
                  </w:r>
                </w:p>
              </w:tc>
              <w:tc>
                <w:tcPr>
                  <w:tcW w:w="560" w:type="pct"/>
                  <w:noWrap w:val="0"/>
                  <w:tcMar>
                    <w:top w:w="0" w:type="dxa"/>
                    <w:left w:w="0" w:type="dxa"/>
                    <w:bottom w:w="0" w:type="dxa"/>
                    <w:right w:w="0" w:type="dxa"/>
                  </w:tcMar>
                  <w:vAlign w:val="center"/>
                </w:tcPr>
                <w:p w14:paraId="676D248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11.36</w:t>
                  </w:r>
                </w:p>
              </w:tc>
              <w:tc>
                <w:tcPr>
                  <w:tcW w:w="561" w:type="pct"/>
                  <w:shd w:val="clear" w:color="auto" w:fill="auto"/>
                  <w:noWrap w:val="0"/>
                  <w:tcMar>
                    <w:top w:w="0" w:type="dxa"/>
                    <w:left w:w="0" w:type="dxa"/>
                    <w:bottom w:w="0" w:type="dxa"/>
                    <w:right w:w="0" w:type="dxa"/>
                  </w:tcMar>
                  <w:vAlign w:val="center"/>
                </w:tcPr>
                <w:p w14:paraId="77E0A764">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rFonts w:ascii="Times New Roman" w:hAnsi="Times New Roman" w:eastAsia="宋体" w:cs="Times New Roman"/>
                      <w:color w:val="auto"/>
                      <w:kern w:val="18"/>
                      <w:sz w:val="21"/>
                      <w:szCs w:val="21"/>
                      <w:lang w:val="en-US" w:eastAsia="zh-CN" w:bidi="ar-SA"/>
                    </w:rPr>
                  </w:pPr>
                  <w:r>
                    <w:rPr>
                      <w:color w:val="auto"/>
                      <w:kern w:val="18"/>
                      <w:szCs w:val="21"/>
                    </w:rPr>
                    <w:t>√</w:t>
                  </w:r>
                </w:p>
              </w:tc>
              <w:tc>
                <w:tcPr>
                  <w:tcW w:w="478" w:type="pct"/>
                  <w:shd w:val="clear" w:color="auto" w:fill="auto"/>
                  <w:noWrap w:val="0"/>
                  <w:tcMar>
                    <w:top w:w="0" w:type="dxa"/>
                    <w:left w:w="0" w:type="dxa"/>
                    <w:bottom w:w="0" w:type="dxa"/>
                    <w:right w:w="0" w:type="dxa"/>
                  </w:tcMar>
                  <w:vAlign w:val="center"/>
                </w:tcPr>
                <w:p w14:paraId="5D91056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cs="Times New Roman"/>
                      <w:color w:val="auto"/>
                      <w:kern w:val="2"/>
                      <w:sz w:val="21"/>
                      <w:szCs w:val="21"/>
                      <w:lang w:val="en-US" w:eastAsia="zh-CN" w:bidi="ar-SA"/>
                    </w:rPr>
                  </w:pPr>
                  <w:r>
                    <w:rPr>
                      <w:color w:val="auto"/>
                      <w:szCs w:val="21"/>
                    </w:rPr>
                    <w:t>/</w:t>
                  </w:r>
                </w:p>
              </w:tc>
              <w:tc>
                <w:tcPr>
                  <w:tcW w:w="604" w:type="pct"/>
                  <w:vMerge w:val="continue"/>
                  <w:noWrap w:val="0"/>
                  <w:tcMar>
                    <w:top w:w="0" w:type="dxa"/>
                    <w:left w:w="0" w:type="dxa"/>
                    <w:bottom w:w="0" w:type="dxa"/>
                    <w:right w:w="0" w:type="dxa"/>
                  </w:tcMar>
                  <w:vAlign w:val="center"/>
                </w:tcPr>
                <w:p w14:paraId="7B30BA9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p>
              </w:tc>
            </w:tr>
            <w:tr w14:paraId="7B7E8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shd w:val="clear" w:color="auto" w:fill="auto"/>
                  <w:noWrap w:val="0"/>
                  <w:tcMar>
                    <w:top w:w="0" w:type="dxa"/>
                    <w:left w:w="0" w:type="dxa"/>
                    <w:bottom w:w="0" w:type="dxa"/>
                    <w:right w:w="0" w:type="dxa"/>
                  </w:tcMar>
                  <w:vAlign w:val="center"/>
                </w:tcPr>
                <w:p w14:paraId="5AAC377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6</w:t>
                  </w:r>
                </w:p>
              </w:tc>
              <w:tc>
                <w:tcPr>
                  <w:tcW w:w="664" w:type="pct"/>
                  <w:noWrap w:val="0"/>
                  <w:tcMar>
                    <w:top w:w="0" w:type="dxa"/>
                    <w:left w:w="0" w:type="dxa"/>
                    <w:bottom w:w="0" w:type="dxa"/>
                    <w:right w:w="0" w:type="dxa"/>
                  </w:tcMar>
                  <w:vAlign w:val="center"/>
                </w:tcPr>
                <w:p w14:paraId="084C607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kern w:val="2"/>
                      <w:sz w:val="21"/>
                      <w:szCs w:val="21"/>
                      <w:lang w:val="en-US" w:eastAsia="zh-CN" w:bidi="ar-SA"/>
                    </w:rPr>
                  </w:pPr>
                  <w:r>
                    <w:rPr>
                      <w:rFonts w:hint="eastAsia"/>
                      <w:color w:val="auto"/>
                      <w:szCs w:val="21"/>
                      <w:lang w:val="en-US" w:eastAsia="zh-CN"/>
                    </w:rPr>
                    <w:t>废包装桶</w:t>
                  </w:r>
                </w:p>
              </w:tc>
              <w:tc>
                <w:tcPr>
                  <w:tcW w:w="637" w:type="pct"/>
                  <w:noWrap w:val="0"/>
                  <w:tcMar>
                    <w:top w:w="0" w:type="dxa"/>
                    <w:left w:w="0" w:type="dxa"/>
                    <w:bottom w:w="0" w:type="dxa"/>
                    <w:right w:w="0" w:type="dxa"/>
                  </w:tcMar>
                  <w:vAlign w:val="center"/>
                </w:tcPr>
                <w:p w14:paraId="2277D3E0">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color w:val="auto"/>
                      <w:kern w:val="18"/>
                      <w:sz w:val="21"/>
                      <w:szCs w:val="21"/>
                      <w:lang w:val="en-US" w:eastAsia="zh-CN" w:bidi="ar-SA"/>
                    </w:rPr>
                  </w:pPr>
                  <w:r>
                    <w:rPr>
                      <w:rFonts w:hint="eastAsia"/>
                      <w:color w:val="auto"/>
                      <w:lang w:val="en-US" w:eastAsia="zh-CN"/>
                    </w:rPr>
                    <w:t>原料包装</w:t>
                  </w:r>
                </w:p>
              </w:tc>
              <w:tc>
                <w:tcPr>
                  <w:tcW w:w="260" w:type="pct"/>
                  <w:noWrap w:val="0"/>
                  <w:tcMar>
                    <w:top w:w="0" w:type="dxa"/>
                    <w:left w:w="0" w:type="dxa"/>
                    <w:bottom w:w="0" w:type="dxa"/>
                    <w:right w:w="0" w:type="dxa"/>
                  </w:tcMar>
                  <w:vAlign w:val="center"/>
                </w:tcPr>
                <w:p w14:paraId="284211C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olor w:val="auto"/>
                      <w:kern w:val="2"/>
                      <w:sz w:val="21"/>
                      <w:szCs w:val="21"/>
                      <w:lang w:val="en-US" w:eastAsia="zh-CN" w:bidi="ar-SA"/>
                    </w:rPr>
                  </w:pPr>
                  <w:r>
                    <w:rPr>
                      <w:color w:val="auto"/>
                      <w:szCs w:val="21"/>
                    </w:rPr>
                    <w:t>固</w:t>
                  </w:r>
                </w:p>
              </w:tc>
              <w:tc>
                <w:tcPr>
                  <w:tcW w:w="951" w:type="pct"/>
                  <w:noWrap w:val="0"/>
                  <w:tcMar>
                    <w:top w:w="0" w:type="dxa"/>
                    <w:left w:w="0" w:type="dxa"/>
                    <w:bottom w:w="0" w:type="dxa"/>
                    <w:right w:w="0" w:type="dxa"/>
                  </w:tcMar>
                  <w:vAlign w:val="center"/>
                </w:tcPr>
                <w:p w14:paraId="68C968ED">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kern w:val="18"/>
                      <w:sz w:val="21"/>
                      <w:szCs w:val="21"/>
                      <w:lang w:val="en-US" w:eastAsia="zh-CN" w:bidi="ar-SA"/>
                    </w:rPr>
                  </w:pPr>
                  <w:r>
                    <w:rPr>
                      <w:rFonts w:hint="eastAsia"/>
                      <w:color w:val="auto"/>
                      <w:lang w:val="en-US" w:eastAsia="zh-CN"/>
                    </w:rPr>
                    <w:t>桶、有机物</w:t>
                  </w:r>
                </w:p>
              </w:tc>
              <w:tc>
                <w:tcPr>
                  <w:tcW w:w="560" w:type="pct"/>
                  <w:noWrap w:val="0"/>
                  <w:tcMar>
                    <w:top w:w="0" w:type="dxa"/>
                    <w:left w:w="0" w:type="dxa"/>
                    <w:bottom w:w="0" w:type="dxa"/>
                    <w:right w:w="0" w:type="dxa"/>
                  </w:tcMar>
                  <w:vAlign w:val="center"/>
                </w:tcPr>
                <w:p w14:paraId="5841E83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kern w:val="2"/>
                      <w:sz w:val="21"/>
                      <w:szCs w:val="21"/>
                      <w:lang w:val="en-US" w:eastAsia="zh-CN" w:bidi="ar-SA"/>
                    </w:rPr>
                  </w:pPr>
                  <w:r>
                    <w:rPr>
                      <w:rFonts w:hint="eastAsia"/>
                      <w:color w:val="auto"/>
                      <w:szCs w:val="21"/>
                      <w:lang w:val="en-US" w:eastAsia="zh-CN"/>
                    </w:rPr>
                    <w:t>0.08</w:t>
                  </w:r>
                </w:p>
              </w:tc>
              <w:tc>
                <w:tcPr>
                  <w:tcW w:w="561" w:type="pct"/>
                  <w:noWrap w:val="0"/>
                  <w:tcMar>
                    <w:top w:w="0" w:type="dxa"/>
                    <w:left w:w="0" w:type="dxa"/>
                    <w:bottom w:w="0" w:type="dxa"/>
                    <w:right w:w="0" w:type="dxa"/>
                  </w:tcMar>
                  <w:vAlign w:val="center"/>
                </w:tcPr>
                <w:p w14:paraId="07EB4AE4">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color w:val="auto"/>
                      <w:kern w:val="18"/>
                      <w:sz w:val="21"/>
                      <w:szCs w:val="21"/>
                      <w:lang w:val="en-US" w:eastAsia="zh-CN" w:bidi="ar-SA"/>
                    </w:rPr>
                  </w:pPr>
                  <w:r>
                    <w:rPr>
                      <w:color w:val="auto"/>
                      <w:kern w:val="18"/>
                      <w:szCs w:val="21"/>
                    </w:rPr>
                    <w:t>√</w:t>
                  </w:r>
                </w:p>
              </w:tc>
              <w:tc>
                <w:tcPr>
                  <w:tcW w:w="478" w:type="pct"/>
                  <w:noWrap w:val="0"/>
                  <w:tcMar>
                    <w:top w:w="0" w:type="dxa"/>
                    <w:left w:w="0" w:type="dxa"/>
                    <w:bottom w:w="0" w:type="dxa"/>
                    <w:right w:w="0" w:type="dxa"/>
                  </w:tcMar>
                  <w:vAlign w:val="center"/>
                </w:tcPr>
                <w:p w14:paraId="5F5DAFA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2"/>
                      <w:sz w:val="21"/>
                      <w:szCs w:val="21"/>
                      <w:lang w:val="en-US" w:eastAsia="zh-CN" w:bidi="ar-SA"/>
                    </w:rPr>
                  </w:pPr>
                  <w:r>
                    <w:rPr>
                      <w:color w:val="auto"/>
                      <w:szCs w:val="21"/>
                    </w:rPr>
                    <w:t>/</w:t>
                  </w:r>
                </w:p>
              </w:tc>
              <w:tc>
                <w:tcPr>
                  <w:tcW w:w="604" w:type="pct"/>
                  <w:vMerge w:val="continue"/>
                  <w:noWrap w:val="0"/>
                  <w:tcMar>
                    <w:top w:w="0" w:type="dxa"/>
                    <w:left w:w="0" w:type="dxa"/>
                    <w:bottom w:w="0" w:type="dxa"/>
                    <w:right w:w="0" w:type="dxa"/>
                  </w:tcMar>
                  <w:vAlign w:val="center"/>
                </w:tcPr>
                <w:p w14:paraId="4F915FE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p>
              </w:tc>
            </w:tr>
            <w:tr w14:paraId="682C8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shd w:val="clear" w:color="auto" w:fill="auto"/>
                  <w:noWrap w:val="0"/>
                  <w:tcMar>
                    <w:top w:w="0" w:type="dxa"/>
                    <w:left w:w="0" w:type="dxa"/>
                    <w:bottom w:w="0" w:type="dxa"/>
                    <w:right w:w="0" w:type="dxa"/>
                  </w:tcMar>
                  <w:vAlign w:val="center"/>
                </w:tcPr>
                <w:p w14:paraId="0E5B71E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7</w:t>
                  </w:r>
                </w:p>
              </w:tc>
              <w:tc>
                <w:tcPr>
                  <w:tcW w:w="664" w:type="pct"/>
                  <w:shd w:val="clear" w:color="auto" w:fill="auto"/>
                  <w:noWrap w:val="0"/>
                  <w:tcMar>
                    <w:top w:w="0" w:type="dxa"/>
                    <w:left w:w="0" w:type="dxa"/>
                    <w:bottom w:w="0" w:type="dxa"/>
                    <w:right w:w="0" w:type="dxa"/>
                  </w:tcMar>
                  <w:vAlign w:val="center"/>
                </w:tcPr>
                <w:p w14:paraId="017B750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废含油抹布</w:t>
                  </w:r>
                </w:p>
              </w:tc>
              <w:tc>
                <w:tcPr>
                  <w:tcW w:w="637" w:type="pct"/>
                  <w:noWrap w:val="0"/>
                  <w:tcMar>
                    <w:top w:w="0" w:type="dxa"/>
                    <w:left w:w="0" w:type="dxa"/>
                    <w:bottom w:w="0" w:type="dxa"/>
                    <w:right w:w="0" w:type="dxa"/>
                  </w:tcMar>
                  <w:vAlign w:val="center"/>
                </w:tcPr>
                <w:p w14:paraId="25A6C888">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color w:val="auto"/>
                      <w:lang w:val="en-US" w:eastAsia="zh-CN"/>
                    </w:rPr>
                    <w:t>设备擦拭</w:t>
                  </w:r>
                </w:p>
              </w:tc>
              <w:tc>
                <w:tcPr>
                  <w:tcW w:w="260" w:type="pct"/>
                  <w:noWrap w:val="0"/>
                  <w:tcMar>
                    <w:top w:w="0" w:type="dxa"/>
                    <w:left w:w="0" w:type="dxa"/>
                    <w:bottom w:w="0" w:type="dxa"/>
                    <w:right w:w="0" w:type="dxa"/>
                  </w:tcMar>
                  <w:vAlign w:val="center"/>
                </w:tcPr>
                <w:p w14:paraId="00C6C51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r>
                    <w:rPr>
                      <w:color w:val="auto"/>
                      <w:szCs w:val="21"/>
                    </w:rPr>
                    <w:t>固</w:t>
                  </w:r>
                </w:p>
              </w:tc>
              <w:tc>
                <w:tcPr>
                  <w:tcW w:w="951" w:type="pct"/>
                  <w:noWrap w:val="0"/>
                  <w:tcMar>
                    <w:top w:w="0" w:type="dxa"/>
                    <w:left w:w="0" w:type="dxa"/>
                    <w:bottom w:w="0" w:type="dxa"/>
                    <w:right w:w="0" w:type="dxa"/>
                  </w:tcMar>
                  <w:vAlign w:val="center"/>
                </w:tcPr>
                <w:p w14:paraId="302E5825">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color w:val="auto"/>
                      <w:lang w:val="en-US" w:eastAsia="zh-CN"/>
                    </w:rPr>
                    <w:t>纤维、矿物油</w:t>
                  </w:r>
                </w:p>
              </w:tc>
              <w:tc>
                <w:tcPr>
                  <w:tcW w:w="560" w:type="pct"/>
                  <w:noWrap w:val="0"/>
                  <w:tcMar>
                    <w:top w:w="0" w:type="dxa"/>
                    <w:left w:w="0" w:type="dxa"/>
                    <w:bottom w:w="0" w:type="dxa"/>
                    <w:right w:w="0" w:type="dxa"/>
                  </w:tcMar>
                  <w:vAlign w:val="center"/>
                </w:tcPr>
                <w:p w14:paraId="0B3089D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szCs w:val="21"/>
                      <w:lang w:val="en-US" w:eastAsia="zh-CN"/>
                    </w:rPr>
                  </w:pPr>
                  <w:r>
                    <w:rPr>
                      <w:rFonts w:hint="eastAsia"/>
                      <w:color w:val="auto"/>
                      <w:szCs w:val="21"/>
                      <w:lang w:val="en-US" w:eastAsia="zh-CN"/>
                    </w:rPr>
                    <w:t>0.01</w:t>
                  </w:r>
                </w:p>
              </w:tc>
              <w:tc>
                <w:tcPr>
                  <w:tcW w:w="561" w:type="pct"/>
                  <w:noWrap w:val="0"/>
                  <w:tcMar>
                    <w:top w:w="0" w:type="dxa"/>
                    <w:left w:w="0" w:type="dxa"/>
                    <w:bottom w:w="0" w:type="dxa"/>
                    <w:right w:w="0" w:type="dxa"/>
                  </w:tcMar>
                  <w:vAlign w:val="center"/>
                </w:tcPr>
                <w:p w14:paraId="5AC5A022">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color w:val="auto"/>
                      <w:kern w:val="18"/>
                      <w:sz w:val="21"/>
                      <w:szCs w:val="21"/>
                      <w:lang w:val="en-US" w:eastAsia="zh-CN" w:bidi="ar-SA"/>
                    </w:rPr>
                  </w:pPr>
                  <w:r>
                    <w:rPr>
                      <w:color w:val="auto"/>
                      <w:kern w:val="18"/>
                      <w:szCs w:val="21"/>
                    </w:rPr>
                    <w:t>√</w:t>
                  </w:r>
                </w:p>
              </w:tc>
              <w:tc>
                <w:tcPr>
                  <w:tcW w:w="478" w:type="pct"/>
                  <w:noWrap w:val="0"/>
                  <w:tcMar>
                    <w:top w:w="0" w:type="dxa"/>
                    <w:left w:w="0" w:type="dxa"/>
                    <w:bottom w:w="0" w:type="dxa"/>
                    <w:right w:w="0" w:type="dxa"/>
                  </w:tcMar>
                  <w:vAlign w:val="center"/>
                </w:tcPr>
                <w:p w14:paraId="79A75D3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2"/>
                      <w:sz w:val="21"/>
                      <w:szCs w:val="21"/>
                      <w:lang w:val="en-US" w:eastAsia="zh-CN" w:bidi="ar-SA"/>
                    </w:rPr>
                  </w:pPr>
                  <w:r>
                    <w:rPr>
                      <w:color w:val="auto"/>
                      <w:szCs w:val="21"/>
                    </w:rPr>
                    <w:t>/</w:t>
                  </w:r>
                </w:p>
              </w:tc>
              <w:tc>
                <w:tcPr>
                  <w:tcW w:w="604" w:type="pct"/>
                  <w:vMerge w:val="continue"/>
                  <w:noWrap w:val="0"/>
                  <w:tcMar>
                    <w:top w:w="0" w:type="dxa"/>
                    <w:left w:w="0" w:type="dxa"/>
                    <w:bottom w:w="0" w:type="dxa"/>
                    <w:right w:w="0" w:type="dxa"/>
                  </w:tcMar>
                  <w:vAlign w:val="center"/>
                </w:tcPr>
                <w:p w14:paraId="40458E2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p>
              </w:tc>
            </w:tr>
            <w:tr w14:paraId="507C5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shd w:val="clear" w:color="auto" w:fill="auto"/>
                  <w:noWrap w:val="0"/>
                  <w:tcMar>
                    <w:top w:w="0" w:type="dxa"/>
                    <w:left w:w="0" w:type="dxa"/>
                    <w:bottom w:w="0" w:type="dxa"/>
                    <w:right w:w="0" w:type="dxa"/>
                  </w:tcMar>
                  <w:vAlign w:val="center"/>
                </w:tcPr>
                <w:p w14:paraId="2EEE78F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8</w:t>
                  </w:r>
                </w:p>
              </w:tc>
              <w:tc>
                <w:tcPr>
                  <w:tcW w:w="664" w:type="pct"/>
                  <w:shd w:val="clear" w:color="auto" w:fill="auto"/>
                  <w:noWrap w:val="0"/>
                  <w:tcMar>
                    <w:top w:w="0" w:type="dxa"/>
                    <w:left w:w="0" w:type="dxa"/>
                    <w:bottom w:w="0" w:type="dxa"/>
                    <w:right w:w="0" w:type="dxa"/>
                  </w:tcMar>
                  <w:vAlign w:val="center"/>
                </w:tcPr>
                <w:p w14:paraId="6718877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废活性炭</w:t>
                  </w:r>
                </w:p>
              </w:tc>
              <w:tc>
                <w:tcPr>
                  <w:tcW w:w="637" w:type="pct"/>
                  <w:noWrap w:val="0"/>
                  <w:tcMar>
                    <w:top w:w="0" w:type="dxa"/>
                    <w:left w:w="0" w:type="dxa"/>
                    <w:bottom w:w="0" w:type="dxa"/>
                    <w:right w:w="0" w:type="dxa"/>
                  </w:tcMar>
                  <w:vAlign w:val="center"/>
                </w:tcPr>
                <w:p w14:paraId="454F89F6">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color w:val="auto"/>
                      <w:lang w:val="en-US" w:eastAsia="zh-CN"/>
                    </w:rPr>
                    <w:t>废气处理</w:t>
                  </w:r>
                </w:p>
              </w:tc>
              <w:tc>
                <w:tcPr>
                  <w:tcW w:w="260" w:type="pct"/>
                  <w:noWrap w:val="0"/>
                  <w:tcMar>
                    <w:top w:w="0" w:type="dxa"/>
                    <w:left w:w="0" w:type="dxa"/>
                    <w:bottom w:w="0" w:type="dxa"/>
                    <w:right w:w="0" w:type="dxa"/>
                  </w:tcMar>
                  <w:vAlign w:val="center"/>
                </w:tcPr>
                <w:p w14:paraId="31D330D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eastAsia="宋体"/>
                      <w:color w:val="auto"/>
                      <w:szCs w:val="21"/>
                      <w:lang w:val="en-US" w:eastAsia="zh-CN"/>
                    </w:rPr>
                  </w:pPr>
                  <w:r>
                    <w:rPr>
                      <w:rFonts w:hint="eastAsia"/>
                      <w:color w:val="auto"/>
                      <w:szCs w:val="21"/>
                      <w:lang w:val="en-US" w:eastAsia="zh-CN"/>
                    </w:rPr>
                    <w:t>固</w:t>
                  </w:r>
                </w:p>
              </w:tc>
              <w:tc>
                <w:tcPr>
                  <w:tcW w:w="951" w:type="pct"/>
                  <w:noWrap w:val="0"/>
                  <w:tcMar>
                    <w:top w:w="0" w:type="dxa"/>
                    <w:left w:w="0" w:type="dxa"/>
                    <w:bottom w:w="0" w:type="dxa"/>
                    <w:right w:w="0" w:type="dxa"/>
                  </w:tcMar>
                  <w:vAlign w:val="center"/>
                </w:tcPr>
                <w:p w14:paraId="4A7D4770">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lang w:val="en-US" w:eastAsia="zh-CN"/>
                    </w:rPr>
                  </w:pPr>
                  <w:r>
                    <w:rPr>
                      <w:rFonts w:hint="eastAsia"/>
                      <w:color w:val="auto"/>
                      <w:lang w:val="en-US" w:eastAsia="zh-CN"/>
                    </w:rPr>
                    <w:t>有机物、活性炭</w:t>
                  </w:r>
                </w:p>
              </w:tc>
              <w:tc>
                <w:tcPr>
                  <w:tcW w:w="560" w:type="pct"/>
                  <w:noWrap w:val="0"/>
                  <w:tcMar>
                    <w:top w:w="0" w:type="dxa"/>
                    <w:left w:w="0" w:type="dxa"/>
                    <w:bottom w:w="0" w:type="dxa"/>
                    <w:right w:w="0" w:type="dxa"/>
                  </w:tcMar>
                  <w:vAlign w:val="center"/>
                </w:tcPr>
                <w:p w14:paraId="7D23996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olor w:val="auto"/>
                      <w:szCs w:val="21"/>
                      <w:lang w:val="en-US" w:eastAsia="zh-CN"/>
                    </w:rPr>
                  </w:pPr>
                  <w:r>
                    <w:rPr>
                      <w:rFonts w:hint="eastAsia"/>
                      <w:color w:val="0000FF"/>
                      <w:szCs w:val="21"/>
                      <w:lang w:val="en-US" w:eastAsia="zh-CN"/>
                    </w:rPr>
                    <w:t>3.95</w:t>
                  </w:r>
                </w:p>
              </w:tc>
              <w:tc>
                <w:tcPr>
                  <w:tcW w:w="561" w:type="pct"/>
                  <w:noWrap w:val="0"/>
                  <w:tcMar>
                    <w:top w:w="0" w:type="dxa"/>
                    <w:left w:w="0" w:type="dxa"/>
                    <w:bottom w:w="0" w:type="dxa"/>
                    <w:right w:w="0" w:type="dxa"/>
                  </w:tcMar>
                  <w:vAlign w:val="center"/>
                </w:tcPr>
                <w:p w14:paraId="09F4D2A4">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color w:val="auto"/>
                      <w:kern w:val="18"/>
                      <w:sz w:val="21"/>
                      <w:szCs w:val="21"/>
                      <w:lang w:val="en-US" w:eastAsia="zh-CN" w:bidi="ar-SA"/>
                    </w:rPr>
                  </w:pPr>
                  <w:r>
                    <w:rPr>
                      <w:color w:val="auto"/>
                      <w:kern w:val="18"/>
                      <w:szCs w:val="21"/>
                    </w:rPr>
                    <w:t>√</w:t>
                  </w:r>
                </w:p>
              </w:tc>
              <w:tc>
                <w:tcPr>
                  <w:tcW w:w="478" w:type="pct"/>
                  <w:noWrap w:val="0"/>
                  <w:tcMar>
                    <w:top w:w="0" w:type="dxa"/>
                    <w:left w:w="0" w:type="dxa"/>
                    <w:bottom w:w="0" w:type="dxa"/>
                    <w:right w:w="0" w:type="dxa"/>
                  </w:tcMar>
                  <w:vAlign w:val="center"/>
                </w:tcPr>
                <w:p w14:paraId="71572CD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2"/>
                      <w:sz w:val="21"/>
                      <w:szCs w:val="21"/>
                      <w:lang w:val="en-US" w:eastAsia="zh-CN" w:bidi="ar-SA"/>
                    </w:rPr>
                  </w:pPr>
                  <w:r>
                    <w:rPr>
                      <w:color w:val="auto"/>
                      <w:szCs w:val="21"/>
                    </w:rPr>
                    <w:t>/</w:t>
                  </w:r>
                </w:p>
              </w:tc>
              <w:tc>
                <w:tcPr>
                  <w:tcW w:w="604" w:type="pct"/>
                  <w:vMerge w:val="continue"/>
                  <w:noWrap w:val="0"/>
                  <w:tcMar>
                    <w:top w:w="0" w:type="dxa"/>
                    <w:left w:w="0" w:type="dxa"/>
                    <w:bottom w:w="0" w:type="dxa"/>
                    <w:right w:w="0" w:type="dxa"/>
                  </w:tcMar>
                  <w:vAlign w:val="center"/>
                </w:tcPr>
                <w:p w14:paraId="03B0F07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p>
              </w:tc>
            </w:tr>
            <w:tr w14:paraId="345E0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shd w:val="clear" w:color="auto" w:fill="auto"/>
                  <w:noWrap w:val="0"/>
                  <w:tcMar>
                    <w:top w:w="0" w:type="dxa"/>
                    <w:left w:w="0" w:type="dxa"/>
                    <w:bottom w:w="0" w:type="dxa"/>
                    <w:right w:w="0" w:type="dxa"/>
                  </w:tcMar>
                  <w:vAlign w:val="center"/>
                </w:tcPr>
                <w:p w14:paraId="0FDAD2D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9</w:t>
                  </w:r>
                </w:p>
              </w:tc>
              <w:tc>
                <w:tcPr>
                  <w:tcW w:w="664" w:type="pct"/>
                  <w:noWrap w:val="0"/>
                  <w:tcMar>
                    <w:top w:w="0" w:type="dxa"/>
                    <w:left w:w="0" w:type="dxa"/>
                    <w:bottom w:w="0" w:type="dxa"/>
                    <w:right w:w="0" w:type="dxa"/>
                  </w:tcMar>
                  <w:vAlign w:val="center"/>
                </w:tcPr>
                <w:p w14:paraId="173263E5">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color w:val="auto"/>
                      <w:kern w:val="18"/>
                      <w:sz w:val="21"/>
                      <w:szCs w:val="21"/>
                      <w:lang w:val="en-US" w:eastAsia="zh-CN" w:bidi="ar-SA"/>
                    </w:rPr>
                  </w:pPr>
                  <w:r>
                    <w:rPr>
                      <w:color w:val="auto"/>
                    </w:rPr>
                    <w:t>生活垃圾</w:t>
                  </w:r>
                </w:p>
              </w:tc>
              <w:tc>
                <w:tcPr>
                  <w:tcW w:w="637" w:type="pct"/>
                  <w:noWrap w:val="0"/>
                  <w:tcMar>
                    <w:top w:w="0" w:type="dxa"/>
                    <w:left w:w="0" w:type="dxa"/>
                    <w:bottom w:w="0" w:type="dxa"/>
                    <w:right w:w="0" w:type="dxa"/>
                  </w:tcMar>
                  <w:vAlign w:val="center"/>
                </w:tcPr>
                <w:p w14:paraId="45D9F3F6">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color w:val="auto"/>
                      <w:kern w:val="18"/>
                      <w:sz w:val="21"/>
                      <w:szCs w:val="21"/>
                      <w:lang w:val="en-US" w:eastAsia="zh-CN" w:bidi="ar-SA"/>
                    </w:rPr>
                  </w:pPr>
                  <w:r>
                    <w:rPr>
                      <w:color w:val="auto"/>
                    </w:rPr>
                    <w:t>员工生活</w:t>
                  </w:r>
                </w:p>
              </w:tc>
              <w:tc>
                <w:tcPr>
                  <w:tcW w:w="260" w:type="pct"/>
                  <w:noWrap w:val="0"/>
                  <w:tcMar>
                    <w:top w:w="0" w:type="dxa"/>
                    <w:left w:w="0" w:type="dxa"/>
                    <w:bottom w:w="0" w:type="dxa"/>
                    <w:right w:w="0" w:type="dxa"/>
                  </w:tcMar>
                  <w:vAlign w:val="center"/>
                </w:tcPr>
                <w:p w14:paraId="7FC734F6">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color w:val="auto"/>
                      <w:kern w:val="18"/>
                      <w:sz w:val="21"/>
                      <w:szCs w:val="21"/>
                      <w:lang w:val="en-US" w:eastAsia="zh-CN" w:bidi="ar-SA"/>
                    </w:rPr>
                  </w:pPr>
                  <w:r>
                    <w:rPr>
                      <w:color w:val="auto"/>
                    </w:rPr>
                    <w:t>固</w:t>
                  </w:r>
                </w:p>
              </w:tc>
              <w:tc>
                <w:tcPr>
                  <w:tcW w:w="951" w:type="pct"/>
                  <w:noWrap w:val="0"/>
                  <w:tcMar>
                    <w:top w:w="0" w:type="dxa"/>
                    <w:left w:w="0" w:type="dxa"/>
                    <w:bottom w:w="0" w:type="dxa"/>
                    <w:right w:w="0" w:type="dxa"/>
                  </w:tcMar>
                  <w:vAlign w:val="center"/>
                </w:tcPr>
                <w:p w14:paraId="64444C44">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color w:val="auto"/>
                      <w:kern w:val="18"/>
                      <w:sz w:val="21"/>
                      <w:szCs w:val="21"/>
                      <w:lang w:val="en-US" w:eastAsia="zh-CN" w:bidi="ar-SA"/>
                    </w:rPr>
                  </w:pPr>
                  <w:r>
                    <w:rPr>
                      <w:color w:val="auto"/>
                    </w:rPr>
                    <w:t>纸屑等生活垃圾</w:t>
                  </w:r>
                </w:p>
              </w:tc>
              <w:tc>
                <w:tcPr>
                  <w:tcW w:w="560" w:type="pct"/>
                  <w:noWrap w:val="0"/>
                  <w:tcMar>
                    <w:top w:w="0" w:type="dxa"/>
                    <w:left w:w="0" w:type="dxa"/>
                    <w:bottom w:w="0" w:type="dxa"/>
                    <w:right w:w="0" w:type="dxa"/>
                  </w:tcMar>
                  <w:vAlign w:val="center"/>
                </w:tcPr>
                <w:p w14:paraId="4CAD90F6">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eastAsia="宋体"/>
                      <w:color w:val="auto"/>
                      <w:kern w:val="18"/>
                      <w:sz w:val="21"/>
                      <w:szCs w:val="21"/>
                      <w:lang w:val="en-US" w:eastAsia="zh-CN" w:bidi="ar-SA"/>
                    </w:rPr>
                  </w:pPr>
                  <w:r>
                    <w:rPr>
                      <w:rFonts w:hint="eastAsia"/>
                      <w:color w:val="auto"/>
                      <w:lang w:val="en-US" w:eastAsia="zh-CN"/>
                    </w:rPr>
                    <w:t>0.9</w:t>
                  </w:r>
                </w:p>
              </w:tc>
              <w:tc>
                <w:tcPr>
                  <w:tcW w:w="561" w:type="pct"/>
                  <w:noWrap w:val="0"/>
                  <w:tcMar>
                    <w:top w:w="0" w:type="dxa"/>
                    <w:left w:w="0" w:type="dxa"/>
                    <w:bottom w:w="0" w:type="dxa"/>
                    <w:right w:w="0" w:type="dxa"/>
                  </w:tcMar>
                  <w:vAlign w:val="center"/>
                </w:tcPr>
                <w:p w14:paraId="42415F1F">
                  <w:pPr>
                    <w:keepNext w:val="0"/>
                    <w:keepLines w:val="0"/>
                    <w:pageBreakBefore w:val="0"/>
                    <w:widowControl w:val="0"/>
                    <w:kinsoku/>
                    <w:wordWrap/>
                    <w:overflowPunct/>
                    <w:topLinePunct w:val="0"/>
                    <w:autoSpaceDE/>
                    <w:autoSpaceDN/>
                    <w:bidi w:val="0"/>
                    <w:adjustRightInd w:val="0"/>
                    <w:snapToGrid w:val="0"/>
                    <w:ind w:left="0" w:leftChars="0" w:right="0" w:rightChars="0"/>
                    <w:contextualSpacing/>
                    <w:jc w:val="center"/>
                    <w:textAlignment w:val="auto"/>
                    <w:rPr>
                      <w:color w:val="auto"/>
                      <w:kern w:val="18"/>
                      <w:sz w:val="21"/>
                      <w:szCs w:val="21"/>
                      <w:lang w:val="en-US" w:eastAsia="zh-CN" w:bidi="ar-SA"/>
                    </w:rPr>
                  </w:pPr>
                  <w:r>
                    <w:rPr>
                      <w:color w:val="auto"/>
                      <w:kern w:val="18"/>
                      <w:szCs w:val="21"/>
                    </w:rPr>
                    <w:t>√</w:t>
                  </w:r>
                </w:p>
              </w:tc>
              <w:tc>
                <w:tcPr>
                  <w:tcW w:w="478" w:type="pct"/>
                  <w:noWrap w:val="0"/>
                  <w:tcMar>
                    <w:top w:w="0" w:type="dxa"/>
                    <w:left w:w="0" w:type="dxa"/>
                    <w:bottom w:w="0" w:type="dxa"/>
                    <w:right w:w="0" w:type="dxa"/>
                  </w:tcMar>
                  <w:vAlign w:val="center"/>
                </w:tcPr>
                <w:p w14:paraId="683DB2B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2"/>
                      <w:sz w:val="21"/>
                      <w:szCs w:val="21"/>
                      <w:lang w:val="en-US" w:eastAsia="zh-CN" w:bidi="ar-SA"/>
                    </w:rPr>
                  </w:pPr>
                  <w:r>
                    <w:rPr>
                      <w:color w:val="auto"/>
                      <w:szCs w:val="21"/>
                    </w:rPr>
                    <w:t>/</w:t>
                  </w:r>
                </w:p>
              </w:tc>
              <w:tc>
                <w:tcPr>
                  <w:tcW w:w="604" w:type="pct"/>
                  <w:vMerge w:val="continue"/>
                  <w:noWrap w:val="0"/>
                  <w:tcMar>
                    <w:top w:w="0" w:type="dxa"/>
                    <w:left w:w="0" w:type="dxa"/>
                    <w:bottom w:w="0" w:type="dxa"/>
                    <w:right w:w="0" w:type="dxa"/>
                  </w:tcMar>
                  <w:vAlign w:val="center"/>
                </w:tcPr>
                <w:p w14:paraId="2D119C8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szCs w:val="21"/>
                    </w:rPr>
                  </w:pPr>
                </w:p>
              </w:tc>
            </w:tr>
          </w:tbl>
          <w:p w14:paraId="4B935BE5">
            <w:pPr>
              <w:spacing w:before="120" w:beforeLines="50" w:line="360" w:lineRule="auto"/>
              <w:ind w:firstLine="422" w:firstLineChars="200"/>
              <w:jc w:val="left"/>
              <w:rPr>
                <w:bCs/>
                <w:color w:val="auto"/>
                <w:szCs w:val="21"/>
              </w:rPr>
            </w:pPr>
            <w:r>
              <w:rPr>
                <w:b/>
                <w:color w:val="auto"/>
                <w:szCs w:val="21"/>
              </w:rPr>
              <w:t>3、固废属性判定以及产生量核算</w:t>
            </w:r>
          </w:p>
          <w:p w14:paraId="1B60CE07">
            <w:pPr>
              <w:spacing w:line="360" w:lineRule="auto"/>
              <w:ind w:firstLine="420" w:firstLineChars="200"/>
              <w:jc w:val="left"/>
              <w:rPr>
                <w:bCs/>
                <w:color w:val="auto"/>
                <w:szCs w:val="21"/>
              </w:rPr>
            </w:pPr>
            <w:r>
              <w:rPr>
                <w:bCs/>
                <w:color w:val="auto"/>
                <w:szCs w:val="21"/>
              </w:rPr>
              <w:t>根据副产物产生情况分析和副产物应按照</w:t>
            </w:r>
            <w:r>
              <w:rPr>
                <w:rFonts w:hint="eastAsia"/>
                <w:bCs/>
                <w:color w:val="auto"/>
                <w:szCs w:val="21"/>
                <w:lang w:eastAsia="zh-CN"/>
              </w:rPr>
              <w:t>《国家危险废物名录》（2025年版）</w:t>
            </w:r>
            <w:r>
              <w:rPr>
                <w:bCs/>
                <w:color w:val="auto"/>
                <w:szCs w:val="21"/>
              </w:rPr>
              <w:t>、《危险废物鉴别标准通则》（GB5085.7）等进行属性判定，并采用物料衡算法、类比法、产排污系数法等相结合的方法核算建设项目固体废物的产生量，详情见下表。</w:t>
            </w:r>
          </w:p>
          <w:p w14:paraId="66D1A3AA">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b/>
                <w:color w:val="auto"/>
                <w:szCs w:val="21"/>
              </w:rPr>
              <w:t>表4-</w:t>
            </w:r>
            <w:r>
              <w:rPr>
                <w:rFonts w:hint="eastAsia"/>
                <w:b/>
                <w:color w:val="auto"/>
                <w:szCs w:val="21"/>
                <w:lang w:val="en-US" w:eastAsia="zh-CN"/>
              </w:rPr>
              <w:t>25</w:t>
            </w:r>
            <w:r>
              <w:rPr>
                <w:b/>
                <w:color w:val="auto"/>
                <w:szCs w:val="21"/>
              </w:rPr>
              <w:t xml:space="preserve"> 本项目固体废弃物源强及排放情况</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82"/>
              <w:gridCol w:w="1152"/>
              <w:gridCol w:w="686"/>
              <w:gridCol w:w="1276"/>
              <w:gridCol w:w="654"/>
              <w:gridCol w:w="793"/>
              <w:gridCol w:w="1265"/>
              <w:gridCol w:w="1143"/>
              <w:gridCol w:w="1022"/>
            </w:tblGrid>
            <w:tr w14:paraId="0C9AC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noWrap w:val="0"/>
                  <w:vAlign w:val="center"/>
                </w:tcPr>
                <w:p w14:paraId="1E47DAA7">
                  <w:pPr>
                    <w:adjustRightInd w:val="0"/>
                    <w:snapToGrid w:val="0"/>
                    <w:jc w:val="center"/>
                    <w:rPr>
                      <w:color w:val="auto"/>
                      <w:szCs w:val="21"/>
                    </w:rPr>
                  </w:pPr>
                  <w:r>
                    <w:rPr>
                      <w:b/>
                      <w:color w:val="auto"/>
                      <w:szCs w:val="21"/>
                    </w:rPr>
                    <w:t>序号</w:t>
                  </w:r>
                </w:p>
              </w:tc>
              <w:tc>
                <w:tcPr>
                  <w:tcW w:w="687" w:type="pct"/>
                  <w:noWrap w:val="0"/>
                  <w:vAlign w:val="center"/>
                </w:tcPr>
                <w:p w14:paraId="534319D4">
                  <w:pPr>
                    <w:adjustRightInd w:val="0"/>
                    <w:snapToGrid w:val="0"/>
                    <w:jc w:val="center"/>
                    <w:rPr>
                      <w:color w:val="auto"/>
                      <w:szCs w:val="21"/>
                    </w:rPr>
                  </w:pPr>
                  <w:r>
                    <w:rPr>
                      <w:b/>
                      <w:color w:val="auto"/>
                      <w:szCs w:val="21"/>
                    </w:rPr>
                    <w:t>名称</w:t>
                  </w:r>
                </w:p>
              </w:tc>
              <w:tc>
                <w:tcPr>
                  <w:tcW w:w="409" w:type="pct"/>
                  <w:noWrap w:val="0"/>
                  <w:vAlign w:val="center"/>
                </w:tcPr>
                <w:p w14:paraId="6DD0FBF9">
                  <w:pPr>
                    <w:adjustRightInd w:val="0"/>
                    <w:snapToGrid w:val="0"/>
                    <w:jc w:val="center"/>
                    <w:rPr>
                      <w:color w:val="auto"/>
                      <w:szCs w:val="21"/>
                    </w:rPr>
                  </w:pPr>
                  <w:r>
                    <w:rPr>
                      <w:b/>
                      <w:color w:val="auto"/>
                      <w:szCs w:val="21"/>
                    </w:rPr>
                    <w:t>属性</w:t>
                  </w:r>
                </w:p>
              </w:tc>
              <w:tc>
                <w:tcPr>
                  <w:tcW w:w="761" w:type="pct"/>
                  <w:noWrap w:val="0"/>
                  <w:vAlign w:val="center"/>
                </w:tcPr>
                <w:p w14:paraId="14490A57">
                  <w:pPr>
                    <w:adjustRightInd w:val="0"/>
                    <w:snapToGrid w:val="0"/>
                    <w:jc w:val="center"/>
                    <w:rPr>
                      <w:color w:val="auto"/>
                      <w:szCs w:val="21"/>
                    </w:rPr>
                  </w:pPr>
                  <w:r>
                    <w:rPr>
                      <w:b/>
                      <w:color w:val="auto"/>
                      <w:szCs w:val="21"/>
                    </w:rPr>
                    <w:t>危险特性鉴别方法</w:t>
                  </w:r>
                </w:p>
              </w:tc>
              <w:tc>
                <w:tcPr>
                  <w:tcW w:w="390" w:type="pct"/>
                  <w:noWrap w:val="0"/>
                  <w:vAlign w:val="center"/>
                </w:tcPr>
                <w:p w14:paraId="6D4EF2F3">
                  <w:pPr>
                    <w:adjustRightInd w:val="0"/>
                    <w:snapToGrid w:val="0"/>
                    <w:jc w:val="center"/>
                    <w:rPr>
                      <w:b/>
                      <w:color w:val="auto"/>
                      <w:szCs w:val="21"/>
                    </w:rPr>
                  </w:pPr>
                  <w:r>
                    <w:rPr>
                      <w:b/>
                      <w:color w:val="auto"/>
                      <w:szCs w:val="21"/>
                    </w:rPr>
                    <w:t>危险</w:t>
                  </w:r>
                </w:p>
                <w:p w14:paraId="6F3A5E9B">
                  <w:pPr>
                    <w:adjustRightInd w:val="0"/>
                    <w:snapToGrid w:val="0"/>
                    <w:jc w:val="center"/>
                    <w:rPr>
                      <w:color w:val="auto"/>
                      <w:szCs w:val="21"/>
                    </w:rPr>
                  </w:pPr>
                  <w:r>
                    <w:rPr>
                      <w:b/>
                      <w:color w:val="auto"/>
                      <w:szCs w:val="21"/>
                    </w:rPr>
                    <w:t>特性</w:t>
                  </w:r>
                </w:p>
              </w:tc>
              <w:tc>
                <w:tcPr>
                  <w:tcW w:w="473" w:type="pct"/>
                  <w:noWrap w:val="0"/>
                  <w:vAlign w:val="center"/>
                </w:tcPr>
                <w:p w14:paraId="4AEB259B">
                  <w:pPr>
                    <w:adjustRightInd w:val="0"/>
                    <w:snapToGrid w:val="0"/>
                    <w:jc w:val="center"/>
                    <w:rPr>
                      <w:b/>
                      <w:color w:val="auto"/>
                      <w:szCs w:val="21"/>
                    </w:rPr>
                  </w:pPr>
                  <w:r>
                    <w:rPr>
                      <w:b/>
                      <w:color w:val="auto"/>
                      <w:szCs w:val="21"/>
                    </w:rPr>
                    <w:t>废物类别</w:t>
                  </w:r>
                </w:p>
              </w:tc>
              <w:tc>
                <w:tcPr>
                  <w:tcW w:w="755" w:type="pct"/>
                  <w:noWrap w:val="0"/>
                  <w:vAlign w:val="center"/>
                </w:tcPr>
                <w:p w14:paraId="3D52F078">
                  <w:pPr>
                    <w:adjustRightInd w:val="0"/>
                    <w:snapToGrid w:val="0"/>
                    <w:jc w:val="center"/>
                    <w:rPr>
                      <w:b/>
                      <w:color w:val="auto"/>
                      <w:szCs w:val="21"/>
                    </w:rPr>
                  </w:pPr>
                  <w:r>
                    <w:rPr>
                      <w:b/>
                      <w:color w:val="auto"/>
                      <w:szCs w:val="21"/>
                    </w:rPr>
                    <w:t>废物代码</w:t>
                  </w:r>
                </w:p>
              </w:tc>
              <w:tc>
                <w:tcPr>
                  <w:tcW w:w="682" w:type="pct"/>
                  <w:noWrap w:val="0"/>
                  <w:vAlign w:val="center"/>
                </w:tcPr>
                <w:p w14:paraId="74625BB8">
                  <w:pPr>
                    <w:adjustRightInd w:val="0"/>
                    <w:snapToGrid w:val="0"/>
                    <w:jc w:val="center"/>
                    <w:rPr>
                      <w:color w:val="auto"/>
                      <w:szCs w:val="21"/>
                    </w:rPr>
                  </w:pPr>
                  <w:r>
                    <w:rPr>
                      <w:b/>
                      <w:color w:val="auto"/>
                      <w:szCs w:val="21"/>
                    </w:rPr>
                    <w:t>处置或处置方式</w:t>
                  </w:r>
                </w:p>
              </w:tc>
              <w:tc>
                <w:tcPr>
                  <w:tcW w:w="610" w:type="pct"/>
                  <w:noWrap w:val="0"/>
                  <w:vAlign w:val="center"/>
                </w:tcPr>
                <w:p w14:paraId="31D8ABE4">
                  <w:pPr>
                    <w:adjustRightInd w:val="0"/>
                    <w:snapToGrid w:val="0"/>
                    <w:jc w:val="center"/>
                    <w:rPr>
                      <w:b/>
                      <w:color w:val="auto"/>
                      <w:szCs w:val="21"/>
                    </w:rPr>
                  </w:pPr>
                  <w:r>
                    <w:rPr>
                      <w:b/>
                      <w:bCs/>
                      <w:color w:val="auto"/>
                      <w:szCs w:val="21"/>
                    </w:rPr>
                    <w:t>估算产生量（t/年）</w:t>
                  </w:r>
                </w:p>
              </w:tc>
            </w:tr>
            <w:tr w14:paraId="0DD33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noWrap w:val="0"/>
                  <w:vAlign w:val="center"/>
                </w:tcPr>
                <w:p w14:paraId="6C95D37A">
                  <w:pPr>
                    <w:jc w:val="center"/>
                    <w:rPr>
                      <w:color w:val="auto"/>
                      <w:kern w:val="2"/>
                      <w:sz w:val="21"/>
                      <w:szCs w:val="21"/>
                      <w:lang w:val="en-US" w:eastAsia="zh-CN" w:bidi="ar-SA"/>
                    </w:rPr>
                  </w:pPr>
                  <w:r>
                    <w:rPr>
                      <w:color w:val="auto"/>
                      <w:szCs w:val="21"/>
                    </w:rPr>
                    <w:t>1</w:t>
                  </w:r>
                </w:p>
              </w:tc>
              <w:tc>
                <w:tcPr>
                  <w:tcW w:w="687" w:type="pct"/>
                  <w:shd w:val="clear" w:color="auto" w:fill="auto"/>
                  <w:noWrap w:val="0"/>
                  <w:vAlign w:val="center"/>
                </w:tcPr>
                <w:p w14:paraId="649B69D5">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废包装袋</w:t>
                  </w:r>
                </w:p>
              </w:tc>
              <w:tc>
                <w:tcPr>
                  <w:tcW w:w="409" w:type="pct"/>
                  <w:vMerge w:val="restart"/>
                  <w:noWrap w:val="0"/>
                  <w:vAlign w:val="center"/>
                </w:tcPr>
                <w:p w14:paraId="050DB668">
                  <w:pPr>
                    <w:adjustRightInd w:val="0"/>
                    <w:snapToGrid w:val="0"/>
                    <w:jc w:val="center"/>
                    <w:rPr>
                      <w:color w:val="auto"/>
                      <w:szCs w:val="21"/>
                    </w:rPr>
                  </w:pPr>
                  <w:r>
                    <w:rPr>
                      <w:color w:val="auto"/>
                      <w:szCs w:val="21"/>
                    </w:rPr>
                    <w:t>一般固废</w:t>
                  </w:r>
                </w:p>
              </w:tc>
              <w:tc>
                <w:tcPr>
                  <w:tcW w:w="761" w:type="pct"/>
                  <w:vMerge w:val="restart"/>
                  <w:noWrap w:val="0"/>
                  <w:vAlign w:val="center"/>
                </w:tcPr>
                <w:p w14:paraId="26B0D2B7">
                  <w:pPr>
                    <w:adjustRightInd w:val="0"/>
                    <w:snapToGrid w:val="0"/>
                    <w:jc w:val="center"/>
                    <w:rPr>
                      <w:color w:val="auto"/>
                      <w:szCs w:val="21"/>
                    </w:rPr>
                  </w:pPr>
                  <w:r>
                    <w:rPr>
                      <w:rFonts w:hint="eastAsia"/>
                      <w:color w:val="auto"/>
                      <w:szCs w:val="21"/>
                      <w:lang w:eastAsia="zh-CN"/>
                    </w:rPr>
                    <w:t>《国家危险废物名录》（2025年版）</w:t>
                  </w:r>
                  <w:r>
                    <w:rPr>
                      <w:color w:val="auto"/>
                      <w:szCs w:val="21"/>
                    </w:rPr>
                    <w:t>、《危险废物鉴别标准通则》（GB5085.7）</w:t>
                  </w:r>
                </w:p>
              </w:tc>
              <w:tc>
                <w:tcPr>
                  <w:tcW w:w="390" w:type="pct"/>
                  <w:shd w:val="clear" w:color="auto" w:fill="auto"/>
                  <w:noWrap w:val="0"/>
                  <w:vAlign w:val="center"/>
                </w:tcPr>
                <w:p w14:paraId="711886A1">
                  <w:pPr>
                    <w:pStyle w:val="85"/>
                    <w:ind w:left="-1" w:leftChars="-8" w:hanging="16" w:hangingChars="8"/>
                    <w:rPr>
                      <w:rFonts w:hint="default"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rPr>
                    <w:t>—</w:t>
                  </w:r>
                </w:p>
              </w:tc>
              <w:tc>
                <w:tcPr>
                  <w:tcW w:w="473" w:type="pct"/>
                  <w:shd w:val="clear" w:color="auto" w:fill="auto"/>
                  <w:noWrap w:val="0"/>
                  <w:vAlign w:val="center"/>
                </w:tcPr>
                <w:p w14:paraId="147450C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SW17</w:t>
                  </w:r>
                </w:p>
              </w:tc>
              <w:tc>
                <w:tcPr>
                  <w:tcW w:w="755" w:type="pct"/>
                  <w:shd w:val="clear" w:color="auto" w:fill="auto"/>
                  <w:noWrap w:val="0"/>
                  <w:vAlign w:val="center"/>
                </w:tcPr>
                <w:p w14:paraId="59A5BE2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900-003-S17</w:t>
                  </w:r>
                </w:p>
              </w:tc>
              <w:tc>
                <w:tcPr>
                  <w:tcW w:w="682" w:type="pct"/>
                  <w:vMerge w:val="restart"/>
                  <w:noWrap w:val="0"/>
                  <w:vAlign w:val="center"/>
                </w:tcPr>
                <w:p w14:paraId="6F235859">
                  <w:pPr>
                    <w:adjustRightInd w:val="0"/>
                    <w:snapToGrid w:val="0"/>
                    <w:jc w:val="center"/>
                    <w:rPr>
                      <w:color w:val="auto"/>
                      <w:szCs w:val="21"/>
                    </w:rPr>
                  </w:pPr>
                  <w:r>
                    <w:rPr>
                      <w:color w:val="auto"/>
                      <w:kern w:val="0"/>
                      <w:szCs w:val="21"/>
                    </w:rPr>
                    <w:t>外售综合利用</w:t>
                  </w:r>
                </w:p>
              </w:tc>
              <w:tc>
                <w:tcPr>
                  <w:tcW w:w="610" w:type="pct"/>
                  <w:shd w:val="clear" w:color="auto" w:fill="auto"/>
                  <w:noWrap w:val="0"/>
                  <w:vAlign w:val="center"/>
                </w:tcPr>
                <w:p w14:paraId="5D709F5D">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0000FF"/>
                      <w:kern w:val="18"/>
                      <w:sz w:val="21"/>
                      <w:szCs w:val="21"/>
                      <w:lang w:val="en-US" w:eastAsia="zh-CN" w:bidi="ar-SA"/>
                    </w:rPr>
                  </w:pPr>
                  <w:r>
                    <w:rPr>
                      <w:rFonts w:hint="eastAsia" w:ascii="Times New Roman" w:hAnsi="Times New Roman" w:eastAsia="宋体" w:cs="Times New Roman"/>
                      <w:bCs/>
                      <w:color w:val="0000FF"/>
                      <w:kern w:val="2"/>
                      <w:sz w:val="21"/>
                      <w:szCs w:val="21"/>
                      <w:lang w:val="en-US" w:eastAsia="zh-CN" w:bidi="ar-SA"/>
                    </w:rPr>
                    <w:t>3.6</w:t>
                  </w:r>
                </w:p>
              </w:tc>
            </w:tr>
            <w:tr w14:paraId="7791A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noWrap w:val="0"/>
                  <w:vAlign w:val="center"/>
                </w:tcPr>
                <w:p w14:paraId="0850F7CF">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w:t>
                  </w:r>
                </w:p>
              </w:tc>
              <w:tc>
                <w:tcPr>
                  <w:tcW w:w="687" w:type="pct"/>
                  <w:shd w:val="clear" w:color="auto" w:fill="auto"/>
                  <w:noWrap w:val="0"/>
                  <w:vAlign w:val="center"/>
                </w:tcPr>
                <w:p w14:paraId="7E8F253B">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sz w:val="21"/>
                      <w:szCs w:val="21"/>
                      <w:lang w:val="en-US" w:eastAsia="zh-CN"/>
                    </w:rPr>
                    <w:t>布袋捕集物、沉渣</w:t>
                  </w:r>
                </w:p>
              </w:tc>
              <w:tc>
                <w:tcPr>
                  <w:tcW w:w="409" w:type="pct"/>
                  <w:vMerge w:val="continue"/>
                  <w:noWrap w:val="0"/>
                  <w:vAlign w:val="center"/>
                </w:tcPr>
                <w:p w14:paraId="707B4EF1">
                  <w:pPr>
                    <w:adjustRightInd w:val="0"/>
                    <w:snapToGrid w:val="0"/>
                    <w:jc w:val="center"/>
                    <w:rPr>
                      <w:color w:val="auto"/>
                      <w:kern w:val="2"/>
                      <w:sz w:val="21"/>
                      <w:szCs w:val="21"/>
                      <w:lang w:val="en-US" w:eastAsia="zh-CN" w:bidi="ar-SA"/>
                    </w:rPr>
                  </w:pPr>
                </w:p>
              </w:tc>
              <w:tc>
                <w:tcPr>
                  <w:tcW w:w="761" w:type="pct"/>
                  <w:vMerge w:val="continue"/>
                  <w:noWrap w:val="0"/>
                  <w:vAlign w:val="center"/>
                </w:tcPr>
                <w:p w14:paraId="301161A2">
                  <w:pPr>
                    <w:adjustRightInd w:val="0"/>
                    <w:snapToGrid w:val="0"/>
                    <w:jc w:val="center"/>
                    <w:rPr>
                      <w:color w:val="auto"/>
                      <w:kern w:val="2"/>
                      <w:sz w:val="21"/>
                      <w:szCs w:val="21"/>
                      <w:lang w:val="en-US" w:eastAsia="zh-CN" w:bidi="ar-SA"/>
                    </w:rPr>
                  </w:pPr>
                </w:p>
              </w:tc>
              <w:tc>
                <w:tcPr>
                  <w:tcW w:w="390" w:type="pct"/>
                  <w:shd w:val="clear" w:color="auto" w:fill="auto"/>
                  <w:noWrap w:val="0"/>
                  <w:vAlign w:val="center"/>
                </w:tcPr>
                <w:p w14:paraId="32FFB7A9">
                  <w:pPr>
                    <w:pStyle w:val="85"/>
                    <w:ind w:left="-1" w:leftChars="-8" w:hanging="16" w:hangingChars="8"/>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rPr>
                    <w:t>—</w:t>
                  </w:r>
                </w:p>
              </w:tc>
              <w:tc>
                <w:tcPr>
                  <w:tcW w:w="473" w:type="pct"/>
                  <w:shd w:val="clear" w:color="auto" w:fill="auto"/>
                  <w:noWrap w:val="0"/>
                  <w:vAlign w:val="center"/>
                </w:tcPr>
                <w:p w14:paraId="45387B7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SW17</w:t>
                  </w:r>
                </w:p>
              </w:tc>
              <w:tc>
                <w:tcPr>
                  <w:tcW w:w="755" w:type="pct"/>
                  <w:shd w:val="clear" w:color="auto" w:fill="auto"/>
                  <w:noWrap w:val="0"/>
                  <w:vAlign w:val="center"/>
                </w:tcPr>
                <w:p w14:paraId="57CA72A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900-003-S17</w:t>
                  </w:r>
                </w:p>
              </w:tc>
              <w:tc>
                <w:tcPr>
                  <w:tcW w:w="682" w:type="pct"/>
                  <w:vMerge w:val="continue"/>
                  <w:noWrap w:val="0"/>
                  <w:vAlign w:val="center"/>
                </w:tcPr>
                <w:p w14:paraId="3F1CFB7C">
                  <w:pPr>
                    <w:adjustRightInd w:val="0"/>
                    <w:snapToGrid w:val="0"/>
                    <w:jc w:val="center"/>
                    <w:rPr>
                      <w:color w:val="auto"/>
                      <w:szCs w:val="21"/>
                    </w:rPr>
                  </w:pPr>
                </w:p>
              </w:tc>
              <w:tc>
                <w:tcPr>
                  <w:tcW w:w="610" w:type="pct"/>
                  <w:shd w:val="clear" w:color="auto" w:fill="auto"/>
                  <w:noWrap w:val="0"/>
                  <w:vAlign w:val="center"/>
                </w:tcPr>
                <w:p w14:paraId="606F7923">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sz w:val="21"/>
                      <w:szCs w:val="21"/>
                      <w:lang w:val="en-US" w:eastAsia="zh-CN"/>
                    </w:rPr>
                    <w:t>0.32</w:t>
                  </w:r>
                </w:p>
              </w:tc>
            </w:tr>
            <w:tr w14:paraId="3C0A9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shd w:val="clear" w:color="auto" w:fill="auto"/>
                  <w:noWrap w:val="0"/>
                  <w:vAlign w:val="center"/>
                </w:tcPr>
                <w:p w14:paraId="70094FE6">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687" w:type="pct"/>
                  <w:shd w:val="clear" w:color="auto" w:fill="auto"/>
                  <w:noWrap w:val="0"/>
                  <w:vAlign w:val="center"/>
                </w:tcPr>
                <w:p w14:paraId="0945563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喷淋塔废液</w:t>
                  </w:r>
                </w:p>
              </w:tc>
              <w:tc>
                <w:tcPr>
                  <w:tcW w:w="409" w:type="pct"/>
                  <w:vMerge w:val="restart"/>
                  <w:noWrap w:val="0"/>
                  <w:vAlign w:val="center"/>
                </w:tcPr>
                <w:p w14:paraId="28873ADC">
                  <w:pPr>
                    <w:adjustRightInd w:val="0"/>
                    <w:snapToGrid w:val="0"/>
                    <w:jc w:val="center"/>
                    <w:rPr>
                      <w:color w:val="auto"/>
                      <w:kern w:val="2"/>
                      <w:sz w:val="21"/>
                      <w:szCs w:val="21"/>
                      <w:lang w:val="en-US" w:eastAsia="zh-CN" w:bidi="ar-SA"/>
                    </w:rPr>
                  </w:pPr>
                  <w:r>
                    <w:rPr>
                      <w:color w:val="auto"/>
                      <w:szCs w:val="21"/>
                    </w:rPr>
                    <w:t>危险废物</w:t>
                  </w:r>
                </w:p>
              </w:tc>
              <w:tc>
                <w:tcPr>
                  <w:tcW w:w="761" w:type="pct"/>
                  <w:vMerge w:val="continue"/>
                  <w:noWrap w:val="0"/>
                  <w:vAlign w:val="center"/>
                </w:tcPr>
                <w:p w14:paraId="3E8B67F9">
                  <w:pPr>
                    <w:adjustRightInd w:val="0"/>
                    <w:snapToGrid w:val="0"/>
                    <w:jc w:val="center"/>
                    <w:rPr>
                      <w:color w:val="auto"/>
                      <w:szCs w:val="21"/>
                    </w:rPr>
                  </w:pPr>
                </w:p>
              </w:tc>
              <w:tc>
                <w:tcPr>
                  <w:tcW w:w="390" w:type="pct"/>
                  <w:noWrap w:val="0"/>
                  <w:vAlign w:val="center"/>
                </w:tcPr>
                <w:p w14:paraId="4C3E421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p>
              </w:tc>
              <w:tc>
                <w:tcPr>
                  <w:tcW w:w="473" w:type="pct"/>
                  <w:noWrap w:val="0"/>
                  <w:vAlign w:val="center"/>
                </w:tcPr>
                <w:p w14:paraId="05DB444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HW09</w:t>
                  </w:r>
                </w:p>
              </w:tc>
              <w:tc>
                <w:tcPr>
                  <w:tcW w:w="755" w:type="pct"/>
                  <w:noWrap w:val="0"/>
                  <w:vAlign w:val="center"/>
                </w:tcPr>
                <w:p w14:paraId="4DF8AA7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900-007-09</w:t>
                  </w:r>
                </w:p>
              </w:tc>
              <w:tc>
                <w:tcPr>
                  <w:tcW w:w="682" w:type="pct"/>
                  <w:vMerge w:val="restart"/>
                  <w:noWrap w:val="0"/>
                  <w:vAlign w:val="center"/>
                </w:tcPr>
                <w:p w14:paraId="60223939">
                  <w:pPr>
                    <w:adjustRightInd w:val="0"/>
                    <w:snapToGrid w:val="0"/>
                    <w:jc w:val="center"/>
                    <w:rPr>
                      <w:color w:val="auto"/>
                      <w:kern w:val="2"/>
                      <w:sz w:val="21"/>
                      <w:szCs w:val="21"/>
                      <w:lang w:val="en-US" w:eastAsia="zh-CN" w:bidi="ar-SA"/>
                    </w:rPr>
                  </w:pPr>
                  <w:r>
                    <w:rPr>
                      <w:color w:val="auto"/>
                      <w:szCs w:val="21"/>
                    </w:rPr>
                    <w:t>委托有资质单位处置</w:t>
                  </w:r>
                </w:p>
              </w:tc>
              <w:tc>
                <w:tcPr>
                  <w:tcW w:w="610" w:type="pct"/>
                  <w:shd w:val="clear" w:color="auto" w:fill="auto"/>
                  <w:noWrap w:val="0"/>
                  <w:vAlign w:val="center"/>
                </w:tcPr>
                <w:p w14:paraId="1DD8BC6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1</w:t>
                  </w:r>
                </w:p>
              </w:tc>
            </w:tr>
            <w:tr w14:paraId="7CC45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shd w:val="clear" w:color="auto" w:fill="auto"/>
                  <w:noWrap w:val="0"/>
                  <w:vAlign w:val="center"/>
                </w:tcPr>
                <w:p w14:paraId="3C94F8AF">
                  <w:pPr>
                    <w:jc w:val="center"/>
                    <w:rPr>
                      <w:rFonts w:hint="default" w:ascii="Times New Roman" w:hAnsi="Times New Roman" w:eastAsia="宋体" w:cs="Times New Roman"/>
                      <w:color w:val="auto"/>
                      <w:kern w:val="2"/>
                      <w:sz w:val="21"/>
                      <w:szCs w:val="21"/>
                      <w:lang w:val="en-US" w:eastAsia="zh-CN" w:bidi="ar-SA"/>
                    </w:rPr>
                  </w:pPr>
                  <w:r>
                    <w:rPr>
                      <w:color w:val="auto"/>
                      <w:szCs w:val="21"/>
                    </w:rPr>
                    <w:t>4</w:t>
                  </w:r>
                </w:p>
              </w:tc>
              <w:tc>
                <w:tcPr>
                  <w:tcW w:w="687" w:type="pct"/>
                  <w:shd w:val="clear" w:color="auto" w:fill="auto"/>
                  <w:noWrap w:val="0"/>
                  <w:vAlign w:val="center"/>
                </w:tcPr>
                <w:p w14:paraId="76CB210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val="en-US" w:eastAsia="zh-CN"/>
                    </w:rPr>
                    <w:t>废润滑油</w:t>
                  </w:r>
                </w:p>
              </w:tc>
              <w:tc>
                <w:tcPr>
                  <w:tcW w:w="409" w:type="pct"/>
                  <w:vMerge w:val="continue"/>
                  <w:noWrap w:val="0"/>
                  <w:vAlign w:val="center"/>
                </w:tcPr>
                <w:p w14:paraId="625D633C">
                  <w:pPr>
                    <w:adjustRightInd w:val="0"/>
                    <w:snapToGrid w:val="0"/>
                    <w:jc w:val="center"/>
                    <w:rPr>
                      <w:color w:val="auto"/>
                      <w:kern w:val="2"/>
                      <w:sz w:val="21"/>
                      <w:szCs w:val="21"/>
                      <w:lang w:val="en-US" w:eastAsia="zh-CN" w:bidi="ar-SA"/>
                    </w:rPr>
                  </w:pPr>
                </w:p>
              </w:tc>
              <w:tc>
                <w:tcPr>
                  <w:tcW w:w="761" w:type="pct"/>
                  <w:vMerge w:val="continue"/>
                  <w:noWrap w:val="0"/>
                  <w:vAlign w:val="center"/>
                </w:tcPr>
                <w:p w14:paraId="12E31966">
                  <w:pPr>
                    <w:adjustRightInd w:val="0"/>
                    <w:snapToGrid w:val="0"/>
                    <w:jc w:val="center"/>
                    <w:rPr>
                      <w:color w:val="auto"/>
                      <w:szCs w:val="21"/>
                    </w:rPr>
                  </w:pPr>
                </w:p>
              </w:tc>
              <w:tc>
                <w:tcPr>
                  <w:tcW w:w="390" w:type="pct"/>
                  <w:shd w:val="clear" w:color="auto" w:fill="auto"/>
                  <w:noWrap w:val="0"/>
                  <w:vAlign w:val="center"/>
                </w:tcPr>
                <w:p w14:paraId="33750D58">
                  <w:pPr>
                    <w:widowControl/>
                    <w:adjustRightInd w:val="0"/>
                    <w:snapToGrid w:val="0"/>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T，I</w:t>
                  </w:r>
                </w:p>
              </w:tc>
              <w:tc>
                <w:tcPr>
                  <w:tcW w:w="473" w:type="pct"/>
                  <w:shd w:val="clear" w:color="auto" w:fill="auto"/>
                  <w:noWrap w:val="0"/>
                  <w:vAlign w:val="center"/>
                </w:tcPr>
                <w:p w14:paraId="4AA262B3">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tc>
              <w:tc>
                <w:tcPr>
                  <w:tcW w:w="755" w:type="pct"/>
                  <w:shd w:val="clear" w:color="auto" w:fill="auto"/>
                  <w:noWrap w:val="0"/>
                  <w:vAlign w:val="center"/>
                </w:tcPr>
                <w:p w14:paraId="6C007F9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900-217-08</w:t>
                  </w:r>
                </w:p>
              </w:tc>
              <w:tc>
                <w:tcPr>
                  <w:tcW w:w="682" w:type="pct"/>
                  <w:vMerge w:val="continue"/>
                  <w:noWrap w:val="0"/>
                  <w:vAlign w:val="center"/>
                </w:tcPr>
                <w:p w14:paraId="6020AA20">
                  <w:pPr>
                    <w:adjustRightInd w:val="0"/>
                    <w:snapToGrid w:val="0"/>
                    <w:jc w:val="center"/>
                    <w:rPr>
                      <w:color w:val="auto"/>
                      <w:kern w:val="2"/>
                      <w:sz w:val="21"/>
                      <w:szCs w:val="21"/>
                      <w:lang w:val="en-US" w:eastAsia="zh-CN" w:bidi="ar-SA"/>
                    </w:rPr>
                  </w:pPr>
                </w:p>
              </w:tc>
              <w:tc>
                <w:tcPr>
                  <w:tcW w:w="610" w:type="pct"/>
                  <w:shd w:val="clear" w:color="auto" w:fill="auto"/>
                  <w:noWrap w:val="0"/>
                  <w:vAlign w:val="center"/>
                </w:tcPr>
                <w:p w14:paraId="0CD0B11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0.4</w:t>
                  </w:r>
                </w:p>
              </w:tc>
            </w:tr>
            <w:tr w14:paraId="087A8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shd w:val="clear" w:color="auto" w:fill="auto"/>
                  <w:noWrap w:val="0"/>
                  <w:vAlign w:val="center"/>
                </w:tcPr>
                <w:p w14:paraId="06A117B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5</w:t>
                  </w:r>
                </w:p>
              </w:tc>
              <w:tc>
                <w:tcPr>
                  <w:tcW w:w="687" w:type="pct"/>
                  <w:shd w:val="clear" w:color="auto" w:fill="auto"/>
                  <w:noWrap w:val="0"/>
                  <w:vAlign w:val="center"/>
                </w:tcPr>
                <w:p w14:paraId="49F8B2C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废油桶</w:t>
                  </w:r>
                </w:p>
              </w:tc>
              <w:tc>
                <w:tcPr>
                  <w:tcW w:w="409" w:type="pct"/>
                  <w:vMerge w:val="continue"/>
                  <w:noWrap w:val="0"/>
                  <w:vAlign w:val="center"/>
                </w:tcPr>
                <w:p w14:paraId="4295EF97">
                  <w:pPr>
                    <w:adjustRightInd w:val="0"/>
                    <w:snapToGrid w:val="0"/>
                    <w:jc w:val="center"/>
                    <w:rPr>
                      <w:color w:val="auto"/>
                      <w:kern w:val="2"/>
                      <w:sz w:val="21"/>
                      <w:szCs w:val="21"/>
                      <w:lang w:val="en-US" w:eastAsia="zh-CN" w:bidi="ar-SA"/>
                    </w:rPr>
                  </w:pPr>
                </w:p>
              </w:tc>
              <w:tc>
                <w:tcPr>
                  <w:tcW w:w="761" w:type="pct"/>
                  <w:vMerge w:val="continue"/>
                  <w:noWrap w:val="0"/>
                  <w:vAlign w:val="center"/>
                </w:tcPr>
                <w:p w14:paraId="4B47762D">
                  <w:pPr>
                    <w:adjustRightInd w:val="0"/>
                    <w:snapToGrid w:val="0"/>
                    <w:jc w:val="center"/>
                    <w:rPr>
                      <w:color w:val="auto"/>
                      <w:szCs w:val="21"/>
                    </w:rPr>
                  </w:pPr>
                </w:p>
              </w:tc>
              <w:tc>
                <w:tcPr>
                  <w:tcW w:w="390" w:type="pct"/>
                  <w:noWrap w:val="0"/>
                  <w:vAlign w:val="center"/>
                </w:tcPr>
                <w:p w14:paraId="3D70B041">
                  <w:pPr>
                    <w:jc w:val="center"/>
                    <w:rPr>
                      <w:color w:val="auto"/>
                      <w:kern w:val="2"/>
                      <w:sz w:val="21"/>
                      <w:szCs w:val="21"/>
                      <w:lang w:val="en-US" w:eastAsia="zh-CN" w:bidi="ar-SA"/>
                    </w:rPr>
                  </w:pPr>
                  <w:r>
                    <w:rPr>
                      <w:rFonts w:hint="eastAsia"/>
                      <w:color w:val="auto"/>
                      <w:kern w:val="2"/>
                      <w:sz w:val="21"/>
                      <w:szCs w:val="21"/>
                      <w:lang w:val="en-US" w:eastAsia="zh-CN" w:bidi="ar-SA"/>
                    </w:rPr>
                    <w:t>T，I</w:t>
                  </w:r>
                </w:p>
              </w:tc>
              <w:tc>
                <w:tcPr>
                  <w:tcW w:w="473" w:type="pct"/>
                  <w:noWrap w:val="0"/>
                  <w:vAlign w:val="center"/>
                </w:tcPr>
                <w:p w14:paraId="668C98B8">
                  <w:pPr>
                    <w:jc w:val="center"/>
                    <w:rPr>
                      <w:rFonts w:hint="default"/>
                      <w:color w:val="auto"/>
                      <w:kern w:val="2"/>
                      <w:sz w:val="21"/>
                      <w:szCs w:val="21"/>
                      <w:lang w:val="en-US" w:eastAsia="zh-CN" w:bidi="ar-SA"/>
                    </w:rPr>
                  </w:pPr>
                  <w:r>
                    <w:rPr>
                      <w:rFonts w:hint="eastAsia"/>
                      <w:color w:val="auto"/>
                      <w:kern w:val="2"/>
                      <w:sz w:val="21"/>
                      <w:szCs w:val="21"/>
                      <w:lang w:val="en-US" w:eastAsia="zh-CN" w:bidi="ar-SA"/>
                    </w:rPr>
                    <w:t>HW08</w:t>
                  </w:r>
                </w:p>
              </w:tc>
              <w:tc>
                <w:tcPr>
                  <w:tcW w:w="755" w:type="pct"/>
                  <w:noWrap w:val="0"/>
                  <w:vAlign w:val="center"/>
                </w:tcPr>
                <w:p w14:paraId="0361F56F">
                  <w:pPr>
                    <w:jc w:val="center"/>
                    <w:rPr>
                      <w:rFonts w:hint="default"/>
                      <w:color w:val="auto"/>
                      <w:kern w:val="2"/>
                      <w:sz w:val="21"/>
                      <w:szCs w:val="21"/>
                      <w:lang w:val="en-US" w:eastAsia="zh-CN" w:bidi="ar-SA"/>
                    </w:rPr>
                  </w:pPr>
                  <w:r>
                    <w:rPr>
                      <w:rFonts w:hint="eastAsia"/>
                      <w:color w:val="auto"/>
                      <w:kern w:val="2"/>
                      <w:sz w:val="21"/>
                      <w:szCs w:val="21"/>
                      <w:lang w:val="en-US" w:eastAsia="zh-CN" w:bidi="ar-SA"/>
                    </w:rPr>
                    <w:t>900-249-08</w:t>
                  </w:r>
                </w:p>
              </w:tc>
              <w:tc>
                <w:tcPr>
                  <w:tcW w:w="682" w:type="pct"/>
                  <w:vMerge w:val="continue"/>
                  <w:noWrap w:val="0"/>
                  <w:vAlign w:val="center"/>
                </w:tcPr>
                <w:p w14:paraId="0C867385">
                  <w:pPr>
                    <w:adjustRightInd w:val="0"/>
                    <w:snapToGrid w:val="0"/>
                    <w:jc w:val="center"/>
                    <w:rPr>
                      <w:color w:val="auto"/>
                      <w:kern w:val="2"/>
                      <w:sz w:val="21"/>
                      <w:szCs w:val="21"/>
                      <w:lang w:val="en-US" w:eastAsia="zh-CN" w:bidi="ar-SA"/>
                    </w:rPr>
                  </w:pPr>
                </w:p>
              </w:tc>
              <w:tc>
                <w:tcPr>
                  <w:tcW w:w="610" w:type="pct"/>
                  <w:shd w:val="clear" w:color="auto" w:fill="auto"/>
                  <w:noWrap w:val="0"/>
                  <w:vAlign w:val="center"/>
                </w:tcPr>
                <w:p w14:paraId="497E6DC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FF"/>
                      <w:szCs w:val="21"/>
                      <w:highlight w:val="none"/>
                      <w:lang w:val="en-US" w:eastAsia="zh-CN"/>
                    </w:rPr>
                    <w:t>11.36</w:t>
                  </w:r>
                </w:p>
              </w:tc>
            </w:tr>
            <w:tr w14:paraId="379ED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shd w:val="clear" w:color="auto" w:fill="auto"/>
                  <w:noWrap w:val="0"/>
                  <w:vAlign w:val="center"/>
                </w:tcPr>
                <w:p w14:paraId="6F2D1C4C">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6</w:t>
                  </w:r>
                </w:p>
              </w:tc>
              <w:tc>
                <w:tcPr>
                  <w:tcW w:w="687" w:type="pct"/>
                  <w:shd w:val="clear" w:color="auto" w:fill="auto"/>
                  <w:noWrap w:val="0"/>
                  <w:vAlign w:val="center"/>
                </w:tcPr>
                <w:p w14:paraId="42B0937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废包装桶</w:t>
                  </w:r>
                </w:p>
              </w:tc>
              <w:tc>
                <w:tcPr>
                  <w:tcW w:w="409" w:type="pct"/>
                  <w:vMerge w:val="continue"/>
                  <w:noWrap w:val="0"/>
                  <w:vAlign w:val="center"/>
                </w:tcPr>
                <w:p w14:paraId="4027A48A">
                  <w:pPr>
                    <w:adjustRightInd w:val="0"/>
                    <w:snapToGrid w:val="0"/>
                    <w:jc w:val="center"/>
                    <w:rPr>
                      <w:color w:val="auto"/>
                      <w:kern w:val="2"/>
                      <w:sz w:val="21"/>
                      <w:szCs w:val="21"/>
                      <w:lang w:val="en-US" w:eastAsia="zh-CN" w:bidi="ar-SA"/>
                    </w:rPr>
                  </w:pPr>
                </w:p>
              </w:tc>
              <w:tc>
                <w:tcPr>
                  <w:tcW w:w="761" w:type="pct"/>
                  <w:vMerge w:val="continue"/>
                  <w:noWrap w:val="0"/>
                  <w:vAlign w:val="center"/>
                </w:tcPr>
                <w:p w14:paraId="31AE0872">
                  <w:pPr>
                    <w:adjustRightInd w:val="0"/>
                    <w:snapToGrid w:val="0"/>
                    <w:jc w:val="center"/>
                    <w:rPr>
                      <w:color w:val="auto"/>
                      <w:szCs w:val="21"/>
                    </w:rPr>
                  </w:pPr>
                </w:p>
              </w:tc>
              <w:tc>
                <w:tcPr>
                  <w:tcW w:w="390" w:type="pct"/>
                  <w:shd w:val="clear" w:color="auto" w:fill="auto"/>
                  <w:noWrap w:val="0"/>
                  <w:vAlign w:val="center"/>
                </w:tcPr>
                <w:p w14:paraId="4591C18A">
                  <w:pPr>
                    <w:jc w:val="center"/>
                    <w:rPr>
                      <w:rFonts w:ascii="Times New Roman" w:hAnsi="Times New Roman" w:eastAsia="宋体" w:cs="Times New Roman"/>
                      <w:color w:val="auto"/>
                      <w:kern w:val="2"/>
                      <w:sz w:val="21"/>
                      <w:szCs w:val="21"/>
                      <w:lang w:val="en-US" w:eastAsia="zh-CN" w:bidi="ar-SA"/>
                    </w:rPr>
                  </w:pPr>
                  <w:r>
                    <w:rPr>
                      <w:color w:val="auto"/>
                      <w:szCs w:val="21"/>
                    </w:rPr>
                    <w:t>T/In</w:t>
                  </w:r>
                </w:p>
              </w:tc>
              <w:tc>
                <w:tcPr>
                  <w:tcW w:w="473" w:type="pct"/>
                  <w:shd w:val="clear" w:color="auto" w:fill="auto"/>
                  <w:noWrap w:val="0"/>
                  <w:vAlign w:val="center"/>
                </w:tcPr>
                <w:p w14:paraId="1EBEBB83">
                  <w:pPr>
                    <w:jc w:val="center"/>
                    <w:rPr>
                      <w:rFonts w:hint="eastAsia" w:ascii="Times New Roman" w:hAnsi="Times New Roman" w:eastAsia="宋体" w:cs="Times New Roman"/>
                      <w:color w:val="auto"/>
                      <w:kern w:val="2"/>
                      <w:sz w:val="21"/>
                      <w:szCs w:val="21"/>
                      <w:lang w:val="en-US" w:eastAsia="zh-CN" w:bidi="ar-SA"/>
                    </w:rPr>
                  </w:pPr>
                  <w:r>
                    <w:rPr>
                      <w:color w:val="auto"/>
                      <w:szCs w:val="21"/>
                    </w:rPr>
                    <w:t>HW49</w:t>
                  </w:r>
                </w:p>
              </w:tc>
              <w:tc>
                <w:tcPr>
                  <w:tcW w:w="755" w:type="pct"/>
                  <w:shd w:val="clear" w:color="auto" w:fill="auto"/>
                  <w:noWrap w:val="0"/>
                  <w:vAlign w:val="center"/>
                </w:tcPr>
                <w:p w14:paraId="0226F38A">
                  <w:pPr>
                    <w:jc w:val="center"/>
                    <w:rPr>
                      <w:rFonts w:ascii="Times New Roman" w:hAnsi="Times New Roman" w:eastAsia="宋体" w:cs="Times New Roman"/>
                      <w:color w:val="auto"/>
                      <w:kern w:val="2"/>
                      <w:sz w:val="21"/>
                      <w:szCs w:val="21"/>
                      <w:lang w:val="en-US" w:eastAsia="zh-CN" w:bidi="ar-SA"/>
                    </w:rPr>
                  </w:pPr>
                  <w:r>
                    <w:rPr>
                      <w:color w:val="auto"/>
                      <w:szCs w:val="21"/>
                    </w:rPr>
                    <w:t>900-041-49</w:t>
                  </w:r>
                </w:p>
              </w:tc>
              <w:tc>
                <w:tcPr>
                  <w:tcW w:w="682" w:type="pct"/>
                  <w:vMerge w:val="continue"/>
                  <w:noWrap w:val="0"/>
                  <w:vAlign w:val="center"/>
                </w:tcPr>
                <w:p w14:paraId="62850CAD">
                  <w:pPr>
                    <w:adjustRightInd w:val="0"/>
                    <w:snapToGrid w:val="0"/>
                    <w:jc w:val="center"/>
                    <w:rPr>
                      <w:color w:val="auto"/>
                      <w:kern w:val="2"/>
                      <w:sz w:val="21"/>
                      <w:szCs w:val="21"/>
                      <w:lang w:val="en-US" w:eastAsia="zh-CN" w:bidi="ar-SA"/>
                    </w:rPr>
                  </w:pPr>
                </w:p>
              </w:tc>
              <w:tc>
                <w:tcPr>
                  <w:tcW w:w="610" w:type="pct"/>
                  <w:shd w:val="clear" w:color="auto" w:fill="auto"/>
                  <w:noWrap w:val="0"/>
                  <w:vAlign w:val="center"/>
                </w:tcPr>
                <w:p w14:paraId="02BDD06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0.08</w:t>
                  </w:r>
                </w:p>
              </w:tc>
            </w:tr>
            <w:tr w14:paraId="702E3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shd w:val="clear" w:color="auto" w:fill="auto"/>
                  <w:noWrap w:val="0"/>
                  <w:vAlign w:val="center"/>
                </w:tcPr>
                <w:p w14:paraId="6DD0DBF4">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7</w:t>
                  </w:r>
                </w:p>
              </w:tc>
              <w:tc>
                <w:tcPr>
                  <w:tcW w:w="687" w:type="pct"/>
                  <w:shd w:val="clear" w:color="auto" w:fill="auto"/>
                  <w:noWrap w:val="0"/>
                  <w:vAlign w:val="center"/>
                </w:tcPr>
                <w:p w14:paraId="40A6BF8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废含油抹布</w:t>
                  </w:r>
                </w:p>
              </w:tc>
              <w:tc>
                <w:tcPr>
                  <w:tcW w:w="409" w:type="pct"/>
                  <w:vMerge w:val="continue"/>
                  <w:noWrap w:val="0"/>
                  <w:vAlign w:val="center"/>
                </w:tcPr>
                <w:p w14:paraId="0A761D73">
                  <w:pPr>
                    <w:adjustRightInd w:val="0"/>
                    <w:snapToGrid w:val="0"/>
                    <w:jc w:val="center"/>
                    <w:rPr>
                      <w:color w:val="auto"/>
                      <w:kern w:val="2"/>
                      <w:sz w:val="21"/>
                      <w:szCs w:val="21"/>
                      <w:lang w:val="en-US" w:eastAsia="zh-CN" w:bidi="ar-SA"/>
                    </w:rPr>
                  </w:pPr>
                </w:p>
              </w:tc>
              <w:tc>
                <w:tcPr>
                  <w:tcW w:w="761" w:type="pct"/>
                  <w:vMerge w:val="continue"/>
                  <w:noWrap w:val="0"/>
                  <w:vAlign w:val="center"/>
                </w:tcPr>
                <w:p w14:paraId="2C0958FC">
                  <w:pPr>
                    <w:adjustRightInd w:val="0"/>
                    <w:snapToGrid w:val="0"/>
                    <w:jc w:val="center"/>
                    <w:rPr>
                      <w:color w:val="auto"/>
                      <w:szCs w:val="21"/>
                    </w:rPr>
                  </w:pPr>
                </w:p>
              </w:tc>
              <w:tc>
                <w:tcPr>
                  <w:tcW w:w="390" w:type="pct"/>
                  <w:shd w:val="clear" w:color="auto" w:fill="auto"/>
                  <w:noWrap w:val="0"/>
                  <w:vAlign w:val="center"/>
                </w:tcPr>
                <w:p w14:paraId="5D181455">
                  <w:pPr>
                    <w:jc w:val="center"/>
                    <w:rPr>
                      <w:rFonts w:ascii="Times New Roman" w:hAnsi="Times New Roman" w:eastAsia="宋体" w:cs="Times New Roman"/>
                      <w:color w:val="auto"/>
                      <w:kern w:val="2"/>
                      <w:sz w:val="21"/>
                      <w:szCs w:val="21"/>
                      <w:lang w:val="en-US" w:eastAsia="zh-CN" w:bidi="ar-SA"/>
                    </w:rPr>
                  </w:pPr>
                  <w:r>
                    <w:rPr>
                      <w:color w:val="auto"/>
                      <w:szCs w:val="21"/>
                    </w:rPr>
                    <w:t>T/In</w:t>
                  </w:r>
                </w:p>
              </w:tc>
              <w:tc>
                <w:tcPr>
                  <w:tcW w:w="473" w:type="pct"/>
                  <w:shd w:val="clear" w:color="auto" w:fill="auto"/>
                  <w:noWrap w:val="0"/>
                  <w:vAlign w:val="center"/>
                </w:tcPr>
                <w:p w14:paraId="6788AA1F">
                  <w:pPr>
                    <w:jc w:val="center"/>
                    <w:rPr>
                      <w:rFonts w:hint="eastAsia" w:ascii="Times New Roman" w:hAnsi="Times New Roman" w:eastAsia="宋体" w:cs="Times New Roman"/>
                      <w:color w:val="auto"/>
                      <w:kern w:val="2"/>
                      <w:sz w:val="21"/>
                      <w:szCs w:val="21"/>
                      <w:lang w:val="en-US" w:eastAsia="zh-CN" w:bidi="ar-SA"/>
                    </w:rPr>
                  </w:pPr>
                  <w:r>
                    <w:rPr>
                      <w:color w:val="auto"/>
                      <w:szCs w:val="21"/>
                    </w:rPr>
                    <w:t>HW49</w:t>
                  </w:r>
                </w:p>
              </w:tc>
              <w:tc>
                <w:tcPr>
                  <w:tcW w:w="755" w:type="pct"/>
                  <w:shd w:val="clear" w:color="auto" w:fill="auto"/>
                  <w:noWrap w:val="0"/>
                  <w:vAlign w:val="center"/>
                </w:tcPr>
                <w:p w14:paraId="4E096A99">
                  <w:pPr>
                    <w:jc w:val="center"/>
                    <w:rPr>
                      <w:rFonts w:ascii="Times New Roman" w:hAnsi="Times New Roman" w:eastAsia="宋体" w:cs="Times New Roman"/>
                      <w:color w:val="auto"/>
                      <w:kern w:val="2"/>
                      <w:sz w:val="21"/>
                      <w:szCs w:val="21"/>
                      <w:lang w:val="en-US" w:eastAsia="zh-CN" w:bidi="ar-SA"/>
                    </w:rPr>
                  </w:pPr>
                  <w:r>
                    <w:rPr>
                      <w:color w:val="auto"/>
                      <w:szCs w:val="21"/>
                    </w:rPr>
                    <w:t>900-041-49</w:t>
                  </w:r>
                </w:p>
              </w:tc>
              <w:tc>
                <w:tcPr>
                  <w:tcW w:w="682" w:type="pct"/>
                  <w:vMerge w:val="continue"/>
                  <w:noWrap w:val="0"/>
                  <w:vAlign w:val="center"/>
                </w:tcPr>
                <w:p w14:paraId="36C6915D">
                  <w:pPr>
                    <w:adjustRightInd w:val="0"/>
                    <w:snapToGrid w:val="0"/>
                    <w:jc w:val="center"/>
                    <w:rPr>
                      <w:color w:val="auto"/>
                      <w:kern w:val="2"/>
                      <w:sz w:val="21"/>
                      <w:szCs w:val="21"/>
                      <w:lang w:val="en-US" w:eastAsia="zh-CN" w:bidi="ar-SA"/>
                    </w:rPr>
                  </w:pPr>
                </w:p>
              </w:tc>
              <w:tc>
                <w:tcPr>
                  <w:tcW w:w="610" w:type="pct"/>
                  <w:shd w:val="clear" w:color="auto" w:fill="auto"/>
                  <w:noWrap w:val="0"/>
                  <w:vAlign w:val="center"/>
                </w:tcPr>
                <w:p w14:paraId="58B7E27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0.01</w:t>
                  </w:r>
                </w:p>
              </w:tc>
            </w:tr>
            <w:tr w14:paraId="3187C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shd w:val="clear" w:color="auto" w:fill="auto"/>
                  <w:noWrap w:val="0"/>
                  <w:vAlign w:val="center"/>
                </w:tcPr>
                <w:p w14:paraId="08358FF3">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8</w:t>
                  </w:r>
                </w:p>
              </w:tc>
              <w:tc>
                <w:tcPr>
                  <w:tcW w:w="687" w:type="pct"/>
                  <w:shd w:val="clear" w:color="auto" w:fill="auto"/>
                  <w:noWrap w:val="0"/>
                  <w:vAlign w:val="center"/>
                </w:tcPr>
                <w:p w14:paraId="7064F37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废活性炭</w:t>
                  </w:r>
                </w:p>
              </w:tc>
              <w:tc>
                <w:tcPr>
                  <w:tcW w:w="409" w:type="pct"/>
                  <w:vMerge w:val="continue"/>
                  <w:noWrap w:val="0"/>
                  <w:vAlign w:val="center"/>
                </w:tcPr>
                <w:p w14:paraId="36CC864F">
                  <w:pPr>
                    <w:adjustRightInd w:val="0"/>
                    <w:snapToGrid w:val="0"/>
                    <w:jc w:val="center"/>
                    <w:rPr>
                      <w:color w:val="auto"/>
                      <w:kern w:val="2"/>
                      <w:sz w:val="21"/>
                      <w:szCs w:val="21"/>
                      <w:lang w:val="en-US" w:eastAsia="zh-CN" w:bidi="ar-SA"/>
                    </w:rPr>
                  </w:pPr>
                </w:p>
              </w:tc>
              <w:tc>
                <w:tcPr>
                  <w:tcW w:w="761" w:type="pct"/>
                  <w:vMerge w:val="continue"/>
                  <w:noWrap w:val="0"/>
                  <w:vAlign w:val="center"/>
                </w:tcPr>
                <w:p w14:paraId="21189136">
                  <w:pPr>
                    <w:adjustRightInd w:val="0"/>
                    <w:snapToGrid w:val="0"/>
                    <w:jc w:val="center"/>
                    <w:rPr>
                      <w:color w:val="auto"/>
                      <w:szCs w:val="21"/>
                    </w:rPr>
                  </w:pPr>
                </w:p>
              </w:tc>
              <w:tc>
                <w:tcPr>
                  <w:tcW w:w="390" w:type="pct"/>
                  <w:shd w:val="clear" w:color="auto" w:fill="auto"/>
                  <w:noWrap w:val="0"/>
                  <w:vAlign w:val="center"/>
                </w:tcPr>
                <w:p w14:paraId="3F3339E9">
                  <w:pPr>
                    <w:jc w:val="center"/>
                    <w:rPr>
                      <w:rFonts w:ascii="Times New Roman" w:hAnsi="Times New Roman" w:eastAsia="宋体" w:cs="Times New Roman"/>
                      <w:color w:val="auto"/>
                      <w:kern w:val="2"/>
                      <w:sz w:val="21"/>
                      <w:szCs w:val="21"/>
                      <w:lang w:val="en-US" w:eastAsia="zh-CN" w:bidi="ar-SA"/>
                    </w:rPr>
                  </w:pPr>
                  <w:r>
                    <w:rPr>
                      <w:color w:val="auto"/>
                      <w:szCs w:val="21"/>
                    </w:rPr>
                    <w:t>T</w:t>
                  </w:r>
                </w:p>
              </w:tc>
              <w:tc>
                <w:tcPr>
                  <w:tcW w:w="473" w:type="pct"/>
                  <w:shd w:val="clear" w:color="auto" w:fill="auto"/>
                  <w:noWrap w:val="0"/>
                  <w:vAlign w:val="center"/>
                </w:tcPr>
                <w:p w14:paraId="1DFDDB5A">
                  <w:pPr>
                    <w:jc w:val="center"/>
                    <w:rPr>
                      <w:rFonts w:hint="eastAsia" w:ascii="Times New Roman" w:hAnsi="Times New Roman" w:eastAsia="宋体" w:cs="Times New Roman"/>
                      <w:color w:val="auto"/>
                      <w:kern w:val="2"/>
                      <w:sz w:val="21"/>
                      <w:szCs w:val="21"/>
                      <w:lang w:val="en-US" w:eastAsia="zh-CN" w:bidi="ar-SA"/>
                    </w:rPr>
                  </w:pPr>
                  <w:r>
                    <w:rPr>
                      <w:color w:val="auto"/>
                      <w:szCs w:val="21"/>
                    </w:rPr>
                    <w:t>HW49</w:t>
                  </w:r>
                </w:p>
              </w:tc>
              <w:tc>
                <w:tcPr>
                  <w:tcW w:w="755" w:type="pct"/>
                  <w:shd w:val="clear" w:color="auto" w:fill="auto"/>
                  <w:noWrap w:val="0"/>
                  <w:vAlign w:val="center"/>
                </w:tcPr>
                <w:p w14:paraId="558CFA03">
                  <w:pPr>
                    <w:jc w:val="center"/>
                    <w:rPr>
                      <w:rFonts w:ascii="Times New Roman" w:hAnsi="Times New Roman" w:eastAsia="宋体" w:cs="Times New Roman"/>
                      <w:color w:val="auto"/>
                      <w:kern w:val="2"/>
                      <w:sz w:val="21"/>
                      <w:szCs w:val="21"/>
                      <w:lang w:val="en-US" w:eastAsia="zh-CN" w:bidi="ar-SA"/>
                    </w:rPr>
                  </w:pPr>
                  <w:r>
                    <w:rPr>
                      <w:color w:val="auto"/>
                      <w:szCs w:val="21"/>
                    </w:rPr>
                    <w:t>900-0</w:t>
                  </w:r>
                  <w:r>
                    <w:rPr>
                      <w:rFonts w:hint="eastAsia"/>
                      <w:color w:val="auto"/>
                      <w:szCs w:val="21"/>
                      <w:lang w:val="en-US" w:eastAsia="zh-CN"/>
                    </w:rPr>
                    <w:t>39</w:t>
                  </w:r>
                  <w:r>
                    <w:rPr>
                      <w:color w:val="auto"/>
                      <w:szCs w:val="21"/>
                    </w:rPr>
                    <w:t>-49</w:t>
                  </w:r>
                </w:p>
              </w:tc>
              <w:tc>
                <w:tcPr>
                  <w:tcW w:w="682" w:type="pct"/>
                  <w:vMerge w:val="continue"/>
                  <w:noWrap w:val="0"/>
                  <w:vAlign w:val="center"/>
                </w:tcPr>
                <w:p w14:paraId="3B048301">
                  <w:pPr>
                    <w:adjustRightInd w:val="0"/>
                    <w:snapToGrid w:val="0"/>
                    <w:jc w:val="center"/>
                    <w:rPr>
                      <w:color w:val="auto"/>
                      <w:kern w:val="2"/>
                      <w:sz w:val="21"/>
                      <w:szCs w:val="21"/>
                      <w:lang w:val="en-US" w:eastAsia="zh-CN" w:bidi="ar-SA"/>
                    </w:rPr>
                  </w:pPr>
                </w:p>
              </w:tc>
              <w:tc>
                <w:tcPr>
                  <w:tcW w:w="610" w:type="pct"/>
                  <w:shd w:val="clear" w:color="auto" w:fill="auto"/>
                  <w:noWrap w:val="0"/>
                  <w:vAlign w:val="center"/>
                </w:tcPr>
                <w:p w14:paraId="11EAB1F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olor w:val="0000FF"/>
                      <w:szCs w:val="21"/>
                      <w:lang w:val="en-US" w:eastAsia="zh-CN"/>
                    </w:rPr>
                    <w:t>3.95</w:t>
                  </w:r>
                </w:p>
              </w:tc>
            </w:tr>
            <w:tr w14:paraId="2EBCF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8" w:type="pct"/>
                  <w:shd w:val="clear" w:color="auto" w:fill="auto"/>
                  <w:noWrap w:val="0"/>
                  <w:vAlign w:val="center"/>
                </w:tcPr>
                <w:p w14:paraId="6DAAD351">
                  <w:pPr>
                    <w:jc w:val="center"/>
                    <w:rPr>
                      <w:rFonts w:hint="default" w:ascii="Times New Roman" w:hAnsi="Times New Roman" w:eastAsia="宋体" w:cs="Times New Roman"/>
                      <w:color w:val="auto"/>
                      <w:kern w:val="2"/>
                      <w:sz w:val="21"/>
                      <w:szCs w:val="21"/>
                      <w:lang w:val="en-US" w:eastAsia="zh-CN" w:bidi="ar-SA"/>
                    </w:rPr>
                  </w:pPr>
                  <w:r>
                    <w:rPr>
                      <w:rFonts w:hint="eastAsia" w:eastAsia="宋体"/>
                      <w:color w:val="auto"/>
                      <w:kern w:val="2"/>
                      <w:sz w:val="21"/>
                      <w:szCs w:val="21"/>
                      <w:lang w:val="en-US" w:eastAsia="zh-CN" w:bidi="ar-SA"/>
                    </w:rPr>
                    <w:t>9</w:t>
                  </w:r>
                </w:p>
              </w:tc>
              <w:tc>
                <w:tcPr>
                  <w:tcW w:w="687" w:type="pct"/>
                  <w:shd w:val="clear" w:color="auto" w:fill="auto"/>
                  <w:noWrap w:val="0"/>
                  <w:vAlign w:val="center"/>
                </w:tcPr>
                <w:p w14:paraId="1D4AA1CF">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kern w:val="18"/>
                      <w:sz w:val="21"/>
                      <w:szCs w:val="21"/>
                      <w:lang w:val="en-US" w:eastAsia="zh-CN" w:bidi="ar-SA"/>
                    </w:rPr>
                  </w:pPr>
                  <w:r>
                    <w:rPr>
                      <w:color w:val="auto"/>
                    </w:rPr>
                    <w:t>生活垃圾</w:t>
                  </w:r>
                </w:p>
              </w:tc>
              <w:tc>
                <w:tcPr>
                  <w:tcW w:w="409" w:type="pct"/>
                  <w:noWrap w:val="0"/>
                  <w:vAlign w:val="center"/>
                </w:tcPr>
                <w:p w14:paraId="33A23AE7">
                  <w:pPr>
                    <w:adjustRightInd w:val="0"/>
                    <w:snapToGrid w:val="0"/>
                    <w:jc w:val="center"/>
                    <w:rPr>
                      <w:color w:val="auto"/>
                      <w:szCs w:val="21"/>
                    </w:rPr>
                  </w:pPr>
                  <w:r>
                    <w:rPr>
                      <w:color w:val="auto"/>
                      <w:szCs w:val="21"/>
                    </w:rPr>
                    <w:t>生活垃圾</w:t>
                  </w:r>
                </w:p>
              </w:tc>
              <w:tc>
                <w:tcPr>
                  <w:tcW w:w="761" w:type="pct"/>
                  <w:vMerge w:val="continue"/>
                  <w:noWrap w:val="0"/>
                  <w:vAlign w:val="center"/>
                </w:tcPr>
                <w:p w14:paraId="65808417">
                  <w:pPr>
                    <w:adjustRightInd w:val="0"/>
                    <w:snapToGrid w:val="0"/>
                    <w:jc w:val="center"/>
                    <w:rPr>
                      <w:color w:val="auto"/>
                      <w:szCs w:val="21"/>
                    </w:rPr>
                  </w:pPr>
                </w:p>
              </w:tc>
              <w:tc>
                <w:tcPr>
                  <w:tcW w:w="390" w:type="pct"/>
                  <w:noWrap w:val="0"/>
                  <w:vAlign w:val="center"/>
                </w:tcPr>
                <w:p w14:paraId="663227D3">
                  <w:pPr>
                    <w:adjustRightInd w:val="0"/>
                    <w:snapToGrid w:val="0"/>
                    <w:jc w:val="center"/>
                    <w:rPr>
                      <w:color w:val="auto"/>
                      <w:szCs w:val="21"/>
                    </w:rPr>
                  </w:pPr>
                  <w:r>
                    <w:rPr>
                      <w:color w:val="auto"/>
                      <w:kern w:val="0"/>
                      <w:szCs w:val="21"/>
                    </w:rPr>
                    <w:t>—</w:t>
                  </w:r>
                </w:p>
              </w:tc>
              <w:tc>
                <w:tcPr>
                  <w:tcW w:w="473" w:type="pct"/>
                  <w:noWrap w:val="0"/>
                  <w:vAlign w:val="center"/>
                </w:tcPr>
                <w:p w14:paraId="256533DD">
                  <w:pPr>
                    <w:adjustRightInd w:val="0"/>
                    <w:snapToGrid w:val="0"/>
                    <w:ind w:right="-27" w:rightChars="-13"/>
                    <w:jc w:val="center"/>
                    <w:rPr>
                      <w:color w:val="auto"/>
                      <w:szCs w:val="21"/>
                    </w:rPr>
                  </w:pPr>
                  <w:r>
                    <w:rPr>
                      <w:color w:val="auto"/>
                      <w:kern w:val="0"/>
                      <w:szCs w:val="21"/>
                    </w:rPr>
                    <w:t>—</w:t>
                  </w:r>
                </w:p>
              </w:tc>
              <w:tc>
                <w:tcPr>
                  <w:tcW w:w="755" w:type="pct"/>
                  <w:noWrap w:val="0"/>
                  <w:vAlign w:val="center"/>
                </w:tcPr>
                <w:p w14:paraId="3992BB32">
                  <w:pPr>
                    <w:adjustRightInd w:val="0"/>
                    <w:snapToGrid w:val="0"/>
                    <w:ind w:right="-27" w:rightChars="-13"/>
                    <w:jc w:val="center"/>
                    <w:rPr>
                      <w:color w:val="auto"/>
                      <w:szCs w:val="21"/>
                    </w:rPr>
                  </w:pPr>
                  <w:r>
                    <w:rPr>
                      <w:color w:val="auto"/>
                      <w:kern w:val="0"/>
                      <w:szCs w:val="21"/>
                    </w:rPr>
                    <w:t>—</w:t>
                  </w:r>
                </w:p>
              </w:tc>
              <w:tc>
                <w:tcPr>
                  <w:tcW w:w="682" w:type="pct"/>
                  <w:noWrap w:val="0"/>
                  <w:vAlign w:val="center"/>
                </w:tcPr>
                <w:p w14:paraId="7EC9A5ED">
                  <w:pPr>
                    <w:adjustRightInd w:val="0"/>
                    <w:snapToGrid w:val="0"/>
                    <w:jc w:val="center"/>
                    <w:rPr>
                      <w:color w:val="auto"/>
                      <w:szCs w:val="21"/>
                    </w:rPr>
                  </w:pPr>
                  <w:r>
                    <w:rPr>
                      <w:color w:val="auto"/>
                      <w:szCs w:val="21"/>
                    </w:rPr>
                    <w:t>环卫清运</w:t>
                  </w:r>
                </w:p>
              </w:tc>
              <w:tc>
                <w:tcPr>
                  <w:tcW w:w="610" w:type="pct"/>
                  <w:shd w:val="clear" w:color="auto" w:fill="auto"/>
                  <w:noWrap w:val="0"/>
                  <w:vAlign w:val="center"/>
                </w:tcPr>
                <w:p w14:paraId="66C23376">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0.9</w:t>
                  </w:r>
                </w:p>
              </w:tc>
            </w:tr>
          </w:tbl>
          <w:p w14:paraId="761251C4">
            <w:pPr>
              <w:adjustRightInd w:val="0"/>
              <w:snapToGrid w:val="0"/>
              <w:spacing w:before="120" w:beforeLines="50"/>
              <w:jc w:val="center"/>
              <w:rPr>
                <w:b/>
                <w:color w:val="auto"/>
                <w:szCs w:val="21"/>
              </w:rPr>
            </w:pPr>
            <w:r>
              <w:rPr>
                <w:b/>
                <w:color w:val="auto"/>
                <w:szCs w:val="21"/>
              </w:rPr>
              <w:t>表4-</w:t>
            </w:r>
            <w:r>
              <w:rPr>
                <w:rFonts w:hint="eastAsia"/>
                <w:b/>
                <w:color w:val="auto"/>
                <w:szCs w:val="21"/>
                <w:lang w:val="en-US" w:eastAsia="zh-CN"/>
              </w:rPr>
              <w:t>26</w:t>
            </w:r>
            <w:r>
              <w:rPr>
                <w:b/>
                <w:color w:val="auto"/>
                <w:szCs w:val="21"/>
              </w:rPr>
              <w:t xml:space="preserve"> 本项目工程分析中危险废物汇总表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3"/>
              <w:gridCol w:w="835"/>
              <w:gridCol w:w="580"/>
              <w:gridCol w:w="1090"/>
              <w:gridCol w:w="580"/>
              <w:gridCol w:w="910"/>
              <w:gridCol w:w="340"/>
              <w:gridCol w:w="800"/>
              <w:gridCol w:w="770"/>
              <w:gridCol w:w="640"/>
              <w:gridCol w:w="650"/>
              <w:gridCol w:w="902"/>
            </w:tblGrid>
            <w:tr w14:paraId="3EF82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8" w:type="pct"/>
                  <w:noWrap w:val="0"/>
                  <w:tcMar>
                    <w:top w:w="0" w:type="dxa"/>
                    <w:left w:w="0" w:type="dxa"/>
                    <w:bottom w:w="0" w:type="dxa"/>
                    <w:right w:w="0" w:type="dxa"/>
                  </w:tcMar>
                  <w:vAlign w:val="center"/>
                </w:tcPr>
                <w:p w14:paraId="615D2377">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98" w:type="pct"/>
                  <w:noWrap w:val="0"/>
                  <w:tcMar>
                    <w:top w:w="0" w:type="dxa"/>
                    <w:left w:w="0" w:type="dxa"/>
                    <w:bottom w:w="0" w:type="dxa"/>
                    <w:right w:w="0" w:type="dxa"/>
                  </w:tcMar>
                  <w:vAlign w:val="center"/>
                </w:tcPr>
                <w:p w14:paraId="6DE223AF">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危险废物名称</w:t>
                  </w:r>
                </w:p>
              </w:tc>
              <w:tc>
                <w:tcPr>
                  <w:tcW w:w="346" w:type="pct"/>
                  <w:noWrap w:val="0"/>
                  <w:tcMar>
                    <w:top w:w="0" w:type="dxa"/>
                    <w:left w:w="0" w:type="dxa"/>
                    <w:bottom w:w="0" w:type="dxa"/>
                    <w:right w:w="0" w:type="dxa"/>
                  </w:tcMar>
                  <w:vAlign w:val="center"/>
                </w:tcPr>
                <w:p w14:paraId="40C72E27">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废物类别</w:t>
                  </w:r>
                </w:p>
              </w:tc>
              <w:tc>
                <w:tcPr>
                  <w:tcW w:w="650" w:type="pct"/>
                  <w:noWrap w:val="0"/>
                  <w:tcMar>
                    <w:top w:w="0" w:type="dxa"/>
                    <w:left w:w="0" w:type="dxa"/>
                    <w:bottom w:w="0" w:type="dxa"/>
                    <w:right w:w="0" w:type="dxa"/>
                  </w:tcMar>
                  <w:vAlign w:val="center"/>
                </w:tcPr>
                <w:p w14:paraId="184D25F3">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废物代码</w:t>
                  </w:r>
                </w:p>
              </w:tc>
              <w:tc>
                <w:tcPr>
                  <w:tcW w:w="346" w:type="pct"/>
                  <w:noWrap w:val="0"/>
                  <w:tcMar>
                    <w:top w:w="0" w:type="dxa"/>
                    <w:left w:w="0" w:type="dxa"/>
                    <w:bottom w:w="0" w:type="dxa"/>
                    <w:right w:w="0" w:type="dxa"/>
                  </w:tcMar>
                  <w:vAlign w:val="center"/>
                </w:tcPr>
                <w:p w14:paraId="3FB3875A">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542" w:type="pct"/>
                  <w:noWrap w:val="0"/>
                  <w:tcMar>
                    <w:top w:w="0" w:type="dxa"/>
                    <w:left w:w="0" w:type="dxa"/>
                    <w:bottom w:w="0" w:type="dxa"/>
                    <w:right w:w="0" w:type="dxa"/>
                  </w:tcMar>
                  <w:vAlign w:val="center"/>
                </w:tcPr>
                <w:p w14:paraId="4D62F6CB">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产生工序及装置</w:t>
                  </w:r>
                </w:p>
              </w:tc>
              <w:tc>
                <w:tcPr>
                  <w:tcW w:w="202" w:type="pct"/>
                  <w:noWrap w:val="0"/>
                  <w:tcMar>
                    <w:top w:w="0" w:type="dxa"/>
                    <w:left w:w="0" w:type="dxa"/>
                    <w:bottom w:w="0" w:type="dxa"/>
                    <w:right w:w="0" w:type="dxa"/>
                  </w:tcMar>
                  <w:vAlign w:val="center"/>
                </w:tcPr>
                <w:p w14:paraId="1487AD43">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形态</w:t>
                  </w:r>
                </w:p>
              </w:tc>
              <w:tc>
                <w:tcPr>
                  <w:tcW w:w="477" w:type="pct"/>
                  <w:noWrap w:val="0"/>
                  <w:tcMar>
                    <w:top w:w="0" w:type="dxa"/>
                    <w:left w:w="0" w:type="dxa"/>
                    <w:bottom w:w="0" w:type="dxa"/>
                    <w:right w:w="0" w:type="dxa"/>
                  </w:tcMar>
                  <w:vAlign w:val="center"/>
                </w:tcPr>
                <w:p w14:paraId="4561473C">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w:t>
                  </w:r>
                </w:p>
                <w:p w14:paraId="4E52D240">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成分</w:t>
                  </w:r>
                </w:p>
              </w:tc>
              <w:tc>
                <w:tcPr>
                  <w:tcW w:w="459" w:type="pct"/>
                  <w:noWrap w:val="0"/>
                  <w:tcMar>
                    <w:top w:w="0" w:type="dxa"/>
                    <w:left w:w="0" w:type="dxa"/>
                    <w:bottom w:w="0" w:type="dxa"/>
                    <w:right w:w="0" w:type="dxa"/>
                  </w:tcMar>
                  <w:vAlign w:val="center"/>
                </w:tcPr>
                <w:p w14:paraId="2004CC97">
                  <w:pPr>
                    <w:pStyle w:val="69"/>
                    <w:autoSpaceDE/>
                    <w:autoSpaceDN/>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有害</w:t>
                  </w:r>
                </w:p>
                <w:p w14:paraId="0CFE4B56">
                  <w:pPr>
                    <w:pStyle w:val="69"/>
                    <w:autoSpaceDE/>
                    <w:autoSpaceDN/>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成分</w:t>
                  </w:r>
                </w:p>
              </w:tc>
              <w:tc>
                <w:tcPr>
                  <w:tcW w:w="381" w:type="pct"/>
                  <w:noWrap w:val="0"/>
                  <w:tcMar>
                    <w:top w:w="0" w:type="dxa"/>
                    <w:left w:w="0" w:type="dxa"/>
                    <w:bottom w:w="0" w:type="dxa"/>
                    <w:right w:w="0" w:type="dxa"/>
                  </w:tcMar>
                  <w:vAlign w:val="center"/>
                </w:tcPr>
                <w:p w14:paraId="2B80EA95">
                  <w:pPr>
                    <w:pStyle w:val="69"/>
                    <w:autoSpaceDE/>
                    <w:autoSpaceDN/>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产废</w:t>
                  </w:r>
                </w:p>
                <w:p w14:paraId="013631A3">
                  <w:pPr>
                    <w:pStyle w:val="69"/>
                    <w:autoSpaceDE/>
                    <w:autoSpaceDN/>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周期</w:t>
                  </w:r>
                </w:p>
              </w:tc>
              <w:tc>
                <w:tcPr>
                  <w:tcW w:w="387" w:type="pct"/>
                  <w:noWrap w:val="0"/>
                  <w:tcMar>
                    <w:top w:w="0" w:type="dxa"/>
                    <w:left w:w="0" w:type="dxa"/>
                    <w:bottom w:w="0" w:type="dxa"/>
                    <w:right w:w="0" w:type="dxa"/>
                  </w:tcMar>
                  <w:vAlign w:val="center"/>
                </w:tcPr>
                <w:p w14:paraId="5244837B">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w:t>
                  </w:r>
                </w:p>
                <w:p w14:paraId="020B4287">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特性</w:t>
                  </w:r>
                </w:p>
              </w:tc>
              <w:tc>
                <w:tcPr>
                  <w:tcW w:w="538" w:type="pct"/>
                  <w:noWrap w:val="0"/>
                  <w:tcMar>
                    <w:top w:w="0" w:type="dxa"/>
                    <w:left w:w="0" w:type="dxa"/>
                    <w:bottom w:w="0" w:type="dxa"/>
                    <w:right w:w="0" w:type="dxa"/>
                  </w:tcMar>
                  <w:vAlign w:val="center"/>
                </w:tcPr>
                <w:p w14:paraId="36C9E723">
                  <w:pPr>
                    <w:pStyle w:val="69"/>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污染防治措施</w:t>
                  </w:r>
                </w:p>
              </w:tc>
            </w:tr>
            <w:tr w14:paraId="566B0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 w:type="pct"/>
                  <w:noWrap w:val="0"/>
                  <w:tcMar>
                    <w:top w:w="0" w:type="dxa"/>
                    <w:left w:w="0" w:type="dxa"/>
                    <w:bottom w:w="0" w:type="dxa"/>
                    <w:right w:w="0" w:type="dxa"/>
                  </w:tcMar>
                  <w:vAlign w:val="center"/>
                </w:tcPr>
                <w:p w14:paraId="334D9474">
                  <w:pPr>
                    <w:pStyle w:val="69"/>
                    <w:autoSpaceDE/>
                    <w:autoSpaceDN/>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98" w:type="pct"/>
                  <w:shd w:val="clear" w:color="auto" w:fill="auto"/>
                  <w:noWrap w:val="0"/>
                  <w:tcMar>
                    <w:top w:w="0" w:type="dxa"/>
                    <w:left w:w="0" w:type="dxa"/>
                    <w:bottom w:w="0" w:type="dxa"/>
                    <w:right w:w="0" w:type="dxa"/>
                  </w:tcMar>
                  <w:vAlign w:val="center"/>
                </w:tcPr>
                <w:p w14:paraId="0EC4A2B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喷淋塔废液</w:t>
                  </w:r>
                </w:p>
              </w:tc>
              <w:tc>
                <w:tcPr>
                  <w:tcW w:w="346" w:type="pct"/>
                  <w:shd w:val="clear" w:color="auto" w:fill="auto"/>
                  <w:noWrap w:val="0"/>
                  <w:tcMar>
                    <w:top w:w="0" w:type="dxa"/>
                    <w:left w:w="0" w:type="dxa"/>
                    <w:bottom w:w="0" w:type="dxa"/>
                    <w:right w:w="0" w:type="dxa"/>
                  </w:tcMar>
                  <w:vAlign w:val="center"/>
                </w:tcPr>
                <w:p w14:paraId="063C1BD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HW09</w:t>
                  </w:r>
                </w:p>
              </w:tc>
              <w:tc>
                <w:tcPr>
                  <w:tcW w:w="650" w:type="pct"/>
                  <w:shd w:val="clear" w:color="auto" w:fill="auto"/>
                  <w:noWrap w:val="0"/>
                  <w:tcMar>
                    <w:top w:w="0" w:type="dxa"/>
                    <w:left w:w="0" w:type="dxa"/>
                    <w:bottom w:w="0" w:type="dxa"/>
                    <w:right w:w="0" w:type="dxa"/>
                  </w:tcMar>
                  <w:vAlign w:val="center"/>
                </w:tcPr>
                <w:p w14:paraId="539DE3A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900-007-09</w:t>
                  </w:r>
                </w:p>
              </w:tc>
              <w:tc>
                <w:tcPr>
                  <w:tcW w:w="346" w:type="pct"/>
                  <w:shd w:val="clear" w:color="auto" w:fill="auto"/>
                  <w:noWrap w:val="0"/>
                  <w:tcMar>
                    <w:top w:w="0" w:type="dxa"/>
                    <w:left w:w="0" w:type="dxa"/>
                    <w:bottom w:w="0" w:type="dxa"/>
                    <w:right w:w="0" w:type="dxa"/>
                  </w:tcMar>
                  <w:vAlign w:val="center"/>
                </w:tcPr>
                <w:p w14:paraId="1B3E6B2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1</w:t>
                  </w:r>
                </w:p>
              </w:tc>
              <w:tc>
                <w:tcPr>
                  <w:tcW w:w="542" w:type="pct"/>
                  <w:shd w:val="clear" w:color="auto" w:fill="auto"/>
                  <w:noWrap w:val="0"/>
                  <w:tcMar>
                    <w:top w:w="0" w:type="dxa"/>
                    <w:left w:w="0" w:type="dxa"/>
                    <w:bottom w:w="0" w:type="dxa"/>
                    <w:right w:w="0" w:type="dxa"/>
                  </w:tcMar>
                  <w:vAlign w:val="center"/>
                </w:tcPr>
                <w:p w14:paraId="6508147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废气处理</w:t>
                  </w:r>
                </w:p>
              </w:tc>
              <w:tc>
                <w:tcPr>
                  <w:tcW w:w="202" w:type="pct"/>
                  <w:shd w:val="clear" w:color="auto" w:fill="auto"/>
                  <w:noWrap w:val="0"/>
                  <w:tcMar>
                    <w:top w:w="0" w:type="dxa"/>
                    <w:left w:w="0" w:type="dxa"/>
                    <w:bottom w:w="0" w:type="dxa"/>
                    <w:right w:w="0" w:type="dxa"/>
                  </w:tcMar>
                  <w:vAlign w:val="center"/>
                </w:tcPr>
                <w:p w14:paraId="341F4BB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液</w:t>
                  </w:r>
                </w:p>
              </w:tc>
              <w:tc>
                <w:tcPr>
                  <w:tcW w:w="477" w:type="pct"/>
                  <w:shd w:val="clear" w:color="auto" w:fill="auto"/>
                  <w:noWrap w:val="0"/>
                  <w:tcMar>
                    <w:top w:w="0" w:type="dxa"/>
                    <w:left w:w="0" w:type="dxa"/>
                    <w:bottom w:w="0" w:type="dxa"/>
                    <w:right w:w="0" w:type="dxa"/>
                  </w:tcMar>
                  <w:vAlign w:val="center"/>
                </w:tcPr>
                <w:p w14:paraId="0D87C258">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kern w:val="18"/>
                      <w:sz w:val="21"/>
                      <w:szCs w:val="21"/>
                      <w:lang w:val="en-US" w:eastAsia="zh-CN" w:bidi="ar-SA"/>
                    </w:rPr>
                    <w:t>水油烃混合物</w:t>
                  </w:r>
                </w:p>
              </w:tc>
              <w:tc>
                <w:tcPr>
                  <w:tcW w:w="459" w:type="pct"/>
                  <w:shd w:val="clear" w:color="auto" w:fill="auto"/>
                  <w:noWrap w:val="0"/>
                  <w:tcMar>
                    <w:top w:w="0" w:type="dxa"/>
                    <w:left w:w="0" w:type="dxa"/>
                    <w:bottom w:w="0" w:type="dxa"/>
                    <w:right w:w="0" w:type="dxa"/>
                  </w:tcMar>
                  <w:vAlign w:val="center"/>
                </w:tcPr>
                <w:p w14:paraId="77276DCD">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kern w:val="18"/>
                      <w:sz w:val="21"/>
                      <w:szCs w:val="21"/>
                      <w:lang w:val="en-US" w:eastAsia="zh-CN" w:bidi="ar-SA"/>
                    </w:rPr>
                    <w:t>水油烃混合物</w:t>
                  </w:r>
                </w:p>
              </w:tc>
              <w:tc>
                <w:tcPr>
                  <w:tcW w:w="381" w:type="pct"/>
                  <w:noWrap w:val="0"/>
                  <w:tcMar>
                    <w:top w:w="0" w:type="dxa"/>
                    <w:left w:w="0" w:type="dxa"/>
                    <w:bottom w:w="0" w:type="dxa"/>
                    <w:right w:w="0" w:type="dxa"/>
                  </w:tcMar>
                  <w:vAlign w:val="center"/>
                </w:tcPr>
                <w:p w14:paraId="4B40F150">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rPr>
                    <w:t>1</w:t>
                  </w:r>
                  <w:r>
                    <w:rPr>
                      <w:rFonts w:hint="default" w:ascii="Times New Roman" w:hAnsi="Times New Roman" w:eastAsia="宋体" w:cs="Times New Roman"/>
                      <w:color w:val="auto"/>
                      <w:kern w:val="2"/>
                      <w:sz w:val="21"/>
                      <w:szCs w:val="21"/>
                      <w:lang w:val="en-US" w:eastAsia="zh-CN"/>
                    </w:rPr>
                    <w:t>年</w:t>
                  </w:r>
                </w:p>
              </w:tc>
              <w:tc>
                <w:tcPr>
                  <w:tcW w:w="387" w:type="pct"/>
                  <w:shd w:val="clear" w:color="auto" w:fill="auto"/>
                  <w:noWrap w:val="0"/>
                  <w:tcMar>
                    <w:top w:w="0" w:type="dxa"/>
                    <w:left w:w="0" w:type="dxa"/>
                    <w:bottom w:w="0" w:type="dxa"/>
                    <w:right w:w="0" w:type="dxa"/>
                  </w:tcMar>
                  <w:vAlign w:val="center"/>
                </w:tcPr>
                <w:p w14:paraId="32E1BC3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p>
              </w:tc>
              <w:tc>
                <w:tcPr>
                  <w:tcW w:w="538" w:type="pct"/>
                  <w:vMerge w:val="restart"/>
                  <w:noWrap w:val="0"/>
                  <w:tcMar>
                    <w:top w:w="0" w:type="dxa"/>
                    <w:left w:w="0" w:type="dxa"/>
                    <w:bottom w:w="0" w:type="dxa"/>
                    <w:right w:w="0" w:type="dxa"/>
                  </w:tcMar>
                  <w:vAlign w:val="center"/>
                </w:tcPr>
                <w:p w14:paraId="2D00FED7">
                  <w:pPr>
                    <w:pStyle w:val="69"/>
                    <w:autoSpaceDE/>
                    <w:autoSpaceDN/>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贮存于危废仓库，委托有资质单位处置</w:t>
                  </w:r>
                </w:p>
              </w:tc>
            </w:tr>
            <w:tr w14:paraId="4A294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 w:type="pct"/>
                  <w:noWrap w:val="0"/>
                  <w:tcMar>
                    <w:top w:w="0" w:type="dxa"/>
                    <w:left w:w="0" w:type="dxa"/>
                    <w:bottom w:w="0" w:type="dxa"/>
                    <w:right w:w="0" w:type="dxa"/>
                  </w:tcMar>
                  <w:vAlign w:val="center"/>
                </w:tcPr>
                <w:p w14:paraId="6079171F">
                  <w:pPr>
                    <w:pStyle w:val="69"/>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98" w:type="pct"/>
                  <w:shd w:val="clear" w:color="auto" w:fill="auto"/>
                  <w:noWrap w:val="0"/>
                  <w:tcMar>
                    <w:top w:w="0" w:type="dxa"/>
                    <w:left w:w="0" w:type="dxa"/>
                    <w:bottom w:w="0" w:type="dxa"/>
                    <w:right w:w="0" w:type="dxa"/>
                  </w:tcMar>
                  <w:vAlign w:val="center"/>
                </w:tcPr>
                <w:p w14:paraId="2EE1C7C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val="en-US" w:eastAsia="zh-CN"/>
                    </w:rPr>
                    <w:t>废润滑油</w:t>
                  </w:r>
                </w:p>
              </w:tc>
              <w:tc>
                <w:tcPr>
                  <w:tcW w:w="346" w:type="pct"/>
                  <w:shd w:val="clear" w:color="auto" w:fill="auto"/>
                  <w:noWrap w:val="0"/>
                  <w:tcMar>
                    <w:top w:w="0" w:type="dxa"/>
                    <w:left w:w="0" w:type="dxa"/>
                    <w:bottom w:w="0" w:type="dxa"/>
                    <w:right w:w="0" w:type="dxa"/>
                  </w:tcMar>
                  <w:vAlign w:val="center"/>
                </w:tcPr>
                <w:p w14:paraId="23EDAE1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tc>
              <w:tc>
                <w:tcPr>
                  <w:tcW w:w="650" w:type="pct"/>
                  <w:shd w:val="clear" w:color="auto" w:fill="auto"/>
                  <w:noWrap w:val="0"/>
                  <w:tcMar>
                    <w:top w:w="0" w:type="dxa"/>
                    <w:left w:w="0" w:type="dxa"/>
                    <w:bottom w:w="0" w:type="dxa"/>
                    <w:right w:w="0" w:type="dxa"/>
                  </w:tcMar>
                  <w:vAlign w:val="center"/>
                </w:tcPr>
                <w:p w14:paraId="57EDCE5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900-217-08</w:t>
                  </w:r>
                </w:p>
              </w:tc>
              <w:tc>
                <w:tcPr>
                  <w:tcW w:w="346" w:type="pct"/>
                  <w:shd w:val="clear" w:color="auto" w:fill="auto"/>
                  <w:noWrap w:val="0"/>
                  <w:tcMar>
                    <w:top w:w="0" w:type="dxa"/>
                    <w:left w:w="0" w:type="dxa"/>
                    <w:bottom w:w="0" w:type="dxa"/>
                    <w:right w:w="0" w:type="dxa"/>
                  </w:tcMar>
                  <w:vAlign w:val="center"/>
                </w:tcPr>
                <w:p w14:paraId="254D4FE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0.4</w:t>
                  </w:r>
                </w:p>
              </w:tc>
              <w:tc>
                <w:tcPr>
                  <w:tcW w:w="542" w:type="pct"/>
                  <w:shd w:val="clear" w:color="auto" w:fill="auto"/>
                  <w:noWrap w:val="0"/>
                  <w:tcMar>
                    <w:top w:w="0" w:type="dxa"/>
                    <w:left w:w="0" w:type="dxa"/>
                    <w:bottom w:w="0" w:type="dxa"/>
                    <w:right w:w="0" w:type="dxa"/>
                  </w:tcMar>
                  <w:vAlign w:val="center"/>
                </w:tcPr>
                <w:p w14:paraId="3EBE888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设备保养</w:t>
                  </w:r>
                </w:p>
              </w:tc>
              <w:tc>
                <w:tcPr>
                  <w:tcW w:w="202" w:type="pct"/>
                  <w:shd w:val="clear" w:color="auto" w:fill="auto"/>
                  <w:noWrap w:val="0"/>
                  <w:tcMar>
                    <w:top w:w="0" w:type="dxa"/>
                    <w:left w:w="0" w:type="dxa"/>
                    <w:bottom w:w="0" w:type="dxa"/>
                    <w:right w:w="0" w:type="dxa"/>
                  </w:tcMar>
                  <w:vAlign w:val="center"/>
                </w:tcPr>
                <w:p w14:paraId="573A670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液</w:t>
                  </w:r>
                </w:p>
              </w:tc>
              <w:tc>
                <w:tcPr>
                  <w:tcW w:w="477" w:type="pct"/>
                  <w:shd w:val="clear" w:color="auto" w:fill="auto"/>
                  <w:noWrap w:val="0"/>
                  <w:tcMar>
                    <w:top w:w="0" w:type="dxa"/>
                    <w:left w:w="0" w:type="dxa"/>
                    <w:bottom w:w="0" w:type="dxa"/>
                    <w:right w:w="0" w:type="dxa"/>
                  </w:tcMar>
                  <w:vAlign w:val="center"/>
                </w:tcPr>
                <w:p w14:paraId="723D9F0F">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矿物油</w:t>
                  </w:r>
                </w:p>
              </w:tc>
              <w:tc>
                <w:tcPr>
                  <w:tcW w:w="459" w:type="pct"/>
                  <w:shd w:val="clear" w:color="auto" w:fill="auto"/>
                  <w:noWrap w:val="0"/>
                  <w:tcMar>
                    <w:top w:w="0" w:type="dxa"/>
                    <w:left w:w="0" w:type="dxa"/>
                    <w:bottom w:w="0" w:type="dxa"/>
                    <w:right w:w="0" w:type="dxa"/>
                  </w:tcMar>
                  <w:vAlign w:val="center"/>
                </w:tcPr>
                <w:p w14:paraId="029F452A">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矿物油</w:t>
                  </w:r>
                </w:p>
              </w:tc>
              <w:tc>
                <w:tcPr>
                  <w:tcW w:w="381" w:type="pct"/>
                  <w:noWrap w:val="0"/>
                  <w:tcMar>
                    <w:top w:w="0" w:type="dxa"/>
                    <w:left w:w="0" w:type="dxa"/>
                    <w:bottom w:w="0" w:type="dxa"/>
                    <w:right w:w="0" w:type="dxa"/>
                  </w:tcMar>
                  <w:vAlign w:val="center"/>
                </w:tcPr>
                <w:p w14:paraId="0BCB976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rPr>
                    <w:t>1</w:t>
                  </w:r>
                  <w:r>
                    <w:rPr>
                      <w:rFonts w:hint="default" w:ascii="Times New Roman" w:hAnsi="Times New Roman" w:eastAsia="宋体" w:cs="Times New Roman"/>
                      <w:color w:val="auto"/>
                      <w:kern w:val="2"/>
                      <w:sz w:val="21"/>
                      <w:szCs w:val="21"/>
                      <w:lang w:val="en-US" w:eastAsia="zh-CN"/>
                    </w:rPr>
                    <w:t>年</w:t>
                  </w:r>
                </w:p>
              </w:tc>
              <w:tc>
                <w:tcPr>
                  <w:tcW w:w="387" w:type="pct"/>
                  <w:shd w:val="clear" w:color="auto" w:fill="auto"/>
                  <w:noWrap w:val="0"/>
                  <w:tcMar>
                    <w:top w:w="0" w:type="dxa"/>
                    <w:left w:w="0" w:type="dxa"/>
                    <w:bottom w:w="0" w:type="dxa"/>
                    <w:right w:w="0" w:type="dxa"/>
                  </w:tcMar>
                  <w:vAlign w:val="center"/>
                </w:tcPr>
                <w:p w14:paraId="3EC14870">
                  <w:pPr>
                    <w:widowControl/>
                    <w:adjustRightInd w:val="0"/>
                    <w:snapToGrid w:val="0"/>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T，I</w:t>
                  </w:r>
                </w:p>
              </w:tc>
              <w:tc>
                <w:tcPr>
                  <w:tcW w:w="538" w:type="pct"/>
                  <w:vMerge w:val="continue"/>
                  <w:noWrap w:val="0"/>
                  <w:tcMar>
                    <w:top w:w="0" w:type="dxa"/>
                    <w:left w:w="0" w:type="dxa"/>
                    <w:bottom w:w="0" w:type="dxa"/>
                    <w:right w:w="0" w:type="dxa"/>
                  </w:tcMar>
                  <w:vAlign w:val="center"/>
                </w:tcPr>
                <w:p w14:paraId="742EA1F8">
                  <w:pPr>
                    <w:pStyle w:val="69"/>
                    <w:autoSpaceDE/>
                    <w:autoSpaceDN/>
                    <w:jc w:val="center"/>
                    <w:rPr>
                      <w:rFonts w:hint="default" w:ascii="Times New Roman" w:hAnsi="Times New Roman" w:eastAsia="宋体" w:cs="Times New Roman"/>
                      <w:color w:val="auto"/>
                      <w:sz w:val="21"/>
                      <w:szCs w:val="21"/>
                    </w:rPr>
                  </w:pPr>
                </w:p>
              </w:tc>
            </w:tr>
            <w:tr w14:paraId="71720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 w:type="pct"/>
                  <w:noWrap w:val="0"/>
                  <w:tcMar>
                    <w:top w:w="0" w:type="dxa"/>
                    <w:left w:w="0" w:type="dxa"/>
                    <w:bottom w:w="0" w:type="dxa"/>
                    <w:right w:w="0" w:type="dxa"/>
                  </w:tcMar>
                  <w:vAlign w:val="center"/>
                </w:tcPr>
                <w:p w14:paraId="55A75954">
                  <w:pPr>
                    <w:pStyle w:val="69"/>
                    <w:autoSpaceDE/>
                    <w:autoSpaceDN/>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498" w:type="pct"/>
                  <w:shd w:val="clear" w:color="auto" w:fill="auto"/>
                  <w:noWrap w:val="0"/>
                  <w:tcMar>
                    <w:top w:w="0" w:type="dxa"/>
                    <w:left w:w="0" w:type="dxa"/>
                    <w:bottom w:w="0" w:type="dxa"/>
                    <w:right w:w="0" w:type="dxa"/>
                  </w:tcMar>
                  <w:vAlign w:val="center"/>
                </w:tcPr>
                <w:p w14:paraId="74DE421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废油桶</w:t>
                  </w:r>
                </w:p>
              </w:tc>
              <w:tc>
                <w:tcPr>
                  <w:tcW w:w="346" w:type="pct"/>
                  <w:shd w:val="clear" w:color="auto" w:fill="auto"/>
                  <w:noWrap w:val="0"/>
                  <w:tcMar>
                    <w:top w:w="0" w:type="dxa"/>
                    <w:left w:w="0" w:type="dxa"/>
                    <w:bottom w:w="0" w:type="dxa"/>
                    <w:right w:w="0" w:type="dxa"/>
                  </w:tcMar>
                  <w:vAlign w:val="center"/>
                </w:tcPr>
                <w:p w14:paraId="7E248828">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HW08</w:t>
                  </w:r>
                </w:p>
              </w:tc>
              <w:tc>
                <w:tcPr>
                  <w:tcW w:w="650" w:type="pct"/>
                  <w:shd w:val="clear" w:color="auto" w:fill="auto"/>
                  <w:noWrap w:val="0"/>
                  <w:tcMar>
                    <w:top w:w="0" w:type="dxa"/>
                    <w:left w:w="0" w:type="dxa"/>
                    <w:bottom w:w="0" w:type="dxa"/>
                    <w:right w:w="0" w:type="dxa"/>
                  </w:tcMar>
                  <w:vAlign w:val="center"/>
                </w:tcPr>
                <w:p w14:paraId="58867507">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900-249-08</w:t>
                  </w:r>
                </w:p>
              </w:tc>
              <w:tc>
                <w:tcPr>
                  <w:tcW w:w="346" w:type="pct"/>
                  <w:shd w:val="clear" w:color="auto" w:fill="auto"/>
                  <w:noWrap w:val="0"/>
                  <w:tcMar>
                    <w:top w:w="0" w:type="dxa"/>
                    <w:left w:w="0" w:type="dxa"/>
                    <w:bottom w:w="0" w:type="dxa"/>
                    <w:right w:w="0" w:type="dxa"/>
                  </w:tcMar>
                  <w:vAlign w:val="center"/>
                </w:tcPr>
                <w:p w14:paraId="0C0153C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Cs w:val="21"/>
                      <w:highlight w:val="none"/>
                      <w:lang w:val="en-US" w:eastAsia="zh-CN"/>
                    </w:rPr>
                    <w:t>11.36</w:t>
                  </w:r>
                </w:p>
              </w:tc>
              <w:tc>
                <w:tcPr>
                  <w:tcW w:w="542" w:type="pct"/>
                  <w:shd w:val="clear" w:color="auto" w:fill="auto"/>
                  <w:noWrap w:val="0"/>
                  <w:tcMar>
                    <w:top w:w="0" w:type="dxa"/>
                    <w:left w:w="0" w:type="dxa"/>
                    <w:bottom w:w="0" w:type="dxa"/>
                    <w:right w:w="0" w:type="dxa"/>
                  </w:tcMar>
                  <w:vAlign w:val="center"/>
                </w:tcPr>
                <w:p w14:paraId="6FB7F7C8">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原料包装</w:t>
                  </w:r>
                </w:p>
              </w:tc>
              <w:tc>
                <w:tcPr>
                  <w:tcW w:w="202" w:type="pct"/>
                  <w:shd w:val="clear" w:color="auto" w:fill="auto"/>
                  <w:noWrap w:val="0"/>
                  <w:tcMar>
                    <w:top w:w="0" w:type="dxa"/>
                    <w:left w:w="0" w:type="dxa"/>
                    <w:bottom w:w="0" w:type="dxa"/>
                    <w:right w:w="0" w:type="dxa"/>
                  </w:tcMar>
                  <w:vAlign w:val="center"/>
                </w:tcPr>
                <w:p w14:paraId="613225B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固</w:t>
                  </w:r>
                </w:p>
              </w:tc>
              <w:tc>
                <w:tcPr>
                  <w:tcW w:w="477" w:type="pct"/>
                  <w:shd w:val="clear" w:color="auto" w:fill="auto"/>
                  <w:noWrap w:val="0"/>
                  <w:tcMar>
                    <w:top w:w="0" w:type="dxa"/>
                    <w:left w:w="0" w:type="dxa"/>
                    <w:bottom w:w="0" w:type="dxa"/>
                    <w:right w:w="0" w:type="dxa"/>
                  </w:tcMar>
                  <w:vAlign w:val="center"/>
                </w:tcPr>
                <w:p w14:paraId="2E1DE0C1">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桶、矿物油</w:t>
                  </w:r>
                </w:p>
              </w:tc>
              <w:tc>
                <w:tcPr>
                  <w:tcW w:w="459" w:type="pct"/>
                  <w:shd w:val="clear" w:color="auto" w:fill="auto"/>
                  <w:noWrap w:val="0"/>
                  <w:tcMar>
                    <w:top w:w="0" w:type="dxa"/>
                    <w:left w:w="0" w:type="dxa"/>
                    <w:bottom w:w="0" w:type="dxa"/>
                    <w:right w:w="0" w:type="dxa"/>
                  </w:tcMar>
                  <w:vAlign w:val="center"/>
                </w:tcPr>
                <w:p w14:paraId="32C6F809">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矿物油</w:t>
                  </w:r>
                </w:p>
              </w:tc>
              <w:tc>
                <w:tcPr>
                  <w:tcW w:w="381" w:type="pct"/>
                  <w:noWrap w:val="0"/>
                  <w:tcMar>
                    <w:top w:w="0" w:type="dxa"/>
                    <w:left w:w="0" w:type="dxa"/>
                    <w:bottom w:w="0" w:type="dxa"/>
                    <w:right w:w="0" w:type="dxa"/>
                  </w:tcMar>
                  <w:vAlign w:val="center"/>
                </w:tcPr>
                <w:p w14:paraId="46635DFD">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1周</w:t>
                  </w:r>
                </w:p>
              </w:tc>
              <w:tc>
                <w:tcPr>
                  <w:tcW w:w="387" w:type="pct"/>
                  <w:shd w:val="clear" w:color="auto" w:fill="auto"/>
                  <w:noWrap w:val="0"/>
                  <w:tcMar>
                    <w:top w:w="0" w:type="dxa"/>
                    <w:left w:w="0" w:type="dxa"/>
                    <w:bottom w:w="0" w:type="dxa"/>
                    <w:right w:w="0" w:type="dxa"/>
                  </w:tcMar>
                  <w:vAlign w:val="center"/>
                </w:tcPr>
                <w:p w14:paraId="4C73BCA9">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T，I</w:t>
                  </w:r>
                </w:p>
              </w:tc>
              <w:tc>
                <w:tcPr>
                  <w:tcW w:w="538" w:type="pct"/>
                  <w:vMerge w:val="continue"/>
                  <w:noWrap w:val="0"/>
                  <w:tcMar>
                    <w:top w:w="0" w:type="dxa"/>
                    <w:left w:w="0" w:type="dxa"/>
                    <w:bottom w:w="0" w:type="dxa"/>
                    <w:right w:w="0" w:type="dxa"/>
                  </w:tcMar>
                  <w:vAlign w:val="center"/>
                </w:tcPr>
                <w:p w14:paraId="00FDF01D">
                  <w:pPr>
                    <w:pStyle w:val="69"/>
                    <w:autoSpaceDE/>
                    <w:autoSpaceDN/>
                    <w:jc w:val="center"/>
                    <w:rPr>
                      <w:rFonts w:hint="default" w:ascii="Times New Roman" w:hAnsi="Times New Roman" w:eastAsia="宋体" w:cs="Times New Roman"/>
                      <w:color w:val="auto"/>
                      <w:sz w:val="21"/>
                      <w:szCs w:val="21"/>
                    </w:rPr>
                  </w:pPr>
                </w:p>
              </w:tc>
            </w:tr>
            <w:tr w14:paraId="5C57D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 w:type="pct"/>
                  <w:noWrap w:val="0"/>
                  <w:tcMar>
                    <w:top w:w="0" w:type="dxa"/>
                    <w:left w:w="0" w:type="dxa"/>
                    <w:bottom w:w="0" w:type="dxa"/>
                    <w:right w:w="0" w:type="dxa"/>
                  </w:tcMar>
                  <w:vAlign w:val="center"/>
                </w:tcPr>
                <w:p w14:paraId="7025C300">
                  <w:pPr>
                    <w:pStyle w:val="69"/>
                    <w:autoSpaceDE/>
                    <w:autoSpaceDN/>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498" w:type="pct"/>
                  <w:shd w:val="clear" w:color="auto" w:fill="auto"/>
                  <w:noWrap w:val="0"/>
                  <w:tcMar>
                    <w:top w:w="0" w:type="dxa"/>
                    <w:left w:w="0" w:type="dxa"/>
                    <w:bottom w:w="0" w:type="dxa"/>
                    <w:right w:w="0" w:type="dxa"/>
                  </w:tcMar>
                  <w:vAlign w:val="center"/>
                </w:tcPr>
                <w:p w14:paraId="4A2964A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废包装桶</w:t>
                  </w:r>
                </w:p>
              </w:tc>
              <w:tc>
                <w:tcPr>
                  <w:tcW w:w="346" w:type="pct"/>
                  <w:shd w:val="clear" w:color="auto" w:fill="auto"/>
                  <w:noWrap w:val="0"/>
                  <w:tcMar>
                    <w:top w:w="0" w:type="dxa"/>
                    <w:left w:w="0" w:type="dxa"/>
                    <w:bottom w:w="0" w:type="dxa"/>
                    <w:right w:w="0" w:type="dxa"/>
                  </w:tcMar>
                  <w:vAlign w:val="center"/>
                </w:tcPr>
                <w:p w14:paraId="2F70ED24">
                  <w:pPr>
                    <w:jc w:val="center"/>
                    <w:rPr>
                      <w:rFonts w:hint="default" w:ascii="Times New Roman" w:hAnsi="Times New Roman" w:eastAsia="宋体" w:cs="Times New Roman"/>
                      <w:color w:val="auto"/>
                      <w:kern w:val="2"/>
                      <w:sz w:val="21"/>
                      <w:szCs w:val="21"/>
                      <w:lang w:val="en-US" w:eastAsia="zh-CN" w:bidi="ar-SA"/>
                    </w:rPr>
                  </w:pPr>
                  <w:r>
                    <w:rPr>
                      <w:color w:val="auto"/>
                      <w:szCs w:val="21"/>
                    </w:rPr>
                    <w:t>HW49</w:t>
                  </w:r>
                </w:p>
              </w:tc>
              <w:tc>
                <w:tcPr>
                  <w:tcW w:w="650" w:type="pct"/>
                  <w:shd w:val="clear" w:color="auto" w:fill="auto"/>
                  <w:noWrap w:val="0"/>
                  <w:tcMar>
                    <w:top w:w="0" w:type="dxa"/>
                    <w:left w:w="0" w:type="dxa"/>
                    <w:bottom w:w="0" w:type="dxa"/>
                    <w:right w:w="0" w:type="dxa"/>
                  </w:tcMar>
                  <w:vAlign w:val="center"/>
                </w:tcPr>
                <w:p w14:paraId="2A29DF12">
                  <w:pPr>
                    <w:jc w:val="center"/>
                    <w:rPr>
                      <w:rFonts w:hint="default" w:ascii="Times New Roman" w:hAnsi="Times New Roman" w:eastAsia="宋体" w:cs="Times New Roman"/>
                      <w:color w:val="auto"/>
                      <w:kern w:val="2"/>
                      <w:sz w:val="21"/>
                      <w:szCs w:val="21"/>
                      <w:lang w:val="en-US" w:eastAsia="zh-CN" w:bidi="ar-SA"/>
                    </w:rPr>
                  </w:pPr>
                  <w:r>
                    <w:rPr>
                      <w:color w:val="auto"/>
                      <w:szCs w:val="21"/>
                    </w:rPr>
                    <w:t>900-041-49</w:t>
                  </w:r>
                </w:p>
              </w:tc>
              <w:tc>
                <w:tcPr>
                  <w:tcW w:w="346" w:type="pct"/>
                  <w:shd w:val="clear" w:color="auto" w:fill="auto"/>
                  <w:noWrap w:val="0"/>
                  <w:tcMar>
                    <w:top w:w="0" w:type="dxa"/>
                    <w:left w:w="0" w:type="dxa"/>
                    <w:bottom w:w="0" w:type="dxa"/>
                    <w:right w:w="0" w:type="dxa"/>
                  </w:tcMar>
                  <w:vAlign w:val="center"/>
                </w:tcPr>
                <w:p w14:paraId="0F92839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0.08</w:t>
                  </w:r>
                </w:p>
              </w:tc>
              <w:tc>
                <w:tcPr>
                  <w:tcW w:w="542" w:type="pct"/>
                  <w:shd w:val="clear" w:color="auto" w:fill="auto"/>
                  <w:noWrap w:val="0"/>
                  <w:tcMar>
                    <w:top w:w="0" w:type="dxa"/>
                    <w:left w:w="0" w:type="dxa"/>
                    <w:bottom w:w="0" w:type="dxa"/>
                    <w:right w:w="0" w:type="dxa"/>
                  </w:tcMar>
                  <w:vAlign w:val="center"/>
                </w:tcPr>
                <w:p w14:paraId="2AC22FDB">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原料包装</w:t>
                  </w:r>
                </w:p>
              </w:tc>
              <w:tc>
                <w:tcPr>
                  <w:tcW w:w="202" w:type="pct"/>
                  <w:shd w:val="clear" w:color="auto" w:fill="auto"/>
                  <w:noWrap w:val="0"/>
                  <w:tcMar>
                    <w:top w:w="0" w:type="dxa"/>
                    <w:left w:w="0" w:type="dxa"/>
                    <w:bottom w:w="0" w:type="dxa"/>
                    <w:right w:w="0" w:type="dxa"/>
                  </w:tcMar>
                  <w:vAlign w:val="center"/>
                </w:tcPr>
                <w:p w14:paraId="0D6947D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77" w:type="pct"/>
                  <w:shd w:val="clear" w:color="auto" w:fill="auto"/>
                  <w:noWrap w:val="0"/>
                  <w:tcMar>
                    <w:top w:w="0" w:type="dxa"/>
                    <w:left w:w="0" w:type="dxa"/>
                    <w:bottom w:w="0" w:type="dxa"/>
                    <w:right w:w="0" w:type="dxa"/>
                  </w:tcMar>
                  <w:vAlign w:val="center"/>
                </w:tcPr>
                <w:p w14:paraId="011A8ADC">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桶、有机物</w:t>
                  </w:r>
                </w:p>
              </w:tc>
              <w:tc>
                <w:tcPr>
                  <w:tcW w:w="459" w:type="pct"/>
                  <w:shd w:val="clear" w:color="auto" w:fill="auto"/>
                  <w:noWrap w:val="0"/>
                  <w:tcMar>
                    <w:top w:w="0" w:type="dxa"/>
                    <w:left w:w="0" w:type="dxa"/>
                    <w:bottom w:w="0" w:type="dxa"/>
                    <w:right w:w="0" w:type="dxa"/>
                  </w:tcMar>
                  <w:vAlign w:val="center"/>
                </w:tcPr>
                <w:p w14:paraId="01700E09">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有机物</w:t>
                  </w:r>
                </w:p>
              </w:tc>
              <w:tc>
                <w:tcPr>
                  <w:tcW w:w="381" w:type="pct"/>
                  <w:noWrap w:val="0"/>
                  <w:tcMar>
                    <w:top w:w="0" w:type="dxa"/>
                    <w:left w:w="0" w:type="dxa"/>
                    <w:bottom w:w="0" w:type="dxa"/>
                    <w:right w:w="0" w:type="dxa"/>
                  </w:tcMar>
                  <w:vAlign w:val="center"/>
                </w:tcPr>
                <w:p w14:paraId="6DF009FB">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半年</w:t>
                  </w:r>
                </w:p>
              </w:tc>
              <w:tc>
                <w:tcPr>
                  <w:tcW w:w="387" w:type="pct"/>
                  <w:shd w:val="clear" w:color="auto" w:fill="auto"/>
                  <w:noWrap w:val="0"/>
                  <w:tcMar>
                    <w:top w:w="0" w:type="dxa"/>
                    <w:left w:w="0" w:type="dxa"/>
                    <w:bottom w:w="0" w:type="dxa"/>
                    <w:right w:w="0" w:type="dxa"/>
                  </w:tcMar>
                  <w:vAlign w:val="center"/>
                </w:tcPr>
                <w:p w14:paraId="3ABA41ED">
                  <w:pPr>
                    <w:jc w:val="center"/>
                    <w:rPr>
                      <w:rFonts w:hint="default" w:ascii="Times New Roman" w:hAnsi="Times New Roman" w:eastAsia="宋体" w:cs="Times New Roman"/>
                      <w:color w:val="auto"/>
                      <w:kern w:val="2"/>
                      <w:sz w:val="21"/>
                      <w:szCs w:val="21"/>
                      <w:lang w:val="en-US" w:eastAsia="zh-CN" w:bidi="ar-SA"/>
                    </w:rPr>
                  </w:pPr>
                  <w:r>
                    <w:rPr>
                      <w:color w:val="auto"/>
                      <w:szCs w:val="21"/>
                    </w:rPr>
                    <w:t>T/In</w:t>
                  </w:r>
                </w:p>
              </w:tc>
              <w:tc>
                <w:tcPr>
                  <w:tcW w:w="538" w:type="pct"/>
                  <w:vMerge w:val="continue"/>
                  <w:noWrap w:val="0"/>
                  <w:tcMar>
                    <w:top w:w="0" w:type="dxa"/>
                    <w:left w:w="0" w:type="dxa"/>
                    <w:bottom w:w="0" w:type="dxa"/>
                    <w:right w:w="0" w:type="dxa"/>
                  </w:tcMar>
                  <w:vAlign w:val="center"/>
                </w:tcPr>
                <w:p w14:paraId="57CAE465">
                  <w:pPr>
                    <w:pStyle w:val="69"/>
                    <w:autoSpaceDE/>
                    <w:autoSpaceDN/>
                    <w:jc w:val="center"/>
                    <w:rPr>
                      <w:rFonts w:hint="default" w:ascii="Times New Roman" w:hAnsi="Times New Roman" w:eastAsia="宋体" w:cs="Times New Roman"/>
                      <w:color w:val="auto"/>
                      <w:sz w:val="21"/>
                      <w:szCs w:val="21"/>
                    </w:rPr>
                  </w:pPr>
                </w:p>
              </w:tc>
            </w:tr>
            <w:tr w14:paraId="23ADA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3E3D0EDE">
                  <w:pPr>
                    <w:pStyle w:val="69"/>
                    <w:autoSpaceDE/>
                    <w:autoSpaceDN/>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498" w:type="pct"/>
                  <w:shd w:val="clear" w:color="auto" w:fill="auto"/>
                  <w:vAlign w:val="center"/>
                </w:tcPr>
                <w:p w14:paraId="033B65A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废含油抹布</w:t>
                  </w:r>
                </w:p>
              </w:tc>
              <w:tc>
                <w:tcPr>
                  <w:tcW w:w="346" w:type="pct"/>
                  <w:shd w:val="clear" w:color="auto" w:fill="auto"/>
                  <w:vAlign w:val="center"/>
                </w:tcPr>
                <w:p w14:paraId="05EEBCEC">
                  <w:pPr>
                    <w:jc w:val="center"/>
                    <w:rPr>
                      <w:rFonts w:hint="default" w:ascii="Times New Roman" w:hAnsi="Times New Roman" w:eastAsia="宋体" w:cs="Times New Roman"/>
                      <w:color w:val="auto"/>
                      <w:kern w:val="2"/>
                      <w:sz w:val="21"/>
                      <w:szCs w:val="21"/>
                      <w:lang w:val="en-US" w:eastAsia="zh-CN" w:bidi="ar-SA"/>
                    </w:rPr>
                  </w:pPr>
                  <w:r>
                    <w:rPr>
                      <w:color w:val="auto"/>
                      <w:szCs w:val="21"/>
                    </w:rPr>
                    <w:t>HW49</w:t>
                  </w:r>
                </w:p>
              </w:tc>
              <w:tc>
                <w:tcPr>
                  <w:tcW w:w="650" w:type="pct"/>
                  <w:shd w:val="clear" w:color="auto" w:fill="auto"/>
                  <w:vAlign w:val="center"/>
                </w:tcPr>
                <w:p w14:paraId="504C694C">
                  <w:pPr>
                    <w:jc w:val="center"/>
                    <w:rPr>
                      <w:rFonts w:hint="default" w:ascii="Times New Roman" w:hAnsi="Times New Roman" w:eastAsia="宋体" w:cs="Times New Roman"/>
                      <w:color w:val="auto"/>
                      <w:kern w:val="2"/>
                      <w:sz w:val="21"/>
                      <w:szCs w:val="21"/>
                      <w:lang w:val="en-US" w:eastAsia="zh-CN" w:bidi="ar-SA"/>
                    </w:rPr>
                  </w:pPr>
                  <w:r>
                    <w:rPr>
                      <w:color w:val="auto"/>
                      <w:szCs w:val="21"/>
                    </w:rPr>
                    <w:t>900-041-49</w:t>
                  </w:r>
                </w:p>
              </w:tc>
              <w:tc>
                <w:tcPr>
                  <w:tcW w:w="346" w:type="pct"/>
                  <w:shd w:val="clear" w:color="auto" w:fill="auto"/>
                  <w:vAlign w:val="center"/>
                </w:tcPr>
                <w:p w14:paraId="7A5E15E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0.01</w:t>
                  </w:r>
                </w:p>
              </w:tc>
              <w:tc>
                <w:tcPr>
                  <w:tcW w:w="542" w:type="pct"/>
                  <w:shd w:val="clear" w:color="auto" w:fill="auto"/>
                  <w:vAlign w:val="center"/>
                </w:tcPr>
                <w:p w14:paraId="62B37622">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设备擦拭</w:t>
                  </w:r>
                </w:p>
              </w:tc>
              <w:tc>
                <w:tcPr>
                  <w:tcW w:w="202" w:type="pct"/>
                  <w:shd w:val="clear" w:color="auto" w:fill="auto"/>
                  <w:vAlign w:val="center"/>
                </w:tcPr>
                <w:p w14:paraId="6963F21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77" w:type="pct"/>
                  <w:shd w:val="clear" w:color="auto" w:fill="auto"/>
                  <w:vAlign w:val="center"/>
                </w:tcPr>
                <w:p w14:paraId="4D8FD957">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纤维、矿物油</w:t>
                  </w:r>
                </w:p>
              </w:tc>
              <w:tc>
                <w:tcPr>
                  <w:tcW w:w="459" w:type="pct"/>
                  <w:shd w:val="clear" w:color="auto" w:fill="auto"/>
                  <w:vAlign w:val="center"/>
                </w:tcPr>
                <w:p w14:paraId="56ED5033">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矿物油</w:t>
                  </w:r>
                </w:p>
              </w:tc>
              <w:tc>
                <w:tcPr>
                  <w:tcW w:w="381" w:type="pct"/>
                  <w:vAlign w:val="center"/>
                </w:tcPr>
                <w:p w14:paraId="65D8DF28">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1周</w:t>
                  </w:r>
                </w:p>
              </w:tc>
              <w:tc>
                <w:tcPr>
                  <w:tcW w:w="387" w:type="pct"/>
                  <w:shd w:val="clear" w:color="auto" w:fill="auto"/>
                  <w:vAlign w:val="center"/>
                </w:tcPr>
                <w:p w14:paraId="38DD41C2">
                  <w:pPr>
                    <w:jc w:val="center"/>
                    <w:rPr>
                      <w:rFonts w:hint="default" w:ascii="Times New Roman" w:hAnsi="Times New Roman" w:eastAsia="宋体" w:cs="Times New Roman"/>
                      <w:color w:val="auto"/>
                      <w:kern w:val="2"/>
                      <w:sz w:val="21"/>
                      <w:szCs w:val="21"/>
                      <w:lang w:val="en-US" w:eastAsia="zh-CN" w:bidi="ar-SA"/>
                    </w:rPr>
                  </w:pPr>
                  <w:r>
                    <w:rPr>
                      <w:color w:val="auto"/>
                      <w:szCs w:val="21"/>
                    </w:rPr>
                    <w:t>T/In</w:t>
                  </w:r>
                </w:p>
              </w:tc>
              <w:tc>
                <w:tcPr>
                  <w:tcW w:w="538" w:type="pct"/>
                  <w:vMerge w:val="continue"/>
                  <w:vAlign w:val="center"/>
                </w:tcPr>
                <w:p w14:paraId="3A616520">
                  <w:pPr>
                    <w:pStyle w:val="69"/>
                    <w:autoSpaceDE/>
                    <w:autoSpaceDN/>
                    <w:jc w:val="center"/>
                    <w:rPr>
                      <w:rFonts w:hint="default" w:ascii="Times New Roman" w:hAnsi="Times New Roman" w:eastAsia="宋体" w:cs="Times New Roman"/>
                      <w:color w:val="auto"/>
                      <w:sz w:val="21"/>
                      <w:szCs w:val="21"/>
                    </w:rPr>
                  </w:pPr>
                </w:p>
              </w:tc>
            </w:tr>
            <w:tr w14:paraId="463BD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7D3F79E6">
                  <w:pPr>
                    <w:pStyle w:val="69"/>
                    <w:autoSpaceDE/>
                    <w:autoSpaceDN/>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498" w:type="pct"/>
                  <w:shd w:val="clear" w:color="auto" w:fill="auto"/>
                  <w:vAlign w:val="center"/>
                </w:tcPr>
                <w:p w14:paraId="5FAFF47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废活性炭</w:t>
                  </w:r>
                </w:p>
              </w:tc>
              <w:tc>
                <w:tcPr>
                  <w:tcW w:w="346" w:type="pct"/>
                  <w:shd w:val="clear" w:color="auto" w:fill="auto"/>
                  <w:vAlign w:val="center"/>
                </w:tcPr>
                <w:p w14:paraId="6F82808D">
                  <w:pPr>
                    <w:jc w:val="center"/>
                    <w:rPr>
                      <w:rFonts w:hint="default" w:ascii="Times New Roman" w:hAnsi="Times New Roman" w:eastAsia="宋体" w:cs="Times New Roman"/>
                      <w:color w:val="auto"/>
                      <w:kern w:val="2"/>
                      <w:sz w:val="21"/>
                      <w:szCs w:val="21"/>
                      <w:lang w:val="en-US" w:eastAsia="zh-CN" w:bidi="ar-SA"/>
                    </w:rPr>
                  </w:pPr>
                  <w:r>
                    <w:rPr>
                      <w:color w:val="auto"/>
                      <w:szCs w:val="21"/>
                    </w:rPr>
                    <w:t>HW49</w:t>
                  </w:r>
                </w:p>
              </w:tc>
              <w:tc>
                <w:tcPr>
                  <w:tcW w:w="650" w:type="pct"/>
                  <w:shd w:val="clear" w:color="auto" w:fill="auto"/>
                  <w:vAlign w:val="center"/>
                </w:tcPr>
                <w:p w14:paraId="51816025">
                  <w:pPr>
                    <w:jc w:val="center"/>
                    <w:rPr>
                      <w:rFonts w:hint="default" w:ascii="Times New Roman" w:hAnsi="Times New Roman" w:eastAsia="宋体" w:cs="Times New Roman"/>
                      <w:color w:val="auto"/>
                      <w:kern w:val="2"/>
                      <w:sz w:val="21"/>
                      <w:szCs w:val="21"/>
                      <w:lang w:val="en-US" w:eastAsia="zh-CN" w:bidi="ar-SA"/>
                    </w:rPr>
                  </w:pPr>
                  <w:r>
                    <w:rPr>
                      <w:color w:val="auto"/>
                      <w:szCs w:val="21"/>
                    </w:rPr>
                    <w:t>900-0</w:t>
                  </w:r>
                  <w:r>
                    <w:rPr>
                      <w:rFonts w:hint="eastAsia"/>
                      <w:color w:val="auto"/>
                      <w:szCs w:val="21"/>
                      <w:lang w:val="en-US" w:eastAsia="zh-CN"/>
                    </w:rPr>
                    <w:t>39</w:t>
                  </w:r>
                  <w:r>
                    <w:rPr>
                      <w:color w:val="auto"/>
                      <w:szCs w:val="21"/>
                    </w:rPr>
                    <w:t>-49</w:t>
                  </w:r>
                </w:p>
              </w:tc>
              <w:tc>
                <w:tcPr>
                  <w:tcW w:w="346" w:type="pct"/>
                  <w:shd w:val="clear" w:color="auto" w:fill="auto"/>
                  <w:vAlign w:val="center"/>
                </w:tcPr>
                <w:p w14:paraId="28FA20B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0000FF"/>
                      <w:szCs w:val="21"/>
                      <w:lang w:val="en-US" w:eastAsia="zh-CN"/>
                    </w:rPr>
                    <w:t>3.95</w:t>
                  </w:r>
                </w:p>
              </w:tc>
              <w:tc>
                <w:tcPr>
                  <w:tcW w:w="542" w:type="pct"/>
                  <w:shd w:val="clear" w:color="auto" w:fill="auto"/>
                  <w:vAlign w:val="center"/>
                </w:tcPr>
                <w:p w14:paraId="23E9BCE2">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废气处理</w:t>
                  </w:r>
                </w:p>
              </w:tc>
              <w:tc>
                <w:tcPr>
                  <w:tcW w:w="202" w:type="pct"/>
                  <w:shd w:val="clear" w:color="auto" w:fill="auto"/>
                  <w:vAlign w:val="center"/>
                </w:tcPr>
                <w:p w14:paraId="6F38F9B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固</w:t>
                  </w:r>
                </w:p>
              </w:tc>
              <w:tc>
                <w:tcPr>
                  <w:tcW w:w="477" w:type="pct"/>
                  <w:shd w:val="clear" w:color="auto" w:fill="auto"/>
                  <w:vAlign w:val="center"/>
                </w:tcPr>
                <w:p w14:paraId="21916905">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有机物、活性炭</w:t>
                  </w:r>
                </w:p>
              </w:tc>
              <w:tc>
                <w:tcPr>
                  <w:tcW w:w="459" w:type="pct"/>
                  <w:shd w:val="clear" w:color="auto" w:fill="auto"/>
                  <w:vAlign w:val="center"/>
                </w:tcPr>
                <w:p w14:paraId="328DDE85">
                  <w:pPr>
                    <w:pStyle w:val="55"/>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有机物</w:t>
                  </w:r>
                </w:p>
              </w:tc>
              <w:tc>
                <w:tcPr>
                  <w:tcW w:w="381" w:type="pct"/>
                  <w:vAlign w:val="center"/>
                </w:tcPr>
                <w:p w14:paraId="3021823A">
                  <w:pPr>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3个月</w:t>
                  </w:r>
                </w:p>
              </w:tc>
              <w:tc>
                <w:tcPr>
                  <w:tcW w:w="387" w:type="pct"/>
                  <w:shd w:val="clear" w:color="auto" w:fill="auto"/>
                  <w:vAlign w:val="center"/>
                </w:tcPr>
                <w:p w14:paraId="6D1AE57C">
                  <w:pPr>
                    <w:jc w:val="center"/>
                    <w:rPr>
                      <w:rFonts w:hint="default" w:ascii="Times New Roman" w:hAnsi="Times New Roman" w:eastAsia="宋体" w:cs="Times New Roman"/>
                      <w:color w:val="auto"/>
                      <w:kern w:val="2"/>
                      <w:sz w:val="21"/>
                      <w:szCs w:val="21"/>
                      <w:lang w:val="en-US" w:eastAsia="zh-CN" w:bidi="ar-SA"/>
                    </w:rPr>
                  </w:pPr>
                  <w:r>
                    <w:rPr>
                      <w:color w:val="auto"/>
                      <w:szCs w:val="21"/>
                    </w:rPr>
                    <w:t>T</w:t>
                  </w:r>
                </w:p>
              </w:tc>
              <w:tc>
                <w:tcPr>
                  <w:tcW w:w="538" w:type="pct"/>
                  <w:vMerge w:val="continue"/>
                  <w:vAlign w:val="center"/>
                </w:tcPr>
                <w:p w14:paraId="10511327">
                  <w:pPr>
                    <w:pStyle w:val="69"/>
                    <w:autoSpaceDE/>
                    <w:autoSpaceDN/>
                    <w:jc w:val="center"/>
                    <w:rPr>
                      <w:rFonts w:hint="default" w:ascii="Times New Roman" w:hAnsi="Times New Roman" w:eastAsia="宋体" w:cs="Times New Roman"/>
                      <w:color w:val="auto"/>
                      <w:sz w:val="21"/>
                      <w:szCs w:val="21"/>
                    </w:rPr>
                  </w:pPr>
                </w:p>
              </w:tc>
            </w:tr>
          </w:tbl>
          <w:p w14:paraId="6BF9FF68">
            <w:pPr>
              <w:spacing w:before="120" w:beforeLines="50" w:line="360" w:lineRule="auto"/>
              <w:ind w:firstLine="422" w:firstLineChars="200"/>
              <w:jc w:val="left"/>
              <w:rPr>
                <w:b/>
                <w:bCs/>
                <w:color w:val="auto"/>
                <w:szCs w:val="21"/>
              </w:rPr>
            </w:pPr>
            <w:r>
              <w:rPr>
                <w:b/>
                <w:bCs/>
                <w:color w:val="auto"/>
                <w:szCs w:val="21"/>
              </w:rPr>
              <w:t>4、固体废物防治措施：</w:t>
            </w:r>
          </w:p>
          <w:p w14:paraId="42A318FF">
            <w:pPr>
              <w:adjustRightInd w:val="0"/>
              <w:snapToGrid w:val="0"/>
              <w:spacing w:line="360" w:lineRule="auto"/>
              <w:ind w:firstLine="422" w:firstLineChars="200"/>
              <w:rPr>
                <w:color w:val="auto"/>
                <w:szCs w:val="21"/>
              </w:rPr>
            </w:pPr>
            <w:r>
              <w:rPr>
                <w:b/>
                <w:bCs/>
                <w:color w:val="auto"/>
                <w:szCs w:val="21"/>
              </w:rPr>
              <w:t>（1）危险固体废物</w:t>
            </w:r>
          </w:p>
          <w:p w14:paraId="293E7274">
            <w:pPr>
              <w:pStyle w:val="9"/>
              <w:spacing w:before="0" w:line="360" w:lineRule="auto"/>
              <w:ind w:firstLine="420" w:firstLineChars="200"/>
              <w:rPr>
                <w:color w:val="auto"/>
                <w:sz w:val="21"/>
                <w:szCs w:val="21"/>
              </w:rPr>
            </w:pPr>
            <w:r>
              <w:rPr>
                <w:color w:val="auto"/>
                <w:sz w:val="21"/>
                <w:szCs w:val="21"/>
              </w:rPr>
              <w:t>1）危险废物处置方式</w:t>
            </w:r>
          </w:p>
          <w:p w14:paraId="26AEF3B5">
            <w:pPr>
              <w:spacing w:line="360" w:lineRule="auto"/>
              <w:ind w:firstLine="420" w:firstLineChars="200"/>
              <w:rPr>
                <w:color w:val="auto"/>
                <w:szCs w:val="21"/>
              </w:rPr>
            </w:pPr>
            <w:r>
              <w:rPr>
                <w:color w:val="auto"/>
                <w:szCs w:val="21"/>
              </w:rPr>
              <w:t>根据《国家危险废物名录》（202</w:t>
            </w:r>
            <w:r>
              <w:rPr>
                <w:rFonts w:hint="eastAsia"/>
                <w:color w:val="auto"/>
                <w:szCs w:val="21"/>
                <w:lang w:val="en-US" w:eastAsia="zh-CN"/>
              </w:rPr>
              <w:t>5</w:t>
            </w:r>
            <w:r>
              <w:rPr>
                <w:color w:val="auto"/>
                <w:szCs w:val="21"/>
              </w:rPr>
              <w:t>）以及危险废物鉴别标准，项目产生的危险废物为</w:t>
            </w:r>
            <w:r>
              <w:rPr>
                <w:rFonts w:hint="eastAsia"/>
                <w:color w:val="auto"/>
                <w:szCs w:val="21"/>
                <w:lang w:val="en-US" w:eastAsia="zh-CN"/>
              </w:rPr>
              <w:t>喷淋塔废液HW09、</w:t>
            </w:r>
            <w:r>
              <w:rPr>
                <w:rFonts w:hint="eastAsia"/>
                <w:b w:val="0"/>
                <w:bCs w:val="0"/>
                <w:color w:val="auto"/>
                <w:szCs w:val="21"/>
                <w:lang w:val="en-US" w:eastAsia="zh-CN"/>
              </w:rPr>
              <w:t>废润滑油、废油桶HW08</w:t>
            </w:r>
            <w:r>
              <w:rPr>
                <w:rFonts w:hint="eastAsia"/>
                <w:color w:val="auto"/>
                <w:szCs w:val="21"/>
                <w:lang w:val="en-US" w:eastAsia="zh-CN"/>
              </w:rPr>
              <w:t>、废包装桶、废活性炭、废含油抹布</w:t>
            </w:r>
            <w:r>
              <w:rPr>
                <w:rFonts w:hint="eastAsia"/>
                <w:color w:val="auto"/>
                <w:szCs w:val="21"/>
              </w:rPr>
              <w:t>HW</w:t>
            </w:r>
            <w:r>
              <w:rPr>
                <w:rFonts w:hint="eastAsia"/>
                <w:color w:val="auto"/>
                <w:szCs w:val="21"/>
                <w:lang w:val="en-US" w:eastAsia="zh-CN"/>
              </w:rPr>
              <w:t>49</w:t>
            </w:r>
            <w:r>
              <w:rPr>
                <w:color w:val="auto"/>
                <w:szCs w:val="21"/>
              </w:rPr>
              <w:t>，须委托有资质单位处置，签订危废处置协议。</w:t>
            </w:r>
          </w:p>
          <w:p w14:paraId="26CA662B">
            <w:pPr>
              <w:spacing w:line="360" w:lineRule="auto"/>
              <w:ind w:firstLine="420" w:firstLineChars="200"/>
              <w:rPr>
                <w:color w:val="auto"/>
                <w:szCs w:val="21"/>
              </w:rPr>
            </w:pPr>
            <w:r>
              <w:rPr>
                <w:color w:val="auto"/>
                <w:szCs w:val="21"/>
              </w:rPr>
              <w:t>2）贮存场所（设施）污染防治措施</w:t>
            </w:r>
          </w:p>
          <w:p w14:paraId="3523FAEE">
            <w:pPr>
              <w:spacing w:line="360" w:lineRule="auto"/>
              <w:ind w:firstLine="420" w:firstLineChars="200"/>
              <w:rPr>
                <w:color w:val="auto"/>
                <w:szCs w:val="21"/>
              </w:rPr>
            </w:pPr>
            <w:r>
              <w:rPr>
                <w:color w:val="auto"/>
                <w:szCs w:val="21"/>
              </w:rPr>
              <w:t>本项目</w:t>
            </w:r>
            <w:r>
              <w:rPr>
                <w:rFonts w:hint="eastAsia"/>
                <w:color w:val="auto"/>
                <w:szCs w:val="21"/>
                <w:lang w:val="en-US" w:eastAsia="zh-CN"/>
              </w:rPr>
              <w:t>新建一座</w:t>
            </w:r>
            <w:r>
              <w:rPr>
                <w:color w:val="auto"/>
                <w:szCs w:val="21"/>
              </w:rPr>
              <w:t>危废仓库</w:t>
            </w:r>
            <w:r>
              <w:rPr>
                <w:rFonts w:hint="eastAsia"/>
                <w:color w:val="auto"/>
                <w:szCs w:val="21"/>
                <w:lang w:val="en-US" w:eastAsia="zh-CN"/>
              </w:rPr>
              <w:t>10</w:t>
            </w:r>
            <w:r>
              <w:rPr>
                <w:color w:val="auto"/>
                <w:szCs w:val="21"/>
              </w:rPr>
              <w:t>m</w:t>
            </w:r>
            <w:r>
              <w:rPr>
                <w:color w:val="auto"/>
                <w:szCs w:val="21"/>
                <w:vertAlign w:val="superscript"/>
              </w:rPr>
              <w:t>2</w:t>
            </w:r>
            <w:r>
              <w:rPr>
                <w:color w:val="auto"/>
                <w:szCs w:val="21"/>
              </w:rPr>
              <w:t>对危险固废进行安全暂存，</w:t>
            </w:r>
            <w:r>
              <w:rPr>
                <w:b/>
                <w:bCs/>
                <w:color w:val="auto"/>
                <w:szCs w:val="21"/>
              </w:rPr>
              <w:t>危废仓库</w:t>
            </w:r>
            <w:r>
              <w:rPr>
                <w:rFonts w:hint="eastAsia"/>
                <w:b/>
                <w:bCs/>
                <w:color w:val="auto"/>
                <w:szCs w:val="21"/>
                <w:lang w:val="en-US" w:eastAsia="zh-CN"/>
              </w:rPr>
              <w:t>应</w:t>
            </w:r>
            <w:r>
              <w:rPr>
                <w:b/>
                <w:bCs/>
                <w:color w:val="auto"/>
                <w:szCs w:val="21"/>
              </w:rPr>
              <w:t>按《危险废物贮存污染控制标准》（GB18597-2023）的要求进行设置，</w:t>
            </w:r>
            <w:r>
              <w:rPr>
                <w:rFonts w:hint="eastAsia"/>
                <w:b/>
                <w:bCs/>
                <w:color w:val="auto"/>
                <w:szCs w:val="21"/>
                <w:lang w:val="en-US" w:eastAsia="zh-CN"/>
              </w:rPr>
              <w:t>应</w:t>
            </w:r>
            <w:r>
              <w:rPr>
                <w:b/>
                <w:bCs/>
                <w:color w:val="auto"/>
                <w:szCs w:val="21"/>
              </w:rPr>
              <w:t>做到以下几点</w:t>
            </w:r>
            <w:r>
              <w:rPr>
                <w:color w:val="auto"/>
                <w:szCs w:val="21"/>
              </w:rPr>
              <w:t>：</w:t>
            </w:r>
          </w:p>
          <w:p w14:paraId="4311581C">
            <w:pPr>
              <w:spacing w:line="360" w:lineRule="auto"/>
              <w:ind w:firstLine="420" w:firstLineChars="200"/>
              <w:rPr>
                <w:rFonts w:hint="eastAsia"/>
                <w:color w:val="auto"/>
                <w:szCs w:val="21"/>
              </w:rPr>
            </w:pPr>
            <w:r>
              <w:rPr>
                <w:color w:val="auto"/>
                <w:szCs w:val="21"/>
              </w:rPr>
              <w:t>①贮存设施应根据危险废物的形态、物理化学性质、包装形式和污染物迁移途径，采取必要的防风、防晒、防雨、防漏、防渗、防腐以及其他环境污染防治措施，不应露天堆放危险废物</w:t>
            </w:r>
            <w:r>
              <w:rPr>
                <w:rFonts w:hint="eastAsia"/>
                <w:color w:val="auto"/>
                <w:szCs w:val="21"/>
              </w:rPr>
              <w:t>。</w:t>
            </w:r>
          </w:p>
          <w:p w14:paraId="2A87E644">
            <w:pPr>
              <w:spacing w:line="360" w:lineRule="auto"/>
              <w:ind w:firstLine="420" w:firstLineChars="200"/>
              <w:rPr>
                <w:rFonts w:hint="eastAsia"/>
                <w:color w:val="auto"/>
                <w:szCs w:val="21"/>
              </w:rPr>
            </w:pPr>
            <w:r>
              <w:rPr>
                <w:color w:val="auto"/>
                <w:szCs w:val="21"/>
              </w:rPr>
              <w:t>②贮存设施应根据危险废物的类别、数量、形态、物理化学性质和污染防治等要求设置必要的贮存分区，避免不相容的危险废物接触、混合</w:t>
            </w:r>
            <w:r>
              <w:rPr>
                <w:rFonts w:hint="eastAsia"/>
                <w:color w:val="auto"/>
                <w:szCs w:val="21"/>
              </w:rPr>
              <w:t>。</w:t>
            </w:r>
          </w:p>
          <w:p w14:paraId="0A1B1208">
            <w:pPr>
              <w:spacing w:line="360" w:lineRule="auto"/>
              <w:ind w:firstLine="420" w:firstLineChars="200"/>
              <w:rPr>
                <w:rFonts w:hint="eastAsia"/>
                <w:color w:val="auto"/>
                <w:szCs w:val="21"/>
              </w:rPr>
            </w:pPr>
            <w:r>
              <w:rPr>
                <w:color w:val="auto"/>
                <w:szCs w:val="21"/>
              </w:rPr>
              <w:t>③贮存设施或贮存分区内地面、墙面裙脚、堵截泄漏的围堰、接触危险废物的隔板和墙体等应采用坚固的材料建造，表面无裂缝</w:t>
            </w:r>
            <w:r>
              <w:rPr>
                <w:rFonts w:hint="eastAsia"/>
                <w:color w:val="auto"/>
                <w:szCs w:val="21"/>
              </w:rPr>
              <w:t>。</w:t>
            </w:r>
          </w:p>
          <w:p w14:paraId="3EEC816B">
            <w:pPr>
              <w:spacing w:line="360" w:lineRule="auto"/>
              <w:ind w:firstLine="420" w:firstLineChars="200"/>
              <w:rPr>
                <w:rFonts w:hint="eastAsia"/>
                <w:color w:val="auto"/>
                <w:szCs w:val="21"/>
              </w:rPr>
            </w:pPr>
            <w:r>
              <w:rPr>
                <w:color w:val="auto"/>
                <w:szCs w:val="21"/>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color w:val="auto"/>
                <w:szCs w:val="21"/>
                <w:vertAlign w:val="superscript"/>
              </w:rPr>
              <w:t>-7</w:t>
            </w:r>
            <w:r>
              <w:rPr>
                <w:color w:val="auto"/>
                <w:szCs w:val="21"/>
              </w:rPr>
              <w:t>cm/s），或至少2mm厚高密度聚乙烯膜等人工防渗材料（渗透系数不大于10</w:t>
            </w:r>
            <w:r>
              <w:rPr>
                <w:color w:val="auto"/>
                <w:szCs w:val="21"/>
                <w:vertAlign w:val="superscript"/>
              </w:rPr>
              <w:t>-10</w:t>
            </w:r>
            <w:r>
              <w:rPr>
                <w:color w:val="auto"/>
                <w:szCs w:val="21"/>
              </w:rPr>
              <w:t>cm/s），或其他防渗性能等效的材料</w:t>
            </w:r>
            <w:r>
              <w:rPr>
                <w:rFonts w:hint="eastAsia"/>
                <w:color w:val="auto"/>
                <w:szCs w:val="21"/>
              </w:rPr>
              <w:t>。</w:t>
            </w:r>
          </w:p>
          <w:p w14:paraId="03375BB4">
            <w:pPr>
              <w:spacing w:line="360" w:lineRule="auto"/>
              <w:ind w:firstLine="420" w:firstLineChars="200"/>
              <w:rPr>
                <w:rFonts w:hint="eastAsia"/>
                <w:color w:val="auto"/>
                <w:szCs w:val="21"/>
              </w:rPr>
            </w:pPr>
            <w:r>
              <w:rPr>
                <w:color w:val="auto"/>
                <w:szCs w:val="21"/>
              </w:rPr>
              <w:t>⑤同一贮存设施宜采用相同的防渗、防腐工艺（包括防渗、防腐结构或材料），防渗、防腐材料应覆盖所有可能与废物及其渗滤液、渗漏液等接触的构筑物表面；采用不同防渗、防腐工艺应分别建设贮存分区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color w:val="auto"/>
                <w:szCs w:val="21"/>
              </w:rPr>
              <w:t>。</w:t>
            </w:r>
          </w:p>
          <w:p w14:paraId="682F88A1">
            <w:pPr>
              <w:spacing w:line="360" w:lineRule="auto"/>
              <w:ind w:firstLine="420" w:firstLineChars="200"/>
              <w:rPr>
                <w:rFonts w:hint="eastAsia"/>
                <w:color w:val="auto"/>
                <w:szCs w:val="21"/>
              </w:rPr>
            </w:pPr>
            <w:r>
              <w:rPr>
                <w:color w:val="auto"/>
                <w:szCs w:val="21"/>
              </w:rPr>
              <w:t>⑥贮存设施应采取技术和管理措施防止无关人员进入</w:t>
            </w:r>
            <w:r>
              <w:rPr>
                <w:rFonts w:hint="eastAsia"/>
                <w:color w:val="auto"/>
                <w:szCs w:val="21"/>
              </w:rPr>
              <w:t>。</w:t>
            </w:r>
          </w:p>
          <w:p w14:paraId="5B06780F">
            <w:pPr>
              <w:spacing w:line="360" w:lineRule="auto"/>
              <w:ind w:firstLine="420" w:firstLineChars="200"/>
              <w:rPr>
                <w:color w:val="auto"/>
                <w:szCs w:val="21"/>
              </w:rPr>
            </w:pPr>
            <w:r>
              <w:rPr>
                <w:color w:val="auto"/>
                <w:szCs w:val="21"/>
              </w:rPr>
              <w:t>⑦贮存库内不同贮存分区之间应采取隔离措施。隔离措施可根据危险废物特性采用过道、隔板或隔墙等方式</w:t>
            </w:r>
            <w:r>
              <w:rPr>
                <w:rFonts w:hint="eastAsia"/>
                <w:color w:val="auto"/>
                <w:szCs w:val="21"/>
              </w:rPr>
              <w:t>。</w:t>
            </w:r>
          </w:p>
          <w:p w14:paraId="336754CA">
            <w:pPr>
              <w:spacing w:line="360" w:lineRule="auto"/>
              <w:ind w:firstLine="420" w:firstLineChars="200"/>
              <w:rPr>
                <w:rFonts w:hint="eastAsia"/>
                <w:color w:val="auto"/>
                <w:szCs w:val="21"/>
              </w:rPr>
            </w:pPr>
            <w:r>
              <w:rPr>
                <w:rFonts w:hint="eastAsia"/>
                <w:color w:val="auto"/>
                <w:szCs w:val="21"/>
              </w:rPr>
              <w:t>⑧</w:t>
            </w:r>
            <w:r>
              <w:rPr>
                <w:color w:val="auto"/>
                <w:szCs w:val="21"/>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r>
              <w:rPr>
                <w:rFonts w:hint="eastAsia"/>
                <w:color w:val="auto"/>
                <w:szCs w:val="21"/>
              </w:rPr>
              <w:t>。</w:t>
            </w:r>
          </w:p>
          <w:p w14:paraId="16DE287B">
            <w:pPr>
              <w:spacing w:line="360" w:lineRule="auto"/>
              <w:ind w:firstLine="420" w:firstLineChars="200"/>
              <w:rPr>
                <w:rFonts w:hint="eastAsia"/>
                <w:color w:val="auto"/>
                <w:szCs w:val="21"/>
              </w:rPr>
            </w:pPr>
            <w:r>
              <w:rPr>
                <w:rFonts w:hint="eastAsia"/>
                <w:color w:val="auto"/>
                <w:szCs w:val="21"/>
              </w:rPr>
              <w:t>⑨</w:t>
            </w:r>
            <w:r>
              <w:rPr>
                <w:color w:val="auto"/>
                <w:szCs w:val="21"/>
              </w:rPr>
              <w:t>废物贮存设施应配备通讯设备、照明设施、安全防护服装及工具，并设有应急防护设施</w:t>
            </w:r>
            <w:r>
              <w:rPr>
                <w:rFonts w:hint="eastAsia"/>
                <w:color w:val="auto"/>
                <w:szCs w:val="21"/>
              </w:rPr>
              <w:t>。</w:t>
            </w:r>
          </w:p>
          <w:p w14:paraId="0A2362D1">
            <w:pPr>
              <w:spacing w:line="360" w:lineRule="auto"/>
              <w:ind w:firstLine="420" w:firstLineChars="200"/>
              <w:rPr>
                <w:color w:val="auto"/>
                <w:szCs w:val="21"/>
              </w:rPr>
            </w:pPr>
            <w:r>
              <w:rPr>
                <w:color w:val="auto"/>
                <w:szCs w:val="21"/>
              </w:rPr>
              <w:t>在危废贮存设施出入口、设施内部、危险废物运输车辆通道等关键位置设置视频监控，并满足以下需求：</w:t>
            </w:r>
          </w:p>
          <w:p w14:paraId="5255F370">
            <w:pPr>
              <w:spacing w:line="360" w:lineRule="auto"/>
              <w:ind w:firstLine="420" w:firstLineChars="200"/>
              <w:rPr>
                <w:color w:val="auto"/>
                <w:szCs w:val="21"/>
              </w:rPr>
            </w:pPr>
            <w:r>
              <w:rPr>
                <w:color w:val="auto"/>
                <w:szCs w:val="21"/>
              </w:rPr>
              <w:t>监控系统：须满足《公共安全视频监控联网系统信息传输、交换、控制技术要求》（GB/T28181-2016）、《安全防范高清视频监控系统技术要求》（GA/T1211-2014）等标准；所有摄像机须支持ONVIF、GB/T28181-2016标准协议。</w:t>
            </w:r>
          </w:p>
          <w:p w14:paraId="7DE2ABE1">
            <w:pPr>
              <w:spacing w:line="360" w:lineRule="auto"/>
              <w:ind w:firstLine="420" w:firstLineChars="200"/>
              <w:rPr>
                <w:color w:val="auto"/>
                <w:szCs w:val="21"/>
              </w:rPr>
            </w:pPr>
            <w:r>
              <w:rPr>
                <w:color w:val="auto"/>
                <w:szCs w:val="21"/>
              </w:rPr>
              <w:t>监控质量：须连续记录危险废物出入库情况和物流情况，包含录制日期及时间显示，不得对原始影像文件进行拼接、剪辑和编辑，保证影像连贯；摄像头距离监控对象的位置应保证监控对象全部摄入监控视频中，同时避免人员、设备、建筑物等的遮挡，清楚辨识贮存、处理等关键环节；监控区域24小时须有足够的光源以保证画面清晰辨识；视频监控录像画面分辨率须达到300万像素以上。</w:t>
            </w:r>
          </w:p>
          <w:p w14:paraId="506E90F6">
            <w:pPr>
              <w:spacing w:line="360" w:lineRule="auto"/>
              <w:ind w:firstLine="420" w:firstLineChars="200"/>
              <w:rPr>
                <w:color w:val="auto"/>
                <w:szCs w:val="21"/>
              </w:rPr>
            </w:pPr>
            <w:r>
              <w:rPr>
                <w:color w:val="auto"/>
                <w:szCs w:val="21"/>
              </w:rPr>
              <w:t>存储传输：</w:t>
            </w:r>
            <w:r>
              <w:rPr>
                <w:rFonts w:hint="eastAsia"/>
                <w:color w:val="auto"/>
                <w:szCs w:val="21"/>
              </w:rPr>
              <w:t>建设单位</w:t>
            </w:r>
            <w:r>
              <w:rPr>
                <w:color w:val="auto"/>
                <w:szCs w:val="21"/>
              </w:rPr>
              <w:t>应当做好备用电源、视频双备份等保障措施，确保视频监控全天24小时不间断录像，监控视频保存时间至少为3个月。</w:t>
            </w:r>
          </w:p>
          <w:p w14:paraId="07A0E180">
            <w:pPr>
              <w:spacing w:line="360" w:lineRule="auto"/>
              <w:ind w:firstLine="422" w:firstLineChars="200"/>
              <w:rPr>
                <w:b/>
                <w:bCs/>
                <w:color w:val="auto"/>
                <w:szCs w:val="21"/>
              </w:rPr>
            </w:pPr>
            <w:r>
              <w:rPr>
                <w:b/>
                <w:bCs/>
                <w:color w:val="auto"/>
                <w:szCs w:val="21"/>
              </w:rPr>
              <w:t>危险废物收集、贮存、运输应按《危险废物收集贮存运输技术规范》（HJ2025-2012）要求设置，并做到以下几点：</w:t>
            </w:r>
          </w:p>
          <w:p w14:paraId="75424864">
            <w:pPr>
              <w:spacing w:line="360" w:lineRule="auto"/>
              <w:ind w:firstLine="420" w:firstLineChars="200"/>
              <w:rPr>
                <w:b w:val="0"/>
                <w:bCs w:val="0"/>
                <w:color w:val="auto"/>
                <w:szCs w:val="21"/>
              </w:rPr>
            </w:pPr>
            <w:r>
              <w:rPr>
                <w:b w:val="0"/>
                <w:bCs w:val="0"/>
                <w:color w:val="auto"/>
                <w:szCs w:val="21"/>
              </w:rPr>
              <w:t>①危险废物的收集应根据危险废物产生的工艺特征、排放周期、危险废物特性、废物管理计划等因素制定收集计划。</w:t>
            </w:r>
          </w:p>
          <w:p w14:paraId="3C29A51C">
            <w:pPr>
              <w:spacing w:line="360" w:lineRule="auto"/>
              <w:ind w:firstLine="420" w:firstLineChars="200"/>
              <w:jc w:val="left"/>
              <w:rPr>
                <w:b w:val="0"/>
                <w:bCs w:val="0"/>
                <w:color w:val="auto"/>
                <w:szCs w:val="21"/>
              </w:rPr>
            </w:pPr>
            <w:r>
              <w:rPr>
                <w:b w:val="0"/>
                <w:bCs w:val="0"/>
                <w:color w:val="auto"/>
                <w:szCs w:val="21"/>
              </w:rPr>
              <w:t>②在危险废物的收集和转运过程中，应采取相应的安全防护和污染防治措施，包括防爆、防火、防中毒、防感染、防泄露、防飞扬、防雨或其它防止污染环境的措施。</w:t>
            </w:r>
          </w:p>
          <w:p w14:paraId="6FCC5518">
            <w:pPr>
              <w:spacing w:line="360" w:lineRule="auto"/>
              <w:ind w:firstLine="420" w:firstLineChars="200"/>
              <w:rPr>
                <w:b w:val="0"/>
                <w:bCs w:val="0"/>
                <w:color w:val="auto"/>
                <w:szCs w:val="21"/>
              </w:rPr>
            </w:pPr>
            <w:r>
              <w:rPr>
                <w:b w:val="0"/>
                <w:bCs w:val="0"/>
                <w:color w:val="auto"/>
                <w:szCs w:val="21"/>
              </w:rPr>
              <w:t>③危险废物收集时应根据危险废物的种类、数量、危险特性、物理形态、运输要求等因素确定包装形式。</w:t>
            </w:r>
          </w:p>
          <w:p w14:paraId="386949A2">
            <w:pPr>
              <w:spacing w:line="360" w:lineRule="auto"/>
              <w:ind w:firstLine="420" w:firstLineChars="200"/>
              <w:rPr>
                <w:b w:val="0"/>
                <w:bCs w:val="0"/>
                <w:color w:val="auto"/>
                <w:szCs w:val="21"/>
              </w:rPr>
            </w:pPr>
            <w:r>
              <w:rPr>
                <w:b w:val="0"/>
                <w:bCs w:val="0"/>
                <w:color w:val="auto"/>
                <w:szCs w:val="21"/>
              </w:rPr>
              <w:t>④危险废物贮存设施应配备通讯设备、照明设施和消防设施。</w:t>
            </w:r>
          </w:p>
          <w:p w14:paraId="64062FEC">
            <w:pPr>
              <w:spacing w:line="360" w:lineRule="auto"/>
              <w:ind w:firstLine="420" w:firstLineChars="200"/>
              <w:rPr>
                <w:b w:val="0"/>
                <w:bCs w:val="0"/>
                <w:color w:val="auto"/>
                <w:szCs w:val="21"/>
              </w:rPr>
            </w:pPr>
            <w:r>
              <w:rPr>
                <w:b w:val="0"/>
                <w:bCs w:val="0"/>
                <w:color w:val="auto"/>
                <w:szCs w:val="21"/>
              </w:rPr>
              <w:t>⑤贮存危险废物时应按危险废物的种类和特性进行分区贮存，每个贮存区域之间宜设置挡墙间隔，并应设置防雨、防火、防雷、防扬尘装置。</w:t>
            </w:r>
          </w:p>
          <w:p w14:paraId="16966B0F">
            <w:pPr>
              <w:spacing w:line="360" w:lineRule="auto"/>
              <w:ind w:firstLine="420" w:firstLineChars="200"/>
              <w:rPr>
                <w:b w:val="0"/>
                <w:bCs w:val="0"/>
                <w:color w:val="auto"/>
                <w:szCs w:val="21"/>
              </w:rPr>
            </w:pPr>
            <w:r>
              <w:rPr>
                <w:b w:val="0"/>
                <w:bCs w:val="0"/>
                <w:color w:val="auto"/>
                <w:szCs w:val="21"/>
              </w:rPr>
              <w:t>⑥危险废物运输应由持有危险废物经营许可证的单位按照其许可证的经营范围组织实施，承担危险废物运输的单位应获得交通运输部门颁发的危险货物运输资质。</w:t>
            </w:r>
          </w:p>
          <w:p w14:paraId="4A99710A">
            <w:pPr>
              <w:spacing w:line="360" w:lineRule="auto"/>
              <w:ind w:firstLine="420" w:firstLineChars="200"/>
              <w:jc w:val="left"/>
              <w:outlineLvl w:val="0"/>
              <w:rPr>
                <w:b w:val="0"/>
                <w:bCs w:val="0"/>
                <w:color w:val="auto"/>
                <w:szCs w:val="21"/>
              </w:rPr>
            </w:pPr>
            <w:bookmarkStart w:id="18" w:name="_Toc892"/>
            <w:bookmarkStart w:id="19" w:name="_Toc1105"/>
            <w:bookmarkStart w:id="20" w:name="_Toc23278"/>
            <w:bookmarkStart w:id="21" w:name="_Toc23700"/>
            <w:bookmarkStart w:id="22" w:name="_Toc32113"/>
            <w:r>
              <w:rPr>
                <w:b w:val="0"/>
                <w:bCs w:val="0"/>
                <w:color w:val="auto"/>
                <w:szCs w:val="21"/>
              </w:rPr>
              <w:t>⑦危险废物公路运输时，运输车辆应按GB13392设置车辆标志。铁路运输和水路运输危险废物时应在集装箱外按GB190规定悬挂标志。</w:t>
            </w:r>
            <w:bookmarkEnd w:id="18"/>
            <w:bookmarkEnd w:id="19"/>
            <w:bookmarkEnd w:id="20"/>
            <w:bookmarkEnd w:id="21"/>
            <w:bookmarkEnd w:id="22"/>
          </w:p>
          <w:p w14:paraId="1CDE09A5">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rPr>
            </w:pPr>
          </w:p>
          <w:p w14:paraId="5A439F3A">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rPr>
            </w:pPr>
            <w:r>
              <w:rPr>
                <w:b/>
                <w:bCs/>
                <w:color w:val="auto"/>
                <w:szCs w:val="21"/>
              </w:rPr>
              <w:t>表4-</w:t>
            </w:r>
            <w:r>
              <w:rPr>
                <w:rFonts w:hint="eastAsia"/>
                <w:b/>
                <w:bCs/>
                <w:color w:val="auto"/>
                <w:szCs w:val="21"/>
                <w:lang w:val="en-US" w:eastAsia="zh-CN"/>
              </w:rPr>
              <w:t>27</w:t>
            </w:r>
            <w:r>
              <w:rPr>
                <w:b/>
                <w:bCs/>
                <w:color w:val="auto"/>
                <w:szCs w:val="21"/>
              </w:rPr>
              <w:t xml:space="preserve"> 危险废物贮存场所基本情况表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3"/>
              <w:gridCol w:w="572"/>
              <w:gridCol w:w="1403"/>
              <w:gridCol w:w="941"/>
              <w:gridCol w:w="1230"/>
              <w:gridCol w:w="600"/>
              <w:gridCol w:w="810"/>
              <w:gridCol w:w="1100"/>
              <w:gridCol w:w="580"/>
              <w:gridCol w:w="712"/>
            </w:tblGrid>
            <w:tr w14:paraId="0C97F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noWrap w:val="0"/>
                  <w:tcMar>
                    <w:top w:w="0" w:type="dxa"/>
                    <w:left w:w="0" w:type="dxa"/>
                    <w:bottom w:w="0" w:type="dxa"/>
                    <w:right w:w="0" w:type="dxa"/>
                  </w:tcMar>
                  <w:vAlign w:val="center"/>
                </w:tcPr>
                <w:p w14:paraId="181324C9">
                  <w:pPr>
                    <w:topLinePunct/>
                    <w:adjustRightInd w:val="0"/>
                    <w:snapToGrid w:val="0"/>
                    <w:jc w:val="center"/>
                    <w:rPr>
                      <w:b/>
                      <w:color w:val="auto"/>
                      <w:szCs w:val="21"/>
                    </w:rPr>
                  </w:pPr>
                  <w:r>
                    <w:rPr>
                      <w:b/>
                      <w:color w:val="auto"/>
                    </w:rPr>
                    <w:t>序号</w:t>
                  </w:r>
                </w:p>
              </w:tc>
              <w:tc>
                <w:tcPr>
                  <w:tcW w:w="341" w:type="pct"/>
                  <w:noWrap w:val="0"/>
                  <w:tcMar>
                    <w:top w:w="0" w:type="dxa"/>
                    <w:left w:w="0" w:type="dxa"/>
                    <w:bottom w:w="0" w:type="dxa"/>
                    <w:right w:w="0" w:type="dxa"/>
                  </w:tcMar>
                  <w:vAlign w:val="center"/>
                </w:tcPr>
                <w:p w14:paraId="3BE88C51">
                  <w:pPr>
                    <w:topLinePunct/>
                    <w:adjustRightInd w:val="0"/>
                    <w:snapToGrid w:val="0"/>
                    <w:jc w:val="center"/>
                    <w:rPr>
                      <w:b/>
                      <w:color w:val="auto"/>
                    </w:rPr>
                  </w:pPr>
                  <w:r>
                    <w:rPr>
                      <w:b/>
                      <w:color w:val="auto"/>
                    </w:rPr>
                    <w:t>贮存</w:t>
                  </w:r>
                </w:p>
                <w:p w14:paraId="50686FC6">
                  <w:pPr>
                    <w:topLinePunct/>
                    <w:adjustRightInd w:val="0"/>
                    <w:snapToGrid w:val="0"/>
                    <w:jc w:val="center"/>
                    <w:rPr>
                      <w:b/>
                      <w:color w:val="auto"/>
                      <w:szCs w:val="21"/>
                    </w:rPr>
                  </w:pPr>
                  <w:r>
                    <w:rPr>
                      <w:b/>
                      <w:color w:val="auto"/>
                    </w:rPr>
                    <w:t>场所</w:t>
                  </w:r>
                </w:p>
              </w:tc>
              <w:tc>
                <w:tcPr>
                  <w:tcW w:w="837" w:type="pct"/>
                  <w:noWrap w:val="0"/>
                  <w:tcMar>
                    <w:top w:w="0" w:type="dxa"/>
                    <w:left w:w="0" w:type="dxa"/>
                    <w:bottom w:w="0" w:type="dxa"/>
                    <w:right w:w="0" w:type="dxa"/>
                  </w:tcMar>
                  <w:vAlign w:val="center"/>
                </w:tcPr>
                <w:p w14:paraId="61F8C49B">
                  <w:pPr>
                    <w:topLinePunct/>
                    <w:adjustRightInd w:val="0"/>
                    <w:snapToGrid w:val="0"/>
                    <w:jc w:val="center"/>
                    <w:rPr>
                      <w:b/>
                      <w:color w:val="auto"/>
                    </w:rPr>
                  </w:pPr>
                  <w:r>
                    <w:rPr>
                      <w:b/>
                      <w:color w:val="auto"/>
                    </w:rPr>
                    <w:t>危险废物</w:t>
                  </w:r>
                </w:p>
                <w:p w14:paraId="2E62AB2A">
                  <w:pPr>
                    <w:topLinePunct/>
                    <w:adjustRightInd w:val="0"/>
                    <w:snapToGrid w:val="0"/>
                    <w:jc w:val="center"/>
                    <w:rPr>
                      <w:b/>
                      <w:color w:val="auto"/>
                      <w:szCs w:val="21"/>
                    </w:rPr>
                  </w:pPr>
                  <w:r>
                    <w:rPr>
                      <w:b/>
                      <w:color w:val="auto"/>
                    </w:rPr>
                    <w:t>名称</w:t>
                  </w:r>
                </w:p>
              </w:tc>
              <w:tc>
                <w:tcPr>
                  <w:tcW w:w="561" w:type="pct"/>
                  <w:noWrap w:val="0"/>
                  <w:tcMar>
                    <w:top w:w="0" w:type="dxa"/>
                    <w:left w:w="0" w:type="dxa"/>
                    <w:bottom w:w="0" w:type="dxa"/>
                    <w:right w:w="0" w:type="dxa"/>
                  </w:tcMar>
                  <w:vAlign w:val="center"/>
                </w:tcPr>
                <w:p w14:paraId="782BF9C1">
                  <w:pPr>
                    <w:topLinePunct/>
                    <w:adjustRightInd w:val="0"/>
                    <w:snapToGrid w:val="0"/>
                    <w:jc w:val="center"/>
                    <w:rPr>
                      <w:b/>
                      <w:color w:val="auto"/>
                    </w:rPr>
                  </w:pPr>
                  <w:r>
                    <w:rPr>
                      <w:b/>
                      <w:color w:val="auto"/>
                    </w:rPr>
                    <w:t>废物</w:t>
                  </w:r>
                </w:p>
                <w:p w14:paraId="73B45D6E">
                  <w:pPr>
                    <w:topLinePunct/>
                    <w:adjustRightInd w:val="0"/>
                    <w:snapToGrid w:val="0"/>
                    <w:jc w:val="center"/>
                    <w:rPr>
                      <w:b/>
                      <w:color w:val="auto"/>
                      <w:szCs w:val="21"/>
                    </w:rPr>
                  </w:pPr>
                  <w:r>
                    <w:rPr>
                      <w:b/>
                      <w:color w:val="auto"/>
                    </w:rPr>
                    <w:t>类别</w:t>
                  </w:r>
                </w:p>
              </w:tc>
              <w:tc>
                <w:tcPr>
                  <w:tcW w:w="733" w:type="pct"/>
                  <w:noWrap w:val="0"/>
                  <w:tcMar>
                    <w:top w:w="0" w:type="dxa"/>
                    <w:left w:w="0" w:type="dxa"/>
                    <w:bottom w:w="0" w:type="dxa"/>
                    <w:right w:w="0" w:type="dxa"/>
                  </w:tcMar>
                  <w:vAlign w:val="center"/>
                </w:tcPr>
                <w:p w14:paraId="46C0BB94">
                  <w:pPr>
                    <w:topLinePunct/>
                    <w:adjustRightInd w:val="0"/>
                    <w:snapToGrid w:val="0"/>
                    <w:jc w:val="center"/>
                    <w:rPr>
                      <w:b/>
                      <w:color w:val="auto"/>
                      <w:szCs w:val="21"/>
                    </w:rPr>
                  </w:pPr>
                  <w:r>
                    <w:rPr>
                      <w:b/>
                      <w:color w:val="auto"/>
                    </w:rPr>
                    <w:t>废物代码</w:t>
                  </w:r>
                </w:p>
              </w:tc>
              <w:tc>
                <w:tcPr>
                  <w:tcW w:w="357" w:type="pct"/>
                  <w:tcBorders>
                    <w:bottom w:val="single" w:color="auto" w:sz="4" w:space="0"/>
                  </w:tcBorders>
                  <w:noWrap w:val="0"/>
                  <w:tcMar>
                    <w:top w:w="0" w:type="dxa"/>
                    <w:left w:w="0" w:type="dxa"/>
                    <w:bottom w:w="0" w:type="dxa"/>
                    <w:right w:w="0" w:type="dxa"/>
                  </w:tcMar>
                  <w:vAlign w:val="center"/>
                </w:tcPr>
                <w:p w14:paraId="78072341">
                  <w:pPr>
                    <w:topLinePunct/>
                    <w:adjustRightInd w:val="0"/>
                    <w:snapToGrid w:val="0"/>
                    <w:jc w:val="center"/>
                    <w:rPr>
                      <w:b/>
                      <w:color w:val="auto"/>
                      <w:szCs w:val="21"/>
                    </w:rPr>
                  </w:pPr>
                  <w:r>
                    <w:rPr>
                      <w:b/>
                      <w:color w:val="auto"/>
                    </w:rPr>
                    <w:t>位置</w:t>
                  </w:r>
                </w:p>
              </w:tc>
              <w:tc>
                <w:tcPr>
                  <w:tcW w:w="483" w:type="pct"/>
                  <w:tcBorders>
                    <w:bottom w:val="single" w:color="auto" w:sz="4" w:space="0"/>
                  </w:tcBorders>
                  <w:noWrap w:val="0"/>
                  <w:tcMar>
                    <w:top w:w="0" w:type="dxa"/>
                    <w:left w:w="0" w:type="dxa"/>
                    <w:bottom w:w="0" w:type="dxa"/>
                    <w:right w:w="0" w:type="dxa"/>
                  </w:tcMar>
                  <w:vAlign w:val="center"/>
                </w:tcPr>
                <w:p w14:paraId="3797F719">
                  <w:pPr>
                    <w:topLinePunct/>
                    <w:adjustRightInd w:val="0"/>
                    <w:snapToGrid w:val="0"/>
                    <w:jc w:val="center"/>
                    <w:rPr>
                      <w:b/>
                      <w:color w:val="auto"/>
                      <w:szCs w:val="21"/>
                    </w:rPr>
                  </w:pPr>
                  <w:r>
                    <w:rPr>
                      <w:b/>
                      <w:color w:val="auto"/>
                    </w:rPr>
                    <w:t>占地面积(m</w:t>
                  </w:r>
                  <w:r>
                    <w:rPr>
                      <w:b/>
                      <w:color w:val="auto"/>
                      <w:vertAlign w:val="superscript"/>
                    </w:rPr>
                    <w:t>2</w:t>
                  </w:r>
                  <w:r>
                    <w:rPr>
                      <w:b/>
                      <w:color w:val="auto"/>
                    </w:rPr>
                    <w:t>)</w:t>
                  </w:r>
                </w:p>
              </w:tc>
              <w:tc>
                <w:tcPr>
                  <w:tcW w:w="656" w:type="pct"/>
                  <w:noWrap w:val="0"/>
                  <w:tcMar>
                    <w:top w:w="0" w:type="dxa"/>
                    <w:left w:w="0" w:type="dxa"/>
                    <w:bottom w:w="0" w:type="dxa"/>
                    <w:right w:w="0" w:type="dxa"/>
                  </w:tcMar>
                  <w:vAlign w:val="center"/>
                </w:tcPr>
                <w:p w14:paraId="7197FA09">
                  <w:pPr>
                    <w:topLinePunct/>
                    <w:adjustRightInd w:val="0"/>
                    <w:snapToGrid w:val="0"/>
                    <w:jc w:val="center"/>
                    <w:rPr>
                      <w:b/>
                      <w:color w:val="auto"/>
                      <w:szCs w:val="21"/>
                    </w:rPr>
                  </w:pPr>
                  <w:r>
                    <w:rPr>
                      <w:b/>
                      <w:color w:val="auto"/>
                    </w:rPr>
                    <w:t>贮存方式</w:t>
                  </w:r>
                </w:p>
              </w:tc>
              <w:tc>
                <w:tcPr>
                  <w:tcW w:w="346" w:type="pct"/>
                  <w:noWrap w:val="0"/>
                  <w:tcMar>
                    <w:top w:w="0" w:type="dxa"/>
                    <w:left w:w="0" w:type="dxa"/>
                    <w:bottom w:w="0" w:type="dxa"/>
                    <w:right w:w="0" w:type="dxa"/>
                  </w:tcMar>
                  <w:vAlign w:val="center"/>
                </w:tcPr>
                <w:p w14:paraId="37948DD6">
                  <w:pPr>
                    <w:topLinePunct/>
                    <w:adjustRightInd w:val="0"/>
                    <w:snapToGrid w:val="0"/>
                    <w:jc w:val="center"/>
                    <w:rPr>
                      <w:b/>
                      <w:color w:val="auto"/>
                      <w:szCs w:val="21"/>
                    </w:rPr>
                  </w:pPr>
                  <w:r>
                    <w:rPr>
                      <w:b/>
                      <w:color w:val="auto"/>
                    </w:rPr>
                    <w:t>贮存能力</w:t>
                  </w:r>
                </w:p>
              </w:tc>
              <w:tc>
                <w:tcPr>
                  <w:tcW w:w="424" w:type="pct"/>
                  <w:noWrap w:val="0"/>
                  <w:tcMar>
                    <w:top w:w="0" w:type="dxa"/>
                    <w:left w:w="0" w:type="dxa"/>
                    <w:bottom w:w="0" w:type="dxa"/>
                    <w:right w:w="0" w:type="dxa"/>
                  </w:tcMar>
                  <w:vAlign w:val="center"/>
                </w:tcPr>
                <w:p w14:paraId="289579AE">
                  <w:pPr>
                    <w:topLinePunct/>
                    <w:adjustRightInd w:val="0"/>
                    <w:snapToGrid w:val="0"/>
                    <w:jc w:val="center"/>
                    <w:rPr>
                      <w:b/>
                      <w:color w:val="auto"/>
                    </w:rPr>
                  </w:pPr>
                  <w:r>
                    <w:rPr>
                      <w:b/>
                      <w:color w:val="auto"/>
                    </w:rPr>
                    <w:t>贮存</w:t>
                  </w:r>
                </w:p>
                <w:p w14:paraId="55DF5381">
                  <w:pPr>
                    <w:topLinePunct/>
                    <w:adjustRightInd w:val="0"/>
                    <w:snapToGrid w:val="0"/>
                    <w:jc w:val="center"/>
                    <w:rPr>
                      <w:b/>
                      <w:color w:val="auto"/>
                      <w:szCs w:val="21"/>
                    </w:rPr>
                  </w:pPr>
                  <w:r>
                    <w:rPr>
                      <w:b/>
                      <w:color w:val="auto"/>
                    </w:rPr>
                    <w:t>周期</w:t>
                  </w:r>
                </w:p>
              </w:tc>
            </w:tr>
            <w:tr w14:paraId="0F356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noWrap w:val="0"/>
                  <w:tcMar>
                    <w:top w:w="0" w:type="dxa"/>
                    <w:left w:w="0" w:type="dxa"/>
                    <w:bottom w:w="0" w:type="dxa"/>
                    <w:right w:w="0" w:type="dxa"/>
                  </w:tcMar>
                  <w:vAlign w:val="center"/>
                </w:tcPr>
                <w:p w14:paraId="7F8582D6">
                  <w:pPr>
                    <w:topLinePunct/>
                    <w:adjustRightInd w:val="0"/>
                    <w:snapToGrid w:val="0"/>
                    <w:jc w:val="center"/>
                    <w:rPr>
                      <w:color w:val="auto"/>
                    </w:rPr>
                  </w:pPr>
                  <w:r>
                    <w:rPr>
                      <w:color w:val="auto"/>
                    </w:rPr>
                    <w:t>1</w:t>
                  </w:r>
                </w:p>
              </w:tc>
              <w:tc>
                <w:tcPr>
                  <w:tcW w:w="341" w:type="pct"/>
                  <w:vMerge w:val="restart"/>
                  <w:noWrap w:val="0"/>
                  <w:tcMar>
                    <w:top w:w="0" w:type="dxa"/>
                    <w:left w:w="0" w:type="dxa"/>
                    <w:bottom w:w="0" w:type="dxa"/>
                    <w:right w:w="0" w:type="dxa"/>
                  </w:tcMar>
                  <w:vAlign w:val="center"/>
                </w:tcPr>
                <w:p w14:paraId="64031C8F">
                  <w:pPr>
                    <w:topLinePunct/>
                    <w:adjustRightInd w:val="0"/>
                    <w:snapToGrid w:val="0"/>
                    <w:jc w:val="center"/>
                    <w:rPr>
                      <w:color w:val="auto"/>
                    </w:rPr>
                  </w:pPr>
                  <w:r>
                    <w:rPr>
                      <w:color w:val="auto"/>
                    </w:rPr>
                    <w:t>危废</w:t>
                  </w:r>
                </w:p>
                <w:p w14:paraId="1BDD5600">
                  <w:pPr>
                    <w:topLinePunct/>
                    <w:adjustRightInd w:val="0"/>
                    <w:snapToGrid w:val="0"/>
                    <w:jc w:val="center"/>
                    <w:rPr>
                      <w:color w:val="auto"/>
                    </w:rPr>
                  </w:pPr>
                  <w:r>
                    <w:rPr>
                      <w:color w:val="auto"/>
                    </w:rPr>
                    <w:t>仓库</w:t>
                  </w:r>
                </w:p>
              </w:tc>
              <w:tc>
                <w:tcPr>
                  <w:tcW w:w="837" w:type="pct"/>
                  <w:shd w:val="clear" w:color="auto" w:fill="auto"/>
                  <w:noWrap w:val="0"/>
                  <w:tcMar>
                    <w:top w:w="0" w:type="dxa"/>
                    <w:left w:w="0" w:type="dxa"/>
                    <w:bottom w:w="0" w:type="dxa"/>
                    <w:right w:w="0" w:type="dxa"/>
                  </w:tcMar>
                  <w:vAlign w:val="center"/>
                </w:tcPr>
                <w:p w14:paraId="6FA6B6D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喷淋塔废液</w:t>
                  </w:r>
                </w:p>
              </w:tc>
              <w:tc>
                <w:tcPr>
                  <w:tcW w:w="561" w:type="pct"/>
                  <w:shd w:val="clear" w:color="auto" w:fill="auto"/>
                  <w:noWrap w:val="0"/>
                  <w:tcMar>
                    <w:top w:w="0" w:type="dxa"/>
                    <w:left w:w="0" w:type="dxa"/>
                    <w:bottom w:w="0" w:type="dxa"/>
                    <w:right w:w="0" w:type="dxa"/>
                  </w:tcMar>
                  <w:vAlign w:val="center"/>
                </w:tcPr>
                <w:p w14:paraId="089F883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HW09</w:t>
                  </w:r>
                </w:p>
              </w:tc>
              <w:tc>
                <w:tcPr>
                  <w:tcW w:w="733" w:type="pct"/>
                  <w:shd w:val="clear" w:color="auto" w:fill="auto"/>
                  <w:noWrap w:val="0"/>
                  <w:tcMar>
                    <w:top w:w="0" w:type="dxa"/>
                    <w:left w:w="0" w:type="dxa"/>
                    <w:bottom w:w="0" w:type="dxa"/>
                    <w:right w:w="0" w:type="dxa"/>
                  </w:tcMar>
                  <w:vAlign w:val="center"/>
                </w:tcPr>
                <w:p w14:paraId="5E0E492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900-007-09</w:t>
                  </w:r>
                </w:p>
              </w:tc>
              <w:tc>
                <w:tcPr>
                  <w:tcW w:w="357" w:type="pct"/>
                  <w:vMerge w:val="restart"/>
                  <w:tcBorders>
                    <w:top w:val="single" w:color="auto" w:sz="4" w:space="0"/>
                  </w:tcBorders>
                  <w:noWrap w:val="0"/>
                  <w:tcMar>
                    <w:top w:w="0" w:type="dxa"/>
                    <w:left w:w="0" w:type="dxa"/>
                    <w:bottom w:w="0" w:type="dxa"/>
                    <w:right w:w="0" w:type="dxa"/>
                  </w:tcMar>
                  <w:vAlign w:val="center"/>
                </w:tcPr>
                <w:p w14:paraId="14658BBA">
                  <w:pPr>
                    <w:topLinePunct/>
                    <w:adjustRightInd w:val="0"/>
                    <w:snapToGrid w:val="0"/>
                    <w:jc w:val="center"/>
                    <w:rPr>
                      <w:rFonts w:hint="default" w:eastAsia="宋体"/>
                      <w:color w:val="auto"/>
                      <w:lang w:val="en-US" w:eastAsia="zh-CN"/>
                    </w:rPr>
                  </w:pPr>
                  <w:r>
                    <w:rPr>
                      <w:rFonts w:hint="eastAsia"/>
                      <w:color w:val="auto"/>
                      <w:lang w:val="en-US" w:eastAsia="zh-CN"/>
                    </w:rPr>
                    <w:t>生产车间内</w:t>
                  </w:r>
                </w:p>
              </w:tc>
              <w:tc>
                <w:tcPr>
                  <w:tcW w:w="483" w:type="pct"/>
                  <w:tcBorders>
                    <w:top w:val="single" w:color="auto" w:sz="4" w:space="0"/>
                  </w:tcBorders>
                  <w:noWrap w:val="0"/>
                  <w:tcMar>
                    <w:top w:w="0" w:type="dxa"/>
                    <w:left w:w="0" w:type="dxa"/>
                    <w:bottom w:w="0" w:type="dxa"/>
                    <w:right w:w="0" w:type="dxa"/>
                  </w:tcMar>
                  <w:vAlign w:val="center"/>
                </w:tcPr>
                <w:p w14:paraId="062EFAC4">
                  <w:pPr>
                    <w:topLinePunct/>
                    <w:adjustRightInd w:val="0"/>
                    <w:snapToGrid w:val="0"/>
                    <w:jc w:val="center"/>
                    <w:rPr>
                      <w:rFonts w:hint="default" w:eastAsia="宋体"/>
                      <w:color w:val="auto"/>
                      <w:lang w:val="en-US" w:eastAsia="zh-CN"/>
                    </w:rPr>
                  </w:pPr>
                  <w:r>
                    <w:rPr>
                      <w:rFonts w:hint="eastAsia"/>
                      <w:color w:val="auto"/>
                      <w:lang w:val="en-US" w:eastAsia="zh-CN"/>
                    </w:rPr>
                    <w:t>1</w:t>
                  </w:r>
                </w:p>
              </w:tc>
              <w:tc>
                <w:tcPr>
                  <w:tcW w:w="656" w:type="pct"/>
                  <w:noWrap w:val="0"/>
                  <w:tcMar>
                    <w:top w:w="0" w:type="dxa"/>
                    <w:left w:w="0" w:type="dxa"/>
                    <w:bottom w:w="0" w:type="dxa"/>
                    <w:right w:w="0" w:type="dxa"/>
                  </w:tcMar>
                  <w:vAlign w:val="center"/>
                </w:tcPr>
                <w:p w14:paraId="4E66F829">
                  <w:pPr>
                    <w:topLinePunct/>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密闭桶装</w:t>
                  </w:r>
                </w:p>
              </w:tc>
              <w:tc>
                <w:tcPr>
                  <w:tcW w:w="346" w:type="pct"/>
                  <w:noWrap w:val="0"/>
                  <w:tcMar>
                    <w:top w:w="0" w:type="dxa"/>
                    <w:left w:w="0" w:type="dxa"/>
                    <w:bottom w:w="0" w:type="dxa"/>
                    <w:right w:w="0" w:type="dxa"/>
                  </w:tcMar>
                  <w:vAlign w:val="center"/>
                </w:tcPr>
                <w:p w14:paraId="70C7281B">
                  <w:pPr>
                    <w:pStyle w:val="55"/>
                    <w:spacing w:before="48" w:beforeLines="20" w:after="48" w:afterLines="20"/>
                    <w:rPr>
                      <w:rFonts w:hint="default"/>
                      <w:color w:val="auto"/>
                      <w:lang w:val="en-US" w:eastAsia="zh-CN"/>
                    </w:rPr>
                  </w:pPr>
                  <w:r>
                    <w:rPr>
                      <w:rFonts w:hint="eastAsia"/>
                      <w:color w:val="auto"/>
                      <w:lang w:val="en-US" w:eastAsia="zh-CN"/>
                    </w:rPr>
                    <w:t>1t</w:t>
                  </w:r>
                </w:p>
              </w:tc>
              <w:tc>
                <w:tcPr>
                  <w:tcW w:w="424" w:type="pct"/>
                  <w:noWrap w:val="0"/>
                  <w:tcMar>
                    <w:top w:w="0" w:type="dxa"/>
                    <w:left w:w="0" w:type="dxa"/>
                    <w:bottom w:w="0" w:type="dxa"/>
                    <w:right w:w="0" w:type="dxa"/>
                  </w:tcMar>
                  <w:vAlign w:val="center"/>
                </w:tcPr>
                <w:p w14:paraId="09CCD0BF">
                  <w:pPr>
                    <w:topLinePunct/>
                    <w:adjustRightInd w:val="0"/>
                    <w:snapToGrid w:val="0"/>
                    <w:jc w:val="center"/>
                    <w:rPr>
                      <w:rFonts w:hint="default"/>
                      <w:color w:val="auto"/>
                      <w:lang w:val="en-US" w:eastAsia="zh-CN"/>
                    </w:rPr>
                  </w:pPr>
                  <w:r>
                    <w:rPr>
                      <w:rFonts w:hint="eastAsia"/>
                      <w:color w:val="auto"/>
                      <w:lang w:val="en-US" w:eastAsia="zh-CN"/>
                    </w:rPr>
                    <w:t>半年</w:t>
                  </w:r>
                </w:p>
              </w:tc>
            </w:tr>
            <w:tr w14:paraId="695F4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noWrap w:val="0"/>
                  <w:tcMar>
                    <w:top w:w="0" w:type="dxa"/>
                    <w:left w:w="0" w:type="dxa"/>
                    <w:bottom w:w="0" w:type="dxa"/>
                    <w:right w:w="0" w:type="dxa"/>
                  </w:tcMar>
                  <w:vAlign w:val="center"/>
                </w:tcPr>
                <w:p w14:paraId="5FA5D208">
                  <w:pPr>
                    <w:topLinePunct/>
                    <w:adjustRightInd w:val="0"/>
                    <w:snapToGrid w:val="0"/>
                    <w:jc w:val="center"/>
                    <w:rPr>
                      <w:rFonts w:hint="eastAsia" w:eastAsia="宋体"/>
                      <w:color w:val="auto"/>
                      <w:lang w:val="en-US" w:eastAsia="zh-CN"/>
                    </w:rPr>
                  </w:pPr>
                  <w:r>
                    <w:rPr>
                      <w:rFonts w:hint="eastAsia"/>
                      <w:color w:val="auto"/>
                      <w:lang w:val="en-US" w:eastAsia="zh-CN"/>
                    </w:rPr>
                    <w:t>2</w:t>
                  </w:r>
                </w:p>
              </w:tc>
              <w:tc>
                <w:tcPr>
                  <w:tcW w:w="341" w:type="pct"/>
                  <w:vMerge w:val="continue"/>
                  <w:noWrap w:val="0"/>
                  <w:tcMar>
                    <w:top w:w="0" w:type="dxa"/>
                    <w:left w:w="0" w:type="dxa"/>
                    <w:bottom w:w="0" w:type="dxa"/>
                    <w:right w:w="0" w:type="dxa"/>
                  </w:tcMar>
                  <w:vAlign w:val="center"/>
                </w:tcPr>
                <w:p w14:paraId="6F643BC0">
                  <w:pPr>
                    <w:topLinePunct/>
                    <w:adjustRightInd w:val="0"/>
                    <w:snapToGrid w:val="0"/>
                    <w:jc w:val="center"/>
                    <w:rPr>
                      <w:color w:val="auto"/>
                    </w:rPr>
                  </w:pPr>
                </w:p>
              </w:tc>
              <w:tc>
                <w:tcPr>
                  <w:tcW w:w="837" w:type="pct"/>
                  <w:shd w:val="clear" w:color="auto" w:fill="auto"/>
                  <w:noWrap w:val="0"/>
                  <w:tcMar>
                    <w:top w:w="0" w:type="dxa"/>
                    <w:left w:w="0" w:type="dxa"/>
                    <w:bottom w:w="0" w:type="dxa"/>
                    <w:right w:w="0" w:type="dxa"/>
                  </w:tcMar>
                  <w:vAlign w:val="center"/>
                </w:tcPr>
                <w:p w14:paraId="4AF9D7B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val="en-US" w:eastAsia="zh-CN"/>
                    </w:rPr>
                    <w:t>废润滑油</w:t>
                  </w:r>
                </w:p>
              </w:tc>
              <w:tc>
                <w:tcPr>
                  <w:tcW w:w="561" w:type="pct"/>
                  <w:shd w:val="clear" w:color="auto" w:fill="auto"/>
                  <w:noWrap w:val="0"/>
                  <w:tcMar>
                    <w:top w:w="0" w:type="dxa"/>
                    <w:left w:w="0" w:type="dxa"/>
                    <w:bottom w:w="0" w:type="dxa"/>
                    <w:right w:w="0" w:type="dxa"/>
                  </w:tcMar>
                  <w:vAlign w:val="center"/>
                </w:tcPr>
                <w:p w14:paraId="11879074">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tc>
              <w:tc>
                <w:tcPr>
                  <w:tcW w:w="733" w:type="pct"/>
                  <w:shd w:val="clear" w:color="auto" w:fill="auto"/>
                  <w:noWrap w:val="0"/>
                  <w:tcMar>
                    <w:top w:w="0" w:type="dxa"/>
                    <w:left w:w="0" w:type="dxa"/>
                    <w:bottom w:w="0" w:type="dxa"/>
                    <w:right w:w="0" w:type="dxa"/>
                  </w:tcMar>
                  <w:vAlign w:val="center"/>
                </w:tcPr>
                <w:p w14:paraId="738F30A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900-217-08</w:t>
                  </w:r>
                </w:p>
              </w:tc>
              <w:tc>
                <w:tcPr>
                  <w:tcW w:w="357" w:type="pct"/>
                  <w:vMerge w:val="continue"/>
                  <w:noWrap w:val="0"/>
                  <w:tcMar>
                    <w:top w:w="0" w:type="dxa"/>
                    <w:left w:w="0" w:type="dxa"/>
                    <w:bottom w:w="0" w:type="dxa"/>
                    <w:right w:w="0" w:type="dxa"/>
                  </w:tcMar>
                  <w:vAlign w:val="center"/>
                </w:tcPr>
                <w:p w14:paraId="28DA8F39">
                  <w:pPr>
                    <w:topLinePunct/>
                    <w:adjustRightInd w:val="0"/>
                    <w:snapToGrid w:val="0"/>
                    <w:jc w:val="center"/>
                    <w:rPr>
                      <w:rFonts w:hint="default" w:eastAsia="宋体"/>
                      <w:color w:val="auto"/>
                      <w:lang w:val="en-US" w:eastAsia="zh-CN"/>
                    </w:rPr>
                  </w:pPr>
                </w:p>
              </w:tc>
              <w:tc>
                <w:tcPr>
                  <w:tcW w:w="483" w:type="pct"/>
                  <w:noWrap w:val="0"/>
                  <w:tcMar>
                    <w:top w:w="0" w:type="dxa"/>
                    <w:left w:w="0" w:type="dxa"/>
                    <w:bottom w:w="0" w:type="dxa"/>
                    <w:right w:w="0" w:type="dxa"/>
                  </w:tcMar>
                  <w:vAlign w:val="center"/>
                </w:tcPr>
                <w:p w14:paraId="212CD2FB">
                  <w:pPr>
                    <w:topLinePunct/>
                    <w:adjustRightInd w:val="0"/>
                    <w:snapToGrid w:val="0"/>
                    <w:jc w:val="center"/>
                    <w:rPr>
                      <w:rFonts w:hint="default" w:eastAsia="宋体"/>
                      <w:color w:val="auto"/>
                      <w:lang w:val="en-US" w:eastAsia="zh-CN"/>
                    </w:rPr>
                  </w:pPr>
                  <w:r>
                    <w:rPr>
                      <w:rFonts w:hint="eastAsia"/>
                      <w:color w:val="auto"/>
                      <w:lang w:val="en-US" w:eastAsia="zh-CN"/>
                    </w:rPr>
                    <w:t>1</w:t>
                  </w:r>
                </w:p>
              </w:tc>
              <w:tc>
                <w:tcPr>
                  <w:tcW w:w="656" w:type="pct"/>
                  <w:shd w:val="clear" w:color="auto" w:fill="auto"/>
                  <w:noWrap w:val="0"/>
                  <w:tcMar>
                    <w:top w:w="0" w:type="dxa"/>
                    <w:left w:w="0" w:type="dxa"/>
                    <w:bottom w:w="0" w:type="dxa"/>
                    <w:right w:w="0" w:type="dxa"/>
                  </w:tcMar>
                  <w:vAlign w:val="center"/>
                </w:tcPr>
                <w:p w14:paraId="35FCB8CB">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密闭桶装</w:t>
                  </w:r>
                </w:p>
              </w:tc>
              <w:tc>
                <w:tcPr>
                  <w:tcW w:w="346" w:type="pct"/>
                  <w:shd w:val="clear" w:color="auto" w:fill="auto"/>
                  <w:noWrap w:val="0"/>
                  <w:tcMar>
                    <w:top w:w="0" w:type="dxa"/>
                    <w:left w:w="0" w:type="dxa"/>
                    <w:bottom w:w="0" w:type="dxa"/>
                    <w:right w:w="0" w:type="dxa"/>
                  </w:tcMar>
                  <w:vAlign w:val="center"/>
                </w:tcPr>
                <w:p w14:paraId="5040DAC4">
                  <w:pPr>
                    <w:pStyle w:val="55"/>
                    <w:spacing w:before="48" w:beforeLines="20" w:after="48" w:afterLines="20"/>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0.4t</w:t>
                  </w:r>
                </w:p>
              </w:tc>
              <w:tc>
                <w:tcPr>
                  <w:tcW w:w="424" w:type="pct"/>
                  <w:noWrap w:val="0"/>
                  <w:tcMar>
                    <w:top w:w="0" w:type="dxa"/>
                    <w:left w:w="0" w:type="dxa"/>
                    <w:bottom w:w="0" w:type="dxa"/>
                    <w:right w:w="0" w:type="dxa"/>
                  </w:tcMar>
                  <w:vAlign w:val="center"/>
                </w:tcPr>
                <w:p w14:paraId="71C0619D">
                  <w:pPr>
                    <w:topLinePunct/>
                    <w:adjustRightInd w:val="0"/>
                    <w:snapToGrid w:val="0"/>
                    <w:jc w:val="center"/>
                    <w:rPr>
                      <w:rFonts w:hint="default"/>
                      <w:color w:val="auto"/>
                      <w:kern w:val="2"/>
                      <w:sz w:val="21"/>
                      <w:szCs w:val="24"/>
                      <w:lang w:val="en-US" w:eastAsia="zh-CN" w:bidi="ar-SA"/>
                    </w:rPr>
                  </w:pPr>
                  <w:r>
                    <w:rPr>
                      <w:rFonts w:hint="eastAsia"/>
                      <w:color w:val="auto"/>
                      <w:lang w:val="en-US" w:eastAsia="zh-CN"/>
                    </w:rPr>
                    <w:t>半年</w:t>
                  </w:r>
                </w:p>
              </w:tc>
            </w:tr>
            <w:tr w14:paraId="25D25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noWrap w:val="0"/>
                  <w:tcMar>
                    <w:top w:w="0" w:type="dxa"/>
                    <w:left w:w="0" w:type="dxa"/>
                    <w:bottom w:w="0" w:type="dxa"/>
                    <w:right w:w="0" w:type="dxa"/>
                  </w:tcMar>
                  <w:vAlign w:val="center"/>
                </w:tcPr>
                <w:p w14:paraId="38EEB30B">
                  <w:pPr>
                    <w:topLinePunct/>
                    <w:adjustRightInd w:val="0"/>
                    <w:snapToGrid w:val="0"/>
                    <w:jc w:val="center"/>
                    <w:rPr>
                      <w:rFonts w:hint="eastAsia"/>
                      <w:color w:val="auto"/>
                      <w:lang w:val="en-US" w:eastAsia="zh-CN"/>
                    </w:rPr>
                  </w:pPr>
                  <w:r>
                    <w:rPr>
                      <w:rFonts w:hint="eastAsia"/>
                      <w:color w:val="auto"/>
                      <w:lang w:val="en-US" w:eastAsia="zh-CN"/>
                    </w:rPr>
                    <w:t>3</w:t>
                  </w:r>
                </w:p>
              </w:tc>
              <w:tc>
                <w:tcPr>
                  <w:tcW w:w="341" w:type="pct"/>
                  <w:vMerge w:val="continue"/>
                  <w:noWrap w:val="0"/>
                  <w:tcMar>
                    <w:top w:w="0" w:type="dxa"/>
                    <w:left w:w="0" w:type="dxa"/>
                    <w:bottom w:w="0" w:type="dxa"/>
                    <w:right w:w="0" w:type="dxa"/>
                  </w:tcMar>
                  <w:vAlign w:val="center"/>
                </w:tcPr>
                <w:p w14:paraId="19A7EB40">
                  <w:pPr>
                    <w:topLinePunct/>
                    <w:adjustRightInd w:val="0"/>
                    <w:snapToGrid w:val="0"/>
                    <w:jc w:val="center"/>
                    <w:rPr>
                      <w:color w:val="auto"/>
                    </w:rPr>
                  </w:pPr>
                </w:p>
              </w:tc>
              <w:tc>
                <w:tcPr>
                  <w:tcW w:w="837" w:type="pct"/>
                  <w:shd w:val="clear" w:color="auto" w:fill="auto"/>
                  <w:noWrap w:val="0"/>
                  <w:tcMar>
                    <w:top w:w="0" w:type="dxa"/>
                    <w:left w:w="0" w:type="dxa"/>
                    <w:bottom w:w="0" w:type="dxa"/>
                    <w:right w:w="0" w:type="dxa"/>
                  </w:tcMar>
                  <w:vAlign w:val="center"/>
                </w:tcPr>
                <w:p w14:paraId="1C0FEBA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废油桶</w:t>
                  </w:r>
                </w:p>
              </w:tc>
              <w:tc>
                <w:tcPr>
                  <w:tcW w:w="561" w:type="pct"/>
                  <w:shd w:val="clear" w:color="auto" w:fill="auto"/>
                  <w:noWrap w:val="0"/>
                  <w:tcMar>
                    <w:top w:w="0" w:type="dxa"/>
                    <w:left w:w="0" w:type="dxa"/>
                    <w:bottom w:w="0" w:type="dxa"/>
                    <w:right w:w="0" w:type="dxa"/>
                  </w:tcMar>
                  <w:vAlign w:val="center"/>
                </w:tcPr>
                <w:p w14:paraId="40EF593B">
                  <w:pPr>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HW08</w:t>
                  </w:r>
                </w:p>
              </w:tc>
              <w:tc>
                <w:tcPr>
                  <w:tcW w:w="733" w:type="pct"/>
                  <w:shd w:val="clear" w:color="auto" w:fill="auto"/>
                  <w:noWrap w:val="0"/>
                  <w:tcMar>
                    <w:top w:w="0" w:type="dxa"/>
                    <w:left w:w="0" w:type="dxa"/>
                    <w:bottom w:w="0" w:type="dxa"/>
                    <w:right w:w="0" w:type="dxa"/>
                  </w:tcMar>
                  <w:vAlign w:val="center"/>
                </w:tcPr>
                <w:p w14:paraId="7DF95BE6">
                  <w:pPr>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900-249-08</w:t>
                  </w:r>
                </w:p>
              </w:tc>
              <w:tc>
                <w:tcPr>
                  <w:tcW w:w="357" w:type="pct"/>
                  <w:vMerge w:val="continue"/>
                  <w:noWrap w:val="0"/>
                  <w:tcMar>
                    <w:top w:w="0" w:type="dxa"/>
                    <w:left w:w="0" w:type="dxa"/>
                    <w:bottom w:w="0" w:type="dxa"/>
                    <w:right w:w="0" w:type="dxa"/>
                  </w:tcMar>
                  <w:vAlign w:val="center"/>
                </w:tcPr>
                <w:p w14:paraId="3D4C7391">
                  <w:pPr>
                    <w:topLinePunct/>
                    <w:adjustRightInd w:val="0"/>
                    <w:snapToGrid w:val="0"/>
                    <w:jc w:val="center"/>
                    <w:rPr>
                      <w:rFonts w:hint="default" w:eastAsia="宋体"/>
                      <w:color w:val="auto"/>
                      <w:lang w:val="en-US" w:eastAsia="zh-CN"/>
                    </w:rPr>
                  </w:pPr>
                </w:p>
              </w:tc>
              <w:tc>
                <w:tcPr>
                  <w:tcW w:w="483" w:type="pct"/>
                  <w:noWrap w:val="0"/>
                  <w:tcMar>
                    <w:top w:w="0" w:type="dxa"/>
                    <w:left w:w="0" w:type="dxa"/>
                    <w:bottom w:w="0" w:type="dxa"/>
                    <w:right w:w="0" w:type="dxa"/>
                  </w:tcMar>
                  <w:vAlign w:val="center"/>
                </w:tcPr>
                <w:p w14:paraId="4443268F">
                  <w:pPr>
                    <w:topLinePunct/>
                    <w:adjustRightInd w:val="0"/>
                    <w:snapToGrid w:val="0"/>
                    <w:jc w:val="center"/>
                    <w:rPr>
                      <w:rFonts w:hint="default" w:eastAsia="宋体"/>
                      <w:color w:val="auto"/>
                      <w:lang w:val="en-US" w:eastAsia="zh-CN"/>
                    </w:rPr>
                  </w:pPr>
                  <w:r>
                    <w:rPr>
                      <w:rFonts w:hint="eastAsia"/>
                      <w:color w:val="auto"/>
                      <w:lang w:val="en-US" w:eastAsia="zh-CN"/>
                    </w:rPr>
                    <w:t>3</w:t>
                  </w:r>
                </w:p>
              </w:tc>
              <w:tc>
                <w:tcPr>
                  <w:tcW w:w="656" w:type="pct"/>
                  <w:shd w:val="clear" w:color="auto" w:fill="auto"/>
                  <w:noWrap w:val="0"/>
                  <w:tcMar>
                    <w:top w:w="0" w:type="dxa"/>
                    <w:left w:w="0" w:type="dxa"/>
                    <w:bottom w:w="0" w:type="dxa"/>
                    <w:right w:w="0" w:type="dxa"/>
                  </w:tcMar>
                  <w:vAlign w:val="center"/>
                </w:tcPr>
                <w:p w14:paraId="5A4C352A">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密闭桶装</w:t>
                  </w:r>
                </w:p>
              </w:tc>
              <w:tc>
                <w:tcPr>
                  <w:tcW w:w="346" w:type="pct"/>
                  <w:shd w:val="clear" w:color="auto" w:fill="auto"/>
                  <w:noWrap w:val="0"/>
                  <w:tcMar>
                    <w:top w:w="0" w:type="dxa"/>
                    <w:left w:w="0" w:type="dxa"/>
                    <w:bottom w:w="0" w:type="dxa"/>
                    <w:right w:w="0" w:type="dxa"/>
                  </w:tcMar>
                  <w:vAlign w:val="center"/>
                </w:tcPr>
                <w:p w14:paraId="00AC42E2">
                  <w:pPr>
                    <w:pStyle w:val="55"/>
                    <w:spacing w:before="48" w:beforeLines="20" w:after="48" w:afterLines="20"/>
                    <w:rPr>
                      <w:rFonts w:hint="eastAsia" w:ascii="Times New Roman" w:hAnsi="Times New Roman" w:eastAsia="宋体" w:cs="Times New Roman"/>
                      <w:color w:val="auto"/>
                      <w:kern w:val="18"/>
                      <w:sz w:val="21"/>
                      <w:szCs w:val="21"/>
                      <w:lang w:val="en-US" w:eastAsia="zh-CN" w:bidi="ar-SA"/>
                    </w:rPr>
                  </w:pPr>
                  <w:r>
                    <w:rPr>
                      <w:rFonts w:hint="eastAsia"/>
                      <w:color w:val="auto"/>
                      <w:lang w:val="en-US" w:eastAsia="zh-CN"/>
                    </w:rPr>
                    <w:t>2t</w:t>
                  </w:r>
                </w:p>
              </w:tc>
              <w:tc>
                <w:tcPr>
                  <w:tcW w:w="424" w:type="pct"/>
                  <w:noWrap w:val="0"/>
                  <w:tcMar>
                    <w:top w:w="0" w:type="dxa"/>
                    <w:left w:w="0" w:type="dxa"/>
                    <w:bottom w:w="0" w:type="dxa"/>
                    <w:right w:w="0" w:type="dxa"/>
                  </w:tcMar>
                  <w:vAlign w:val="center"/>
                </w:tcPr>
                <w:p w14:paraId="208D0C04">
                  <w:pPr>
                    <w:topLinePunct/>
                    <w:adjustRightInd w:val="0"/>
                    <w:snapToGrid w:val="0"/>
                    <w:jc w:val="center"/>
                    <w:rPr>
                      <w:rFonts w:hint="eastAsia"/>
                      <w:color w:val="auto"/>
                      <w:kern w:val="2"/>
                      <w:sz w:val="21"/>
                      <w:szCs w:val="24"/>
                      <w:lang w:val="en-US" w:eastAsia="zh-CN" w:bidi="ar-SA"/>
                    </w:rPr>
                  </w:pPr>
                  <w:r>
                    <w:rPr>
                      <w:rFonts w:hint="eastAsia"/>
                      <w:color w:val="auto"/>
                      <w:lang w:val="en-US" w:eastAsia="zh-CN"/>
                    </w:rPr>
                    <w:t>半年</w:t>
                  </w:r>
                </w:p>
              </w:tc>
            </w:tr>
            <w:tr w14:paraId="153A9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noWrap w:val="0"/>
                  <w:tcMar>
                    <w:top w:w="0" w:type="dxa"/>
                    <w:left w:w="0" w:type="dxa"/>
                    <w:bottom w:w="0" w:type="dxa"/>
                    <w:right w:w="0" w:type="dxa"/>
                  </w:tcMar>
                  <w:vAlign w:val="center"/>
                </w:tcPr>
                <w:p w14:paraId="029426DC">
                  <w:pPr>
                    <w:topLinePunct/>
                    <w:adjustRightInd w:val="0"/>
                    <w:snapToGrid w:val="0"/>
                    <w:jc w:val="center"/>
                    <w:rPr>
                      <w:rFonts w:hint="default"/>
                      <w:color w:val="auto"/>
                      <w:lang w:val="en-US" w:eastAsia="zh-CN"/>
                    </w:rPr>
                  </w:pPr>
                  <w:r>
                    <w:rPr>
                      <w:rFonts w:hint="eastAsia"/>
                      <w:color w:val="auto"/>
                      <w:lang w:val="en-US" w:eastAsia="zh-CN"/>
                    </w:rPr>
                    <w:t>4</w:t>
                  </w:r>
                </w:p>
              </w:tc>
              <w:tc>
                <w:tcPr>
                  <w:tcW w:w="341" w:type="pct"/>
                  <w:vMerge w:val="continue"/>
                  <w:noWrap w:val="0"/>
                  <w:tcMar>
                    <w:top w:w="0" w:type="dxa"/>
                    <w:left w:w="0" w:type="dxa"/>
                    <w:bottom w:w="0" w:type="dxa"/>
                    <w:right w:w="0" w:type="dxa"/>
                  </w:tcMar>
                  <w:vAlign w:val="center"/>
                </w:tcPr>
                <w:p w14:paraId="7D0C511B">
                  <w:pPr>
                    <w:topLinePunct/>
                    <w:adjustRightInd w:val="0"/>
                    <w:snapToGrid w:val="0"/>
                    <w:jc w:val="center"/>
                    <w:rPr>
                      <w:color w:val="auto"/>
                    </w:rPr>
                  </w:pPr>
                </w:p>
              </w:tc>
              <w:tc>
                <w:tcPr>
                  <w:tcW w:w="837" w:type="pct"/>
                  <w:shd w:val="clear" w:color="auto" w:fill="auto"/>
                  <w:noWrap w:val="0"/>
                  <w:tcMar>
                    <w:top w:w="0" w:type="dxa"/>
                    <w:left w:w="0" w:type="dxa"/>
                    <w:bottom w:w="0" w:type="dxa"/>
                    <w:right w:w="0" w:type="dxa"/>
                  </w:tcMar>
                  <w:vAlign w:val="center"/>
                </w:tcPr>
                <w:p w14:paraId="2869071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废包装桶</w:t>
                  </w:r>
                </w:p>
              </w:tc>
              <w:tc>
                <w:tcPr>
                  <w:tcW w:w="561" w:type="pct"/>
                  <w:shd w:val="clear" w:color="auto" w:fill="auto"/>
                  <w:noWrap w:val="0"/>
                  <w:tcMar>
                    <w:top w:w="0" w:type="dxa"/>
                    <w:left w:w="0" w:type="dxa"/>
                    <w:bottom w:w="0" w:type="dxa"/>
                    <w:right w:w="0" w:type="dxa"/>
                  </w:tcMar>
                  <w:vAlign w:val="center"/>
                </w:tcPr>
                <w:p w14:paraId="4E8D3740">
                  <w:pPr>
                    <w:jc w:val="center"/>
                    <w:rPr>
                      <w:rFonts w:hint="eastAsia" w:ascii="Times New Roman" w:hAnsi="Times New Roman" w:eastAsia="宋体" w:cs="Times New Roman"/>
                      <w:color w:val="auto"/>
                      <w:kern w:val="2"/>
                      <w:sz w:val="21"/>
                      <w:szCs w:val="21"/>
                      <w:lang w:val="en-US" w:eastAsia="zh-CN" w:bidi="ar-SA"/>
                    </w:rPr>
                  </w:pPr>
                  <w:r>
                    <w:rPr>
                      <w:color w:val="auto"/>
                      <w:szCs w:val="21"/>
                    </w:rPr>
                    <w:t>HW49</w:t>
                  </w:r>
                </w:p>
              </w:tc>
              <w:tc>
                <w:tcPr>
                  <w:tcW w:w="733" w:type="pct"/>
                  <w:shd w:val="clear" w:color="auto" w:fill="auto"/>
                  <w:noWrap w:val="0"/>
                  <w:tcMar>
                    <w:top w:w="0" w:type="dxa"/>
                    <w:left w:w="0" w:type="dxa"/>
                    <w:bottom w:w="0" w:type="dxa"/>
                    <w:right w:w="0" w:type="dxa"/>
                  </w:tcMar>
                  <w:vAlign w:val="center"/>
                </w:tcPr>
                <w:p w14:paraId="26F67798">
                  <w:pPr>
                    <w:jc w:val="center"/>
                    <w:rPr>
                      <w:rFonts w:hint="eastAsia" w:ascii="Times New Roman" w:hAnsi="Times New Roman" w:eastAsia="宋体" w:cs="Times New Roman"/>
                      <w:color w:val="auto"/>
                      <w:kern w:val="2"/>
                      <w:sz w:val="21"/>
                      <w:szCs w:val="21"/>
                      <w:lang w:val="en-US" w:eastAsia="zh-CN" w:bidi="ar-SA"/>
                    </w:rPr>
                  </w:pPr>
                  <w:r>
                    <w:rPr>
                      <w:color w:val="auto"/>
                      <w:szCs w:val="21"/>
                    </w:rPr>
                    <w:t>900-041-49</w:t>
                  </w:r>
                </w:p>
              </w:tc>
              <w:tc>
                <w:tcPr>
                  <w:tcW w:w="357" w:type="pct"/>
                  <w:vMerge w:val="continue"/>
                  <w:noWrap w:val="0"/>
                  <w:tcMar>
                    <w:top w:w="0" w:type="dxa"/>
                    <w:left w:w="0" w:type="dxa"/>
                    <w:bottom w:w="0" w:type="dxa"/>
                    <w:right w:w="0" w:type="dxa"/>
                  </w:tcMar>
                  <w:vAlign w:val="center"/>
                </w:tcPr>
                <w:p w14:paraId="1667FFB5">
                  <w:pPr>
                    <w:topLinePunct/>
                    <w:adjustRightInd w:val="0"/>
                    <w:snapToGrid w:val="0"/>
                    <w:jc w:val="center"/>
                    <w:rPr>
                      <w:rFonts w:hint="default" w:eastAsia="宋体"/>
                      <w:color w:val="auto"/>
                      <w:lang w:val="en-US" w:eastAsia="zh-CN"/>
                    </w:rPr>
                  </w:pPr>
                </w:p>
              </w:tc>
              <w:tc>
                <w:tcPr>
                  <w:tcW w:w="483" w:type="pct"/>
                  <w:noWrap w:val="0"/>
                  <w:tcMar>
                    <w:top w:w="0" w:type="dxa"/>
                    <w:left w:w="0" w:type="dxa"/>
                    <w:bottom w:w="0" w:type="dxa"/>
                    <w:right w:w="0" w:type="dxa"/>
                  </w:tcMar>
                  <w:vAlign w:val="center"/>
                </w:tcPr>
                <w:p w14:paraId="6F1BF921">
                  <w:pPr>
                    <w:topLinePunct/>
                    <w:adjustRightInd w:val="0"/>
                    <w:snapToGrid w:val="0"/>
                    <w:jc w:val="center"/>
                    <w:rPr>
                      <w:rFonts w:hint="default" w:eastAsia="宋体"/>
                      <w:color w:val="auto"/>
                      <w:lang w:val="en-US" w:eastAsia="zh-CN"/>
                    </w:rPr>
                  </w:pPr>
                  <w:r>
                    <w:rPr>
                      <w:rFonts w:hint="eastAsia"/>
                      <w:color w:val="auto"/>
                      <w:lang w:val="en-US" w:eastAsia="zh-CN"/>
                    </w:rPr>
                    <w:t>1</w:t>
                  </w:r>
                </w:p>
              </w:tc>
              <w:tc>
                <w:tcPr>
                  <w:tcW w:w="656" w:type="pct"/>
                  <w:shd w:val="clear" w:color="auto" w:fill="auto"/>
                  <w:noWrap w:val="0"/>
                  <w:tcMar>
                    <w:top w:w="0" w:type="dxa"/>
                    <w:left w:w="0" w:type="dxa"/>
                    <w:bottom w:w="0" w:type="dxa"/>
                    <w:right w:w="0" w:type="dxa"/>
                  </w:tcMar>
                  <w:vAlign w:val="center"/>
                </w:tcPr>
                <w:p w14:paraId="1F2FEE19">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密闭桶装</w:t>
                  </w:r>
                </w:p>
              </w:tc>
              <w:tc>
                <w:tcPr>
                  <w:tcW w:w="346" w:type="pct"/>
                  <w:shd w:val="clear" w:color="auto" w:fill="auto"/>
                  <w:noWrap w:val="0"/>
                  <w:tcMar>
                    <w:top w:w="0" w:type="dxa"/>
                    <w:left w:w="0" w:type="dxa"/>
                    <w:bottom w:w="0" w:type="dxa"/>
                    <w:right w:w="0" w:type="dxa"/>
                  </w:tcMar>
                  <w:vAlign w:val="center"/>
                </w:tcPr>
                <w:p w14:paraId="6DC09F2A">
                  <w:pPr>
                    <w:pStyle w:val="55"/>
                    <w:spacing w:before="48" w:beforeLines="20" w:after="48" w:afterLines="20"/>
                    <w:rPr>
                      <w:rFonts w:hint="eastAsia" w:ascii="Times New Roman" w:hAnsi="Times New Roman" w:eastAsia="宋体" w:cs="Times New Roman"/>
                      <w:color w:val="auto"/>
                      <w:kern w:val="18"/>
                      <w:sz w:val="21"/>
                      <w:szCs w:val="21"/>
                      <w:lang w:val="en-US" w:eastAsia="zh-CN" w:bidi="ar-SA"/>
                    </w:rPr>
                  </w:pPr>
                  <w:r>
                    <w:rPr>
                      <w:rFonts w:hint="eastAsia"/>
                      <w:color w:val="auto"/>
                      <w:lang w:val="en-US" w:eastAsia="zh-CN"/>
                    </w:rPr>
                    <w:t>0.5t</w:t>
                  </w:r>
                </w:p>
              </w:tc>
              <w:tc>
                <w:tcPr>
                  <w:tcW w:w="424" w:type="pct"/>
                  <w:noWrap w:val="0"/>
                  <w:tcMar>
                    <w:top w:w="0" w:type="dxa"/>
                    <w:left w:w="0" w:type="dxa"/>
                    <w:bottom w:w="0" w:type="dxa"/>
                    <w:right w:w="0" w:type="dxa"/>
                  </w:tcMar>
                  <w:vAlign w:val="center"/>
                </w:tcPr>
                <w:p w14:paraId="4B751C8D">
                  <w:pPr>
                    <w:topLinePunct/>
                    <w:adjustRightInd w:val="0"/>
                    <w:snapToGrid w:val="0"/>
                    <w:jc w:val="center"/>
                    <w:rPr>
                      <w:rFonts w:hint="eastAsia"/>
                      <w:color w:val="auto"/>
                      <w:kern w:val="2"/>
                      <w:sz w:val="21"/>
                      <w:szCs w:val="24"/>
                      <w:lang w:val="en-US" w:eastAsia="zh-CN" w:bidi="ar-SA"/>
                    </w:rPr>
                  </w:pPr>
                  <w:r>
                    <w:rPr>
                      <w:rFonts w:hint="eastAsia"/>
                      <w:color w:val="auto"/>
                      <w:lang w:val="en-US" w:eastAsia="zh-CN"/>
                    </w:rPr>
                    <w:t>半年</w:t>
                  </w:r>
                </w:p>
              </w:tc>
            </w:tr>
            <w:tr w14:paraId="30D6B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0548BDA5">
                  <w:pPr>
                    <w:topLinePunct/>
                    <w:adjustRightInd w:val="0"/>
                    <w:snapToGrid w:val="0"/>
                    <w:jc w:val="center"/>
                    <w:rPr>
                      <w:rFonts w:hint="default"/>
                      <w:color w:val="auto"/>
                      <w:lang w:val="en-US" w:eastAsia="zh-CN"/>
                    </w:rPr>
                  </w:pPr>
                  <w:r>
                    <w:rPr>
                      <w:rFonts w:hint="eastAsia"/>
                      <w:color w:val="auto"/>
                      <w:lang w:val="en-US" w:eastAsia="zh-CN"/>
                    </w:rPr>
                    <w:t>5</w:t>
                  </w:r>
                </w:p>
              </w:tc>
              <w:tc>
                <w:tcPr>
                  <w:tcW w:w="341" w:type="pct"/>
                  <w:vMerge w:val="continue"/>
                  <w:vAlign w:val="center"/>
                </w:tcPr>
                <w:p w14:paraId="21AEEC71">
                  <w:pPr>
                    <w:topLinePunct/>
                    <w:adjustRightInd w:val="0"/>
                    <w:snapToGrid w:val="0"/>
                    <w:jc w:val="center"/>
                    <w:rPr>
                      <w:color w:val="auto"/>
                    </w:rPr>
                  </w:pPr>
                </w:p>
              </w:tc>
              <w:tc>
                <w:tcPr>
                  <w:tcW w:w="837" w:type="pct"/>
                  <w:shd w:val="clear" w:color="auto" w:fill="auto"/>
                  <w:vAlign w:val="center"/>
                </w:tcPr>
                <w:p w14:paraId="1B83B11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废含油抹布</w:t>
                  </w:r>
                </w:p>
              </w:tc>
              <w:tc>
                <w:tcPr>
                  <w:tcW w:w="561" w:type="pct"/>
                  <w:shd w:val="clear" w:color="auto" w:fill="auto"/>
                  <w:vAlign w:val="center"/>
                </w:tcPr>
                <w:p w14:paraId="365131E5">
                  <w:pPr>
                    <w:jc w:val="center"/>
                    <w:rPr>
                      <w:rFonts w:hint="eastAsia" w:ascii="Times New Roman" w:hAnsi="Times New Roman" w:eastAsia="宋体" w:cs="Times New Roman"/>
                      <w:color w:val="auto"/>
                      <w:kern w:val="2"/>
                      <w:sz w:val="21"/>
                      <w:szCs w:val="21"/>
                      <w:lang w:val="en-US" w:eastAsia="zh-CN" w:bidi="ar-SA"/>
                    </w:rPr>
                  </w:pPr>
                  <w:r>
                    <w:rPr>
                      <w:color w:val="auto"/>
                      <w:szCs w:val="21"/>
                    </w:rPr>
                    <w:t>HW49</w:t>
                  </w:r>
                </w:p>
              </w:tc>
              <w:tc>
                <w:tcPr>
                  <w:tcW w:w="733" w:type="pct"/>
                  <w:shd w:val="clear" w:color="auto" w:fill="auto"/>
                  <w:vAlign w:val="center"/>
                </w:tcPr>
                <w:p w14:paraId="06AC2D30">
                  <w:pPr>
                    <w:jc w:val="center"/>
                    <w:rPr>
                      <w:rFonts w:hint="eastAsia" w:ascii="Times New Roman" w:hAnsi="Times New Roman" w:eastAsia="宋体" w:cs="Times New Roman"/>
                      <w:color w:val="auto"/>
                      <w:kern w:val="2"/>
                      <w:sz w:val="21"/>
                      <w:szCs w:val="21"/>
                      <w:lang w:val="en-US" w:eastAsia="zh-CN" w:bidi="ar-SA"/>
                    </w:rPr>
                  </w:pPr>
                  <w:r>
                    <w:rPr>
                      <w:color w:val="auto"/>
                      <w:szCs w:val="21"/>
                    </w:rPr>
                    <w:t>900-041-49</w:t>
                  </w:r>
                </w:p>
              </w:tc>
              <w:tc>
                <w:tcPr>
                  <w:tcW w:w="357" w:type="pct"/>
                  <w:vMerge w:val="continue"/>
                </w:tcPr>
                <w:p w14:paraId="6C4C747D">
                  <w:pPr>
                    <w:topLinePunct/>
                    <w:adjustRightInd w:val="0"/>
                    <w:snapToGrid w:val="0"/>
                    <w:jc w:val="center"/>
                    <w:rPr>
                      <w:rFonts w:hint="default" w:eastAsia="宋体"/>
                      <w:color w:val="auto"/>
                      <w:lang w:val="en-US" w:eastAsia="zh-CN"/>
                    </w:rPr>
                  </w:pPr>
                </w:p>
              </w:tc>
              <w:tc>
                <w:tcPr>
                  <w:tcW w:w="483" w:type="pct"/>
                  <w:vAlign w:val="center"/>
                </w:tcPr>
                <w:p w14:paraId="369ED79C">
                  <w:pPr>
                    <w:topLinePunct/>
                    <w:adjustRightInd w:val="0"/>
                    <w:snapToGrid w:val="0"/>
                    <w:jc w:val="center"/>
                    <w:rPr>
                      <w:rFonts w:hint="default" w:eastAsia="宋体"/>
                      <w:color w:val="auto"/>
                      <w:lang w:val="en-US" w:eastAsia="zh-CN"/>
                    </w:rPr>
                  </w:pPr>
                  <w:r>
                    <w:rPr>
                      <w:rFonts w:hint="eastAsia"/>
                      <w:color w:val="auto"/>
                      <w:lang w:val="en-US" w:eastAsia="zh-CN"/>
                    </w:rPr>
                    <w:t>1</w:t>
                  </w:r>
                </w:p>
              </w:tc>
              <w:tc>
                <w:tcPr>
                  <w:tcW w:w="656" w:type="pct"/>
                  <w:shd w:val="clear" w:color="auto" w:fill="auto"/>
                  <w:vAlign w:val="center"/>
                </w:tcPr>
                <w:p w14:paraId="1CFB02A4">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密闭袋装</w:t>
                  </w:r>
                </w:p>
              </w:tc>
              <w:tc>
                <w:tcPr>
                  <w:tcW w:w="346" w:type="pct"/>
                  <w:shd w:val="clear" w:color="auto" w:fill="auto"/>
                  <w:vAlign w:val="center"/>
                </w:tcPr>
                <w:p w14:paraId="57DA9431">
                  <w:pPr>
                    <w:pStyle w:val="55"/>
                    <w:spacing w:before="48" w:beforeLines="20" w:after="48" w:afterLines="20"/>
                    <w:rPr>
                      <w:rFonts w:hint="eastAsia" w:ascii="Times New Roman" w:hAnsi="Times New Roman" w:eastAsia="宋体" w:cs="Times New Roman"/>
                      <w:color w:val="auto"/>
                      <w:kern w:val="18"/>
                      <w:sz w:val="21"/>
                      <w:szCs w:val="21"/>
                      <w:lang w:val="en-US" w:eastAsia="zh-CN" w:bidi="ar-SA"/>
                    </w:rPr>
                  </w:pPr>
                  <w:r>
                    <w:rPr>
                      <w:rFonts w:hint="eastAsia"/>
                      <w:color w:val="auto"/>
                      <w:lang w:val="en-US" w:eastAsia="zh-CN"/>
                    </w:rPr>
                    <w:t>0.2t</w:t>
                  </w:r>
                </w:p>
              </w:tc>
              <w:tc>
                <w:tcPr>
                  <w:tcW w:w="424" w:type="pct"/>
                  <w:vAlign w:val="center"/>
                </w:tcPr>
                <w:p w14:paraId="7BB7A96C">
                  <w:pPr>
                    <w:topLinePunct/>
                    <w:adjustRightInd w:val="0"/>
                    <w:snapToGrid w:val="0"/>
                    <w:jc w:val="center"/>
                    <w:rPr>
                      <w:rFonts w:hint="eastAsia"/>
                      <w:color w:val="auto"/>
                      <w:kern w:val="2"/>
                      <w:sz w:val="21"/>
                      <w:szCs w:val="24"/>
                      <w:lang w:val="en-US" w:eastAsia="zh-CN" w:bidi="ar-SA"/>
                    </w:rPr>
                  </w:pPr>
                  <w:r>
                    <w:rPr>
                      <w:rFonts w:hint="eastAsia"/>
                      <w:color w:val="auto"/>
                      <w:lang w:val="en-US" w:eastAsia="zh-CN"/>
                    </w:rPr>
                    <w:t>半年</w:t>
                  </w:r>
                </w:p>
              </w:tc>
            </w:tr>
            <w:tr w14:paraId="0D31F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42A2EB35">
                  <w:pPr>
                    <w:topLinePunct/>
                    <w:adjustRightInd w:val="0"/>
                    <w:snapToGrid w:val="0"/>
                    <w:jc w:val="center"/>
                    <w:rPr>
                      <w:rFonts w:hint="default"/>
                      <w:color w:val="auto"/>
                      <w:lang w:val="en-US" w:eastAsia="zh-CN"/>
                    </w:rPr>
                  </w:pPr>
                  <w:r>
                    <w:rPr>
                      <w:rFonts w:hint="eastAsia"/>
                      <w:color w:val="auto"/>
                      <w:lang w:val="en-US" w:eastAsia="zh-CN"/>
                    </w:rPr>
                    <w:t>6</w:t>
                  </w:r>
                </w:p>
              </w:tc>
              <w:tc>
                <w:tcPr>
                  <w:tcW w:w="341" w:type="pct"/>
                  <w:vMerge w:val="continue"/>
                  <w:vAlign w:val="center"/>
                </w:tcPr>
                <w:p w14:paraId="2F310F83">
                  <w:pPr>
                    <w:topLinePunct/>
                    <w:adjustRightInd w:val="0"/>
                    <w:snapToGrid w:val="0"/>
                    <w:jc w:val="center"/>
                    <w:rPr>
                      <w:color w:val="auto"/>
                    </w:rPr>
                  </w:pPr>
                </w:p>
              </w:tc>
              <w:tc>
                <w:tcPr>
                  <w:tcW w:w="837" w:type="pct"/>
                  <w:shd w:val="clear" w:color="auto" w:fill="auto"/>
                  <w:vAlign w:val="center"/>
                </w:tcPr>
                <w:p w14:paraId="4150A21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废活性炭</w:t>
                  </w:r>
                </w:p>
              </w:tc>
              <w:tc>
                <w:tcPr>
                  <w:tcW w:w="561" w:type="pct"/>
                  <w:shd w:val="clear" w:color="auto" w:fill="auto"/>
                  <w:vAlign w:val="center"/>
                </w:tcPr>
                <w:p w14:paraId="1CD68AB5">
                  <w:pPr>
                    <w:jc w:val="center"/>
                    <w:rPr>
                      <w:rFonts w:hint="eastAsia" w:ascii="Times New Roman" w:hAnsi="Times New Roman" w:eastAsia="宋体" w:cs="Times New Roman"/>
                      <w:color w:val="auto"/>
                      <w:kern w:val="2"/>
                      <w:sz w:val="21"/>
                      <w:szCs w:val="21"/>
                      <w:lang w:val="en-US" w:eastAsia="zh-CN" w:bidi="ar-SA"/>
                    </w:rPr>
                  </w:pPr>
                  <w:r>
                    <w:rPr>
                      <w:color w:val="auto"/>
                      <w:szCs w:val="21"/>
                    </w:rPr>
                    <w:t>HW49</w:t>
                  </w:r>
                </w:p>
              </w:tc>
              <w:tc>
                <w:tcPr>
                  <w:tcW w:w="733" w:type="pct"/>
                  <w:shd w:val="clear" w:color="auto" w:fill="auto"/>
                  <w:vAlign w:val="center"/>
                </w:tcPr>
                <w:p w14:paraId="54DA5B3F">
                  <w:pPr>
                    <w:jc w:val="center"/>
                    <w:rPr>
                      <w:rFonts w:hint="eastAsia" w:ascii="Times New Roman" w:hAnsi="Times New Roman" w:eastAsia="宋体" w:cs="Times New Roman"/>
                      <w:color w:val="auto"/>
                      <w:kern w:val="2"/>
                      <w:sz w:val="21"/>
                      <w:szCs w:val="21"/>
                      <w:lang w:val="en-US" w:eastAsia="zh-CN" w:bidi="ar-SA"/>
                    </w:rPr>
                  </w:pPr>
                  <w:r>
                    <w:rPr>
                      <w:color w:val="auto"/>
                      <w:szCs w:val="21"/>
                    </w:rPr>
                    <w:t>900-0</w:t>
                  </w:r>
                  <w:r>
                    <w:rPr>
                      <w:rFonts w:hint="eastAsia"/>
                      <w:color w:val="auto"/>
                      <w:szCs w:val="21"/>
                      <w:lang w:val="en-US" w:eastAsia="zh-CN"/>
                    </w:rPr>
                    <w:t>39</w:t>
                  </w:r>
                  <w:r>
                    <w:rPr>
                      <w:color w:val="auto"/>
                      <w:szCs w:val="21"/>
                    </w:rPr>
                    <w:t>-49</w:t>
                  </w:r>
                </w:p>
              </w:tc>
              <w:tc>
                <w:tcPr>
                  <w:tcW w:w="357" w:type="pct"/>
                  <w:vMerge w:val="continue"/>
                </w:tcPr>
                <w:p w14:paraId="232AE599">
                  <w:pPr>
                    <w:topLinePunct/>
                    <w:adjustRightInd w:val="0"/>
                    <w:snapToGrid w:val="0"/>
                    <w:jc w:val="center"/>
                    <w:rPr>
                      <w:rFonts w:hint="default" w:eastAsia="宋体"/>
                      <w:color w:val="auto"/>
                      <w:lang w:val="en-US" w:eastAsia="zh-CN"/>
                    </w:rPr>
                  </w:pPr>
                </w:p>
              </w:tc>
              <w:tc>
                <w:tcPr>
                  <w:tcW w:w="483" w:type="pct"/>
                  <w:vAlign w:val="center"/>
                </w:tcPr>
                <w:p w14:paraId="227F3933">
                  <w:pPr>
                    <w:topLinePunct/>
                    <w:adjustRightInd w:val="0"/>
                    <w:snapToGrid w:val="0"/>
                    <w:jc w:val="center"/>
                    <w:rPr>
                      <w:rFonts w:hint="default" w:eastAsia="宋体"/>
                      <w:color w:val="auto"/>
                      <w:lang w:val="en-US" w:eastAsia="zh-CN"/>
                    </w:rPr>
                  </w:pPr>
                  <w:r>
                    <w:rPr>
                      <w:rFonts w:hint="eastAsia"/>
                      <w:color w:val="auto"/>
                      <w:lang w:val="en-US" w:eastAsia="zh-CN"/>
                    </w:rPr>
                    <w:t>1</w:t>
                  </w:r>
                </w:p>
              </w:tc>
              <w:tc>
                <w:tcPr>
                  <w:tcW w:w="656" w:type="pct"/>
                  <w:shd w:val="clear" w:color="auto" w:fill="auto"/>
                  <w:vAlign w:val="center"/>
                </w:tcPr>
                <w:p w14:paraId="70B5C4CE">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密闭袋装</w:t>
                  </w:r>
                </w:p>
              </w:tc>
              <w:tc>
                <w:tcPr>
                  <w:tcW w:w="346" w:type="pct"/>
                  <w:shd w:val="clear" w:color="auto" w:fill="auto"/>
                  <w:vAlign w:val="center"/>
                </w:tcPr>
                <w:p w14:paraId="145A159E">
                  <w:pPr>
                    <w:pStyle w:val="55"/>
                    <w:spacing w:before="48" w:beforeLines="20" w:after="48" w:afterLines="20"/>
                    <w:rPr>
                      <w:rFonts w:hint="eastAsia" w:ascii="Times New Roman" w:hAnsi="Times New Roman" w:eastAsia="宋体" w:cs="Times New Roman"/>
                      <w:color w:val="auto"/>
                      <w:kern w:val="18"/>
                      <w:sz w:val="21"/>
                      <w:szCs w:val="21"/>
                      <w:lang w:val="en-US" w:eastAsia="zh-CN" w:bidi="ar-SA"/>
                    </w:rPr>
                  </w:pPr>
                  <w:r>
                    <w:rPr>
                      <w:rFonts w:hint="eastAsia"/>
                      <w:color w:val="auto"/>
                      <w:lang w:val="en-US" w:eastAsia="zh-CN"/>
                    </w:rPr>
                    <w:t>1t</w:t>
                  </w:r>
                </w:p>
              </w:tc>
              <w:tc>
                <w:tcPr>
                  <w:tcW w:w="424" w:type="pct"/>
                  <w:vAlign w:val="center"/>
                </w:tcPr>
                <w:p w14:paraId="673204FA">
                  <w:pPr>
                    <w:topLinePunct/>
                    <w:adjustRightInd w:val="0"/>
                    <w:snapToGrid w:val="0"/>
                    <w:jc w:val="center"/>
                    <w:rPr>
                      <w:rFonts w:hint="eastAsia"/>
                      <w:color w:val="auto"/>
                      <w:kern w:val="2"/>
                      <w:sz w:val="21"/>
                      <w:szCs w:val="24"/>
                      <w:lang w:val="en-US" w:eastAsia="zh-CN" w:bidi="ar-SA"/>
                    </w:rPr>
                  </w:pPr>
                  <w:r>
                    <w:rPr>
                      <w:rFonts w:hint="eastAsia"/>
                      <w:color w:val="auto"/>
                      <w:lang w:val="en-US" w:eastAsia="zh-CN"/>
                    </w:rPr>
                    <w:t>半年</w:t>
                  </w:r>
                </w:p>
              </w:tc>
            </w:tr>
          </w:tbl>
          <w:p w14:paraId="0C0EEA5C">
            <w:pPr>
              <w:spacing w:before="120" w:beforeLines="50" w:line="360" w:lineRule="auto"/>
              <w:ind w:firstLine="420" w:firstLineChars="200"/>
              <w:rPr>
                <w:color w:val="auto"/>
                <w:szCs w:val="21"/>
              </w:rPr>
            </w:pPr>
            <w:r>
              <w:rPr>
                <w:bCs/>
                <w:color w:val="auto"/>
                <w:szCs w:val="21"/>
              </w:rPr>
              <w:t>本项目</w:t>
            </w:r>
            <w:r>
              <w:rPr>
                <w:color w:val="auto"/>
                <w:szCs w:val="21"/>
              </w:rPr>
              <w:t>危废仓库密闭设置，应做到</w:t>
            </w:r>
            <w:r>
              <w:rPr>
                <w:rFonts w:hint="eastAsia"/>
                <w:bCs/>
                <w:color w:val="auto"/>
                <w:szCs w:val="21"/>
              </w:rPr>
              <w:t>“六</w:t>
            </w:r>
            <w:r>
              <w:rPr>
                <w:bCs/>
                <w:color w:val="auto"/>
                <w:szCs w:val="21"/>
              </w:rPr>
              <w:t>防</w:t>
            </w:r>
            <w:r>
              <w:rPr>
                <w:rFonts w:hint="eastAsia"/>
                <w:bCs/>
                <w:color w:val="auto"/>
                <w:szCs w:val="21"/>
              </w:rPr>
              <w:t>”</w:t>
            </w:r>
            <w:r>
              <w:rPr>
                <w:bCs/>
                <w:color w:val="auto"/>
                <w:szCs w:val="21"/>
              </w:rPr>
              <w:t>，即：防风、防晒、防雨、防漏、防渗、防腐</w:t>
            </w:r>
            <w:r>
              <w:rPr>
                <w:color w:val="auto"/>
                <w:szCs w:val="21"/>
              </w:rPr>
              <w:t>，危废暂存场地面与裙脚为坚固、防渗材料，建筑材料与危险废物相容。</w:t>
            </w:r>
            <w:r>
              <w:rPr>
                <w:rFonts w:hint="eastAsia"/>
                <w:color w:val="auto"/>
                <w:szCs w:val="21"/>
                <w:lang w:val="en-US" w:eastAsia="zh-CN"/>
              </w:rPr>
              <w:t>按上表，本项目危废1年清运6次，设置10m</w:t>
            </w:r>
            <w:r>
              <w:rPr>
                <w:rFonts w:hint="eastAsia"/>
                <w:color w:val="auto"/>
                <w:szCs w:val="21"/>
                <w:vertAlign w:val="superscript"/>
                <w:lang w:val="en-US" w:eastAsia="zh-CN"/>
              </w:rPr>
              <w:t>2</w:t>
            </w:r>
            <w:r>
              <w:rPr>
                <w:rFonts w:hint="eastAsia"/>
                <w:color w:val="auto"/>
                <w:szCs w:val="21"/>
                <w:lang w:val="en-US" w:eastAsia="zh-CN"/>
              </w:rPr>
              <w:t>的危废仓库满足需求</w:t>
            </w:r>
            <w:r>
              <w:rPr>
                <w:rFonts w:hint="eastAsia"/>
                <w:color w:val="auto"/>
                <w:szCs w:val="21"/>
              </w:rPr>
              <w:t>，现有项目与本项目危废利用包装桶、包装袋等分类进行包装、存放，</w:t>
            </w:r>
            <w:r>
              <w:rPr>
                <w:rFonts w:hint="eastAsia"/>
                <w:color w:val="auto"/>
              </w:rPr>
              <w:t>危废暂存不会发生二次反应</w:t>
            </w:r>
            <w:r>
              <w:rPr>
                <w:color w:val="auto"/>
                <w:szCs w:val="21"/>
              </w:rPr>
              <w:t>，满足危险废物堆放需求。</w:t>
            </w:r>
          </w:p>
          <w:p w14:paraId="7525C701">
            <w:pPr>
              <w:adjustRightInd w:val="0"/>
              <w:snapToGrid w:val="0"/>
              <w:spacing w:line="360" w:lineRule="auto"/>
              <w:ind w:firstLine="420" w:firstLineChars="200"/>
              <w:rPr>
                <w:color w:val="auto"/>
                <w:szCs w:val="21"/>
              </w:rPr>
            </w:pPr>
            <w:r>
              <w:rPr>
                <w:color w:val="auto"/>
                <w:szCs w:val="21"/>
              </w:rPr>
              <w:t>综上所述，本项目危废按上述要求贮存于该危废仓库可行。</w:t>
            </w:r>
          </w:p>
          <w:p w14:paraId="43CB5603">
            <w:pPr>
              <w:adjustRightInd w:val="0"/>
              <w:snapToGrid w:val="0"/>
              <w:spacing w:line="360" w:lineRule="auto"/>
              <w:ind w:firstLine="420" w:firstLineChars="200"/>
              <w:rPr>
                <w:color w:val="auto"/>
                <w:szCs w:val="21"/>
              </w:rPr>
            </w:pPr>
            <w:r>
              <w:rPr>
                <w:color w:val="auto"/>
                <w:szCs w:val="21"/>
              </w:rPr>
              <w:t>3）危险废物贮存要求</w:t>
            </w:r>
          </w:p>
          <w:p w14:paraId="1710FD12">
            <w:pPr>
              <w:adjustRightInd w:val="0"/>
              <w:snapToGrid w:val="0"/>
              <w:spacing w:line="360" w:lineRule="auto"/>
              <w:ind w:firstLine="420" w:firstLineChars="200"/>
              <w:rPr>
                <w:color w:val="auto"/>
                <w:szCs w:val="21"/>
              </w:rPr>
            </w:pPr>
            <w:r>
              <w:rPr>
                <w:color w:val="auto"/>
                <w:szCs w:val="21"/>
              </w:rPr>
              <w:t>根据《危险废物贮存污染控制标准》（GB18597-2023），对危险废物的贮存要求如下：</w:t>
            </w:r>
          </w:p>
          <w:p w14:paraId="31CDCAC6">
            <w:pPr>
              <w:adjustRightInd w:val="0"/>
              <w:snapToGrid w:val="0"/>
              <w:spacing w:line="360" w:lineRule="auto"/>
              <w:ind w:firstLine="420" w:firstLineChars="200"/>
              <w:rPr>
                <w:rFonts w:hint="eastAsia" w:eastAsia="宋体"/>
                <w:color w:val="auto"/>
                <w:szCs w:val="21"/>
                <w:lang w:eastAsia="zh-CN"/>
              </w:rPr>
            </w:pPr>
            <w:r>
              <w:rPr>
                <w:color w:val="auto"/>
                <w:szCs w:val="21"/>
              </w:rPr>
              <w:t>①在常温常压下不易水解、不易挥发的固态危险废物可分类堆放贮存，其他固态危险废物应装入容器或包装物内贮存</w:t>
            </w:r>
            <w:r>
              <w:rPr>
                <w:rFonts w:hint="eastAsia"/>
                <w:color w:val="auto"/>
                <w:szCs w:val="21"/>
                <w:lang w:eastAsia="zh-CN"/>
              </w:rPr>
              <w:t>。</w:t>
            </w:r>
          </w:p>
          <w:p w14:paraId="7E282003">
            <w:pPr>
              <w:adjustRightInd w:val="0"/>
              <w:snapToGrid w:val="0"/>
              <w:spacing w:line="360" w:lineRule="auto"/>
              <w:ind w:firstLine="420" w:firstLineChars="200"/>
              <w:rPr>
                <w:rFonts w:hint="eastAsia" w:eastAsia="宋体"/>
                <w:color w:val="auto"/>
                <w:szCs w:val="21"/>
                <w:lang w:eastAsia="zh-CN"/>
              </w:rPr>
            </w:pPr>
            <w:r>
              <w:rPr>
                <w:color w:val="auto"/>
                <w:szCs w:val="21"/>
              </w:rPr>
              <w:t>②液态危险废物应装入容器内贮存，或直接采用贮存池、贮存罐区贮存</w:t>
            </w:r>
            <w:r>
              <w:rPr>
                <w:rFonts w:hint="eastAsia"/>
                <w:color w:val="auto"/>
                <w:szCs w:val="21"/>
                <w:lang w:eastAsia="zh-CN"/>
              </w:rPr>
              <w:t>。</w:t>
            </w:r>
          </w:p>
          <w:p w14:paraId="76BC4D50">
            <w:pPr>
              <w:adjustRightInd w:val="0"/>
              <w:snapToGrid w:val="0"/>
              <w:spacing w:line="360" w:lineRule="auto"/>
              <w:ind w:firstLine="420" w:firstLineChars="200"/>
              <w:rPr>
                <w:rFonts w:hint="eastAsia" w:eastAsia="宋体"/>
                <w:color w:val="auto"/>
                <w:szCs w:val="21"/>
                <w:lang w:eastAsia="zh-CN"/>
              </w:rPr>
            </w:pPr>
            <w:r>
              <w:rPr>
                <w:color w:val="auto"/>
                <w:szCs w:val="21"/>
              </w:rPr>
              <w:t>③半固态危险废物应装入容器或包装袋内贮存，或直接采用贮存池贮存</w:t>
            </w:r>
            <w:r>
              <w:rPr>
                <w:rFonts w:hint="eastAsia"/>
                <w:color w:val="auto"/>
                <w:szCs w:val="21"/>
                <w:lang w:eastAsia="zh-CN"/>
              </w:rPr>
              <w:t>。</w:t>
            </w:r>
          </w:p>
          <w:p w14:paraId="4E0AE455">
            <w:pPr>
              <w:adjustRightInd w:val="0"/>
              <w:snapToGrid w:val="0"/>
              <w:spacing w:line="360" w:lineRule="auto"/>
              <w:ind w:firstLine="420" w:firstLineChars="200"/>
              <w:rPr>
                <w:rFonts w:hint="eastAsia" w:eastAsia="宋体"/>
                <w:color w:val="auto"/>
                <w:szCs w:val="21"/>
                <w:lang w:eastAsia="zh-CN"/>
              </w:rPr>
            </w:pPr>
            <w:r>
              <w:rPr>
                <w:color w:val="auto"/>
                <w:szCs w:val="21"/>
              </w:rPr>
              <w:t>④具有热塑性的危险废物应装入容器或包装袋内进行贮存</w:t>
            </w:r>
            <w:r>
              <w:rPr>
                <w:rFonts w:hint="eastAsia"/>
                <w:color w:val="auto"/>
                <w:szCs w:val="21"/>
                <w:lang w:eastAsia="zh-CN"/>
              </w:rPr>
              <w:t>。</w:t>
            </w:r>
          </w:p>
          <w:p w14:paraId="60F366FA">
            <w:pPr>
              <w:adjustRightInd w:val="0"/>
              <w:snapToGrid w:val="0"/>
              <w:spacing w:line="360" w:lineRule="auto"/>
              <w:ind w:firstLine="420" w:firstLineChars="200"/>
              <w:rPr>
                <w:rFonts w:hint="eastAsia"/>
                <w:color w:val="auto"/>
                <w:szCs w:val="21"/>
              </w:rPr>
            </w:pPr>
            <w:r>
              <w:rPr>
                <w:rFonts w:hint="eastAsia"/>
                <w:color w:val="auto"/>
                <w:szCs w:val="21"/>
              </w:rPr>
              <w:t>⑤危险废物贮存过程中易产生粉尘等无组织排放的，应采取抑尘等有效措施。</w:t>
            </w:r>
          </w:p>
          <w:p w14:paraId="6F668603">
            <w:pPr>
              <w:adjustRightInd w:val="0"/>
              <w:snapToGrid w:val="0"/>
              <w:spacing w:line="360" w:lineRule="auto"/>
              <w:ind w:firstLine="420" w:firstLineChars="200"/>
              <w:rPr>
                <w:color w:val="auto"/>
                <w:szCs w:val="21"/>
              </w:rPr>
            </w:pPr>
            <w:r>
              <w:rPr>
                <w:color w:val="auto"/>
                <w:szCs w:val="21"/>
              </w:rPr>
              <w:t>4）危险废物贮存容器要求</w:t>
            </w:r>
          </w:p>
          <w:p w14:paraId="37061B15">
            <w:pPr>
              <w:adjustRightInd w:val="0"/>
              <w:snapToGrid w:val="0"/>
              <w:spacing w:line="360" w:lineRule="auto"/>
              <w:ind w:firstLine="420" w:firstLineChars="200"/>
              <w:rPr>
                <w:color w:val="auto"/>
                <w:szCs w:val="21"/>
              </w:rPr>
            </w:pPr>
            <w:r>
              <w:rPr>
                <w:color w:val="auto"/>
                <w:szCs w:val="21"/>
              </w:rPr>
              <w:t>根据《危险废物贮存污染控制标准》（GB18597-2023），危险废物贮存容器要求如下：</w:t>
            </w:r>
          </w:p>
          <w:p w14:paraId="23A01331">
            <w:pPr>
              <w:adjustRightInd w:val="0"/>
              <w:snapToGrid w:val="0"/>
              <w:spacing w:line="360" w:lineRule="auto"/>
              <w:ind w:firstLine="420" w:firstLineChars="200"/>
              <w:rPr>
                <w:rFonts w:hint="eastAsia" w:eastAsia="宋体"/>
                <w:color w:val="auto"/>
                <w:szCs w:val="21"/>
                <w:lang w:eastAsia="zh-CN"/>
              </w:rPr>
            </w:pPr>
            <w:r>
              <w:rPr>
                <w:color w:val="auto"/>
                <w:szCs w:val="21"/>
              </w:rPr>
              <w:t>①容器和包装物材质、内衬应与盛装的危险废物相容</w:t>
            </w:r>
            <w:r>
              <w:rPr>
                <w:rFonts w:hint="eastAsia"/>
                <w:color w:val="auto"/>
                <w:szCs w:val="21"/>
                <w:lang w:eastAsia="zh-CN"/>
              </w:rPr>
              <w:t>。</w:t>
            </w:r>
          </w:p>
          <w:p w14:paraId="0076BFA7">
            <w:pPr>
              <w:adjustRightInd w:val="0"/>
              <w:snapToGrid w:val="0"/>
              <w:spacing w:line="360" w:lineRule="auto"/>
              <w:ind w:firstLine="420" w:firstLineChars="200"/>
              <w:rPr>
                <w:rFonts w:hint="eastAsia" w:eastAsia="宋体"/>
                <w:color w:val="auto"/>
                <w:szCs w:val="21"/>
                <w:lang w:eastAsia="zh-CN"/>
              </w:rPr>
            </w:pPr>
            <w:r>
              <w:rPr>
                <w:color w:val="auto"/>
                <w:szCs w:val="21"/>
              </w:rPr>
              <w:t>②针对不同类别、形态、物理化学性质的危险废物，其容器和包装物应满足相应的防渗、防漏、防腐和强度等要求</w:t>
            </w:r>
            <w:r>
              <w:rPr>
                <w:rFonts w:hint="eastAsia"/>
                <w:color w:val="auto"/>
                <w:szCs w:val="21"/>
                <w:lang w:eastAsia="zh-CN"/>
              </w:rPr>
              <w:t>。</w:t>
            </w:r>
          </w:p>
          <w:p w14:paraId="075B7460">
            <w:pPr>
              <w:adjustRightInd w:val="0"/>
              <w:snapToGrid w:val="0"/>
              <w:spacing w:line="360" w:lineRule="auto"/>
              <w:ind w:firstLine="420" w:firstLineChars="200"/>
              <w:rPr>
                <w:rFonts w:hint="eastAsia" w:eastAsia="宋体"/>
                <w:color w:val="auto"/>
                <w:szCs w:val="21"/>
                <w:lang w:eastAsia="zh-CN"/>
              </w:rPr>
            </w:pPr>
            <w:r>
              <w:rPr>
                <w:color w:val="auto"/>
                <w:szCs w:val="21"/>
              </w:rPr>
              <w:t>③硬质容器和包装物及其支护结构堆叠码放时不应有明显变形，无破损泄漏</w:t>
            </w:r>
            <w:r>
              <w:rPr>
                <w:rFonts w:hint="eastAsia"/>
                <w:color w:val="auto"/>
                <w:szCs w:val="21"/>
                <w:lang w:eastAsia="zh-CN"/>
              </w:rPr>
              <w:t>。</w:t>
            </w:r>
          </w:p>
          <w:p w14:paraId="1D3316D8">
            <w:pPr>
              <w:adjustRightInd w:val="0"/>
              <w:snapToGrid w:val="0"/>
              <w:spacing w:line="360" w:lineRule="auto"/>
              <w:ind w:firstLine="420" w:firstLineChars="200"/>
              <w:rPr>
                <w:rFonts w:hint="eastAsia" w:eastAsia="宋体"/>
                <w:color w:val="auto"/>
                <w:szCs w:val="21"/>
                <w:lang w:eastAsia="zh-CN"/>
              </w:rPr>
            </w:pPr>
            <w:r>
              <w:rPr>
                <w:color w:val="auto"/>
                <w:szCs w:val="21"/>
              </w:rPr>
              <w:t>④柔性容器和包装物堆叠码放时应封口严密，无破损泄漏</w:t>
            </w:r>
            <w:r>
              <w:rPr>
                <w:rFonts w:hint="eastAsia"/>
                <w:color w:val="auto"/>
                <w:szCs w:val="21"/>
                <w:lang w:eastAsia="zh-CN"/>
              </w:rPr>
              <w:t>。</w:t>
            </w:r>
          </w:p>
          <w:p w14:paraId="1632A6B1">
            <w:pPr>
              <w:adjustRightInd w:val="0"/>
              <w:snapToGrid w:val="0"/>
              <w:spacing w:line="360" w:lineRule="auto"/>
              <w:ind w:firstLine="420" w:firstLineChars="200"/>
              <w:rPr>
                <w:rFonts w:hint="eastAsia" w:eastAsia="宋体"/>
                <w:color w:val="auto"/>
                <w:szCs w:val="21"/>
                <w:lang w:eastAsia="zh-CN"/>
              </w:rPr>
            </w:pPr>
            <w:r>
              <w:rPr>
                <w:color w:val="auto"/>
                <w:szCs w:val="21"/>
              </w:rPr>
              <w:t>⑤使用容器盛装液态、半固态危险废物时，容器内部应留有适当的空间，以适应因温度变化等可能引发的收缩和膨胀，防止其导致容器渗漏或永久变形</w:t>
            </w:r>
            <w:r>
              <w:rPr>
                <w:rFonts w:hint="eastAsia"/>
                <w:color w:val="auto"/>
                <w:szCs w:val="21"/>
                <w:lang w:eastAsia="zh-CN"/>
              </w:rPr>
              <w:t>。</w:t>
            </w:r>
          </w:p>
          <w:p w14:paraId="7815F9A8">
            <w:pPr>
              <w:spacing w:line="360" w:lineRule="auto"/>
              <w:ind w:firstLine="420" w:firstLineChars="200"/>
              <w:rPr>
                <w:rFonts w:hint="eastAsia"/>
                <w:color w:val="auto"/>
                <w:szCs w:val="21"/>
              </w:rPr>
            </w:pPr>
            <w:r>
              <w:rPr>
                <w:rFonts w:hint="eastAsia"/>
                <w:color w:val="auto"/>
                <w:szCs w:val="21"/>
              </w:rPr>
              <w:t>⑥容器和包装物外表面应保持清洁。</w:t>
            </w:r>
          </w:p>
          <w:p w14:paraId="1B054F0F">
            <w:pPr>
              <w:spacing w:line="360" w:lineRule="auto"/>
              <w:ind w:firstLine="420" w:firstLineChars="200"/>
              <w:rPr>
                <w:color w:val="auto"/>
                <w:szCs w:val="21"/>
              </w:rPr>
            </w:pPr>
            <w:r>
              <w:rPr>
                <w:color w:val="auto"/>
                <w:szCs w:val="21"/>
              </w:rPr>
              <w:t>5）运输过程的污染防治措施</w:t>
            </w:r>
          </w:p>
          <w:p w14:paraId="4C9D4298">
            <w:pPr>
              <w:spacing w:line="360" w:lineRule="auto"/>
              <w:ind w:firstLine="420" w:firstLineChars="200"/>
              <w:rPr>
                <w:color w:val="auto"/>
                <w:szCs w:val="21"/>
              </w:rPr>
            </w:pPr>
            <w:r>
              <w:rPr>
                <w:color w:val="auto"/>
                <w:szCs w:val="21"/>
              </w:rPr>
              <w:t>危险废物运输必须按照《危险废物收集贮存运输技术规范》（HJ2025-2012）的要求并做到以下几点：</w:t>
            </w:r>
          </w:p>
          <w:p w14:paraId="4445FC49">
            <w:pPr>
              <w:spacing w:line="360" w:lineRule="auto"/>
              <w:ind w:firstLine="420" w:firstLineChars="200"/>
              <w:rPr>
                <w:color w:val="auto"/>
                <w:szCs w:val="21"/>
              </w:rPr>
            </w:pPr>
            <w:r>
              <w:rPr>
                <w:color w:val="auto"/>
                <w:szCs w:val="21"/>
              </w:rPr>
              <w:t>①危险废物运输应由持有危险废物经营许可证的单位按照其许可证的经营范围组织实施，承担危险废物运输的单位应获得交通运输部门颁发的危险货物运输资质。</w:t>
            </w:r>
          </w:p>
          <w:p w14:paraId="69D30B8E">
            <w:pPr>
              <w:spacing w:line="360" w:lineRule="auto"/>
              <w:ind w:firstLine="420" w:firstLineChars="200"/>
              <w:rPr>
                <w:color w:val="auto"/>
                <w:szCs w:val="21"/>
              </w:rPr>
            </w:pPr>
            <w:r>
              <w:rPr>
                <w:color w:val="auto"/>
                <w:szCs w:val="21"/>
              </w:rPr>
              <w:t>②危险废物公路运输应按照《道路危险货物运输管理规定》（交通部令[2015年]第9号）、JT617以及JT618执行。</w:t>
            </w:r>
          </w:p>
          <w:p w14:paraId="0396F82D">
            <w:pPr>
              <w:spacing w:line="360" w:lineRule="auto"/>
              <w:ind w:firstLine="420" w:firstLineChars="200"/>
              <w:rPr>
                <w:color w:val="auto"/>
                <w:szCs w:val="21"/>
              </w:rPr>
            </w:pPr>
            <w:r>
              <w:rPr>
                <w:color w:val="auto"/>
                <w:szCs w:val="21"/>
              </w:rPr>
              <w:t>③运输单位在承运危险废物时，应在危险废物包装上按照GB18597附录A设置标志。</w:t>
            </w:r>
          </w:p>
          <w:p w14:paraId="35F13994">
            <w:pPr>
              <w:spacing w:line="360" w:lineRule="auto"/>
              <w:ind w:firstLine="420" w:firstLineChars="200"/>
              <w:rPr>
                <w:color w:val="auto"/>
                <w:szCs w:val="21"/>
              </w:rPr>
            </w:pPr>
            <w:r>
              <w:rPr>
                <w:color w:val="auto"/>
                <w:szCs w:val="21"/>
              </w:rPr>
              <w:t>④危险废物公路运输时，运输车辆按GB13392设置车辆标志。铁路运输和水路运输危险废物时应在集装箱外按GB190规定悬挂标志。</w:t>
            </w:r>
          </w:p>
          <w:p w14:paraId="46632A18">
            <w:pPr>
              <w:spacing w:line="360" w:lineRule="auto"/>
              <w:ind w:firstLine="420" w:firstLineChars="200"/>
              <w:rPr>
                <w:color w:val="auto"/>
                <w:szCs w:val="21"/>
              </w:rPr>
            </w:pPr>
            <w:r>
              <w:rPr>
                <w:color w:val="auto"/>
                <w:szCs w:val="21"/>
              </w:rPr>
              <w:t>⑤危险废物运输时的中转、装卸过程应遵守如下技术要求：</w:t>
            </w:r>
          </w:p>
          <w:p w14:paraId="134B415F">
            <w:pPr>
              <w:spacing w:line="360" w:lineRule="auto"/>
              <w:ind w:firstLine="420" w:firstLineChars="200"/>
              <w:rPr>
                <w:color w:val="auto"/>
                <w:szCs w:val="21"/>
              </w:rPr>
            </w:pPr>
            <w:r>
              <w:rPr>
                <w:color w:val="auto"/>
                <w:szCs w:val="21"/>
              </w:rPr>
              <w:t>装卸区的工作人员应熟悉废物的危险特性，并配备适当的个人防护装备；装卸区应配备必要的消防设备和设施，并设置明显的指示标志；危险废物装卸区应设置隔离设施，液态废物装卸区应设置收集槽和缓冲罐。</w:t>
            </w:r>
          </w:p>
          <w:p w14:paraId="077A26B8">
            <w:pPr>
              <w:spacing w:line="360" w:lineRule="auto"/>
              <w:ind w:firstLine="422" w:firstLineChars="200"/>
              <w:rPr>
                <w:b/>
                <w:color w:val="auto"/>
                <w:szCs w:val="21"/>
              </w:rPr>
            </w:pPr>
            <w:r>
              <w:rPr>
                <w:b/>
                <w:color w:val="auto"/>
                <w:szCs w:val="21"/>
              </w:rPr>
              <w:t>（2）一般固废</w:t>
            </w:r>
          </w:p>
          <w:p w14:paraId="38ED2CC7">
            <w:pPr>
              <w:adjustRightInd w:val="0"/>
              <w:snapToGrid w:val="0"/>
              <w:spacing w:line="360" w:lineRule="auto"/>
              <w:ind w:firstLine="420" w:firstLineChars="200"/>
              <w:rPr>
                <w:color w:val="auto"/>
                <w:szCs w:val="21"/>
              </w:rPr>
            </w:pPr>
            <w:r>
              <w:rPr>
                <w:color w:val="auto"/>
                <w:szCs w:val="21"/>
              </w:rPr>
              <w:t>本项目一般固废为</w:t>
            </w:r>
            <w:r>
              <w:rPr>
                <w:rFonts w:hint="eastAsia"/>
                <w:color w:val="auto"/>
                <w:szCs w:val="21"/>
                <w:lang w:val="en-US" w:eastAsia="zh-CN"/>
              </w:rPr>
              <w:t>废边角料</w:t>
            </w:r>
            <w:r>
              <w:rPr>
                <w:color w:val="auto"/>
                <w:szCs w:val="21"/>
              </w:rPr>
              <w:t>等，均外售综合利用</w:t>
            </w:r>
            <w:r>
              <w:rPr>
                <w:bCs/>
                <w:color w:val="auto"/>
                <w:szCs w:val="21"/>
              </w:rPr>
              <w:t>。本项目</w:t>
            </w:r>
            <w:r>
              <w:rPr>
                <w:rFonts w:hint="eastAsia"/>
                <w:bCs/>
                <w:color w:val="auto"/>
                <w:szCs w:val="21"/>
                <w:lang w:val="en-US" w:eastAsia="zh-CN"/>
              </w:rPr>
              <w:t>新建</w:t>
            </w:r>
            <w:r>
              <w:rPr>
                <w:bCs/>
                <w:color w:val="auto"/>
                <w:szCs w:val="21"/>
              </w:rPr>
              <w:t>一般固废仓库</w:t>
            </w:r>
            <w:r>
              <w:rPr>
                <w:rFonts w:hint="eastAsia"/>
                <w:bCs/>
                <w:color w:val="auto"/>
                <w:szCs w:val="21"/>
                <w:lang w:val="en-US" w:eastAsia="zh-CN"/>
              </w:rPr>
              <w:t>5</w:t>
            </w:r>
            <w:r>
              <w:rPr>
                <w:bCs/>
                <w:color w:val="auto"/>
                <w:szCs w:val="21"/>
              </w:rPr>
              <w:t>m</w:t>
            </w:r>
            <w:r>
              <w:rPr>
                <w:bCs/>
                <w:color w:val="auto"/>
                <w:szCs w:val="21"/>
                <w:vertAlign w:val="superscript"/>
              </w:rPr>
              <w:t>2</w:t>
            </w:r>
            <w:r>
              <w:rPr>
                <w:bCs/>
                <w:color w:val="auto"/>
                <w:szCs w:val="21"/>
              </w:rPr>
              <w:t>，</w:t>
            </w:r>
            <w:r>
              <w:rPr>
                <w:rFonts w:hint="eastAsia"/>
                <w:bCs/>
                <w:color w:val="auto"/>
                <w:szCs w:val="21"/>
              </w:rPr>
              <w:t>已</w:t>
            </w:r>
            <w:r>
              <w:rPr>
                <w:bCs/>
                <w:color w:val="auto"/>
                <w:szCs w:val="21"/>
              </w:rPr>
              <w:t>按照</w:t>
            </w:r>
            <w:r>
              <w:rPr>
                <w:color w:val="auto"/>
                <w:szCs w:val="21"/>
              </w:rPr>
              <w:t>《一般工业固体废物贮存和填埋污染控制标准》（GB18599-2020）</w:t>
            </w:r>
            <w:r>
              <w:rPr>
                <w:rFonts w:hint="eastAsia"/>
                <w:color w:val="auto"/>
                <w:szCs w:val="21"/>
                <w:lang w:eastAsia="zh-CN"/>
              </w:rPr>
              <w:t>、《</w:t>
            </w:r>
            <w:r>
              <w:rPr>
                <w:rFonts w:hint="eastAsia"/>
                <w:color w:val="auto"/>
                <w:szCs w:val="21"/>
                <w:lang w:val="en-US" w:eastAsia="zh-CN"/>
              </w:rPr>
              <w:t>关于印发&lt;一般工业固体废物环境管理工作指南&gt;的通知</w:t>
            </w:r>
            <w:r>
              <w:rPr>
                <w:rFonts w:hint="eastAsia"/>
                <w:color w:val="auto"/>
                <w:szCs w:val="21"/>
                <w:lang w:eastAsia="zh-CN"/>
              </w:rPr>
              <w:t>》</w:t>
            </w:r>
            <w:r>
              <w:rPr>
                <w:bCs/>
                <w:color w:val="auto"/>
                <w:szCs w:val="21"/>
              </w:rPr>
              <w:t>要求建设，</w:t>
            </w:r>
            <w:r>
              <w:rPr>
                <w:color w:val="auto"/>
                <w:szCs w:val="21"/>
              </w:rPr>
              <w:t>运行管理要求如下：</w:t>
            </w:r>
          </w:p>
          <w:p w14:paraId="0D7C6FC6">
            <w:pPr>
              <w:adjustRightInd w:val="0"/>
              <w:snapToGrid w:val="0"/>
              <w:spacing w:line="360" w:lineRule="auto"/>
              <w:ind w:firstLine="420" w:firstLineChars="200"/>
              <w:rPr>
                <w:rFonts w:hint="eastAsia" w:eastAsia="宋体"/>
                <w:color w:val="auto"/>
                <w:szCs w:val="21"/>
                <w:lang w:eastAsia="zh-CN"/>
              </w:rPr>
            </w:pPr>
            <w:r>
              <w:rPr>
                <w:color w:val="auto"/>
                <w:szCs w:val="21"/>
              </w:rPr>
              <w:t>①贮存、处置场的建设类型，必须与将要堆放的一般工业固体废物的类别相一致</w:t>
            </w:r>
            <w:r>
              <w:rPr>
                <w:rFonts w:hint="eastAsia"/>
                <w:color w:val="auto"/>
                <w:szCs w:val="21"/>
                <w:lang w:eastAsia="zh-CN"/>
              </w:rPr>
              <w:t>。</w:t>
            </w:r>
          </w:p>
          <w:p w14:paraId="65832586">
            <w:pPr>
              <w:adjustRightInd w:val="0"/>
              <w:snapToGrid w:val="0"/>
              <w:spacing w:line="360" w:lineRule="auto"/>
              <w:ind w:firstLine="420" w:firstLineChars="200"/>
              <w:rPr>
                <w:rFonts w:hint="eastAsia" w:eastAsia="宋体"/>
                <w:color w:val="auto"/>
                <w:szCs w:val="21"/>
                <w:lang w:eastAsia="zh-CN"/>
              </w:rPr>
            </w:pPr>
            <w:r>
              <w:rPr>
                <w:color w:val="auto"/>
                <w:szCs w:val="21"/>
              </w:rPr>
              <w:t>②贮存、处置场应采取防止粉尘污染的措施</w:t>
            </w:r>
            <w:r>
              <w:rPr>
                <w:rFonts w:hint="eastAsia"/>
                <w:color w:val="auto"/>
                <w:szCs w:val="21"/>
                <w:lang w:eastAsia="zh-CN"/>
              </w:rPr>
              <w:t>。</w:t>
            </w:r>
          </w:p>
          <w:p w14:paraId="0BD9CD9C">
            <w:pPr>
              <w:adjustRightInd w:val="0"/>
              <w:snapToGrid w:val="0"/>
              <w:spacing w:line="360" w:lineRule="auto"/>
              <w:ind w:firstLine="420" w:firstLineChars="200"/>
              <w:rPr>
                <w:rFonts w:hint="eastAsia" w:eastAsia="宋体"/>
                <w:color w:val="auto"/>
                <w:szCs w:val="21"/>
                <w:lang w:eastAsia="zh-CN"/>
              </w:rPr>
            </w:pPr>
            <w:r>
              <w:rPr>
                <w:color w:val="auto"/>
                <w:szCs w:val="21"/>
              </w:rPr>
              <w:t>③为加强监督管理，贮存、处置场应按GB15562.2设置环境保护图形标志</w:t>
            </w:r>
            <w:r>
              <w:rPr>
                <w:rFonts w:hint="eastAsia"/>
                <w:color w:val="auto"/>
                <w:szCs w:val="21"/>
                <w:lang w:eastAsia="zh-CN"/>
              </w:rPr>
              <w:t>。</w:t>
            </w:r>
          </w:p>
          <w:p w14:paraId="17584D34">
            <w:pPr>
              <w:adjustRightInd w:val="0"/>
              <w:snapToGrid w:val="0"/>
              <w:spacing w:line="360" w:lineRule="auto"/>
              <w:ind w:firstLine="420" w:firstLineChars="200"/>
              <w:rPr>
                <w:rFonts w:hint="eastAsia" w:eastAsia="宋体"/>
                <w:color w:val="auto"/>
                <w:szCs w:val="21"/>
                <w:lang w:eastAsia="zh-CN"/>
              </w:rPr>
            </w:pPr>
            <w:r>
              <w:rPr>
                <w:color w:val="auto"/>
                <w:szCs w:val="21"/>
              </w:rPr>
              <w:t>④一般工业固体废物贮存、处置场禁止危险废物和生活垃圾混入</w:t>
            </w:r>
            <w:r>
              <w:rPr>
                <w:rFonts w:hint="eastAsia"/>
                <w:color w:val="auto"/>
                <w:szCs w:val="21"/>
                <w:lang w:eastAsia="zh-CN"/>
              </w:rPr>
              <w:t>。</w:t>
            </w:r>
          </w:p>
          <w:p w14:paraId="112066CA">
            <w:pPr>
              <w:adjustRightInd w:val="0"/>
              <w:snapToGrid w:val="0"/>
              <w:spacing w:line="360" w:lineRule="auto"/>
              <w:ind w:firstLine="420" w:firstLineChars="200"/>
              <w:rPr>
                <w:color w:val="auto"/>
                <w:szCs w:val="21"/>
              </w:rPr>
            </w:pPr>
            <w:r>
              <w:rPr>
                <w:color w:val="auto"/>
                <w:szCs w:val="21"/>
              </w:rPr>
              <w:t>⑤贮存、处置场的使用单位，应建立档案制度。应将入场的一般工业固体废物的种类和数量等资料详细记录在案，长期保存，供随时查阅。</w:t>
            </w:r>
          </w:p>
          <w:p w14:paraId="7D652647">
            <w:pPr>
              <w:adjustRightInd w:val="0"/>
              <w:snapToGrid w:val="0"/>
              <w:spacing w:line="360" w:lineRule="auto"/>
              <w:ind w:firstLine="420" w:firstLineChars="200"/>
              <w:rPr>
                <w:color w:val="auto"/>
                <w:kern w:val="0"/>
                <w:szCs w:val="21"/>
              </w:rPr>
            </w:pPr>
            <w:r>
              <w:rPr>
                <w:color w:val="auto"/>
                <w:kern w:val="0"/>
                <w:szCs w:val="21"/>
              </w:rPr>
              <w:t>（3）生活垃圾</w:t>
            </w:r>
          </w:p>
          <w:p w14:paraId="66FD6CA4">
            <w:pPr>
              <w:adjustRightInd w:val="0"/>
              <w:snapToGrid w:val="0"/>
              <w:spacing w:line="360" w:lineRule="auto"/>
              <w:ind w:firstLine="420" w:firstLineChars="200"/>
              <w:rPr>
                <w:color w:val="auto"/>
                <w:szCs w:val="21"/>
              </w:rPr>
            </w:pPr>
            <w:r>
              <w:rPr>
                <w:color w:val="auto"/>
                <w:szCs w:val="21"/>
              </w:rPr>
              <w:t>本项目职工生活垃圾</w:t>
            </w:r>
            <w:r>
              <w:rPr>
                <w:rFonts w:hint="eastAsia"/>
                <w:color w:val="auto"/>
                <w:szCs w:val="21"/>
                <w:lang w:val="en-US" w:eastAsia="zh-CN"/>
              </w:rPr>
              <w:t>0.9</w:t>
            </w:r>
            <w:r>
              <w:rPr>
                <w:color w:val="auto"/>
                <w:szCs w:val="21"/>
              </w:rPr>
              <w:t>t/a由环卫部门负责定期清运，可得到有效处置。</w:t>
            </w:r>
          </w:p>
          <w:p w14:paraId="5E250CDB">
            <w:pPr>
              <w:spacing w:line="360" w:lineRule="auto"/>
              <w:ind w:firstLine="420" w:firstLineChars="200"/>
              <w:rPr>
                <w:color w:val="auto"/>
                <w:szCs w:val="21"/>
              </w:rPr>
            </w:pPr>
            <w:r>
              <w:rPr>
                <w:color w:val="auto"/>
                <w:szCs w:val="21"/>
              </w:rPr>
              <w:t>综上所述，本项目固废均可得到有效处置，固废污染防治措施可行，对周围环境影响较小。</w:t>
            </w:r>
          </w:p>
          <w:p w14:paraId="7B48DC58">
            <w:pPr>
              <w:pStyle w:val="16"/>
              <w:spacing w:before="0" w:line="360" w:lineRule="auto"/>
              <w:ind w:firstLine="414" w:firstLineChars="200"/>
              <w:rPr>
                <w:rFonts w:ascii="Times New Roman" w:hAnsi="Times New Roman"/>
                <w:b/>
                <w:color w:val="auto"/>
                <w:szCs w:val="21"/>
              </w:rPr>
            </w:pPr>
            <w:r>
              <w:rPr>
                <w:rFonts w:ascii="Times New Roman" w:hAnsi="Times New Roman"/>
                <w:b/>
                <w:color w:val="auto"/>
                <w:szCs w:val="21"/>
              </w:rPr>
              <w:t>五、地下水及土壤污染防治措施</w:t>
            </w:r>
          </w:p>
          <w:p w14:paraId="0127363C">
            <w:pPr>
              <w:spacing w:line="360" w:lineRule="auto"/>
              <w:ind w:firstLine="422" w:firstLineChars="200"/>
              <w:rPr>
                <w:color w:val="auto"/>
                <w:szCs w:val="21"/>
              </w:rPr>
            </w:pPr>
            <w:r>
              <w:rPr>
                <w:b/>
                <w:bCs/>
                <w:color w:val="auto"/>
                <w:szCs w:val="21"/>
              </w:rPr>
              <w:t>1、影响途径</w:t>
            </w:r>
          </w:p>
          <w:p w14:paraId="2FD83E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本项目可能造成地下水和土壤污染影响的区域有：</w:t>
            </w:r>
            <w:r>
              <w:rPr>
                <w:rFonts w:hint="eastAsia" w:cs="Times New Roman"/>
                <w:color w:val="auto"/>
                <w:sz w:val="21"/>
                <w:szCs w:val="21"/>
                <w:lang w:val="en-US" w:eastAsia="zh-CN"/>
              </w:rPr>
              <w:t>原料仓库</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危废仓库</w:t>
            </w:r>
            <w:r>
              <w:rPr>
                <w:rFonts w:hint="default" w:ascii="Times New Roman" w:hAnsi="Times New Roman" w:eastAsia="宋体" w:cs="Times New Roman"/>
                <w:color w:val="auto"/>
                <w:sz w:val="21"/>
                <w:szCs w:val="21"/>
              </w:rPr>
              <w:t>。可能的污染途径为：</w:t>
            </w:r>
            <w:r>
              <w:rPr>
                <w:rFonts w:hint="eastAsia" w:ascii="Times New Roman" w:hAnsi="Times New Roman" w:cs="Times New Roman"/>
                <w:color w:val="auto"/>
                <w:sz w:val="21"/>
                <w:szCs w:val="21"/>
                <w:lang w:val="en-US" w:eastAsia="zh-CN"/>
              </w:rPr>
              <w:t>化学品、</w:t>
            </w:r>
            <w:r>
              <w:rPr>
                <w:rFonts w:hint="default" w:ascii="Times New Roman" w:hAnsi="Times New Roman" w:eastAsia="宋体" w:cs="Times New Roman"/>
                <w:color w:val="auto"/>
                <w:sz w:val="21"/>
                <w:szCs w:val="21"/>
              </w:rPr>
              <w:t>危险废物在装卸、贮存、使用、输送过程中发生倾覆或者包装容器破损，由此导致危险物质发生泄漏，泄漏后渗入到泄漏区附近的土壤和地下水中，从而发生污染事故。</w:t>
            </w:r>
            <w:r>
              <w:rPr>
                <w:rFonts w:hint="default" w:ascii="Times New Roman" w:hAnsi="Times New Roman" w:eastAsia="宋体" w:cs="Times New Roman"/>
                <w:bCs/>
                <w:color w:val="auto"/>
                <w:sz w:val="21"/>
                <w:szCs w:val="21"/>
              </w:rPr>
              <w:t>若不加强本项目生产车间、原料库、危废仓库等区域的防渗处理和及时处置，存在污染土壤、地下水的可能</w:t>
            </w:r>
            <w:r>
              <w:rPr>
                <w:rFonts w:hint="eastAsia" w:ascii="Times New Roman" w:hAnsi="Times New Roman" w:eastAsia="宋体" w:cs="Times New Roman"/>
                <w:bCs/>
                <w:color w:val="auto"/>
                <w:sz w:val="21"/>
                <w:szCs w:val="21"/>
                <w:lang w:eastAsia="zh-CN"/>
              </w:rPr>
              <w:t>。</w:t>
            </w:r>
          </w:p>
          <w:p w14:paraId="63A90A6E">
            <w:pPr>
              <w:adjustRightInd w:val="0"/>
              <w:snapToGrid w:val="0"/>
              <w:spacing w:line="360" w:lineRule="auto"/>
              <w:ind w:firstLine="422" w:firstLineChars="200"/>
              <w:jc w:val="left"/>
              <w:rPr>
                <w:bCs/>
                <w:color w:val="auto"/>
                <w:szCs w:val="21"/>
              </w:rPr>
            </w:pPr>
            <w:r>
              <w:rPr>
                <w:b/>
                <w:color w:val="auto"/>
                <w:szCs w:val="21"/>
              </w:rPr>
              <w:t>2、防渗原则</w:t>
            </w:r>
          </w:p>
          <w:p w14:paraId="3443CDCA">
            <w:pPr>
              <w:adjustRightInd w:val="0"/>
              <w:snapToGrid w:val="0"/>
              <w:spacing w:line="360" w:lineRule="auto"/>
              <w:ind w:firstLine="420" w:firstLineChars="200"/>
              <w:jc w:val="left"/>
              <w:rPr>
                <w:bCs/>
                <w:color w:val="auto"/>
                <w:szCs w:val="21"/>
              </w:rPr>
            </w:pPr>
            <w:r>
              <w:rPr>
                <w:bCs/>
                <w:color w:val="auto"/>
                <w:szCs w:val="21"/>
              </w:rPr>
              <w:t>针对本项目可能发生的土壤和地下水污染，土壤及地下水污染防治措施按照“源头控制、末端防治、分区管理和控制”相结合的原则，</w:t>
            </w:r>
            <w:r>
              <w:rPr>
                <w:rFonts w:hint="eastAsia"/>
                <w:color w:val="auto"/>
                <w:szCs w:val="21"/>
              </w:rPr>
              <w:t>建设单位</w:t>
            </w:r>
            <w:r>
              <w:rPr>
                <w:bCs/>
                <w:color w:val="auto"/>
                <w:szCs w:val="21"/>
              </w:rPr>
              <w:t>危废仓库等处均需要进行防腐、防渗设计。为减少对土壤及地下水的影响，本项目应从污染物的产生、入渗、扩散、应急响应全阶段进行控制。</w:t>
            </w:r>
          </w:p>
          <w:p w14:paraId="0A9C6D21">
            <w:pPr>
              <w:adjustRightInd w:val="0"/>
              <w:snapToGrid w:val="0"/>
              <w:spacing w:line="360" w:lineRule="auto"/>
              <w:ind w:firstLine="420" w:firstLineChars="200"/>
              <w:jc w:val="left"/>
              <w:rPr>
                <w:bCs/>
                <w:color w:val="auto"/>
                <w:szCs w:val="21"/>
              </w:rPr>
            </w:pPr>
            <w:r>
              <w:rPr>
                <w:bCs/>
                <w:color w:val="auto"/>
                <w:szCs w:val="21"/>
              </w:rPr>
              <w:t>（1）源头控制原则</w:t>
            </w:r>
          </w:p>
          <w:p w14:paraId="3FD313C0">
            <w:pPr>
              <w:adjustRightInd w:val="0"/>
              <w:snapToGrid w:val="0"/>
              <w:spacing w:line="360" w:lineRule="auto"/>
              <w:ind w:firstLine="420" w:firstLineChars="200"/>
              <w:jc w:val="left"/>
              <w:rPr>
                <w:bCs/>
                <w:color w:val="auto"/>
                <w:szCs w:val="21"/>
              </w:rPr>
            </w:pPr>
            <w:r>
              <w:rPr>
                <w:bCs/>
                <w:color w:val="auto"/>
                <w:szCs w:val="21"/>
              </w:rPr>
              <w:t>源头控制主要包括在工艺、管理、设备、污水储存及处理构筑物采取相应措施，防止和降低污染物跑、冒、滴、漏，将污染物泄漏的环境风险事故降到最低程度。</w:t>
            </w:r>
          </w:p>
          <w:p w14:paraId="795F187D">
            <w:pPr>
              <w:adjustRightInd w:val="0"/>
              <w:snapToGrid w:val="0"/>
              <w:spacing w:line="360" w:lineRule="auto"/>
              <w:ind w:firstLine="420" w:firstLineChars="200"/>
              <w:jc w:val="left"/>
              <w:rPr>
                <w:bCs/>
                <w:color w:val="auto"/>
                <w:szCs w:val="21"/>
              </w:rPr>
            </w:pPr>
            <w:r>
              <w:rPr>
                <w:bCs/>
                <w:color w:val="auto"/>
                <w:szCs w:val="21"/>
              </w:rPr>
              <w:t>（2）末端控制措施原则</w:t>
            </w:r>
          </w:p>
          <w:p w14:paraId="40F7F1DF">
            <w:pPr>
              <w:adjustRightInd w:val="0"/>
              <w:snapToGrid w:val="0"/>
              <w:spacing w:line="360" w:lineRule="auto"/>
              <w:ind w:firstLine="420" w:firstLineChars="200"/>
              <w:jc w:val="left"/>
              <w:rPr>
                <w:bCs/>
                <w:color w:val="auto"/>
                <w:szCs w:val="21"/>
              </w:rPr>
            </w:pPr>
            <w:r>
              <w:rPr>
                <w:bCs/>
                <w:color w:val="auto"/>
                <w:szCs w:val="21"/>
              </w:rPr>
              <w:t>末端控制措施主要包括厂内污染区地面的防渗措施和泄漏、渗漏污染物收集措施，即在污染区地面进行防渗处理，防止洒落地面的污染物渗入地下。</w:t>
            </w:r>
          </w:p>
          <w:p w14:paraId="682942BE">
            <w:pPr>
              <w:adjustRightInd w:val="0"/>
              <w:snapToGrid w:val="0"/>
              <w:spacing w:line="360" w:lineRule="auto"/>
              <w:ind w:firstLine="420" w:firstLineChars="200"/>
              <w:jc w:val="left"/>
              <w:rPr>
                <w:bCs/>
                <w:color w:val="auto"/>
                <w:szCs w:val="21"/>
              </w:rPr>
            </w:pPr>
            <w:r>
              <w:rPr>
                <w:bCs/>
                <w:color w:val="auto"/>
                <w:szCs w:val="21"/>
              </w:rPr>
              <w:t>（3）分区管理和控制原则</w:t>
            </w:r>
          </w:p>
          <w:p w14:paraId="0BF53F4C">
            <w:pPr>
              <w:adjustRightInd w:val="0"/>
              <w:snapToGrid w:val="0"/>
              <w:spacing w:line="360" w:lineRule="auto"/>
              <w:ind w:firstLine="420" w:firstLineChars="200"/>
              <w:jc w:val="left"/>
              <w:rPr>
                <w:bCs/>
                <w:color w:val="auto"/>
                <w:szCs w:val="21"/>
              </w:rPr>
            </w:pPr>
            <w:r>
              <w:rPr>
                <w:bCs/>
                <w:color w:val="auto"/>
                <w:szCs w:val="21"/>
              </w:rPr>
              <w:t>分区管理和控制原则，即根据场址所在地的工程地质、水文地质条件和全厂可能发生泄漏的物料性质、排放量并参照相应标准要求有针对性的分区，并分别设计地面防渗层结构。</w:t>
            </w:r>
          </w:p>
          <w:p w14:paraId="7798A357">
            <w:pPr>
              <w:adjustRightInd w:val="0"/>
              <w:snapToGrid w:val="0"/>
              <w:spacing w:line="360" w:lineRule="auto"/>
              <w:ind w:firstLine="422" w:firstLineChars="200"/>
              <w:jc w:val="left"/>
              <w:rPr>
                <w:bCs/>
                <w:color w:val="auto"/>
                <w:szCs w:val="21"/>
              </w:rPr>
            </w:pPr>
            <w:r>
              <w:rPr>
                <w:b/>
                <w:color w:val="auto"/>
                <w:szCs w:val="21"/>
              </w:rPr>
              <w:t>3、土壤及地下水污染防治措施</w:t>
            </w:r>
          </w:p>
          <w:p w14:paraId="5467F3F0">
            <w:pPr>
              <w:adjustRightInd w:val="0"/>
              <w:snapToGrid w:val="0"/>
              <w:spacing w:line="360" w:lineRule="auto"/>
              <w:ind w:firstLine="420" w:firstLineChars="200"/>
              <w:rPr>
                <w:bCs/>
                <w:color w:val="auto"/>
                <w:szCs w:val="21"/>
              </w:rPr>
            </w:pPr>
            <w:r>
              <w:rPr>
                <w:bCs/>
                <w:color w:val="auto"/>
                <w:szCs w:val="21"/>
              </w:rPr>
              <w:t>（1）为了防止各类污染物泄漏造成地下水污染，建设单位应从原料产品储存、装卸、运输、生产过程等全过程控制各种有毒有害原辅材料、中间材料、产品泄漏（含跑、冒、滴、漏），同时对有害物质可能泄漏到地面的区域采取防渗措施，阻止其渗入地下水中，即从源头到末端全方位采取控制措施。</w:t>
            </w:r>
          </w:p>
          <w:p w14:paraId="039DB304">
            <w:pPr>
              <w:adjustRightInd w:val="0"/>
              <w:snapToGrid w:val="0"/>
              <w:spacing w:line="360" w:lineRule="auto"/>
              <w:ind w:firstLine="420" w:firstLineChars="200"/>
              <w:jc w:val="left"/>
              <w:rPr>
                <w:bCs/>
                <w:color w:val="auto"/>
                <w:szCs w:val="21"/>
              </w:rPr>
            </w:pPr>
            <w:r>
              <w:rPr>
                <w:bCs/>
                <w:color w:val="auto"/>
                <w:szCs w:val="21"/>
              </w:rPr>
              <w:t>（2）根据本项目可能泄漏至地面区域污染物的性质和生产单元的构筑方式，将厂区划分为</w:t>
            </w:r>
            <w:r>
              <w:rPr>
                <w:color w:val="auto"/>
                <w:kern w:val="0"/>
                <w:szCs w:val="21"/>
              </w:rPr>
              <w:t>重点防渗区</w:t>
            </w:r>
            <w:r>
              <w:rPr>
                <w:bCs/>
                <w:color w:val="auto"/>
                <w:szCs w:val="21"/>
              </w:rPr>
              <w:t>、</w:t>
            </w:r>
            <w:r>
              <w:rPr>
                <w:color w:val="auto"/>
                <w:kern w:val="0"/>
                <w:szCs w:val="21"/>
              </w:rPr>
              <w:t>一般防渗区</w:t>
            </w:r>
            <w:r>
              <w:rPr>
                <w:bCs/>
                <w:color w:val="auto"/>
                <w:szCs w:val="21"/>
              </w:rPr>
              <w:t>和</w:t>
            </w:r>
            <w:r>
              <w:rPr>
                <w:color w:val="auto"/>
                <w:szCs w:val="21"/>
              </w:rPr>
              <w:t>简单防渗区</w:t>
            </w:r>
            <w:r>
              <w:rPr>
                <w:bCs/>
                <w:color w:val="auto"/>
                <w:szCs w:val="21"/>
              </w:rPr>
              <w:t>。</w:t>
            </w:r>
          </w:p>
          <w:p w14:paraId="233F7287">
            <w:pPr>
              <w:adjustRightInd w:val="0"/>
              <w:snapToGrid w:val="0"/>
              <w:spacing w:line="360" w:lineRule="auto"/>
              <w:ind w:firstLine="420" w:firstLineChars="200"/>
              <w:jc w:val="left"/>
              <w:rPr>
                <w:bCs/>
                <w:color w:val="auto"/>
                <w:szCs w:val="21"/>
              </w:rPr>
            </w:pPr>
            <w:r>
              <w:rPr>
                <w:color w:val="auto"/>
                <w:kern w:val="0"/>
                <w:szCs w:val="21"/>
              </w:rPr>
              <w:t>重点防渗区</w:t>
            </w:r>
            <w:r>
              <w:rPr>
                <w:bCs/>
                <w:color w:val="auto"/>
                <w:szCs w:val="21"/>
              </w:rPr>
              <w:t>：本项目</w:t>
            </w:r>
            <w:r>
              <w:rPr>
                <w:color w:val="auto"/>
                <w:kern w:val="0"/>
                <w:szCs w:val="21"/>
              </w:rPr>
              <w:t>重点防渗区</w:t>
            </w:r>
            <w:r>
              <w:rPr>
                <w:bCs/>
                <w:color w:val="auto"/>
                <w:szCs w:val="21"/>
              </w:rPr>
              <w:t>主要为</w:t>
            </w:r>
            <w:r>
              <w:rPr>
                <w:rFonts w:hint="eastAsia"/>
                <w:bCs/>
                <w:color w:val="auto"/>
                <w:szCs w:val="21"/>
                <w:lang w:val="en-US" w:eastAsia="zh-CN"/>
              </w:rPr>
              <w:t>原料仓库</w:t>
            </w:r>
            <w:r>
              <w:rPr>
                <w:color w:val="auto"/>
                <w:szCs w:val="21"/>
              </w:rPr>
              <w:t>、</w:t>
            </w:r>
            <w:r>
              <w:rPr>
                <w:bCs/>
                <w:color w:val="auto"/>
                <w:szCs w:val="21"/>
              </w:rPr>
              <w:t>危废仓库所在区域。</w:t>
            </w:r>
          </w:p>
          <w:p w14:paraId="0CECE6BE">
            <w:pPr>
              <w:adjustRightInd w:val="0"/>
              <w:snapToGrid w:val="0"/>
              <w:spacing w:line="360" w:lineRule="auto"/>
              <w:ind w:firstLine="420" w:firstLineChars="200"/>
              <w:jc w:val="left"/>
              <w:rPr>
                <w:bCs/>
                <w:color w:val="auto"/>
                <w:szCs w:val="21"/>
              </w:rPr>
            </w:pPr>
            <w:r>
              <w:rPr>
                <w:color w:val="auto"/>
                <w:kern w:val="0"/>
                <w:szCs w:val="21"/>
              </w:rPr>
              <w:t>一般防渗区</w:t>
            </w:r>
            <w:r>
              <w:rPr>
                <w:bCs/>
                <w:color w:val="auto"/>
                <w:szCs w:val="21"/>
              </w:rPr>
              <w:t>：本项目</w:t>
            </w:r>
            <w:r>
              <w:rPr>
                <w:color w:val="auto"/>
                <w:kern w:val="0"/>
                <w:szCs w:val="21"/>
              </w:rPr>
              <w:t>一般防渗区</w:t>
            </w:r>
            <w:r>
              <w:rPr>
                <w:bCs/>
                <w:color w:val="auto"/>
                <w:szCs w:val="21"/>
              </w:rPr>
              <w:t>主要为生产车间其他生产区域。</w:t>
            </w:r>
          </w:p>
          <w:p w14:paraId="230454E0">
            <w:pPr>
              <w:adjustRightInd w:val="0"/>
              <w:snapToGrid w:val="0"/>
              <w:spacing w:line="360" w:lineRule="auto"/>
              <w:ind w:firstLine="420" w:firstLineChars="200"/>
              <w:jc w:val="left"/>
              <w:rPr>
                <w:bCs/>
                <w:color w:val="auto"/>
                <w:szCs w:val="21"/>
              </w:rPr>
            </w:pPr>
            <w:r>
              <w:rPr>
                <w:color w:val="auto"/>
                <w:szCs w:val="21"/>
              </w:rPr>
              <w:t>简单防渗区</w:t>
            </w:r>
            <w:r>
              <w:rPr>
                <w:bCs/>
                <w:color w:val="auto"/>
                <w:szCs w:val="21"/>
              </w:rPr>
              <w:t>：本项目</w:t>
            </w:r>
            <w:r>
              <w:rPr>
                <w:color w:val="auto"/>
                <w:szCs w:val="21"/>
              </w:rPr>
              <w:t>简单防渗区</w:t>
            </w:r>
            <w:r>
              <w:rPr>
                <w:bCs/>
                <w:color w:val="auto"/>
                <w:szCs w:val="21"/>
              </w:rPr>
              <w:t>为办公</w:t>
            </w:r>
            <w:r>
              <w:rPr>
                <w:rFonts w:hint="eastAsia"/>
                <w:bCs/>
                <w:color w:val="auto"/>
                <w:szCs w:val="21"/>
                <w:lang w:eastAsia="zh-CN"/>
              </w:rPr>
              <w:t>、</w:t>
            </w:r>
            <w:r>
              <w:rPr>
                <w:rFonts w:hint="eastAsia"/>
                <w:bCs/>
                <w:color w:val="auto"/>
                <w:szCs w:val="21"/>
                <w:lang w:val="en-US" w:eastAsia="zh-CN"/>
              </w:rPr>
              <w:t>原料仓库等</w:t>
            </w:r>
            <w:r>
              <w:rPr>
                <w:bCs/>
                <w:color w:val="auto"/>
                <w:szCs w:val="21"/>
              </w:rPr>
              <w:t>所在区域。</w:t>
            </w:r>
          </w:p>
          <w:p w14:paraId="46112AA4">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b/>
                <w:color w:val="auto"/>
                <w:szCs w:val="21"/>
              </w:rPr>
              <w:t>表4-</w:t>
            </w:r>
            <w:r>
              <w:rPr>
                <w:rFonts w:hint="eastAsia"/>
                <w:b/>
                <w:color w:val="auto"/>
                <w:szCs w:val="21"/>
              </w:rPr>
              <w:t>2</w:t>
            </w:r>
            <w:r>
              <w:rPr>
                <w:rFonts w:hint="eastAsia"/>
                <w:b/>
                <w:color w:val="auto"/>
                <w:szCs w:val="21"/>
                <w:lang w:val="en-US" w:eastAsia="zh-CN"/>
              </w:rPr>
              <w:t>8</w:t>
            </w:r>
            <w:r>
              <w:rPr>
                <w:b/>
                <w:color w:val="auto"/>
                <w:szCs w:val="21"/>
              </w:rPr>
              <w:t xml:space="preserve"> 本项目污染防治分区划分及防渗要求</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149"/>
              <w:gridCol w:w="1182"/>
              <w:gridCol w:w="2287"/>
              <w:gridCol w:w="2479"/>
            </w:tblGrid>
            <w:tr w14:paraId="41665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0"/>
                  <w:tcMar>
                    <w:top w:w="0" w:type="dxa"/>
                    <w:left w:w="0" w:type="dxa"/>
                    <w:bottom w:w="0" w:type="dxa"/>
                    <w:right w:w="0" w:type="dxa"/>
                  </w:tcMar>
                  <w:vAlign w:val="center"/>
                </w:tcPr>
                <w:p w14:paraId="724F3D91">
                  <w:pPr>
                    <w:adjustRightInd w:val="0"/>
                    <w:snapToGrid w:val="0"/>
                    <w:jc w:val="center"/>
                    <w:textAlignment w:val="baseline"/>
                    <w:rPr>
                      <w:b/>
                      <w:bCs/>
                      <w:color w:val="auto"/>
                      <w:kern w:val="0"/>
                      <w:szCs w:val="21"/>
                    </w:rPr>
                  </w:pPr>
                  <w:r>
                    <w:rPr>
                      <w:b/>
                      <w:bCs/>
                      <w:color w:val="auto"/>
                      <w:kern w:val="0"/>
                      <w:szCs w:val="21"/>
                    </w:rPr>
                    <w:t>防渗单元</w:t>
                  </w:r>
                </w:p>
              </w:tc>
              <w:tc>
                <w:tcPr>
                  <w:tcW w:w="685" w:type="pct"/>
                  <w:noWrap w:val="0"/>
                  <w:tcMar>
                    <w:top w:w="0" w:type="dxa"/>
                    <w:left w:w="0" w:type="dxa"/>
                    <w:bottom w:w="0" w:type="dxa"/>
                    <w:right w:w="0" w:type="dxa"/>
                  </w:tcMar>
                  <w:vAlign w:val="center"/>
                </w:tcPr>
                <w:p w14:paraId="62CB6320">
                  <w:pPr>
                    <w:adjustRightInd w:val="0"/>
                    <w:snapToGrid w:val="0"/>
                    <w:jc w:val="center"/>
                    <w:textAlignment w:val="baseline"/>
                    <w:rPr>
                      <w:b/>
                      <w:bCs/>
                      <w:color w:val="auto"/>
                      <w:kern w:val="0"/>
                      <w:szCs w:val="21"/>
                    </w:rPr>
                  </w:pPr>
                  <w:r>
                    <w:rPr>
                      <w:b/>
                      <w:bCs/>
                      <w:color w:val="auto"/>
                      <w:kern w:val="0"/>
                      <w:szCs w:val="21"/>
                    </w:rPr>
                    <w:t>污染物</w:t>
                  </w:r>
                </w:p>
              </w:tc>
              <w:tc>
                <w:tcPr>
                  <w:tcW w:w="705" w:type="pct"/>
                  <w:noWrap w:val="0"/>
                  <w:tcMar>
                    <w:top w:w="0" w:type="dxa"/>
                    <w:left w:w="0" w:type="dxa"/>
                    <w:bottom w:w="0" w:type="dxa"/>
                    <w:right w:w="0" w:type="dxa"/>
                  </w:tcMar>
                  <w:vAlign w:val="center"/>
                </w:tcPr>
                <w:p w14:paraId="71AABCC6">
                  <w:pPr>
                    <w:adjustRightInd w:val="0"/>
                    <w:snapToGrid w:val="0"/>
                    <w:jc w:val="center"/>
                    <w:textAlignment w:val="baseline"/>
                    <w:rPr>
                      <w:b/>
                      <w:bCs/>
                      <w:color w:val="auto"/>
                      <w:kern w:val="0"/>
                      <w:szCs w:val="21"/>
                    </w:rPr>
                  </w:pPr>
                  <w:r>
                    <w:rPr>
                      <w:b/>
                      <w:bCs/>
                      <w:color w:val="auto"/>
                      <w:kern w:val="0"/>
                      <w:szCs w:val="21"/>
                    </w:rPr>
                    <w:t>污染物类型</w:t>
                  </w:r>
                </w:p>
              </w:tc>
              <w:tc>
                <w:tcPr>
                  <w:tcW w:w="1364" w:type="pct"/>
                  <w:noWrap w:val="0"/>
                  <w:tcMar>
                    <w:top w:w="0" w:type="dxa"/>
                    <w:left w:w="0" w:type="dxa"/>
                    <w:bottom w:w="0" w:type="dxa"/>
                    <w:right w:w="0" w:type="dxa"/>
                  </w:tcMar>
                  <w:vAlign w:val="center"/>
                </w:tcPr>
                <w:p w14:paraId="635FA37D">
                  <w:pPr>
                    <w:adjustRightInd w:val="0"/>
                    <w:snapToGrid w:val="0"/>
                    <w:jc w:val="center"/>
                    <w:textAlignment w:val="baseline"/>
                    <w:rPr>
                      <w:b/>
                      <w:bCs/>
                      <w:color w:val="auto"/>
                      <w:kern w:val="0"/>
                      <w:szCs w:val="21"/>
                    </w:rPr>
                  </w:pPr>
                  <w:r>
                    <w:rPr>
                      <w:b/>
                      <w:bCs/>
                      <w:color w:val="auto"/>
                      <w:kern w:val="0"/>
                      <w:szCs w:val="21"/>
                    </w:rPr>
                    <w:t>规定的防渗要求</w:t>
                  </w:r>
                </w:p>
              </w:tc>
              <w:tc>
                <w:tcPr>
                  <w:tcW w:w="1478" w:type="pct"/>
                  <w:noWrap w:val="0"/>
                  <w:tcMar>
                    <w:top w:w="0" w:type="dxa"/>
                    <w:left w:w="0" w:type="dxa"/>
                    <w:bottom w:w="0" w:type="dxa"/>
                    <w:right w:w="0" w:type="dxa"/>
                  </w:tcMar>
                  <w:vAlign w:val="center"/>
                </w:tcPr>
                <w:p w14:paraId="65B6AFF5">
                  <w:pPr>
                    <w:adjustRightInd w:val="0"/>
                    <w:snapToGrid w:val="0"/>
                    <w:jc w:val="center"/>
                    <w:textAlignment w:val="baseline"/>
                    <w:rPr>
                      <w:b/>
                      <w:bCs/>
                      <w:color w:val="auto"/>
                      <w:kern w:val="0"/>
                      <w:szCs w:val="21"/>
                    </w:rPr>
                  </w:pPr>
                  <w:r>
                    <w:rPr>
                      <w:b/>
                      <w:bCs/>
                      <w:color w:val="auto"/>
                      <w:kern w:val="0"/>
                      <w:szCs w:val="21"/>
                    </w:rPr>
                    <w:t>本项目防渗措施</w:t>
                  </w:r>
                </w:p>
              </w:tc>
            </w:tr>
            <w:tr w14:paraId="23539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0"/>
                  <w:tcMar>
                    <w:top w:w="0" w:type="dxa"/>
                    <w:left w:w="0" w:type="dxa"/>
                    <w:bottom w:w="0" w:type="dxa"/>
                    <w:right w:w="0" w:type="dxa"/>
                  </w:tcMar>
                  <w:vAlign w:val="center"/>
                </w:tcPr>
                <w:p w14:paraId="1832B899">
                  <w:pPr>
                    <w:adjustRightInd w:val="0"/>
                    <w:snapToGrid w:val="0"/>
                    <w:jc w:val="center"/>
                    <w:textAlignment w:val="baseline"/>
                    <w:rPr>
                      <w:color w:val="auto"/>
                      <w:kern w:val="0"/>
                      <w:szCs w:val="21"/>
                    </w:rPr>
                  </w:pPr>
                  <w:r>
                    <w:rPr>
                      <w:color w:val="auto"/>
                      <w:szCs w:val="21"/>
                    </w:rPr>
                    <w:t>办公</w:t>
                  </w:r>
                  <w:r>
                    <w:rPr>
                      <w:rFonts w:hint="eastAsia"/>
                      <w:color w:val="auto"/>
                      <w:szCs w:val="21"/>
                      <w:lang w:eastAsia="zh-CN"/>
                    </w:rPr>
                    <w:t>、</w:t>
                  </w:r>
                  <w:r>
                    <w:rPr>
                      <w:rFonts w:hint="eastAsia"/>
                      <w:color w:val="auto"/>
                      <w:szCs w:val="21"/>
                      <w:lang w:val="en-US" w:eastAsia="zh-CN"/>
                    </w:rPr>
                    <w:t>原料仓库等</w:t>
                  </w:r>
                  <w:r>
                    <w:rPr>
                      <w:color w:val="auto"/>
                      <w:szCs w:val="21"/>
                    </w:rPr>
                    <w:t>所在区域</w:t>
                  </w:r>
                </w:p>
              </w:tc>
              <w:tc>
                <w:tcPr>
                  <w:tcW w:w="685" w:type="pct"/>
                  <w:noWrap w:val="0"/>
                  <w:tcMar>
                    <w:top w:w="0" w:type="dxa"/>
                    <w:left w:w="0" w:type="dxa"/>
                    <w:bottom w:w="0" w:type="dxa"/>
                    <w:right w:w="0" w:type="dxa"/>
                  </w:tcMar>
                  <w:vAlign w:val="center"/>
                </w:tcPr>
                <w:p w14:paraId="42D8E80B">
                  <w:pPr>
                    <w:adjustRightInd w:val="0"/>
                    <w:snapToGrid w:val="0"/>
                    <w:jc w:val="center"/>
                    <w:textAlignment w:val="baseline"/>
                    <w:rPr>
                      <w:color w:val="auto"/>
                      <w:kern w:val="0"/>
                      <w:szCs w:val="21"/>
                    </w:rPr>
                  </w:pPr>
                  <w:r>
                    <w:rPr>
                      <w:color w:val="auto"/>
                      <w:szCs w:val="21"/>
                    </w:rPr>
                    <w:t>/</w:t>
                  </w:r>
                </w:p>
              </w:tc>
              <w:tc>
                <w:tcPr>
                  <w:tcW w:w="705" w:type="pct"/>
                  <w:noWrap w:val="0"/>
                  <w:tcMar>
                    <w:top w:w="0" w:type="dxa"/>
                    <w:left w:w="0" w:type="dxa"/>
                    <w:bottom w:w="0" w:type="dxa"/>
                    <w:right w:w="0" w:type="dxa"/>
                  </w:tcMar>
                  <w:vAlign w:val="center"/>
                </w:tcPr>
                <w:p w14:paraId="63D40DAD">
                  <w:pPr>
                    <w:adjustRightInd w:val="0"/>
                    <w:snapToGrid w:val="0"/>
                    <w:jc w:val="center"/>
                    <w:textAlignment w:val="baseline"/>
                    <w:rPr>
                      <w:color w:val="auto"/>
                      <w:kern w:val="0"/>
                      <w:szCs w:val="21"/>
                    </w:rPr>
                  </w:pPr>
                  <w:r>
                    <w:rPr>
                      <w:color w:val="auto"/>
                      <w:kern w:val="0"/>
                      <w:szCs w:val="21"/>
                    </w:rPr>
                    <w:t>其他污染物</w:t>
                  </w:r>
                </w:p>
              </w:tc>
              <w:tc>
                <w:tcPr>
                  <w:tcW w:w="1364" w:type="pct"/>
                  <w:noWrap w:val="0"/>
                  <w:tcMar>
                    <w:top w:w="0" w:type="dxa"/>
                    <w:left w:w="0" w:type="dxa"/>
                    <w:bottom w:w="0" w:type="dxa"/>
                    <w:right w:w="0" w:type="dxa"/>
                  </w:tcMar>
                  <w:vAlign w:val="center"/>
                </w:tcPr>
                <w:p w14:paraId="75CC62C3">
                  <w:pPr>
                    <w:adjustRightInd w:val="0"/>
                    <w:snapToGrid w:val="0"/>
                    <w:jc w:val="center"/>
                    <w:textAlignment w:val="baseline"/>
                    <w:rPr>
                      <w:color w:val="auto"/>
                      <w:kern w:val="0"/>
                      <w:szCs w:val="21"/>
                    </w:rPr>
                  </w:pPr>
                  <w:r>
                    <w:rPr>
                      <w:color w:val="auto"/>
                      <w:szCs w:val="21"/>
                    </w:rPr>
                    <w:t>简单防渗区</w:t>
                  </w:r>
                </w:p>
              </w:tc>
              <w:tc>
                <w:tcPr>
                  <w:tcW w:w="1478" w:type="pct"/>
                  <w:noWrap w:val="0"/>
                  <w:tcMar>
                    <w:top w:w="0" w:type="dxa"/>
                    <w:left w:w="0" w:type="dxa"/>
                    <w:bottom w:w="0" w:type="dxa"/>
                    <w:right w:w="0" w:type="dxa"/>
                  </w:tcMar>
                  <w:vAlign w:val="center"/>
                </w:tcPr>
                <w:p w14:paraId="20EF8B8F">
                  <w:pPr>
                    <w:adjustRightInd w:val="0"/>
                    <w:snapToGrid w:val="0"/>
                    <w:jc w:val="center"/>
                    <w:textAlignment w:val="baseline"/>
                    <w:rPr>
                      <w:color w:val="auto"/>
                      <w:kern w:val="0"/>
                      <w:szCs w:val="21"/>
                    </w:rPr>
                  </w:pPr>
                  <w:r>
                    <w:rPr>
                      <w:color w:val="auto"/>
                      <w:szCs w:val="21"/>
                    </w:rPr>
                    <w:t>一般地面硬化</w:t>
                  </w:r>
                </w:p>
              </w:tc>
            </w:tr>
            <w:tr w14:paraId="06B63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0"/>
                  <w:tcMar>
                    <w:top w:w="0" w:type="dxa"/>
                    <w:left w:w="0" w:type="dxa"/>
                    <w:bottom w:w="0" w:type="dxa"/>
                    <w:right w:w="0" w:type="dxa"/>
                  </w:tcMar>
                  <w:vAlign w:val="center"/>
                </w:tcPr>
                <w:p w14:paraId="3106CDA2">
                  <w:pPr>
                    <w:adjustRightInd w:val="0"/>
                    <w:snapToGrid w:val="0"/>
                    <w:jc w:val="center"/>
                    <w:textAlignment w:val="baseline"/>
                    <w:rPr>
                      <w:color w:val="auto"/>
                      <w:kern w:val="0"/>
                      <w:szCs w:val="21"/>
                    </w:rPr>
                  </w:pPr>
                  <w:r>
                    <w:rPr>
                      <w:bCs/>
                      <w:color w:val="auto"/>
                      <w:szCs w:val="21"/>
                    </w:rPr>
                    <w:t>生产车间其他生产区域</w:t>
                  </w:r>
                </w:p>
              </w:tc>
              <w:tc>
                <w:tcPr>
                  <w:tcW w:w="685" w:type="pct"/>
                  <w:noWrap w:val="0"/>
                  <w:tcMar>
                    <w:top w:w="0" w:type="dxa"/>
                    <w:left w:w="0" w:type="dxa"/>
                    <w:bottom w:w="0" w:type="dxa"/>
                    <w:right w:w="0" w:type="dxa"/>
                  </w:tcMar>
                  <w:vAlign w:val="center"/>
                </w:tcPr>
                <w:p w14:paraId="65E2207C">
                  <w:pPr>
                    <w:adjustRightInd w:val="0"/>
                    <w:snapToGrid w:val="0"/>
                    <w:jc w:val="center"/>
                    <w:textAlignment w:val="baseline"/>
                    <w:rPr>
                      <w:color w:val="auto"/>
                      <w:kern w:val="0"/>
                      <w:szCs w:val="21"/>
                    </w:rPr>
                  </w:pPr>
                  <w:r>
                    <w:rPr>
                      <w:color w:val="auto"/>
                      <w:szCs w:val="21"/>
                    </w:rPr>
                    <w:t>/</w:t>
                  </w:r>
                </w:p>
              </w:tc>
              <w:tc>
                <w:tcPr>
                  <w:tcW w:w="705" w:type="pct"/>
                  <w:noWrap w:val="0"/>
                  <w:tcMar>
                    <w:top w:w="0" w:type="dxa"/>
                    <w:left w:w="0" w:type="dxa"/>
                    <w:bottom w:w="0" w:type="dxa"/>
                    <w:right w:w="0" w:type="dxa"/>
                  </w:tcMar>
                  <w:vAlign w:val="center"/>
                </w:tcPr>
                <w:p w14:paraId="39B3CE7F">
                  <w:pPr>
                    <w:adjustRightInd w:val="0"/>
                    <w:snapToGrid w:val="0"/>
                    <w:jc w:val="center"/>
                    <w:textAlignment w:val="baseline"/>
                    <w:rPr>
                      <w:color w:val="auto"/>
                      <w:kern w:val="0"/>
                      <w:szCs w:val="21"/>
                    </w:rPr>
                  </w:pPr>
                  <w:r>
                    <w:rPr>
                      <w:color w:val="auto"/>
                      <w:kern w:val="0"/>
                      <w:szCs w:val="21"/>
                    </w:rPr>
                    <w:t>其他污染物</w:t>
                  </w:r>
                </w:p>
              </w:tc>
              <w:tc>
                <w:tcPr>
                  <w:tcW w:w="1364" w:type="pct"/>
                  <w:noWrap w:val="0"/>
                  <w:tcMar>
                    <w:top w:w="0" w:type="dxa"/>
                    <w:left w:w="0" w:type="dxa"/>
                    <w:bottom w:w="0" w:type="dxa"/>
                    <w:right w:w="0" w:type="dxa"/>
                  </w:tcMar>
                  <w:vAlign w:val="center"/>
                </w:tcPr>
                <w:p w14:paraId="42B9BBBF">
                  <w:pPr>
                    <w:adjustRightInd w:val="0"/>
                    <w:snapToGrid w:val="0"/>
                    <w:jc w:val="center"/>
                    <w:textAlignment w:val="baseline"/>
                    <w:rPr>
                      <w:color w:val="auto"/>
                      <w:kern w:val="0"/>
                      <w:szCs w:val="21"/>
                    </w:rPr>
                  </w:pPr>
                  <w:r>
                    <w:rPr>
                      <w:color w:val="auto"/>
                      <w:kern w:val="0"/>
                      <w:szCs w:val="21"/>
                    </w:rPr>
                    <w:t>一般防渗区，</w:t>
                  </w:r>
                  <w:r>
                    <w:rPr>
                      <w:color w:val="auto"/>
                      <w:szCs w:val="21"/>
                    </w:rPr>
                    <w:t>渗透系数≤10</w:t>
                  </w:r>
                  <w:r>
                    <w:rPr>
                      <w:color w:val="auto"/>
                      <w:szCs w:val="21"/>
                      <w:vertAlign w:val="superscript"/>
                    </w:rPr>
                    <w:t>-7</w:t>
                  </w:r>
                  <w:r>
                    <w:rPr>
                      <w:color w:val="auto"/>
                      <w:szCs w:val="21"/>
                    </w:rPr>
                    <w:t>cm/s，等效粘土防渗层不小于1.5m厚粘土层</w:t>
                  </w:r>
                </w:p>
              </w:tc>
              <w:tc>
                <w:tcPr>
                  <w:tcW w:w="1478" w:type="pct"/>
                  <w:noWrap w:val="0"/>
                  <w:tcMar>
                    <w:top w:w="0" w:type="dxa"/>
                    <w:left w:w="0" w:type="dxa"/>
                    <w:bottom w:w="0" w:type="dxa"/>
                    <w:right w:w="0" w:type="dxa"/>
                  </w:tcMar>
                  <w:vAlign w:val="center"/>
                </w:tcPr>
                <w:p w14:paraId="783926D0">
                  <w:pPr>
                    <w:adjustRightInd w:val="0"/>
                    <w:snapToGrid w:val="0"/>
                    <w:jc w:val="center"/>
                    <w:textAlignment w:val="baseline"/>
                    <w:rPr>
                      <w:color w:val="auto"/>
                      <w:kern w:val="0"/>
                      <w:szCs w:val="21"/>
                    </w:rPr>
                  </w:pPr>
                  <w:r>
                    <w:rPr>
                      <w:color w:val="auto"/>
                      <w:kern w:val="0"/>
                      <w:szCs w:val="21"/>
                    </w:rPr>
                    <w:t>铺设2mm厚的耐腐蚀环氧树脂</w:t>
                  </w:r>
                </w:p>
              </w:tc>
            </w:tr>
            <w:tr w14:paraId="4A267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0"/>
                  <w:tcMar>
                    <w:top w:w="0" w:type="dxa"/>
                    <w:left w:w="0" w:type="dxa"/>
                    <w:bottom w:w="0" w:type="dxa"/>
                    <w:right w:w="0" w:type="dxa"/>
                  </w:tcMar>
                  <w:vAlign w:val="center"/>
                </w:tcPr>
                <w:p w14:paraId="68309451">
                  <w:pPr>
                    <w:adjustRightInd w:val="0"/>
                    <w:snapToGrid w:val="0"/>
                    <w:jc w:val="center"/>
                    <w:textAlignment w:val="baseline"/>
                    <w:rPr>
                      <w:rFonts w:hint="default"/>
                      <w:color w:val="auto"/>
                      <w:kern w:val="0"/>
                      <w:szCs w:val="21"/>
                      <w:lang w:val="en-US" w:eastAsia="zh-CN"/>
                    </w:rPr>
                  </w:pPr>
                  <w:r>
                    <w:rPr>
                      <w:rFonts w:hint="eastAsia"/>
                      <w:color w:val="auto"/>
                      <w:kern w:val="0"/>
                      <w:szCs w:val="21"/>
                      <w:lang w:val="en-US" w:eastAsia="zh-CN"/>
                    </w:rPr>
                    <w:t>原料仓库</w:t>
                  </w:r>
                </w:p>
              </w:tc>
              <w:tc>
                <w:tcPr>
                  <w:tcW w:w="685" w:type="pct"/>
                  <w:noWrap w:val="0"/>
                  <w:tcMar>
                    <w:top w:w="0" w:type="dxa"/>
                    <w:left w:w="0" w:type="dxa"/>
                    <w:bottom w:w="0" w:type="dxa"/>
                    <w:right w:w="0" w:type="dxa"/>
                  </w:tcMar>
                  <w:vAlign w:val="center"/>
                </w:tcPr>
                <w:p w14:paraId="63C5FBDB">
                  <w:pPr>
                    <w:adjustRightInd w:val="0"/>
                    <w:snapToGrid w:val="0"/>
                    <w:jc w:val="center"/>
                    <w:textAlignment w:val="baseline"/>
                    <w:rPr>
                      <w:rFonts w:hint="default" w:eastAsia="宋体"/>
                      <w:color w:val="auto"/>
                      <w:szCs w:val="21"/>
                      <w:lang w:val="en-US" w:eastAsia="zh-CN"/>
                    </w:rPr>
                  </w:pPr>
                  <w:r>
                    <w:rPr>
                      <w:rFonts w:ascii="Times New Roman" w:hAnsi="Times New Roman"/>
                      <w:color w:val="auto"/>
                      <w:szCs w:val="21"/>
                    </w:rPr>
                    <w:t>环保增塑剂</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润滑油</w:t>
                  </w:r>
                </w:p>
              </w:tc>
              <w:tc>
                <w:tcPr>
                  <w:tcW w:w="705" w:type="pct"/>
                  <w:noWrap w:val="0"/>
                  <w:tcMar>
                    <w:top w:w="0" w:type="dxa"/>
                    <w:left w:w="0" w:type="dxa"/>
                    <w:bottom w:w="0" w:type="dxa"/>
                    <w:right w:w="0" w:type="dxa"/>
                  </w:tcMar>
                  <w:vAlign w:val="center"/>
                </w:tcPr>
                <w:p w14:paraId="1ED017CC">
                  <w:pPr>
                    <w:adjustRightInd w:val="0"/>
                    <w:snapToGrid w:val="0"/>
                    <w:jc w:val="center"/>
                    <w:textAlignment w:val="baseline"/>
                    <w:rPr>
                      <w:color w:val="auto"/>
                      <w:kern w:val="0"/>
                      <w:sz w:val="21"/>
                      <w:szCs w:val="21"/>
                      <w:lang w:val="en-US" w:eastAsia="zh-CN" w:bidi="ar-SA"/>
                    </w:rPr>
                  </w:pPr>
                  <w:r>
                    <w:rPr>
                      <w:color w:val="auto"/>
                      <w:kern w:val="0"/>
                      <w:szCs w:val="21"/>
                    </w:rPr>
                    <w:t>其他污染物</w:t>
                  </w:r>
                </w:p>
              </w:tc>
              <w:tc>
                <w:tcPr>
                  <w:tcW w:w="1364" w:type="pct"/>
                  <w:vMerge w:val="restart"/>
                  <w:noWrap w:val="0"/>
                  <w:tcMar>
                    <w:top w:w="0" w:type="dxa"/>
                    <w:left w:w="0" w:type="dxa"/>
                    <w:bottom w:w="0" w:type="dxa"/>
                    <w:right w:w="0" w:type="dxa"/>
                  </w:tcMar>
                  <w:vAlign w:val="center"/>
                </w:tcPr>
                <w:p w14:paraId="17F70CE1">
                  <w:pPr>
                    <w:adjustRightInd w:val="0"/>
                    <w:snapToGrid w:val="0"/>
                    <w:jc w:val="center"/>
                    <w:textAlignment w:val="baseline"/>
                    <w:rPr>
                      <w:color w:val="auto"/>
                      <w:kern w:val="0"/>
                      <w:szCs w:val="21"/>
                    </w:rPr>
                  </w:pPr>
                  <w:r>
                    <w:rPr>
                      <w:color w:val="auto"/>
                      <w:kern w:val="0"/>
                      <w:szCs w:val="21"/>
                    </w:rPr>
                    <w:t>重点防渗区，等效黏土防渗层Mb≥6.0m，K≤1×10</w:t>
                  </w:r>
                  <w:r>
                    <w:rPr>
                      <w:color w:val="auto"/>
                      <w:kern w:val="0"/>
                      <w:szCs w:val="21"/>
                      <w:vertAlign w:val="superscript"/>
                    </w:rPr>
                    <w:t>-7</w:t>
                  </w:r>
                  <w:r>
                    <w:rPr>
                      <w:color w:val="auto"/>
                      <w:kern w:val="0"/>
                      <w:szCs w:val="21"/>
                    </w:rPr>
                    <w:t>cm/s；或参照GB18598执行</w:t>
                  </w:r>
                </w:p>
              </w:tc>
              <w:tc>
                <w:tcPr>
                  <w:tcW w:w="1478" w:type="pct"/>
                  <w:vMerge w:val="restart"/>
                  <w:noWrap w:val="0"/>
                  <w:tcMar>
                    <w:top w:w="0" w:type="dxa"/>
                    <w:left w:w="0" w:type="dxa"/>
                    <w:bottom w:w="0" w:type="dxa"/>
                    <w:right w:w="0" w:type="dxa"/>
                  </w:tcMar>
                  <w:vAlign w:val="center"/>
                </w:tcPr>
                <w:p w14:paraId="5E27643D">
                  <w:pPr>
                    <w:adjustRightInd w:val="0"/>
                    <w:snapToGrid w:val="0"/>
                    <w:jc w:val="center"/>
                    <w:textAlignment w:val="baseline"/>
                    <w:rPr>
                      <w:color w:val="auto"/>
                      <w:kern w:val="0"/>
                      <w:szCs w:val="21"/>
                    </w:rPr>
                  </w:pPr>
                  <w:r>
                    <w:rPr>
                      <w:color w:val="auto"/>
                      <w:kern w:val="0"/>
                      <w:szCs w:val="21"/>
                    </w:rPr>
                    <w:t>地面应铺设抗渗混凝土及耐腐蚀硬化材料，至少采用2mm厚的耐腐蚀环氧树脂硬化地面，且地面无裂缝</w:t>
                  </w:r>
                </w:p>
              </w:tc>
            </w:tr>
            <w:tr w14:paraId="117A2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noWrap w:val="0"/>
                  <w:tcMar>
                    <w:top w:w="0" w:type="dxa"/>
                    <w:left w:w="0" w:type="dxa"/>
                    <w:bottom w:w="0" w:type="dxa"/>
                    <w:right w:w="0" w:type="dxa"/>
                  </w:tcMar>
                  <w:vAlign w:val="center"/>
                </w:tcPr>
                <w:p w14:paraId="72EACE37">
                  <w:pPr>
                    <w:adjustRightInd w:val="0"/>
                    <w:snapToGrid w:val="0"/>
                    <w:jc w:val="center"/>
                    <w:textAlignment w:val="baseline"/>
                    <w:rPr>
                      <w:color w:val="auto"/>
                      <w:kern w:val="0"/>
                      <w:szCs w:val="21"/>
                    </w:rPr>
                  </w:pPr>
                  <w:r>
                    <w:rPr>
                      <w:rFonts w:hint="eastAsia"/>
                      <w:color w:val="auto"/>
                      <w:kern w:val="0"/>
                      <w:szCs w:val="21"/>
                    </w:rPr>
                    <w:t>危废</w:t>
                  </w:r>
                  <w:r>
                    <w:rPr>
                      <w:color w:val="auto"/>
                      <w:kern w:val="0"/>
                      <w:szCs w:val="21"/>
                    </w:rPr>
                    <w:t>仓库</w:t>
                  </w:r>
                </w:p>
              </w:tc>
              <w:tc>
                <w:tcPr>
                  <w:tcW w:w="685" w:type="pct"/>
                  <w:noWrap w:val="0"/>
                  <w:tcMar>
                    <w:top w:w="0" w:type="dxa"/>
                    <w:left w:w="0" w:type="dxa"/>
                    <w:bottom w:w="0" w:type="dxa"/>
                    <w:right w:w="0" w:type="dxa"/>
                  </w:tcMar>
                  <w:vAlign w:val="center"/>
                </w:tcPr>
                <w:p w14:paraId="43B3172C">
                  <w:pPr>
                    <w:adjustRightInd w:val="0"/>
                    <w:snapToGrid w:val="0"/>
                    <w:jc w:val="center"/>
                    <w:textAlignment w:val="baseline"/>
                    <w:rPr>
                      <w:rFonts w:hint="default" w:eastAsia="宋体"/>
                      <w:color w:val="auto"/>
                      <w:kern w:val="0"/>
                      <w:szCs w:val="21"/>
                      <w:lang w:val="en-US" w:eastAsia="zh-CN"/>
                    </w:rPr>
                  </w:pPr>
                  <w:r>
                    <w:rPr>
                      <w:rFonts w:hint="eastAsia"/>
                      <w:color w:val="auto"/>
                      <w:szCs w:val="21"/>
                      <w:lang w:val="en-US" w:eastAsia="zh-CN"/>
                    </w:rPr>
                    <w:t>喷淋塔废液、废包装桶等</w:t>
                  </w:r>
                </w:p>
              </w:tc>
              <w:tc>
                <w:tcPr>
                  <w:tcW w:w="705" w:type="pct"/>
                  <w:noWrap w:val="0"/>
                  <w:tcMar>
                    <w:top w:w="0" w:type="dxa"/>
                    <w:left w:w="0" w:type="dxa"/>
                    <w:bottom w:w="0" w:type="dxa"/>
                    <w:right w:w="0" w:type="dxa"/>
                  </w:tcMar>
                  <w:vAlign w:val="center"/>
                </w:tcPr>
                <w:p w14:paraId="18E1417D">
                  <w:pPr>
                    <w:adjustRightInd w:val="0"/>
                    <w:snapToGrid w:val="0"/>
                    <w:jc w:val="center"/>
                    <w:textAlignment w:val="baseline"/>
                    <w:rPr>
                      <w:color w:val="auto"/>
                      <w:kern w:val="0"/>
                      <w:szCs w:val="21"/>
                    </w:rPr>
                  </w:pPr>
                  <w:r>
                    <w:rPr>
                      <w:color w:val="auto"/>
                      <w:kern w:val="0"/>
                      <w:szCs w:val="21"/>
                    </w:rPr>
                    <w:t>其他污染物</w:t>
                  </w:r>
                </w:p>
              </w:tc>
              <w:tc>
                <w:tcPr>
                  <w:tcW w:w="1364" w:type="pct"/>
                  <w:vMerge w:val="continue"/>
                  <w:noWrap w:val="0"/>
                  <w:tcMar>
                    <w:top w:w="0" w:type="dxa"/>
                    <w:left w:w="0" w:type="dxa"/>
                    <w:bottom w:w="0" w:type="dxa"/>
                    <w:right w:w="0" w:type="dxa"/>
                  </w:tcMar>
                  <w:vAlign w:val="center"/>
                </w:tcPr>
                <w:p w14:paraId="3186AE78">
                  <w:pPr>
                    <w:adjustRightInd w:val="0"/>
                    <w:snapToGrid w:val="0"/>
                    <w:jc w:val="center"/>
                    <w:textAlignment w:val="baseline"/>
                    <w:rPr>
                      <w:color w:val="auto"/>
                      <w:kern w:val="0"/>
                      <w:szCs w:val="21"/>
                    </w:rPr>
                  </w:pPr>
                </w:p>
              </w:tc>
              <w:tc>
                <w:tcPr>
                  <w:tcW w:w="1478" w:type="pct"/>
                  <w:vMerge w:val="continue"/>
                  <w:noWrap w:val="0"/>
                  <w:tcMar>
                    <w:top w:w="0" w:type="dxa"/>
                    <w:left w:w="0" w:type="dxa"/>
                    <w:bottom w:w="0" w:type="dxa"/>
                    <w:right w:w="0" w:type="dxa"/>
                  </w:tcMar>
                  <w:vAlign w:val="center"/>
                </w:tcPr>
                <w:p w14:paraId="4216E5E6">
                  <w:pPr>
                    <w:adjustRightInd w:val="0"/>
                    <w:snapToGrid w:val="0"/>
                    <w:jc w:val="center"/>
                    <w:textAlignment w:val="baseline"/>
                    <w:rPr>
                      <w:color w:val="auto"/>
                      <w:kern w:val="0"/>
                      <w:szCs w:val="21"/>
                    </w:rPr>
                  </w:pPr>
                </w:p>
              </w:tc>
            </w:tr>
          </w:tbl>
          <w:p w14:paraId="5AA69696">
            <w:pPr>
              <w:pStyle w:val="10"/>
              <w:adjustRightInd/>
              <w:snapToGrid/>
              <w:spacing w:before="120" w:beforeLines="50" w:line="360" w:lineRule="auto"/>
              <w:ind w:left="0" w:leftChars="0" w:right="0" w:rightChars="0" w:firstLine="422"/>
              <w:jc w:val="left"/>
              <w:rPr>
                <w:b/>
                <w:color w:val="auto"/>
                <w:sz w:val="21"/>
                <w:szCs w:val="21"/>
              </w:rPr>
            </w:pPr>
            <w:r>
              <w:rPr>
                <w:rFonts w:hint="eastAsia"/>
                <w:b/>
                <w:color w:val="auto"/>
                <w:sz w:val="21"/>
                <w:szCs w:val="21"/>
              </w:rPr>
              <w:t>六</w:t>
            </w:r>
            <w:r>
              <w:rPr>
                <w:b/>
                <w:color w:val="auto"/>
                <w:sz w:val="21"/>
                <w:szCs w:val="21"/>
              </w:rPr>
              <w:t>、环境风险评价</w:t>
            </w:r>
          </w:p>
          <w:p w14:paraId="122259F3">
            <w:pPr>
              <w:pStyle w:val="9"/>
              <w:spacing w:before="0" w:line="360" w:lineRule="auto"/>
              <w:ind w:firstLine="422" w:firstLineChars="200"/>
              <w:rPr>
                <w:b/>
                <w:color w:val="auto"/>
                <w:sz w:val="21"/>
                <w:szCs w:val="21"/>
              </w:rPr>
            </w:pPr>
            <w:r>
              <w:rPr>
                <w:b/>
                <w:color w:val="auto"/>
                <w:sz w:val="21"/>
                <w:szCs w:val="21"/>
              </w:rPr>
              <w:t>1、风险源调查及识别</w:t>
            </w:r>
          </w:p>
          <w:p w14:paraId="6F6A7870">
            <w:pPr>
              <w:pStyle w:val="9"/>
              <w:spacing w:before="0" w:line="360" w:lineRule="auto"/>
              <w:ind w:firstLine="422" w:firstLineChars="200"/>
              <w:rPr>
                <w:color w:val="auto"/>
                <w:sz w:val="21"/>
                <w:szCs w:val="21"/>
              </w:rPr>
            </w:pPr>
            <w:r>
              <w:rPr>
                <w:rFonts w:hint="eastAsia"/>
                <w:b/>
                <w:color w:val="auto"/>
                <w:sz w:val="21"/>
                <w:szCs w:val="21"/>
              </w:rPr>
              <w:t>（1）风险物质</w:t>
            </w:r>
          </w:p>
          <w:p w14:paraId="213C157C">
            <w:pPr>
              <w:pStyle w:val="9"/>
              <w:spacing w:before="0" w:line="360" w:lineRule="auto"/>
              <w:ind w:firstLine="420" w:firstLineChars="200"/>
              <w:rPr>
                <w:color w:val="auto"/>
                <w:sz w:val="21"/>
                <w:szCs w:val="21"/>
              </w:rPr>
            </w:pPr>
            <w:r>
              <w:rPr>
                <w:color w:val="auto"/>
                <w:sz w:val="21"/>
                <w:szCs w:val="21"/>
              </w:rPr>
              <w:t>根据《建设项目环境风险评价技术导则》（HJ/T169-2018）附录B,全厂涉及的</w:t>
            </w:r>
            <w:r>
              <w:rPr>
                <w:rFonts w:hint="eastAsia"/>
                <w:color w:val="auto"/>
                <w:sz w:val="21"/>
                <w:szCs w:val="21"/>
              </w:rPr>
              <w:t>风险物质</w:t>
            </w:r>
            <w:r>
              <w:rPr>
                <w:color w:val="auto"/>
                <w:sz w:val="21"/>
                <w:szCs w:val="21"/>
              </w:rPr>
              <w:t>数量及分布情况见下表。</w:t>
            </w:r>
          </w:p>
          <w:p w14:paraId="2E0C11B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lang w:val="zh-CN"/>
              </w:rPr>
            </w:pPr>
            <w:r>
              <w:rPr>
                <w:b/>
                <w:bCs/>
                <w:color w:val="auto"/>
                <w:szCs w:val="21"/>
              </w:rPr>
              <w:t>表4-</w:t>
            </w:r>
            <w:r>
              <w:rPr>
                <w:rFonts w:hint="eastAsia"/>
                <w:b/>
                <w:bCs/>
                <w:color w:val="auto"/>
                <w:szCs w:val="21"/>
                <w:lang w:val="en-US" w:eastAsia="zh-CN"/>
              </w:rPr>
              <w:t>29</w:t>
            </w:r>
            <w:r>
              <w:rPr>
                <w:rFonts w:hint="eastAsia"/>
                <w:b/>
                <w:bCs/>
                <w:color w:val="auto"/>
                <w:szCs w:val="21"/>
              </w:rPr>
              <w:t xml:space="preserve"> </w:t>
            </w:r>
            <w:r>
              <w:rPr>
                <w:rFonts w:hint="eastAsia"/>
                <w:b/>
                <w:bCs/>
                <w:color w:val="auto"/>
                <w:szCs w:val="21"/>
                <w:lang w:val="en-US" w:eastAsia="zh-CN"/>
              </w:rPr>
              <w:t>全厂</w:t>
            </w:r>
            <w:r>
              <w:rPr>
                <w:b/>
                <w:bCs/>
                <w:color w:val="auto"/>
                <w:szCs w:val="21"/>
              </w:rPr>
              <w:t>涉及的危险物质数量及分布情况表</w:t>
            </w:r>
          </w:p>
          <w:tbl>
            <w:tblPr>
              <w:tblStyle w:val="28"/>
              <w:tblW w:w="504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56"/>
              <w:gridCol w:w="2243"/>
              <w:gridCol w:w="2358"/>
              <w:gridCol w:w="2493"/>
            </w:tblGrid>
            <w:tr w14:paraId="3892A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noWrap w:val="0"/>
                  <w:vAlign w:val="center"/>
                </w:tcPr>
                <w:p w14:paraId="5D9B81E4">
                  <w:pPr>
                    <w:jc w:val="center"/>
                    <w:rPr>
                      <w:b/>
                      <w:bCs/>
                      <w:color w:val="auto"/>
                      <w:kern w:val="0"/>
                      <w:szCs w:val="21"/>
                    </w:rPr>
                  </w:pPr>
                  <w:r>
                    <w:rPr>
                      <w:b/>
                      <w:bCs/>
                      <w:color w:val="auto"/>
                      <w:kern w:val="0"/>
                      <w:szCs w:val="21"/>
                    </w:rPr>
                    <w:t>序号</w:t>
                  </w:r>
                </w:p>
              </w:tc>
              <w:tc>
                <w:tcPr>
                  <w:tcW w:w="1327" w:type="pct"/>
                  <w:noWrap w:val="0"/>
                  <w:vAlign w:val="center"/>
                </w:tcPr>
                <w:p w14:paraId="15CD3840">
                  <w:pPr>
                    <w:jc w:val="center"/>
                    <w:rPr>
                      <w:b/>
                      <w:bCs/>
                      <w:color w:val="auto"/>
                      <w:szCs w:val="21"/>
                    </w:rPr>
                  </w:pPr>
                  <w:r>
                    <w:rPr>
                      <w:b/>
                      <w:bCs/>
                      <w:color w:val="auto"/>
                      <w:kern w:val="0"/>
                      <w:szCs w:val="21"/>
                    </w:rPr>
                    <w:t>原料名称</w:t>
                  </w:r>
                </w:p>
              </w:tc>
              <w:tc>
                <w:tcPr>
                  <w:tcW w:w="1395" w:type="pct"/>
                  <w:noWrap w:val="0"/>
                  <w:vAlign w:val="center"/>
                </w:tcPr>
                <w:p w14:paraId="33E04648">
                  <w:pPr>
                    <w:jc w:val="center"/>
                    <w:rPr>
                      <w:b/>
                      <w:bCs/>
                      <w:color w:val="auto"/>
                      <w:szCs w:val="21"/>
                      <w:lang w:val="en-GB"/>
                    </w:rPr>
                  </w:pPr>
                  <w:r>
                    <w:rPr>
                      <w:b/>
                      <w:bCs/>
                      <w:color w:val="auto"/>
                      <w:szCs w:val="21"/>
                      <w:lang w:val="en-GB"/>
                    </w:rPr>
                    <w:t>最大储存量（t）</w:t>
                  </w:r>
                </w:p>
              </w:tc>
              <w:tc>
                <w:tcPr>
                  <w:tcW w:w="1475" w:type="pct"/>
                  <w:noWrap w:val="0"/>
                  <w:vAlign w:val="center"/>
                </w:tcPr>
                <w:p w14:paraId="432C2EC4">
                  <w:pPr>
                    <w:jc w:val="center"/>
                    <w:rPr>
                      <w:b/>
                      <w:bCs/>
                      <w:color w:val="auto"/>
                      <w:szCs w:val="21"/>
                      <w:lang w:val="en-GB"/>
                    </w:rPr>
                  </w:pPr>
                  <w:r>
                    <w:rPr>
                      <w:b/>
                      <w:bCs/>
                      <w:color w:val="auto"/>
                      <w:szCs w:val="21"/>
                      <w:lang w:val="en-GB"/>
                    </w:rPr>
                    <w:t>存储位置</w:t>
                  </w:r>
                </w:p>
              </w:tc>
            </w:tr>
            <w:tr w14:paraId="10624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noWrap w:val="0"/>
                  <w:vAlign w:val="center"/>
                </w:tcPr>
                <w:p w14:paraId="7C9E3B21">
                  <w:pPr>
                    <w:jc w:val="center"/>
                    <w:rPr>
                      <w:color w:val="auto"/>
                      <w:szCs w:val="21"/>
                    </w:rPr>
                  </w:pPr>
                  <w:r>
                    <w:rPr>
                      <w:color w:val="auto"/>
                      <w:szCs w:val="21"/>
                    </w:rPr>
                    <w:t>1</w:t>
                  </w:r>
                </w:p>
              </w:tc>
              <w:tc>
                <w:tcPr>
                  <w:tcW w:w="1327" w:type="pct"/>
                  <w:noWrap w:val="0"/>
                  <w:vAlign w:val="center"/>
                </w:tcPr>
                <w:p w14:paraId="316832F8">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环保增塑剂</w:t>
                  </w:r>
                </w:p>
              </w:tc>
              <w:tc>
                <w:tcPr>
                  <w:tcW w:w="1395" w:type="pct"/>
                  <w:noWrap w:val="0"/>
                  <w:vAlign w:val="center"/>
                </w:tcPr>
                <w:p w14:paraId="7BD32BCF">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10</w:t>
                  </w:r>
                </w:p>
              </w:tc>
              <w:tc>
                <w:tcPr>
                  <w:tcW w:w="1475" w:type="pct"/>
                  <w:noWrap w:val="0"/>
                  <w:vAlign w:val="center"/>
                </w:tcPr>
                <w:p w14:paraId="58826A9F">
                  <w:pPr>
                    <w:jc w:val="center"/>
                    <w:rPr>
                      <w:rFonts w:hint="default"/>
                      <w:b/>
                      <w:bCs/>
                      <w:color w:val="auto"/>
                      <w:szCs w:val="21"/>
                      <w:lang w:val="en-US"/>
                    </w:rPr>
                  </w:pPr>
                  <w:r>
                    <w:rPr>
                      <w:rFonts w:hint="eastAsia"/>
                      <w:color w:val="auto"/>
                      <w:szCs w:val="21"/>
                      <w:lang w:val="en-US" w:eastAsia="zh-CN"/>
                    </w:rPr>
                    <w:t>原料仓库</w:t>
                  </w:r>
                </w:p>
              </w:tc>
            </w:tr>
            <w:tr w14:paraId="4F975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shd w:val="clear" w:color="auto" w:fill="auto"/>
                  <w:noWrap w:val="0"/>
                  <w:vAlign w:val="center"/>
                </w:tcPr>
                <w:p w14:paraId="7661ED8B">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1327" w:type="pct"/>
                  <w:noWrap w:val="0"/>
                  <w:vAlign w:val="center"/>
                </w:tcPr>
                <w:p w14:paraId="4B4A1716">
                  <w:pPr>
                    <w:jc w:val="center"/>
                    <w:rPr>
                      <w:rFonts w:hint="eastAsia" w:ascii="Times New Roman" w:hAnsi="Times New Roman" w:eastAsia="宋体" w:cs="Times New Roman"/>
                      <w:color w:val="auto"/>
                      <w:kern w:val="0"/>
                      <w:szCs w:val="21"/>
                      <w:lang w:val="en-US" w:eastAsia="zh-CN"/>
                    </w:rPr>
                  </w:pPr>
                  <w:r>
                    <w:rPr>
                      <w:rFonts w:ascii="Times New Roman" w:hAnsi="Times New Roman"/>
                      <w:color w:val="auto"/>
                      <w:szCs w:val="21"/>
                    </w:rPr>
                    <w:t>抗氧剂</w:t>
                  </w:r>
                </w:p>
              </w:tc>
              <w:tc>
                <w:tcPr>
                  <w:tcW w:w="1395" w:type="pct"/>
                  <w:noWrap w:val="0"/>
                  <w:vAlign w:val="center"/>
                </w:tcPr>
                <w:p w14:paraId="123DF09D">
                  <w:pPr>
                    <w:adjustRightInd w:val="0"/>
                    <w:snapToGrid w:val="0"/>
                    <w:jc w:val="center"/>
                    <w:rPr>
                      <w:rFonts w:hint="default"/>
                      <w:color w:val="auto"/>
                      <w:szCs w:val="21"/>
                      <w:lang w:val="en-US" w:eastAsia="zh-CN"/>
                    </w:rPr>
                  </w:pPr>
                  <w:r>
                    <w:rPr>
                      <w:rFonts w:hint="eastAsia"/>
                      <w:color w:val="auto"/>
                      <w:szCs w:val="21"/>
                      <w:lang w:val="en-US" w:eastAsia="zh-CN"/>
                    </w:rPr>
                    <w:t>0.1</w:t>
                  </w:r>
                </w:p>
              </w:tc>
              <w:tc>
                <w:tcPr>
                  <w:tcW w:w="1475" w:type="pct"/>
                  <w:noWrap w:val="0"/>
                  <w:vAlign w:val="center"/>
                </w:tcPr>
                <w:p w14:paraId="2AB88668">
                  <w:pPr>
                    <w:jc w:val="center"/>
                    <w:rPr>
                      <w:rFonts w:hint="eastAsia"/>
                      <w:color w:val="auto"/>
                      <w:szCs w:val="21"/>
                      <w:lang w:val="en-US" w:eastAsia="zh-CN"/>
                    </w:rPr>
                  </w:pPr>
                  <w:r>
                    <w:rPr>
                      <w:rFonts w:hint="eastAsia"/>
                      <w:color w:val="auto"/>
                      <w:szCs w:val="21"/>
                      <w:lang w:val="en-US" w:eastAsia="zh-CN"/>
                    </w:rPr>
                    <w:t>原料仓库</w:t>
                  </w:r>
                </w:p>
              </w:tc>
            </w:tr>
            <w:tr w14:paraId="15FF3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shd w:val="clear" w:color="auto" w:fill="auto"/>
                  <w:noWrap w:val="0"/>
                  <w:vAlign w:val="center"/>
                </w:tcPr>
                <w:p w14:paraId="4E1F1DF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1327" w:type="pct"/>
                  <w:noWrap w:val="0"/>
                  <w:vAlign w:val="center"/>
                </w:tcPr>
                <w:p w14:paraId="0541C462">
                  <w:pPr>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润滑油</w:t>
                  </w:r>
                </w:p>
              </w:tc>
              <w:tc>
                <w:tcPr>
                  <w:tcW w:w="1395" w:type="pct"/>
                  <w:noWrap w:val="0"/>
                  <w:vAlign w:val="center"/>
                </w:tcPr>
                <w:p w14:paraId="70C31B97">
                  <w:pPr>
                    <w:adjustRightInd w:val="0"/>
                    <w:snapToGrid w:val="0"/>
                    <w:jc w:val="center"/>
                    <w:rPr>
                      <w:rFonts w:hint="default"/>
                      <w:color w:val="auto"/>
                      <w:szCs w:val="21"/>
                      <w:lang w:val="en-US" w:eastAsia="zh-CN"/>
                    </w:rPr>
                  </w:pPr>
                  <w:r>
                    <w:rPr>
                      <w:rFonts w:hint="eastAsia"/>
                      <w:color w:val="auto"/>
                      <w:szCs w:val="21"/>
                      <w:lang w:val="en-US" w:eastAsia="zh-CN"/>
                    </w:rPr>
                    <w:t>0.025</w:t>
                  </w:r>
                </w:p>
              </w:tc>
              <w:tc>
                <w:tcPr>
                  <w:tcW w:w="1475" w:type="pct"/>
                  <w:noWrap w:val="0"/>
                  <w:vAlign w:val="center"/>
                </w:tcPr>
                <w:p w14:paraId="152FCC8C">
                  <w:pPr>
                    <w:jc w:val="center"/>
                    <w:rPr>
                      <w:rFonts w:hint="eastAsia"/>
                      <w:color w:val="auto"/>
                      <w:szCs w:val="21"/>
                      <w:lang w:val="en-US" w:eastAsia="zh-CN"/>
                    </w:rPr>
                  </w:pPr>
                  <w:r>
                    <w:rPr>
                      <w:rFonts w:hint="eastAsia"/>
                      <w:color w:val="auto"/>
                      <w:szCs w:val="21"/>
                      <w:lang w:val="en-US" w:eastAsia="zh-CN"/>
                    </w:rPr>
                    <w:t>原料仓库</w:t>
                  </w:r>
                </w:p>
              </w:tc>
            </w:tr>
            <w:tr w14:paraId="5BCA9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shd w:val="clear" w:color="auto" w:fill="auto"/>
                  <w:noWrap w:val="0"/>
                  <w:vAlign w:val="center"/>
                </w:tcPr>
                <w:p w14:paraId="12EC17AB">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w:t>
                  </w:r>
                </w:p>
              </w:tc>
              <w:tc>
                <w:tcPr>
                  <w:tcW w:w="1327" w:type="pct"/>
                  <w:noWrap w:val="0"/>
                  <w:vAlign w:val="center"/>
                </w:tcPr>
                <w:p w14:paraId="30230753">
                  <w:pPr>
                    <w:keepNext w:val="0"/>
                    <w:keepLines w:val="0"/>
                    <w:widowControl/>
                    <w:suppressLineNumbers w:val="0"/>
                    <w:jc w:val="center"/>
                    <w:textAlignment w:val="center"/>
                    <w:rPr>
                      <w:rFonts w:hint="default"/>
                      <w:color w:val="auto"/>
                      <w:szCs w:val="21"/>
                      <w:lang w:val="en-US" w:eastAsia="zh-CN"/>
                    </w:rPr>
                  </w:pPr>
                  <w:r>
                    <w:rPr>
                      <w:rFonts w:hint="eastAsia" w:ascii="宋体" w:hAnsi="宋体" w:eastAsia="宋体" w:cs="宋体"/>
                      <w:i w:val="0"/>
                      <w:iCs w:val="0"/>
                      <w:color w:val="auto"/>
                      <w:kern w:val="0"/>
                      <w:sz w:val="21"/>
                      <w:szCs w:val="21"/>
                      <w:u w:val="none"/>
                      <w:lang w:val="en-US" w:eastAsia="zh-CN" w:bidi="ar"/>
                    </w:rPr>
                    <w:t>喷淋塔废液</w:t>
                  </w:r>
                </w:p>
              </w:tc>
              <w:tc>
                <w:tcPr>
                  <w:tcW w:w="1395" w:type="pct"/>
                  <w:noWrap w:val="0"/>
                  <w:vAlign w:val="center"/>
                </w:tcPr>
                <w:p w14:paraId="4C0FAF1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1475" w:type="pct"/>
                  <w:noWrap w:val="0"/>
                  <w:vAlign w:val="center"/>
                </w:tcPr>
                <w:p w14:paraId="4A1B6B39">
                  <w:pPr>
                    <w:jc w:val="center"/>
                    <w:rPr>
                      <w:color w:val="auto"/>
                      <w:kern w:val="2"/>
                      <w:sz w:val="21"/>
                      <w:szCs w:val="21"/>
                      <w:lang w:val="en-US" w:eastAsia="zh-CN" w:bidi="ar-SA"/>
                    </w:rPr>
                  </w:pPr>
                  <w:r>
                    <w:rPr>
                      <w:color w:val="auto"/>
                      <w:szCs w:val="21"/>
                    </w:rPr>
                    <w:t>危废仓库</w:t>
                  </w:r>
                </w:p>
              </w:tc>
            </w:tr>
            <w:tr w14:paraId="5C7B0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shd w:val="clear" w:color="auto" w:fill="auto"/>
                  <w:noWrap w:val="0"/>
                  <w:vAlign w:val="center"/>
                </w:tcPr>
                <w:p w14:paraId="28EED4D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w:t>
                  </w:r>
                </w:p>
              </w:tc>
              <w:tc>
                <w:tcPr>
                  <w:tcW w:w="1327" w:type="pct"/>
                  <w:noWrap w:val="0"/>
                  <w:vAlign w:val="center"/>
                </w:tcPr>
                <w:p w14:paraId="45AA50B5">
                  <w:pPr>
                    <w:keepNext w:val="0"/>
                    <w:keepLines w:val="0"/>
                    <w:widowControl/>
                    <w:suppressLineNumbers w:val="0"/>
                    <w:jc w:val="center"/>
                    <w:textAlignment w:val="center"/>
                    <w:rPr>
                      <w:rFonts w:hint="default"/>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废润滑油</w:t>
                  </w:r>
                </w:p>
              </w:tc>
              <w:tc>
                <w:tcPr>
                  <w:tcW w:w="1395" w:type="pct"/>
                  <w:noWrap w:val="0"/>
                  <w:vAlign w:val="center"/>
                </w:tcPr>
                <w:p w14:paraId="460430B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w:t>
                  </w:r>
                </w:p>
              </w:tc>
              <w:tc>
                <w:tcPr>
                  <w:tcW w:w="1475" w:type="pct"/>
                  <w:noWrap w:val="0"/>
                  <w:vAlign w:val="center"/>
                </w:tcPr>
                <w:p w14:paraId="39D7B804">
                  <w:pPr>
                    <w:jc w:val="center"/>
                    <w:rPr>
                      <w:color w:val="auto"/>
                      <w:szCs w:val="21"/>
                    </w:rPr>
                  </w:pPr>
                  <w:r>
                    <w:rPr>
                      <w:color w:val="auto"/>
                      <w:szCs w:val="21"/>
                    </w:rPr>
                    <w:t>危废仓库</w:t>
                  </w:r>
                </w:p>
              </w:tc>
            </w:tr>
            <w:tr w14:paraId="4CD00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noWrap w:val="0"/>
                  <w:vAlign w:val="center"/>
                </w:tcPr>
                <w:p w14:paraId="68120940">
                  <w:pPr>
                    <w:jc w:val="center"/>
                    <w:rPr>
                      <w:rFonts w:hint="default"/>
                      <w:color w:val="auto"/>
                      <w:szCs w:val="21"/>
                      <w:lang w:val="en-US" w:eastAsia="zh-CN"/>
                    </w:rPr>
                  </w:pPr>
                  <w:r>
                    <w:rPr>
                      <w:rFonts w:hint="eastAsia"/>
                      <w:color w:val="auto"/>
                      <w:szCs w:val="21"/>
                      <w:lang w:val="en-US" w:eastAsia="zh-CN"/>
                    </w:rPr>
                    <w:t>6</w:t>
                  </w:r>
                </w:p>
              </w:tc>
              <w:tc>
                <w:tcPr>
                  <w:tcW w:w="1327" w:type="pct"/>
                  <w:noWrap w:val="0"/>
                  <w:vAlign w:val="center"/>
                </w:tcPr>
                <w:p w14:paraId="53829AD1">
                  <w:pPr>
                    <w:keepNext w:val="0"/>
                    <w:keepLines w:val="0"/>
                    <w:widowControl/>
                    <w:suppressLineNumbers w:val="0"/>
                    <w:jc w:val="center"/>
                    <w:textAlignment w:val="center"/>
                    <w:rPr>
                      <w:rFonts w:hint="default"/>
                      <w:color w:val="auto"/>
                      <w:szCs w:val="21"/>
                      <w:lang w:val="en-US" w:eastAsia="zh-CN"/>
                    </w:rPr>
                  </w:pPr>
                  <w:r>
                    <w:rPr>
                      <w:rFonts w:hint="eastAsia" w:ascii="宋体" w:hAnsi="宋体" w:eastAsia="宋体" w:cs="宋体"/>
                      <w:i w:val="0"/>
                      <w:iCs w:val="0"/>
                      <w:color w:val="auto"/>
                      <w:kern w:val="0"/>
                      <w:sz w:val="21"/>
                      <w:szCs w:val="21"/>
                      <w:u w:val="none"/>
                      <w:lang w:val="en-US" w:eastAsia="zh-CN" w:bidi="ar"/>
                    </w:rPr>
                    <w:t>废油桶</w:t>
                  </w:r>
                </w:p>
              </w:tc>
              <w:tc>
                <w:tcPr>
                  <w:tcW w:w="1395" w:type="pct"/>
                  <w:noWrap w:val="0"/>
                  <w:vAlign w:val="center"/>
                </w:tcPr>
                <w:p w14:paraId="01567A3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475" w:type="pct"/>
                  <w:noWrap w:val="0"/>
                  <w:vAlign w:val="center"/>
                </w:tcPr>
                <w:p w14:paraId="12626E2C">
                  <w:pPr>
                    <w:jc w:val="center"/>
                    <w:rPr>
                      <w:color w:val="auto"/>
                      <w:szCs w:val="21"/>
                    </w:rPr>
                  </w:pPr>
                  <w:r>
                    <w:rPr>
                      <w:color w:val="auto"/>
                      <w:szCs w:val="21"/>
                    </w:rPr>
                    <w:t>危废仓库</w:t>
                  </w:r>
                </w:p>
              </w:tc>
            </w:tr>
            <w:tr w14:paraId="6C4E0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noWrap w:val="0"/>
                  <w:vAlign w:val="center"/>
                </w:tcPr>
                <w:p w14:paraId="66B03622">
                  <w:pPr>
                    <w:jc w:val="center"/>
                    <w:rPr>
                      <w:rFonts w:hint="default"/>
                      <w:color w:val="auto"/>
                      <w:szCs w:val="21"/>
                      <w:lang w:val="en-US" w:eastAsia="zh-CN"/>
                    </w:rPr>
                  </w:pPr>
                  <w:r>
                    <w:rPr>
                      <w:rFonts w:hint="eastAsia"/>
                      <w:color w:val="auto"/>
                      <w:szCs w:val="21"/>
                      <w:lang w:val="en-US" w:eastAsia="zh-CN"/>
                    </w:rPr>
                    <w:t>7</w:t>
                  </w:r>
                </w:p>
              </w:tc>
              <w:tc>
                <w:tcPr>
                  <w:tcW w:w="1327" w:type="pct"/>
                  <w:noWrap w:val="0"/>
                  <w:vAlign w:val="center"/>
                </w:tcPr>
                <w:p w14:paraId="0C4AC394">
                  <w:pPr>
                    <w:keepNext w:val="0"/>
                    <w:keepLines w:val="0"/>
                    <w:widowControl/>
                    <w:suppressLineNumbers w:val="0"/>
                    <w:jc w:val="center"/>
                    <w:textAlignment w:val="center"/>
                    <w:rPr>
                      <w:rFonts w:hint="default"/>
                      <w:color w:val="auto"/>
                      <w:szCs w:val="21"/>
                      <w:lang w:val="en-US" w:eastAsia="zh-CN"/>
                    </w:rPr>
                  </w:pPr>
                  <w:r>
                    <w:rPr>
                      <w:rFonts w:hint="eastAsia" w:ascii="宋体" w:hAnsi="宋体" w:eastAsia="宋体" w:cs="宋体"/>
                      <w:i w:val="0"/>
                      <w:iCs w:val="0"/>
                      <w:color w:val="auto"/>
                      <w:kern w:val="0"/>
                      <w:sz w:val="21"/>
                      <w:szCs w:val="21"/>
                      <w:u w:val="none"/>
                      <w:lang w:val="en-US" w:eastAsia="zh-CN" w:bidi="ar"/>
                    </w:rPr>
                    <w:t>废包装桶</w:t>
                  </w:r>
                </w:p>
              </w:tc>
              <w:tc>
                <w:tcPr>
                  <w:tcW w:w="1395" w:type="pct"/>
                  <w:noWrap w:val="0"/>
                  <w:vAlign w:val="center"/>
                </w:tcPr>
                <w:p w14:paraId="5B236BE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0.04</w:t>
                  </w:r>
                </w:p>
              </w:tc>
              <w:tc>
                <w:tcPr>
                  <w:tcW w:w="1475" w:type="pct"/>
                  <w:noWrap w:val="0"/>
                  <w:vAlign w:val="center"/>
                </w:tcPr>
                <w:p w14:paraId="6E5E0A60">
                  <w:pPr>
                    <w:jc w:val="center"/>
                    <w:rPr>
                      <w:color w:val="auto"/>
                      <w:szCs w:val="21"/>
                    </w:rPr>
                  </w:pPr>
                  <w:r>
                    <w:rPr>
                      <w:color w:val="auto"/>
                      <w:szCs w:val="21"/>
                    </w:rPr>
                    <w:t>危废仓库</w:t>
                  </w:r>
                </w:p>
              </w:tc>
            </w:tr>
            <w:tr w14:paraId="14217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noWrap w:val="0"/>
                  <w:vAlign w:val="center"/>
                </w:tcPr>
                <w:p w14:paraId="7BB3D612">
                  <w:pPr>
                    <w:jc w:val="center"/>
                    <w:rPr>
                      <w:rFonts w:hint="default"/>
                      <w:color w:val="auto"/>
                      <w:szCs w:val="21"/>
                      <w:lang w:val="en-US" w:eastAsia="zh-CN"/>
                    </w:rPr>
                  </w:pPr>
                  <w:r>
                    <w:rPr>
                      <w:rFonts w:hint="eastAsia"/>
                      <w:color w:val="auto"/>
                      <w:szCs w:val="21"/>
                      <w:lang w:val="en-US" w:eastAsia="zh-CN"/>
                    </w:rPr>
                    <w:t>8</w:t>
                  </w:r>
                </w:p>
              </w:tc>
              <w:tc>
                <w:tcPr>
                  <w:tcW w:w="1327" w:type="pct"/>
                  <w:noWrap w:val="0"/>
                  <w:vAlign w:val="center"/>
                </w:tcPr>
                <w:p w14:paraId="0906766A">
                  <w:pPr>
                    <w:keepNext w:val="0"/>
                    <w:keepLines w:val="0"/>
                    <w:widowControl/>
                    <w:suppressLineNumbers w:val="0"/>
                    <w:jc w:val="center"/>
                    <w:textAlignment w:val="center"/>
                    <w:rPr>
                      <w:rFonts w:hint="eastAsia"/>
                      <w:color w:val="auto"/>
                      <w:szCs w:val="21"/>
                      <w:lang w:val="en-US" w:eastAsia="zh-CN"/>
                    </w:rPr>
                  </w:pPr>
                  <w:r>
                    <w:rPr>
                      <w:rFonts w:hint="eastAsia" w:ascii="宋体" w:hAnsi="宋体" w:eastAsia="宋体" w:cs="宋体"/>
                      <w:i w:val="0"/>
                      <w:iCs w:val="0"/>
                      <w:color w:val="auto"/>
                      <w:kern w:val="0"/>
                      <w:sz w:val="21"/>
                      <w:szCs w:val="21"/>
                      <w:u w:val="none"/>
                      <w:lang w:val="en-US" w:eastAsia="zh-CN" w:bidi="ar"/>
                    </w:rPr>
                    <w:t>废含油抹布</w:t>
                  </w:r>
                </w:p>
              </w:tc>
              <w:tc>
                <w:tcPr>
                  <w:tcW w:w="1395" w:type="pct"/>
                  <w:noWrap w:val="0"/>
                  <w:vAlign w:val="center"/>
                </w:tcPr>
                <w:p w14:paraId="389E509F">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0.005</w:t>
                  </w:r>
                </w:p>
              </w:tc>
              <w:tc>
                <w:tcPr>
                  <w:tcW w:w="1475" w:type="pct"/>
                  <w:noWrap w:val="0"/>
                  <w:vAlign w:val="center"/>
                </w:tcPr>
                <w:p w14:paraId="5E294116">
                  <w:pPr>
                    <w:jc w:val="center"/>
                    <w:rPr>
                      <w:color w:val="auto"/>
                      <w:szCs w:val="21"/>
                    </w:rPr>
                  </w:pPr>
                  <w:r>
                    <w:rPr>
                      <w:color w:val="auto"/>
                      <w:szCs w:val="21"/>
                    </w:rPr>
                    <w:t>危废仓库</w:t>
                  </w:r>
                </w:p>
              </w:tc>
            </w:tr>
            <w:tr w14:paraId="6FB5B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 w:type="pct"/>
                  <w:noWrap w:val="0"/>
                  <w:vAlign w:val="center"/>
                </w:tcPr>
                <w:p w14:paraId="63A827DB">
                  <w:pPr>
                    <w:jc w:val="center"/>
                    <w:rPr>
                      <w:rFonts w:hint="default"/>
                      <w:color w:val="auto"/>
                      <w:szCs w:val="21"/>
                      <w:lang w:val="en-US" w:eastAsia="zh-CN"/>
                    </w:rPr>
                  </w:pPr>
                  <w:r>
                    <w:rPr>
                      <w:rFonts w:hint="eastAsia"/>
                      <w:color w:val="auto"/>
                      <w:szCs w:val="21"/>
                      <w:lang w:val="en-US" w:eastAsia="zh-CN"/>
                    </w:rPr>
                    <w:t>9</w:t>
                  </w:r>
                </w:p>
              </w:tc>
              <w:tc>
                <w:tcPr>
                  <w:tcW w:w="1327" w:type="pct"/>
                  <w:noWrap w:val="0"/>
                  <w:vAlign w:val="center"/>
                </w:tcPr>
                <w:p w14:paraId="2A42515A">
                  <w:pPr>
                    <w:keepNext w:val="0"/>
                    <w:keepLines w:val="0"/>
                    <w:widowControl/>
                    <w:suppressLineNumbers w:val="0"/>
                    <w:jc w:val="center"/>
                    <w:textAlignment w:val="center"/>
                    <w:rPr>
                      <w:rFonts w:hint="eastAsia"/>
                      <w:color w:val="auto"/>
                      <w:szCs w:val="21"/>
                      <w:lang w:val="en-US" w:eastAsia="zh-CN"/>
                    </w:rPr>
                  </w:pPr>
                  <w:r>
                    <w:rPr>
                      <w:rFonts w:hint="eastAsia" w:ascii="宋体" w:hAnsi="宋体" w:eastAsia="宋体" w:cs="宋体"/>
                      <w:i w:val="0"/>
                      <w:iCs w:val="0"/>
                      <w:color w:val="auto"/>
                      <w:kern w:val="0"/>
                      <w:sz w:val="21"/>
                      <w:szCs w:val="21"/>
                      <w:u w:val="none"/>
                      <w:lang w:val="en-US" w:eastAsia="zh-CN" w:bidi="ar"/>
                    </w:rPr>
                    <w:t>废活性炭</w:t>
                  </w:r>
                </w:p>
              </w:tc>
              <w:tc>
                <w:tcPr>
                  <w:tcW w:w="1395" w:type="pct"/>
                  <w:noWrap w:val="0"/>
                  <w:vAlign w:val="center"/>
                </w:tcPr>
                <w:p w14:paraId="47EFC43F">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475" w:type="pct"/>
                  <w:noWrap w:val="0"/>
                  <w:vAlign w:val="center"/>
                </w:tcPr>
                <w:p w14:paraId="73A76CBC">
                  <w:pPr>
                    <w:jc w:val="center"/>
                    <w:rPr>
                      <w:color w:val="auto"/>
                      <w:szCs w:val="21"/>
                    </w:rPr>
                  </w:pPr>
                  <w:r>
                    <w:rPr>
                      <w:color w:val="auto"/>
                      <w:szCs w:val="21"/>
                    </w:rPr>
                    <w:t>危废仓库</w:t>
                  </w:r>
                </w:p>
              </w:tc>
            </w:tr>
          </w:tbl>
          <w:p w14:paraId="008041C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b/>
                <w:color w:val="auto"/>
                <w:szCs w:val="21"/>
              </w:rPr>
            </w:pPr>
            <w:r>
              <w:rPr>
                <w:b/>
                <w:color w:val="auto"/>
                <w:szCs w:val="21"/>
              </w:rPr>
              <w:t>（2）Q值计算</w:t>
            </w:r>
          </w:p>
          <w:p w14:paraId="75F1CEFA">
            <w:pPr>
              <w:spacing w:line="360" w:lineRule="auto"/>
              <w:ind w:firstLine="420" w:firstLineChars="200"/>
              <w:rPr>
                <w:bCs/>
                <w:color w:val="auto"/>
                <w:szCs w:val="21"/>
              </w:rPr>
            </w:pPr>
            <w:r>
              <w:rPr>
                <w:bCs/>
                <w:color w:val="auto"/>
                <w:szCs w:val="21"/>
              </w:rPr>
              <w:t>根据《建设项目环境风险评价技术导则》（HJ/T169-2018）中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1766FEB8">
            <w:pPr>
              <w:spacing w:line="360" w:lineRule="auto"/>
              <w:ind w:firstLine="420" w:firstLineChars="200"/>
              <w:rPr>
                <w:bCs/>
                <w:color w:val="auto"/>
                <w:szCs w:val="21"/>
              </w:rPr>
            </w:pPr>
            <w:r>
              <w:rPr>
                <w:bCs/>
                <w:color w:val="auto"/>
                <w:szCs w:val="21"/>
              </w:rPr>
              <w:t>当只涉及一种危险物质时，计算该物质的总量与其临界量比值，即为Q；当存在多种危险物质时，则按式（C.1）计算物质总量与其临界量比值（Q）：</w:t>
            </w:r>
          </w:p>
          <w:p w14:paraId="53C1D7F5">
            <w:pPr>
              <w:pStyle w:val="9"/>
              <w:snapToGrid/>
              <w:spacing w:before="0" w:line="360" w:lineRule="auto"/>
              <w:ind w:firstLine="0"/>
              <w:jc w:val="center"/>
              <w:rPr>
                <w:color w:val="auto"/>
                <w:sz w:val="21"/>
                <w:szCs w:val="21"/>
              </w:rPr>
            </w:pPr>
            <w:r>
              <w:rPr>
                <w:color w:val="auto"/>
                <w:position w:val="-30"/>
                <w:sz w:val="21"/>
                <w:szCs w:val="21"/>
              </w:rPr>
              <w:object>
                <v:shape id="_x0000_i1031" o:spt="75" type="#_x0000_t75" style="height:34.8pt;width:150.7pt;" o:ole="t" filled="f" o:preferrelative="t" stroked="f" coordsize="21600,21600">
                  <v:path/>
                  <v:fill on="f" focussize="0,0"/>
                  <v:stroke on="f"/>
                  <v:imagedata r:id="rId26" o:title=""/>
                  <o:lock v:ext="edit" aspectratio="t"/>
                  <w10:wrap type="none"/>
                  <w10:anchorlock/>
                </v:shape>
                <o:OLEObject Type="Embed" ProgID="Equation.3" ShapeID="_x0000_i1031" DrawAspect="Content" ObjectID="_1468075731" r:id="rId25">
                  <o:LockedField>false</o:LockedField>
                </o:OLEObject>
              </w:object>
            </w:r>
          </w:p>
          <w:p w14:paraId="1569E442">
            <w:pPr>
              <w:spacing w:line="360" w:lineRule="auto"/>
              <w:ind w:firstLine="420" w:firstLineChars="200"/>
              <w:jc w:val="left"/>
              <w:rPr>
                <w:bCs/>
                <w:color w:val="auto"/>
                <w:szCs w:val="21"/>
              </w:rPr>
            </w:pPr>
            <w:r>
              <w:rPr>
                <w:bCs/>
                <w:color w:val="auto"/>
                <w:szCs w:val="21"/>
              </w:rPr>
              <w:t>式中：q</w:t>
            </w:r>
            <w:r>
              <w:rPr>
                <w:bCs/>
                <w:color w:val="auto"/>
                <w:szCs w:val="21"/>
                <w:vertAlign w:val="subscript"/>
              </w:rPr>
              <w:t>1</w:t>
            </w:r>
            <w:r>
              <w:rPr>
                <w:bCs/>
                <w:color w:val="auto"/>
                <w:szCs w:val="21"/>
              </w:rPr>
              <w:t>，q</w:t>
            </w:r>
            <w:r>
              <w:rPr>
                <w:bCs/>
                <w:color w:val="auto"/>
                <w:szCs w:val="21"/>
                <w:vertAlign w:val="subscript"/>
              </w:rPr>
              <w:t>2</w:t>
            </w:r>
            <w:r>
              <w:rPr>
                <w:bCs/>
                <w:color w:val="auto"/>
                <w:szCs w:val="21"/>
              </w:rPr>
              <w:t>，q</w:t>
            </w:r>
            <w:r>
              <w:rPr>
                <w:bCs/>
                <w:color w:val="auto"/>
                <w:szCs w:val="21"/>
                <w:vertAlign w:val="subscript"/>
              </w:rPr>
              <w:t>3</w:t>
            </w:r>
            <w:r>
              <w:rPr>
                <w:bCs/>
                <w:color w:val="auto"/>
                <w:szCs w:val="21"/>
              </w:rPr>
              <w:t>，...q</w:t>
            </w:r>
            <w:r>
              <w:rPr>
                <w:bCs/>
                <w:color w:val="auto"/>
                <w:szCs w:val="21"/>
                <w:vertAlign w:val="subscript"/>
              </w:rPr>
              <w:t>n</w:t>
            </w:r>
            <w:r>
              <w:rPr>
                <w:bCs/>
                <w:color w:val="auto"/>
                <w:szCs w:val="21"/>
              </w:rPr>
              <w:t>——每种危险物质的最大存在总量，t；</w:t>
            </w:r>
          </w:p>
          <w:p w14:paraId="7BAE139F">
            <w:pPr>
              <w:spacing w:line="360" w:lineRule="auto"/>
              <w:ind w:firstLine="1050" w:firstLineChars="500"/>
              <w:jc w:val="left"/>
              <w:rPr>
                <w:color w:val="auto"/>
                <w:szCs w:val="21"/>
              </w:rPr>
            </w:pPr>
            <w:r>
              <w:rPr>
                <w:iCs/>
                <w:color w:val="auto"/>
                <w:szCs w:val="21"/>
              </w:rPr>
              <w:t>Q</w:t>
            </w:r>
            <w:r>
              <w:rPr>
                <w:iCs/>
                <w:color w:val="auto"/>
                <w:szCs w:val="21"/>
                <w:vertAlign w:val="subscript"/>
              </w:rPr>
              <w:t>1</w:t>
            </w:r>
            <w:r>
              <w:rPr>
                <w:iCs/>
                <w:color w:val="auto"/>
                <w:szCs w:val="21"/>
              </w:rPr>
              <w:t>，Q</w:t>
            </w:r>
            <w:r>
              <w:rPr>
                <w:iCs/>
                <w:color w:val="auto"/>
                <w:szCs w:val="21"/>
                <w:vertAlign w:val="subscript"/>
              </w:rPr>
              <w:t>2</w:t>
            </w:r>
            <w:r>
              <w:rPr>
                <w:iCs/>
                <w:color w:val="auto"/>
                <w:szCs w:val="21"/>
              </w:rPr>
              <w:t>，Q</w:t>
            </w:r>
            <w:r>
              <w:rPr>
                <w:iCs/>
                <w:color w:val="auto"/>
                <w:szCs w:val="21"/>
                <w:vertAlign w:val="subscript"/>
              </w:rPr>
              <w:t>3</w:t>
            </w:r>
            <w:r>
              <w:rPr>
                <w:iCs/>
                <w:color w:val="auto"/>
                <w:szCs w:val="21"/>
              </w:rPr>
              <w:t>，</w:t>
            </w:r>
            <w:r>
              <w:rPr>
                <w:bCs/>
                <w:color w:val="auto"/>
                <w:szCs w:val="21"/>
              </w:rPr>
              <w:t>...</w:t>
            </w:r>
            <w:r>
              <w:rPr>
                <w:iCs/>
                <w:color w:val="auto"/>
                <w:szCs w:val="21"/>
              </w:rPr>
              <w:t>Q</w:t>
            </w:r>
            <w:r>
              <w:rPr>
                <w:iCs/>
                <w:color w:val="auto"/>
                <w:szCs w:val="21"/>
                <w:vertAlign w:val="subscript"/>
              </w:rPr>
              <w:t>n</w:t>
            </w:r>
            <w:r>
              <w:rPr>
                <w:color w:val="auto"/>
                <w:szCs w:val="21"/>
              </w:rPr>
              <w:t>——</w:t>
            </w:r>
            <w:r>
              <w:rPr>
                <w:bCs/>
                <w:color w:val="auto"/>
                <w:szCs w:val="21"/>
              </w:rPr>
              <w:t>每种危险物质的临界量</w:t>
            </w:r>
            <w:r>
              <w:rPr>
                <w:color w:val="auto"/>
                <w:szCs w:val="21"/>
              </w:rPr>
              <w:t>，t。</w:t>
            </w:r>
          </w:p>
          <w:p w14:paraId="68900293">
            <w:pPr>
              <w:spacing w:line="360" w:lineRule="auto"/>
              <w:ind w:firstLine="420" w:firstLineChars="200"/>
              <w:rPr>
                <w:bCs/>
                <w:color w:val="auto"/>
                <w:szCs w:val="21"/>
              </w:rPr>
            </w:pPr>
            <w:r>
              <w:rPr>
                <w:bCs/>
                <w:color w:val="auto"/>
                <w:szCs w:val="21"/>
              </w:rPr>
              <w:t>当Q＜1时，该项目环境风险潜势为Ⅰ。</w:t>
            </w:r>
          </w:p>
          <w:p w14:paraId="032DF6F8">
            <w:pPr>
              <w:spacing w:line="360" w:lineRule="auto"/>
              <w:ind w:firstLine="420" w:firstLineChars="200"/>
              <w:rPr>
                <w:bCs/>
                <w:color w:val="auto"/>
                <w:szCs w:val="21"/>
              </w:rPr>
            </w:pPr>
            <w:r>
              <w:rPr>
                <w:bCs/>
                <w:color w:val="auto"/>
                <w:szCs w:val="21"/>
              </w:rPr>
              <w:t>当Q≥1时，将Q值划分为：（1）1≤Q＜10；（2）10≤Q＜100；（3）Q≥100。</w:t>
            </w:r>
          </w:p>
          <w:p w14:paraId="1F4E808A">
            <w:pPr>
              <w:spacing w:line="360" w:lineRule="auto"/>
              <w:ind w:firstLine="420" w:firstLineChars="200"/>
              <w:rPr>
                <w:bCs/>
                <w:color w:val="auto"/>
                <w:szCs w:val="21"/>
              </w:rPr>
            </w:pPr>
            <w:r>
              <w:rPr>
                <w:bCs/>
                <w:color w:val="auto"/>
                <w:szCs w:val="21"/>
              </w:rPr>
              <w:t>根据全厂风险物质的最大存在总量与其在附录B中对应临界量进行计算，具体见下表。</w:t>
            </w:r>
          </w:p>
          <w:p w14:paraId="52D9E1C0">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b/>
                <w:color w:val="auto"/>
                <w:szCs w:val="21"/>
              </w:rPr>
              <w:t>表4-</w:t>
            </w:r>
            <w:r>
              <w:rPr>
                <w:rFonts w:hint="eastAsia"/>
                <w:b/>
                <w:color w:val="auto"/>
                <w:szCs w:val="21"/>
                <w:lang w:val="en-US" w:eastAsia="zh-CN"/>
              </w:rPr>
              <w:t>30</w:t>
            </w:r>
            <w:r>
              <w:rPr>
                <w:b/>
                <w:color w:val="auto"/>
                <w:szCs w:val="21"/>
              </w:rPr>
              <w:t xml:space="preserve"> 风险物质最大存在总量及临界量</w:t>
            </w:r>
          </w:p>
          <w:tbl>
            <w:tblPr>
              <w:tblStyle w:val="28"/>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933"/>
              <w:gridCol w:w="2127"/>
              <w:gridCol w:w="1396"/>
              <w:gridCol w:w="1951"/>
            </w:tblGrid>
            <w:tr w14:paraId="0D992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7DE390CE">
                  <w:pPr>
                    <w:adjustRightInd w:val="0"/>
                    <w:snapToGrid w:val="0"/>
                    <w:jc w:val="center"/>
                    <w:rPr>
                      <w:b/>
                      <w:color w:val="auto"/>
                      <w:szCs w:val="21"/>
                    </w:rPr>
                  </w:pPr>
                  <w:r>
                    <w:rPr>
                      <w:b/>
                      <w:color w:val="auto"/>
                      <w:szCs w:val="21"/>
                    </w:rPr>
                    <w:t>序号</w:t>
                  </w:r>
                </w:p>
              </w:tc>
              <w:tc>
                <w:tcPr>
                  <w:tcW w:w="1933" w:type="dxa"/>
                  <w:noWrap w:val="0"/>
                  <w:vAlign w:val="center"/>
                </w:tcPr>
                <w:p w14:paraId="36618AD1">
                  <w:pPr>
                    <w:adjustRightInd w:val="0"/>
                    <w:snapToGrid w:val="0"/>
                    <w:jc w:val="center"/>
                    <w:rPr>
                      <w:b/>
                      <w:color w:val="auto"/>
                      <w:szCs w:val="21"/>
                    </w:rPr>
                  </w:pPr>
                  <w:r>
                    <w:rPr>
                      <w:b/>
                      <w:color w:val="auto"/>
                      <w:szCs w:val="21"/>
                    </w:rPr>
                    <w:t>危险物质名称</w:t>
                  </w:r>
                </w:p>
              </w:tc>
              <w:tc>
                <w:tcPr>
                  <w:tcW w:w="2127" w:type="dxa"/>
                  <w:noWrap w:val="0"/>
                  <w:vAlign w:val="center"/>
                </w:tcPr>
                <w:p w14:paraId="23C4081A">
                  <w:pPr>
                    <w:adjustRightInd w:val="0"/>
                    <w:snapToGrid w:val="0"/>
                    <w:jc w:val="center"/>
                    <w:rPr>
                      <w:b/>
                      <w:color w:val="auto"/>
                      <w:szCs w:val="21"/>
                    </w:rPr>
                  </w:pPr>
                  <w:r>
                    <w:rPr>
                      <w:b/>
                      <w:color w:val="auto"/>
                      <w:szCs w:val="21"/>
                    </w:rPr>
                    <w:t>最大存在总量q</w:t>
                  </w:r>
                  <w:r>
                    <w:rPr>
                      <w:b/>
                      <w:color w:val="auto"/>
                      <w:szCs w:val="21"/>
                      <w:vertAlign w:val="subscript"/>
                    </w:rPr>
                    <w:t>n</w:t>
                  </w:r>
                  <w:r>
                    <w:rPr>
                      <w:b/>
                      <w:color w:val="auto"/>
                      <w:szCs w:val="21"/>
                    </w:rPr>
                    <w:t>/t</w:t>
                  </w:r>
                </w:p>
              </w:tc>
              <w:tc>
                <w:tcPr>
                  <w:tcW w:w="1396" w:type="dxa"/>
                  <w:noWrap w:val="0"/>
                  <w:vAlign w:val="center"/>
                </w:tcPr>
                <w:p w14:paraId="5A21D881">
                  <w:pPr>
                    <w:adjustRightInd w:val="0"/>
                    <w:snapToGrid w:val="0"/>
                    <w:jc w:val="center"/>
                    <w:rPr>
                      <w:b/>
                      <w:color w:val="auto"/>
                      <w:szCs w:val="21"/>
                    </w:rPr>
                  </w:pPr>
                  <w:r>
                    <w:rPr>
                      <w:b/>
                      <w:color w:val="auto"/>
                      <w:szCs w:val="21"/>
                    </w:rPr>
                    <w:t>临界量Q</w:t>
                  </w:r>
                  <w:r>
                    <w:rPr>
                      <w:b/>
                      <w:color w:val="auto"/>
                      <w:szCs w:val="21"/>
                      <w:vertAlign w:val="subscript"/>
                    </w:rPr>
                    <w:t>n</w:t>
                  </w:r>
                  <w:r>
                    <w:rPr>
                      <w:b/>
                      <w:color w:val="auto"/>
                      <w:szCs w:val="21"/>
                    </w:rPr>
                    <w:t>/t</w:t>
                  </w:r>
                </w:p>
              </w:tc>
              <w:tc>
                <w:tcPr>
                  <w:tcW w:w="1951" w:type="dxa"/>
                  <w:noWrap w:val="0"/>
                  <w:vAlign w:val="center"/>
                </w:tcPr>
                <w:p w14:paraId="3F95D96F">
                  <w:pPr>
                    <w:adjustRightInd w:val="0"/>
                    <w:snapToGrid w:val="0"/>
                    <w:jc w:val="center"/>
                    <w:rPr>
                      <w:b/>
                      <w:color w:val="auto"/>
                      <w:szCs w:val="21"/>
                    </w:rPr>
                  </w:pPr>
                  <w:r>
                    <w:rPr>
                      <w:b/>
                      <w:color w:val="auto"/>
                      <w:szCs w:val="21"/>
                    </w:rPr>
                    <w:t>危险物质Q值</w:t>
                  </w:r>
                </w:p>
              </w:tc>
            </w:tr>
            <w:tr w14:paraId="1A3B5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7C97F66A">
                  <w:pPr>
                    <w:jc w:val="center"/>
                    <w:rPr>
                      <w:color w:val="auto"/>
                      <w:szCs w:val="21"/>
                    </w:rPr>
                  </w:pPr>
                  <w:r>
                    <w:rPr>
                      <w:color w:val="auto"/>
                      <w:szCs w:val="21"/>
                    </w:rPr>
                    <w:t>1</w:t>
                  </w:r>
                </w:p>
              </w:tc>
              <w:tc>
                <w:tcPr>
                  <w:tcW w:w="1933" w:type="dxa"/>
                  <w:shd w:val="clear" w:color="auto" w:fill="auto"/>
                  <w:noWrap w:val="0"/>
                  <w:vAlign w:val="center"/>
                </w:tcPr>
                <w:p w14:paraId="6C2C3F97">
                  <w:pPr>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环保增塑剂</w:t>
                  </w:r>
                </w:p>
              </w:tc>
              <w:tc>
                <w:tcPr>
                  <w:tcW w:w="2127" w:type="dxa"/>
                  <w:shd w:val="clear" w:color="auto" w:fill="auto"/>
                  <w:noWrap w:val="0"/>
                  <w:vAlign w:val="center"/>
                </w:tcPr>
                <w:p w14:paraId="4D17075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c>
                <w:tcPr>
                  <w:tcW w:w="1396" w:type="dxa"/>
                  <w:noWrap w:val="0"/>
                  <w:vAlign w:val="center"/>
                </w:tcPr>
                <w:p w14:paraId="29BBBD85">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2500</w:t>
                  </w:r>
                </w:p>
              </w:tc>
              <w:tc>
                <w:tcPr>
                  <w:tcW w:w="1951" w:type="dxa"/>
                  <w:vMerge w:val="restart"/>
                  <w:noWrap w:val="0"/>
                  <w:vAlign w:val="center"/>
                </w:tcPr>
                <w:p w14:paraId="72297748">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w:t>
                  </w:r>
                  <w:r>
                    <w:rPr>
                      <w:rFonts w:hint="eastAsia" w:cs="Times New Roman"/>
                      <w:bCs/>
                      <w:color w:val="auto"/>
                      <w:szCs w:val="21"/>
                      <w:lang w:val="en-US" w:eastAsia="zh-CN"/>
                    </w:rPr>
                    <w:t>4246</w:t>
                  </w:r>
                </w:p>
              </w:tc>
            </w:tr>
            <w:tr w14:paraId="7C6E8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5F5288C5">
                  <w:pPr>
                    <w:jc w:val="center"/>
                    <w:rPr>
                      <w:color w:val="auto"/>
                      <w:szCs w:val="21"/>
                    </w:rPr>
                  </w:pPr>
                  <w:r>
                    <w:rPr>
                      <w:rFonts w:hint="eastAsia"/>
                      <w:color w:val="auto"/>
                      <w:szCs w:val="21"/>
                    </w:rPr>
                    <w:t>2</w:t>
                  </w:r>
                </w:p>
              </w:tc>
              <w:tc>
                <w:tcPr>
                  <w:tcW w:w="1933" w:type="dxa"/>
                  <w:shd w:val="clear" w:color="auto" w:fill="auto"/>
                  <w:noWrap w:val="0"/>
                  <w:vAlign w:val="center"/>
                </w:tcPr>
                <w:p w14:paraId="4EBC2F77">
                  <w:pPr>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color w:val="auto"/>
                      <w:szCs w:val="21"/>
                    </w:rPr>
                    <w:t>抗氧剂</w:t>
                  </w:r>
                </w:p>
              </w:tc>
              <w:tc>
                <w:tcPr>
                  <w:tcW w:w="2127" w:type="dxa"/>
                  <w:shd w:val="clear" w:color="auto" w:fill="auto"/>
                  <w:noWrap w:val="0"/>
                  <w:vAlign w:val="center"/>
                </w:tcPr>
                <w:p w14:paraId="51B6C59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0.1</w:t>
                  </w:r>
                </w:p>
              </w:tc>
              <w:tc>
                <w:tcPr>
                  <w:tcW w:w="1396" w:type="dxa"/>
                  <w:noWrap w:val="0"/>
                  <w:vAlign w:val="center"/>
                </w:tcPr>
                <w:p w14:paraId="3E3460AC">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100</w:t>
                  </w:r>
                </w:p>
              </w:tc>
              <w:tc>
                <w:tcPr>
                  <w:tcW w:w="1951" w:type="dxa"/>
                  <w:vMerge w:val="continue"/>
                  <w:noWrap w:val="0"/>
                  <w:vAlign w:val="center"/>
                </w:tcPr>
                <w:p w14:paraId="7A92F4A1">
                  <w:pPr>
                    <w:adjustRightInd w:val="0"/>
                    <w:snapToGrid w:val="0"/>
                    <w:jc w:val="center"/>
                    <w:rPr>
                      <w:rFonts w:ascii="Times New Roman" w:hAnsi="Times New Roman" w:eastAsia="宋体" w:cs="Times New Roman"/>
                      <w:bCs/>
                      <w:color w:val="auto"/>
                      <w:szCs w:val="21"/>
                    </w:rPr>
                  </w:pPr>
                </w:p>
              </w:tc>
            </w:tr>
            <w:tr w14:paraId="7DE3C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25814547">
                  <w:pPr>
                    <w:jc w:val="center"/>
                    <w:rPr>
                      <w:rFonts w:hint="eastAsia" w:eastAsia="宋体"/>
                      <w:color w:val="auto"/>
                      <w:szCs w:val="21"/>
                      <w:lang w:val="en-US" w:eastAsia="zh-CN"/>
                    </w:rPr>
                  </w:pPr>
                  <w:r>
                    <w:rPr>
                      <w:rFonts w:hint="eastAsia"/>
                      <w:color w:val="auto"/>
                      <w:szCs w:val="21"/>
                      <w:lang w:val="en-US" w:eastAsia="zh-CN"/>
                    </w:rPr>
                    <w:t>3</w:t>
                  </w:r>
                </w:p>
              </w:tc>
              <w:tc>
                <w:tcPr>
                  <w:tcW w:w="1933" w:type="dxa"/>
                  <w:shd w:val="clear" w:color="auto" w:fill="auto"/>
                  <w:noWrap w:val="0"/>
                  <w:vAlign w:val="center"/>
                </w:tcPr>
                <w:p w14:paraId="0198996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润滑油</w:t>
                  </w:r>
                </w:p>
              </w:tc>
              <w:tc>
                <w:tcPr>
                  <w:tcW w:w="2127" w:type="dxa"/>
                  <w:shd w:val="clear" w:color="auto" w:fill="auto"/>
                  <w:noWrap w:val="0"/>
                  <w:vAlign w:val="center"/>
                </w:tcPr>
                <w:p w14:paraId="79A02B0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0.025</w:t>
                  </w:r>
                </w:p>
              </w:tc>
              <w:tc>
                <w:tcPr>
                  <w:tcW w:w="1396" w:type="dxa"/>
                  <w:noWrap w:val="0"/>
                  <w:vAlign w:val="center"/>
                </w:tcPr>
                <w:p w14:paraId="4FFC7F39">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2500</w:t>
                  </w:r>
                </w:p>
              </w:tc>
              <w:tc>
                <w:tcPr>
                  <w:tcW w:w="1951" w:type="dxa"/>
                  <w:vMerge w:val="continue"/>
                  <w:noWrap w:val="0"/>
                  <w:vAlign w:val="center"/>
                </w:tcPr>
                <w:p w14:paraId="40219397">
                  <w:pPr>
                    <w:adjustRightInd w:val="0"/>
                    <w:snapToGrid w:val="0"/>
                    <w:jc w:val="center"/>
                    <w:rPr>
                      <w:rFonts w:ascii="Times New Roman" w:hAnsi="Times New Roman" w:eastAsia="宋体" w:cs="Times New Roman"/>
                      <w:bCs/>
                      <w:color w:val="auto"/>
                      <w:szCs w:val="21"/>
                    </w:rPr>
                  </w:pPr>
                </w:p>
              </w:tc>
            </w:tr>
            <w:tr w14:paraId="163B3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111568D2">
                  <w:pPr>
                    <w:jc w:val="center"/>
                    <w:rPr>
                      <w:rFonts w:hint="eastAsia"/>
                      <w:color w:val="auto"/>
                      <w:szCs w:val="21"/>
                      <w:lang w:val="en-US" w:eastAsia="zh-CN"/>
                    </w:rPr>
                  </w:pPr>
                  <w:r>
                    <w:rPr>
                      <w:rFonts w:hint="eastAsia"/>
                      <w:color w:val="auto"/>
                      <w:szCs w:val="21"/>
                      <w:lang w:val="en-US" w:eastAsia="zh-CN"/>
                    </w:rPr>
                    <w:t>4</w:t>
                  </w:r>
                </w:p>
              </w:tc>
              <w:tc>
                <w:tcPr>
                  <w:tcW w:w="1933" w:type="dxa"/>
                  <w:shd w:val="clear" w:color="auto" w:fill="auto"/>
                  <w:noWrap w:val="0"/>
                  <w:vAlign w:val="center"/>
                </w:tcPr>
                <w:p w14:paraId="084307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喷淋塔废液</w:t>
                  </w:r>
                </w:p>
              </w:tc>
              <w:tc>
                <w:tcPr>
                  <w:tcW w:w="2127" w:type="dxa"/>
                  <w:shd w:val="clear" w:color="auto" w:fill="auto"/>
                  <w:noWrap w:val="0"/>
                  <w:vAlign w:val="center"/>
                </w:tcPr>
                <w:p w14:paraId="217143F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w:t>
                  </w:r>
                </w:p>
              </w:tc>
              <w:tc>
                <w:tcPr>
                  <w:tcW w:w="1396" w:type="dxa"/>
                  <w:noWrap w:val="0"/>
                  <w:vAlign w:val="center"/>
                </w:tcPr>
                <w:p w14:paraId="0F140A2B">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w:t>
                  </w:r>
                </w:p>
              </w:tc>
              <w:tc>
                <w:tcPr>
                  <w:tcW w:w="1951" w:type="dxa"/>
                  <w:vMerge w:val="continue"/>
                  <w:noWrap w:val="0"/>
                  <w:vAlign w:val="center"/>
                </w:tcPr>
                <w:p w14:paraId="2AACA206">
                  <w:pPr>
                    <w:adjustRightInd w:val="0"/>
                    <w:snapToGrid w:val="0"/>
                    <w:jc w:val="center"/>
                    <w:rPr>
                      <w:rFonts w:ascii="Times New Roman" w:hAnsi="Times New Roman" w:eastAsia="宋体" w:cs="Times New Roman"/>
                      <w:bCs/>
                      <w:color w:val="auto"/>
                      <w:szCs w:val="21"/>
                    </w:rPr>
                  </w:pPr>
                </w:p>
              </w:tc>
            </w:tr>
            <w:tr w14:paraId="1E443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6BC95EA2">
                  <w:pPr>
                    <w:jc w:val="center"/>
                    <w:rPr>
                      <w:rFonts w:hint="default" w:eastAsia="宋体"/>
                      <w:color w:val="auto"/>
                      <w:szCs w:val="21"/>
                      <w:lang w:val="en-US" w:eastAsia="zh-CN"/>
                    </w:rPr>
                  </w:pPr>
                  <w:r>
                    <w:rPr>
                      <w:rFonts w:hint="eastAsia"/>
                      <w:color w:val="auto"/>
                      <w:szCs w:val="21"/>
                      <w:lang w:val="en-US" w:eastAsia="zh-CN"/>
                    </w:rPr>
                    <w:t>5</w:t>
                  </w:r>
                </w:p>
              </w:tc>
              <w:tc>
                <w:tcPr>
                  <w:tcW w:w="1933" w:type="dxa"/>
                  <w:shd w:val="clear" w:color="auto" w:fill="auto"/>
                  <w:noWrap w:val="0"/>
                  <w:vAlign w:val="center"/>
                </w:tcPr>
                <w:p w14:paraId="410DFFD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废润滑油</w:t>
                  </w:r>
                </w:p>
              </w:tc>
              <w:tc>
                <w:tcPr>
                  <w:tcW w:w="2127" w:type="dxa"/>
                  <w:shd w:val="clear" w:color="auto" w:fill="auto"/>
                  <w:noWrap w:val="0"/>
                  <w:vAlign w:val="center"/>
                </w:tcPr>
                <w:p w14:paraId="3DFA753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0.2</w:t>
                  </w:r>
                </w:p>
              </w:tc>
              <w:tc>
                <w:tcPr>
                  <w:tcW w:w="1396" w:type="dxa"/>
                  <w:noWrap w:val="0"/>
                  <w:vAlign w:val="center"/>
                </w:tcPr>
                <w:p w14:paraId="34E54DCD">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w:t>
                  </w:r>
                </w:p>
              </w:tc>
              <w:tc>
                <w:tcPr>
                  <w:tcW w:w="1951" w:type="dxa"/>
                  <w:vMerge w:val="continue"/>
                  <w:noWrap w:val="0"/>
                  <w:vAlign w:val="center"/>
                </w:tcPr>
                <w:p w14:paraId="06C0D960">
                  <w:pPr>
                    <w:adjustRightInd w:val="0"/>
                    <w:snapToGrid w:val="0"/>
                    <w:jc w:val="center"/>
                    <w:rPr>
                      <w:rFonts w:ascii="Times New Roman" w:hAnsi="Times New Roman" w:eastAsia="宋体" w:cs="Times New Roman"/>
                      <w:bCs/>
                      <w:color w:val="auto"/>
                      <w:szCs w:val="21"/>
                    </w:rPr>
                  </w:pPr>
                </w:p>
              </w:tc>
            </w:tr>
            <w:tr w14:paraId="4BCF0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43F3A56B">
                  <w:pPr>
                    <w:jc w:val="center"/>
                    <w:rPr>
                      <w:rFonts w:hint="default"/>
                      <w:color w:val="auto"/>
                      <w:szCs w:val="21"/>
                      <w:lang w:val="en-US" w:eastAsia="zh-CN"/>
                    </w:rPr>
                  </w:pPr>
                  <w:r>
                    <w:rPr>
                      <w:rFonts w:hint="eastAsia"/>
                      <w:color w:val="auto"/>
                      <w:szCs w:val="21"/>
                      <w:lang w:val="en-US" w:eastAsia="zh-CN"/>
                    </w:rPr>
                    <w:t>6</w:t>
                  </w:r>
                </w:p>
              </w:tc>
              <w:tc>
                <w:tcPr>
                  <w:tcW w:w="1933" w:type="dxa"/>
                  <w:shd w:val="clear" w:color="auto" w:fill="auto"/>
                  <w:noWrap w:val="0"/>
                  <w:vAlign w:val="center"/>
                </w:tcPr>
                <w:p w14:paraId="011B6B4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废油桶</w:t>
                  </w:r>
                </w:p>
              </w:tc>
              <w:tc>
                <w:tcPr>
                  <w:tcW w:w="2127" w:type="dxa"/>
                  <w:shd w:val="clear" w:color="auto" w:fill="auto"/>
                  <w:noWrap w:val="0"/>
                  <w:vAlign w:val="center"/>
                </w:tcPr>
                <w:p w14:paraId="23722EC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w:t>
                  </w:r>
                </w:p>
              </w:tc>
              <w:tc>
                <w:tcPr>
                  <w:tcW w:w="1396" w:type="dxa"/>
                  <w:noWrap w:val="0"/>
                  <w:vAlign w:val="center"/>
                </w:tcPr>
                <w:p w14:paraId="6BBD63D6">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w:t>
                  </w:r>
                </w:p>
              </w:tc>
              <w:tc>
                <w:tcPr>
                  <w:tcW w:w="1951" w:type="dxa"/>
                  <w:vMerge w:val="continue"/>
                  <w:noWrap w:val="0"/>
                  <w:vAlign w:val="center"/>
                </w:tcPr>
                <w:p w14:paraId="2253CAE7">
                  <w:pPr>
                    <w:adjustRightInd w:val="0"/>
                    <w:snapToGrid w:val="0"/>
                    <w:jc w:val="center"/>
                    <w:rPr>
                      <w:rFonts w:ascii="Times New Roman" w:hAnsi="Times New Roman" w:eastAsia="宋体" w:cs="Times New Roman"/>
                      <w:bCs/>
                      <w:color w:val="auto"/>
                      <w:szCs w:val="21"/>
                    </w:rPr>
                  </w:pPr>
                </w:p>
              </w:tc>
            </w:tr>
            <w:tr w14:paraId="0E58C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5C4EFD1D">
                  <w:pPr>
                    <w:jc w:val="center"/>
                    <w:rPr>
                      <w:rFonts w:hint="default"/>
                      <w:color w:val="auto"/>
                      <w:szCs w:val="21"/>
                      <w:lang w:val="en-US" w:eastAsia="zh-CN"/>
                    </w:rPr>
                  </w:pPr>
                  <w:r>
                    <w:rPr>
                      <w:rFonts w:hint="eastAsia"/>
                      <w:color w:val="auto"/>
                      <w:szCs w:val="21"/>
                      <w:lang w:val="en-US" w:eastAsia="zh-CN"/>
                    </w:rPr>
                    <w:t>7</w:t>
                  </w:r>
                </w:p>
              </w:tc>
              <w:tc>
                <w:tcPr>
                  <w:tcW w:w="1933" w:type="dxa"/>
                  <w:shd w:val="clear" w:color="auto" w:fill="auto"/>
                  <w:noWrap w:val="0"/>
                  <w:vAlign w:val="center"/>
                </w:tcPr>
                <w:p w14:paraId="60E823E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废包装桶</w:t>
                  </w:r>
                </w:p>
              </w:tc>
              <w:tc>
                <w:tcPr>
                  <w:tcW w:w="2127" w:type="dxa"/>
                  <w:shd w:val="clear" w:color="auto" w:fill="auto"/>
                  <w:noWrap w:val="0"/>
                  <w:vAlign w:val="center"/>
                </w:tcPr>
                <w:p w14:paraId="0ACC5C4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0.04</w:t>
                  </w:r>
                </w:p>
              </w:tc>
              <w:tc>
                <w:tcPr>
                  <w:tcW w:w="1396" w:type="dxa"/>
                  <w:noWrap w:val="0"/>
                  <w:vAlign w:val="center"/>
                </w:tcPr>
                <w:p w14:paraId="0DD54798">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w:t>
                  </w:r>
                </w:p>
              </w:tc>
              <w:tc>
                <w:tcPr>
                  <w:tcW w:w="1951" w:type="dxa"/>
                  <w:vMerge w:val="continue"/>
                  <w:noWrap w:val="0"/>
                  <w:vAlign w:val="center"/>
                </w:tcPr>
                <w:p w14:paraId="13FE9EE4">
                  <w:pPr>
                    <w:adjustRightInd w:val="0"/>
                    <w:snapToGrid w:val="0"/>
                    <w:jc w:val="center"/>
                    <w:rPr>
                      <w:rFonts w:ascii="Times New Roman" w:hAnsi="Times New Roman" w:eastAsia="宋体" w:cs="Times New Roman"/>
                      <w:bCs/>
                      <w:color w:val="auto"/>
                      <w:szCs w:val="21"/>
                    </w:rPr>
                  </w:pPr>
                </w:p>
              </w:tc>
            </w:tr>
            <w:tr w14:paraId="35812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1A224DEF">
                  <w:pPr>
                    <w:jc w:val="center"/>
                    <w:rPr>
                      <w:rFonts w:hint="default"/>
                      <w:color w:val="auto"/>
                      <w:szCs w:val="21"/>
                      <w:lang w:val="en-US" w:eastAsia="zh-CN"/>
                    </w:rPr>
                  </w:pPr>
                  <w:r>
                    <w:rPr>
                      <w:rFonts w:hint="eastAsia"/>
                      <w:color w:val="auto"/>
                      <w:szCs w:val="21"/>
                      <w:lang w:val="en-US" w:eastAsia="zh-CN"/>
                    </w:rPr>
                    <w:t>8</w:t>
                  </w:r>
                </w:p>
              </w:tc>
              <w:tc>
                <w:tcPr>
                  <w:tcW w:w="1933" w:type="dxa"/>
                  <w:shd w:val="clear" w:color="auto" w:fill="auto"/>
                  <w:noWrap w:val="0"/>
                  <w:vAlign w:val="center"/>
                </w:tcPr>
                <w:p w14:paraId="7BF3F86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废含油抹布</w:t>
                  </w:r>
                </w:p>
              </w:tc>
              <w:tc>
                <w:tcPr>
                  <w:tcW w:w="2127" w:type="dxa"/>
                  <w:shd w:val="clear" w:color="auto" w:fill="auto"/>
                  <w:noWrap w:val="0"/>
                  <w:vAlign w:val="center"/>
                </w:tcPr>
                <w:p w14:paraId="0C2C579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0.005</w:t>
                  </w:r>
                </w:p>
              </w:tc>
              <w:tc>
                <w:tcPr>
                  <w:tcW w:w="1396" w:type="dxa"/>
                  <w:noWrap w:val="0"/>
                  <w:vAlign w:val="center"/>
                </w:tcPr>
                <w:p w14:paraId="4A871871">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w:t>
                  </w:r>
                </w:p>
              </w:tc>
              <w:tc>
                <w:tcPr>
                  <w:tcW w:w="1951" w:type="dxa"/>
                  <w:vMerge w:val="continue"/>
                  <w:noWrap w:val="0"/>
                  <w:vAlign w:val="center"/>
                </w:tcPr>
                <w:p w14:paraId="6856CE8A">
                  <w:pPr>
                    <w:adjustRightInd w:val="0"/>
                    <w:snapToGrid w:val="0"/>
                    <w:jc w:val="center"/>
                    <w:rPr>
                      <w:rFonts w:ascii="Times New Roman" w:hAnsi="Times New Roman" w:eastAsia="宋体" w:cs="Times New Roman"/>
                      <w:bCs/>
                      <w:color w:val="auto"/>
                      <w:szCs w:val="21"/>
                    </w:rPr>
                  </w:pPr>
                </w:p>
              </w:tc>
            </w:tr>
            <w:tr w14:paraId="4D1F6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noWrap w:val="0"/>
                  <w:vAlign w:val="center"/>
                </w:tcPr>
                <w:p w14:paraId="27635E4C">
                  <w:pPr>
                    <w:jc w:val="center"/>
                    <w:rPr>
                      <w:rFonts w:hint="default"/>
                      <w:color w:val="auto"/>
                      <w:szCs w:val="21"/>
                      <w:lang w:val="en-US" w:eastAsia="zh-CN"/>
                    </w:rPr>
                  </w:pPr>
                  <w:r>
                    <w:rPr>
                      <w:rFonts w:hint="eastAsia"/>
                      <w:color w:val="auto"/>
                      <w:szCs w:val="21"/>
                      <w:lang w:val="en-US" w:eastAsia="zh-CN"/>
                    </w:rPr>
                    <w:t>9</w:t>
                  </w:r>
                </w:p>
              </w:tc>
              <w:tc>
                <w:tcPr>
                  <w:tcW w:w="1933" w:type="dxa"/>
                  <w:shd w:val="clear" w:color="auto" w:fill="auto"/>
                  <w:noWrap w:val="0"/>
                  <w:vAlign w:val="center"/>
                </w:tcPr>
                <w:p w14:paraId="5B39E69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废活性炭</w:t>
                  </w:r>
                </w:p>
              </w:tc>
              <w:tc>
                <w:tcPr>
                  <w:tcW w:w="2127" w:type="dxa"/>
                  <w:shd w:val="clear" w:color="auto" w:fill="auto"/>
                  <w:noWrap w:val="0"/>
                  <w:vAlign w:val="center"/>
                </w:tcPr>
                <w:p w14:paraId="472C4C5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1396" w:type="dxa"/>
                  <w:noWrap w:val="0"/>
                  <w:vAlign w:val="center"/>
                </w:tcPr>
                <w:p w14:paraId="4481B1D6">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w:t>
                  </w:r>
                </w:p>
              </w:tc>
              <w:tc>
                <w:tcPr>
                  <w:tcW w:w="1951" w:type="dxa"/>
                  <w:vMerge w:val="continue"/>
                  <w:noWrap w:val="0"/>
                  <w:vAlign w:val="center"/>
                </w:tcPr>
                <w:p w14:paraId="3C459E78">
                  <w:pPr>
                    <w:adjustRightInd w:val="0"/>
                    <w:snapToGrid w:val="0"/>
                    <w:jc w:val="center"/>
                    <w:rPr>
                      <w:rFonts w:ascii="Times New Roman" w:hAnsi="Times New Roman" w:eastAsia="宋体" w:cs="Times New Roman"/>
                      <w:bCs/>
                      <w:color w:val="auto"/>
                      <w:szCs w:val="21"/>
                    </w:rPr>
                  </w:pPr>
                </w:p>
              </w:tc>
            </w:tr>
            <w:tr w14:paraId="3D5A4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5" w:type="dxa"/>
                  <w:gridSpan w:val="4"/>
                  <w:noWrap w:val="0"/>
                  <w:vAlign w:val="center"/>
                </w:tcPr>
                <w:p w14:paraId="3958184F">
                  <w:pPr>
                    <w:adjustRightInd w:val="0"/>
                    <w:snapToGrid w:val="0"/>
                    <w:jc w:val="center"/>
                    <w:rPr>
                      <w:bCs/>
                      <w:color w:val="auto"/>
                      <w:szCs w:val="21"/>
                    </w:rPr>
                  </w:pPr>
                  <w:r>
                    <w:rPr>
                      <w:bCs/>
                      <w:color w:val="auto"/>
                      <w:szCs w:val="21"/>
                    </w:rPr>
                    <w:t>项目Q值∑</w:t>
                  </w:r>
                </w:p>
              </w:tc>
              <w:tc>
                <w:tcPr>
                  <w:tcW w:w="1951" w:type="dxa"/>
                  <w:noWrap w:val="0"/>
                  <w:vAlign w:val="center"/>
                </w:tcPr>
                <w:p w14:paraId="3EA818DE">
                  <w:pPr>
                    <w:jc w:val="center"/>
                    <w:rPr>
                      <w:rFonts w:hint="default" w:eastAsia="宋体"/>
                      <w:color w:val="auto"/>
                      <w:szCs w:val="21"/>
                      <w:lang w:val="en-US" w:eastAsia="zh-CN"/>
                    </w:rPr>
                  </w:pPr>
                  <w:r>
                    <w:rPr>
                      <w:rFonts w:hint="eastAsia" w:ascii="Times New Roman" w:hAnsi="Times New Roman" w:eastAsia="宋体" w:cs="Times New Roman"/>
                      <w:bCs/>
                      <w:color w:val="auto"/>
                      <w:szCs w:val="21"/>
                      <w:lang w:val="en-US" w:eastAsia="zh-CN"/>
                    </w:rPr>
                    <w:t>0.0</w:t>
                  </w:r>
                  <w:r>
                    <w:rPr>
                      <w:rFonts w:hint="eastAsia" w:cs="Times New Roman"/>
                      <w:bCs/>
                      <w:color w:val="auto"/>
                      <w:szCs w:val="21"/>
                      <w:lang w:val="en-US" w:eastAsia="zh-CN"/>
                    </w:rPr>
                    <w:t>4246</w:t>
                  </w:r>
                </w:p>
              </w:tc>
            </w:tr>
          </w:tbl>
          <w:p w14:paraId="33016863">
            <w:pPr>
              <w:pStyle w:val="9"/>
              <w:spacing w:beforeLines="50" w:line="360" w:lineRule="auto"/>
              <w:ind w:firstLine="420" w:firstLineChars="200"/>
              <w:rPr>
                <w:rFonts w:hint="eastAsia" w:eastAsia="宋体"/>
                <w:color w:val="auto"/>
                <w:sz w:val="21"/>
                <w:szCs w:val="21"/>
                <w:lang w:val="en-US" w:eastAsia="zh-CN"/>
              </w:rPr>
            </w:pPr>
            <w:r>
              <w:rPr>
                <w:color w:val="auto"/>
                <w:sz w:val="21"/>
                <w:szCs w:val="21"/>
              </w:rPr>
              <w:t>由上表可知</w:t>
            </w:r>
            <w:r>
              <w:rPr>
                <w:bCs/>
                <w:color w:val="auto"/>
                <w:sz w:val="21"/>
                <w:szCs w:val="21"/>
              </w:rPr>
              <w:t>Q＜1，风险物质存储量未超过临界量，本项目不需要做环境风险专项</w:t>
            </w:r>
            <w:r>
              <w:rPr>
                <w:rFonts w:hint="eastAsia"/>
                <w:bCs/>
                <w:color w:val="auto"/>
                <w:sz w:val="21"/>
                <w:szCs w:val="21"/>
                <w:lang w:eastAsia="zh-CN"/>
              </w:rPr>
              <w:t>。</w:t>
            </w:r>
          </w:p>
          <w:p w14:paraId="487B3249">
            <w:pPr>
              <w:pStyle w:val="9"/>
              <w:spacing w:before="0" w:line="360" w:lineRule="auto"/>
              <w:ind w:firstLine="422" w:firstLineChars="200"/>
              <w:rPr>
                <w:b/>
                <w:bCs/>
                <w:color w:val="auto"/>
                <w:sz w:val="21"/>
                <w:szCs w:val="21"/>
              </w:rPr>
            </w:pPr>
            <w:r>
              <w:rPr>
                <w:rFonts w:hint="eastAsia"/>
                <w:b/>
                <w:bCs/>
                <w:color w:val="auto"/>
                <w:sz w:val="21"/>
                <w:szCs w:val="21"/>
              </w:rPr>
              <w:t>（3）</w:t>
            </w:r>
            <w:r>
              <w:rPr>
                <w:b/>
                <w:bCs/>
                <w:color w:val="auto"/>
                <w:sz w:val="21"/>
                <w:szCs w:val="21"/>
              </w:rPr>
              <w:t>评价等级判定</w:t>
            </w:r>
          </w:p>
          <w:p w14:paraId="3D540267">
            <w:pPr>
              <w:spacing w:line="360" w:lineRule="auto"/>
              <w:ind w:firstLine="420" w:firstLineChars="200"/>
              <w:rPr>
                <w:color w:val="auto"/>
                <w:szCs w:val="21"/>
              </w:rPr>
            </w:pPr>
            <w:r>
              <w:rPr>
                <w:color w:val="auto"/>
                <w:szCs w:val="21"/>
              </w:rPr>
              <w:t>根据</w:t>
            </w:r>
            <w:r>
              <w:rPr>
                <w:bCs/>
                <w:color w:val="auto"/>
                <w:szCs w:val="21"/>
              </w:rPr>
              <w:t>《建设项目环境风险评价技术导则》（HJ/T169-2018），全厂环境风险潜势为Ⅰ，</w:t>
            </w:r>
            <w:r>
              <w:rPr>
                <w:color w:val="auto"/>
                <w:szCs w:val="21"/>
              </w:rPr>
              <w:t>评价等级为简单分析。</w:t>
            </w:r>
          </w:p>
          <w:p w14:paraId="7F14CD8D">
            <w:pPr>
              <w:jc w:val="center"/>
              <w:rPr>
                <w:b/>
                <w:color w:val="auto"/>
                <w:szCs w:val="21"/>
              </w:rPr>
            </w:pPr>
            <w:r>
              <w:rPr>
                <w:b/>
                <w:color w:val="auto"/>
                <w:szCs w:val="21"/>
              </w:rPr>
              <w:t>表4</w:t>
            </w:r>
            <w:r>
              <w:rPr>
                <w:rFonts w:hint="eastAsia"/>
                <w:b/>
                <w:color w:val="auto"/>
                <w:szCs w:val="21"/>
                <w:lang w:val="en-US" w:eastAsia="zh-CN"/>
              </w:rPr>
              <w:t>-31</w:t>
            </w:r>
            <w:r>
              <w:rPr>
                <w:b/>
                <w:color w:val="auto"/>
                <w:szCs w:val="21"/>
              </w:rPr>
              <w:t xml:space="preserve"> 风险评价工作等级划分</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777"/>
              <w:gridCol w:w="1368"/>
              <w:gridCol w:w="1287"/>
              <w:gridCol w:w="1394"/>
              <w:gridCol w:w="1554"/>
            </w:tblGrid>
            <w:tr w14:paraId="42A4E7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57" w:type="pct"/>
                  <w:noWrap w:val="0"/>
                  <w:vAlign w:val="center"/>
                </w:tcPr>
                <w:p w14:paraId="2160FF87">
                  <w:pPr>
                    <w:jc w:val="center"/>
                    <w:rPr>
                      <w:b/>
                      <w:color w:val="auto"/>
                      <w:szCs w:val="21"/>
                    </w:rPr>
                  </w:pPr>
                  <w:r>
                    <w:rPr>
                      <w:b/>
                      <w:color w:val="auto"/>
                      <w:szCs w:val="21"/>
                    </w:rPr>
                    <w:t>环境风险潜势</w:t>
                  </w:r>
                </w:p>
              </w:tc>
              <w:tc>
                <w:tcPr>
                  <w:tcW w:w="816" w:type="pct"/>
                  <w:noWrap w:val="0"/>
                  <w:vAlign w:val="center"/>
                </w:tcPr>
                <w:p w14:paraId="03A7610E">
                  <w:pPr>
                    <w:jc w:val="center"/>
                    <w:rPr>
                      <w:b/>
                      <w:color w:val="auto"/>
                      <w:szCs w:val="21"/>
                    </w:rPr>
                  </w:pPr>
                  <w:r>
                    <w:rPr>
                      <w:b/>
                      <w:color w:val="auto"/>
                      <w:szCs w:val="21"/>
                    </w:rPr>
                    <w:t>Ⅳ、Ⅳ</w:t>
                  </w:r>
                  <w:r>
                    <w:rPr>
                      <w:b/>
                      <w:color w:val="auto"/>
                      <w:szCs w:val="21"/>
                      <w:vertAlign w:val="superscript"/>
                    </w:rPr>
                    <w:t>+</w:t>
                  </w:r>
                </w:p>
              </w:tc>
              <w:tc>
                <w:tcPr>
                  <w:tcW w:w="768" w:type="pct"/>
                  <w:noWrap w:val="0"/>
                  <w:vAlign w:val="center"/>
                </w:tcPr>
                <w:p w14:paraId="767D8866">
                  <w:pPr>
                    <w:jc w:val="center"/>
                    <w:rPr>
                      <w:b/>
                      <w:color w:val="auto"/>
                      <w:szCs w:val="21"/>
                    </w:rPr>
                  </w:pPr>
                  <w:r>
                    <w:rPr>
                      <w:b/>
                      <w:color w:val="auto"/>
                      <w:szCs w:val="21"/>
                    </w:rPr>
                    <w:t>Ⅲ</w:t>
                  </w:r>
                </w:p>
              </w:tc>
              <w:tc>
                <w:tcPr>
                  <w:tcW w:w="832" w:type="pct"/>
                  <w:noWrap w:val="0"/>
                  <w:vAlign w:val="center"/>
                </w:tcPr>
                <w:p w14:paraId="624CBFA9">
                  <w:pPr>
                    <w:jc w:val="center"/>
                    <w:rPr>
                      <w:b/>
                      <w:color w:val="auto"/>
                      <w:szCs w:val="21"/>
                    </w:rPr>
                  </w:pPr>
                  <w:r>
                    <w:rPr>
                      <w:b/>
                      <w:color w:val="auto"/>
                      <w:szCs w:val="21"/>
                    </w:rPr>
                    <w:t>Ⅱ</w:t>
                  </w:r>
                </w:p>
              </w:tc>
              <w:tc>
                <w:tcPr>
                  <w:tcW w:w="927" w:type="pct"/>
                  <w:noWrap w:val="0"/>
                  <w:vAlign w:val="center"/>
                </w:tcPr>
                <w:p w14:paraId="46C293B7">
                  <w:pPr>
                    <w:jc w:val="center"/>
                    <w:rPr>
                      <w:b/>
                      <w:color w:val="auto"/>
                      <w:szCs w:val="21"/>
                    </w:rPr>
                  </w:pPr>
                  <w:r>
                    <w:rPr>
                      <w:b/>
                      <w:color w:val="auto"/>
                      <w:szCs w:val="21"/>
                    </w:rPr>
                    <w:t>Ⅰ</w:t>
                  </w:r>
                </w:p>
              </w:tc>
            </w:tr>
            <w:tr w14:paraId="4FF4A8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57" w:type="pct"/>
                  <w:shd w:val="clear" w:color="auto" w:fill="auto"/>
                  <w:noWrap w:val="0"/>
                  <w:vAlign w:val="center"/>
                </w:tcPr>
                <w:p w14:paraId="2A68723C">
                  <w:pPr>
                    <w:jc w:val="center"/>
                    <w:rPr>
                      <w:color w:val="auto"/>
                      <w:szCs w:val="21"/>
                    </w:rPr>
                  </w:pPr>
                  <w:r>
                    <w:rPr>
                      <w:color w:val="auto"/>
                      <w:szCs w:val="21"/>
                    </w:rPr>
                    <w:t>评价工作等级</w:t>
                  </w:r>
                </w:p>
              </w:tc>
              <w:tc>
                <w:tcPr>
                  <w:tcW w:w="816" w:type="pct"/>
                  <w:shd w:val="clear" w:color="auto" w:fill="auto"/>
                  <w:noWrap w:val="0"/>
                  <w:vAlign w:val="center"/>
                </w:tcPr>
                <w:p w14:paraId="23E7C497">
                  <w:pPr>
                    <w:jc w:val="center"/>
                    <w:rPr>
                      <w:color w:val="auto"/>
                      <w:szCs w:val="21"/>
                    </w:rPr>
                  </w:pPr>
                  <w:r>
                    <w:rPr>
                      <w:color w:val="auto"/>
                      <w:szCs w:val="21"/>
                    </w:rPr>
                    <w:t>一</w:t>
                  </w:r>
                </w:p>
              </w:tc>
              <w:tc>
                <w:tcPr>
                  <w:tcW w:w="768" w:type="pct"/>
                  <w:shd w:val="clear" w:color="auto" w:fill="auto"/>
                  <w:noWrap w:val="0"/>
                  <w:vAlign w:val="center"/>
                </w:tcPr>
                <w:p w14:paraId="7C6740CF">
                  <w:pPr>
                    <w:jc w:val="center"/>
                    <w:rPr>
                      <w:color w:val="auto"/>
                      <w:szCs w:val="21"/>
                    </w:rPr>
                  </w:pPr>
                  <w:r>
                    <w:rPr>
                      <w:color w:val="auto"/>
                      <w:szCs w:val="21"/>
                    </w:rPr>
                    <w:t>二</w:t>
                  </w:r>
                </w:p>
              </w:tc>
              <w:tc>
                <w:tcPr>
                  <w:tcW w:w="832" w:type="pct"/>
                  <w:shd w:val="clear" w:color="auto" w:fill="auto"/>
                  <w:noWrap w:val="0"/>
                  <w:vAlign w:val="center"/>
                </w:tcPr>
                <w:p w14:paraId="50B95068">
                  <w:pPr>
                    <w:jc w:val="center"/>
                    <w:rPr>
                      <w:color w:val="auto"/>
                      <w:szCs w:val="21"/>
                    </w:rPr>
                  </w:pPr>
                  <w:r>
                    <w:rPr>
                      <w:color w:val="auto"/>
                      <w:szCs w:val="21"/>
                    </w:rPr>
                    <w:t>三</w:t>
                  </w:r>
                </w:p>
              </w:tc>
              <w:tc>
                <w:tcPr>
                  <w:tcW w:w="927" w:type="pct"/>
                  <w:shd w:val="clear" w:color="auto" w:fill="FFC000"/>
                  <w:noWrap w:val="0"/>
                  <w:vAlign w:val="center"/>
                </w:tcPr>
                <w:p w14:paraId="4EF88553">
                  <w:pPr>
                    <w:jc w:val="center"/>
                    <w:rPr>
                      <w:color w:val="auto"/>
                      <w:szCs w:val="21"/>
                    </w:rPr>
                  </w:pPr>
                  <w:r>
                    <w:rPr>
                      <w:color w:val="auto"/>
                      <w:szCs w:val="21"/>
                    </w:rPr>
                    <w:t>简单分析</w:t>
                  </w:r>
                  <w:r>
                    <w:rPr>
                      <w:color w:val="auto"/>
                      <w:szCs w:val="21"/>
                      <w:vertAlign w:val="superscript"/>
                    </w:rPr>
                    <w:t>a</w:t>
                  </w:r>
                </w:p>
              </w:tc>
            </w:tr>
            <w:tr w14:paraId="747E0E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5"/>
                  <w:noWrap w:val="0"/>
                  <w:vAlign w:val="center"/>
                </w:tcPr>
                <w:p w14:paraId="293B755B">
                  <w:pPr>
                    <w:rPr>
                      <w:color w:val="auto"/>
                      <w:szCs w:val="21"/>
                    </w:rPr>
                  </w:pPr>
                  <w:r>
                    <w:rPr>
                      <w:color w:val="auto"/>
                      <w:szCs w:val="21"/>
                    </w:rPr>
                    <w:t>a是对于详细评价工作内容而言，在描述危险物质、环境影响途径、环境危害后果、风险防范措施等方面给出定性的说明。见附录A。</w:t>
                  </w:r>
                </w:p>
              </w:tc>
            </w:tr>
          </w:tbl>
          <w:p w14:paraId="59089754">
            <w:pPr>
              <w:spacing w:before="120" w:beforeLines="50" w:line="360" w:lineRule="auto"/>
              <w:ind w:firstLine="422" w:firstLineChars="200"/>
              <w:rPr>
                <w:b/>
                <w:color w:val="auto"/>
                <w:szCs w:val="21"/>
              </w:rPr>
            </w:pPr>
            <w:r>
              <w:rPr>
                <w:rFonts w:hint="eastAsia"/>
                <w:b/>
                <w:color w:val="auto"/>
                <w:szCs w:val="21"/>
              </w:rPr>
              <w:t>2</w:t>
            </w:r>
            <w:r>
              <w:rPr>
                <w:b/>
                <w:color w:val="auto"/>
                <w:szCs w:val="21"/>
              </w:rPr>
              <w:t>、环境风险防范措施及应急要求</w:t>
            </w:r>
          </w:p>
          <w:p w14:paraId="741557E7">
            <w:pPr>
              <w:spacing w:line="360" w:lineRule="auto"/>
              <w:ind w:firstLine="420" w:firstLineChars="200"/>
              <w:rPr>
                <w:bCs/>
                <w:color w:val="auto"/>
                <w:szCs w:val="21"/>
              </w:rPr>
            </w:pPr>
            <w:r>
              <w:rPr>
                <w:bCs/>
                <w:color w:val="auto"/>
                <w:szCs w:val="21"/>
              </w:rPr>
              <w:t>（1）应急组织机构</w:t>
            </w:r>
          </w:p>
          <w:p w14:paraId="76BFCF3F">
            <w:pPr>
              <w:spacing w:line="360" w:lineRule="auto"/>
              <w:ind w:firstLine="420" w:firstLineChars="200"/>
              <w:rPr>
                <w:bCs/>
                <w:color w:val="auto"/>
                <w:szCs w:val="21"/>
              </w:rPr>
            </w:pPr>
            <w:r>
              <w:rPr>
                <w:bCs/>
                <w:color w:val="auto"/>
                <w:szCs w:val="21"/>
              </w:rPr>
              <w:t>目前</w:t>
            </w:r>
            <w:r>
              <w:rPr>
                <w:rFonts w:hint="eastAsia"/>
                <w:color w:val="auto"/>
                <w:szCs w:val="21"/>
              </w:rPr>
              <w:t>建设单位</w:t>
            </w:r>
            <w:r>
              <w:rPr>
                <w:bCs/>
                <w:color w:val="auto"/>
                <w:szCs w:val="21"/>
              </w:rPr>
              <w:t>已成立突发环境应急事件应急指挥部和专项应急小组，统一负责可能发生突发环境事件的应急处置工作。依据突发环境事故危害程度的级别设置分级应急救援组织机构，由各部门领导组成，下设应急救援办公室、日常工作由生产部门兼管。发生重大事故时，以指挥领导小组为基础，立即成立突发环境事件应急救援指挥部，由总监任总指挥，负责全厂应急救援工作的组织和指挥。</w:t>
            </w:r>
          </w:p>
          <w:p w14:paraId="04537C7A">
            <w:pPr>
              <w:spacing w:line="360" w:lineRule="auto"/>
              <w:jc w:val="center"/>
              <w:rPr>
                <w:bCs/>
                <w:color w:val="auto"/>
                <w:szCs w:val="21"/>
              </w:rPr>
            </w:pPr>
            <w:r>
              <w:rPr>
                <w:bCs/>
                <w:color w:val="auto"/>
                <w:szCs w:val="21"/>
              </w:rPr>
              <w:drawing>
                <wp:inline distT="0" distB="0" distL="114300" distR="114300">
                  <wp:extent cx="3150235" cy="975995"/>
                  <wp:effectExtent l="0" t="0" r="12065" b="14605"/>
                  <wp:docPr id="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pic:cNvPicPr>
                            <a:picLocks noChangeAspect="1"/>
                          </pic:cNvPicPr>
                        </pic:nvPicPr>
                        <pic:blipFill>
                          <a:blip r:embed="rId27"/>
                          <a:stretch>
                            <a:fillRect/>
                          </a:stretch>
                        </pic:blipFill>
                        <pic:spPr>
                          <a:xfrm>
                            <a:off x="0" y="0"/>
                            <a:ext cx="3150235" cy="975995"/>
                          </a:xfrm>
                          <a:prstGeom prst="rect">
                            <a:avLst/>
                          </a:prstGeom>
                          <a:noFill/>
                          <a:ln>
                            <a:noFill/>
                          </a:ln>
                        </pic:spPr>
                      </pic:pic>
                    </a:graphicData>
                  </a:graphic>
                </wp:inline>
              </w:drawing>
            </w:r>
          </w:p>
          <w:p w14:paraId="1061F534">
            <w:pPr>
              <w:jc w:val="center"/>
              <w:rPr>
                <w:b/>
                <w:color w:val="auto"/>
                <w:szCs w:val="21"/>
              </w:rPr>
            </w:pPr>
            <w:r>
              <w:rPr>
                <w:rFonts w:hint="eastAsia"/>
                <w:b/>
                <w:color w:val="auto"/>
                <w:szCs w:val="21"/>
              </w:rPr>
              <w:t xml:space="preserve">图4-3 </w:t>
            </w:r>
            <w:r>
              <w:rPr>
                <w:b/>
                <w:color w:val="auto"/>
                <w:szCs w:val="21"/>
              </w:rPr>
              <w:t>组织机构体系示意图</w:t>
            </w:r>
          </w:p>
          <w:p w14:paraId="0C683A0F">
            <w:pPr>
              <w:spacing w:line="360" w:lineRule="auto"/>
              <w:ind w:firstLine="420" w:firstLineChars="200"/>
              <w:rPr>
                <w:bCs/>
                <w:color w:val="auto"/>
                <w:szCs w:val="21"/>
              </w:rPr>
            </w:pPr>
            <w:r>
              <w:rPr>
                <w:bCs/>
                <w:color w:val="auto"/>
                <w:szCs w:val="21"/>
              </w:rPr>
              <w:t>（2）环境风险防范措施</w:t>
            </w:r>
          </w:p>
          <w:p w14:paraId="61B9696F">
            <w:pPr>
              <w:spacing w:line="360" w:lineRule="auto"/>
              <w:ind w:firstLine="420" w:firstLineChars="200"/>
              <w:rPr>
                <w:bCs/>
                <w:color w:val="auto"/>
                <w:szCs w:val="21"/>
              </w:rPr>
            </w:pPr>
            <w:r>
              <w:rPr>
                <w:bCs/>
                <w:color w:val="auto"/>
                <w:szCs w:val="21"/>
              </w:rPr>
              <w:t>①物料储运安全防范措施</w:t>
            </w:r>
          </w:p>
          <w:p w14:paraId="76C89A59">
            <w:pPr>
              <w:spacing w:line="360" w:lineRule="auto"/>
              <w:ind w:firstLine="420" w:firstLineChars="200"/>
              <w:rPr>
                <w:bCs/>
                <w:color w:val="auto"/>
                <w:szCs w:val="21"/>
              </w:rPr>
            </w:pPr>
            <w:r>
              <w:rPr>
                <w:bCs/>
                <w:color w:val="auto"/>
                <w:szCs w:val="21"/>
              </w:rPr>
              <w:t>包装过程要求包装材料与危险物相适应、包装封口与危险物相适应；包装标志执行《危险货物包装标志》</w:t>
            </w:r>
            <w:r>
              <w:rPr>
                <w:rFonts w:hint="eastAsia"/>
                <w:bCs/>
                <w:color w:val="auto"/>
                <w:szCs w:val="21"/>
              </w:rPr>
              <w:t>（</w:t>
            </w:r>
            <w:r>
              <w:rPr>
                <w:bCs/>
                <w:color w:val="auto"/>
                <w:szCs w:val="21"/>
              </w:rPr>
              <w:t>GB190-2009</w:t>
            </w:r>
            <w:r>
              <w:rPr>
                <w:rFonts w:hint="eastAsia"/>
                <w:bCs/>
                <w:color w:val="auto"/>
                <w:szCs w:val="21"/>
              </w:rPr>
              <w:t>）</w:t>
            </w:r>
            <w:r>
              <w:rPr>
                <w:bCs/>
                <w:color w:val="auto"/>
                <w:szCs w:val="21"/>
              </w:rPr>
              <w:t>和《危险货物运输图示标志》</w:t>
            </w:r>
            <w:r>
              <w:rPr>
                <w:rFonts w:hint="eastAsia"/>
                <w:bCs/>
                <w:color w:val="auto"/>
                <w:szCs w:val="21"/>
              </w:rPr>
              <w:t>（</w:t>
            </w:r>
            <w:r>
              <w:rPr>
                <w:bCs/>
                <w:color w:val="auto"/>
                <w:szCs w:val="21"/>
              </w:rPr>
              <w:t>GB191-2008</w:t>
            </w:r>
            <w:r>
              <w:rPr>
                <w:rFonts w:hint="eastAsia"/>
                <w:bCs/>
                <w:color w:val="auto"/>
                <w:szCs w:val="21"/>
              </w:rPr>
              <w:t>）</w:t>
            </w:r>
            <w:r>
              <w:rPr>
                <w:bCs/>
                <w:color w:val="auto"/>
                <w:szCs w:val="21"/>
              </w:rPr>
              <w:t>。运输过程应执行《危险货物运输包装通用技术条件》</w:t>
            </w:r>
            <w:r>
              <w:rPr>
                <w:rFonts w:hint="eastAsia"/>
                <w:bCs/>
                <w:color w:val="auto"/>
                <w:szCs w:val="21"/>
              </w:rPr>
              <w:t>（</w:t>
            </w:r>
            <w:r>
              <w:rPr>
                <w:bCs/>
                <w:color w:val="auto"/>
                <w:szCs w:val="21"/>
              </w:rPr>
              <w:t>GB12465-2009</w:t>
            </w:r>
            <w:r>
              <w:rPr>
                <w:rFonts w:hint="eastAsia"/>
                <w:bCs/>
                <w:color w:val="auto"/>
                <w:szCs w:val="21"/>
              </w:rPr>
              <w:t>）</w:t>
            </w:r>
            <w:r>
              <w:rPr>
                <w:bCs/>
                <w:color w:val="auto"/>
                <w:szCs w:val="21"/>
              </w:rPr>
              <w:t>和各种运输方式的《危险货物运输规则》。装卸过程要求防震、防撞、防倾斜；断火源、禁火种；通风和降温。</w:t>
            </w:r>
          </w:p>
          <w:p w14:paraId="7CDE8DCA">
            <w:pPr>
              <w:spacing w:line="360" w:lineRule="auto"/>
              <w:ind w:firstLine="420" w:firstLineChars="200"/>
              <w:rPr>
                <w:bCs/>
                <w:color w:val="auto"/>
                <w:szCs w:val="21"/>
              </w:rPr>
            </w:pPr>
            <w:r>
              <w:rPr>
                <w:bCs/>
                <w:color w:val="auto"/>
                <w:szCs w:val="21"/>
              </w:rPr>
              <w:t>②物料储存、泄漏事故的防范措施</w:t>
            </w:r>
          </w:p>
          <w:p w14:paraId="5901D0BC">
            <w:pPr>
              <w:spacing w:line="360" w:lineRule="auto"/>
              <w:ind w:firstLine="420" w:firstLineChars="200"/>
              <w:rPr>
                <w:bCs/>
                <w:color w:val="auto"/>
                <w:szCs w:val="21"/>
              </w:rPr>
            </w:pPr>
            <w:r>
              <w:rPr>
                <w:bCs/>
                <w:color w:val="auto"/>
                <w:szCs w:val="21"/>
              </w:rPr>
              <w:t>仓库设置防止物料泄漏流失和扩散到环境的设施，以及收集系统，严禁吸烟，并按规定设置安全警示标志。原料包装必须严密，保持库房内干燥通风、密封避光，安装通风设施，夏季高温时应采取如喷淋降温、遮阳和防高温隔绝涂料等措施。装卸、搬运时应做到轻装、轻卸，严禁摔、碰、撞、击、拖拉、倾倒和滚动。操作人员应根据物品危险性，穿戴相应的防护用品。作业中不得饮食，不得用手擦嘴、脸、眼睛。每次作业完毕，应及时用肥皂（或专用洗涤剂）洗净面部、手部，用清水漱口，防护用具应及时清洗，集中存放。装卸作业结束后，应当对库区进行检查，确认安全后，方可离开。通过加强管理，提高员工的安全意识，可降低发生泄漏的概率。</w:t>
            </w:r>
          </w:p>
          <w:p w14:paraId="7FF5D8CE">
            <w:pPr>
              <w:spacing w:line="360" w:lineRule="auto"/>
              <w:ind w:firstLine="420" w:firstLineChars="200"/>
              <w:rPr>
                <w:bCs/>
                <w:color w:val="auto"/>
                <w:szCs w:val="21"/>
              </w:rPr>
            </w:pPr>
            <w:r>
              <w:rPr>
                <w:bCs/>
                <w:color w:val="auto"/>
                <w:szCs w:val="21"/>
              </w:rPr>
              <w:t>③火灾爆炸事故的防范措施</w:t>
            </w:r>
          </w:p>
          <w:p w14:paraId="271C6D4A">
            <w:pPr>
              <w:spacing w:line="360" w:lineRule="auto"/>
              <w:ind w:firstLine="420" w:firstLineChars="200"/>
              <w:rPr>
                <w:bCs/>
                <w:color w:val="auto"/>
                <w:szCs w:val="21"/>
              </w:rPr>
            </w:pPr>
            <w:r>
              <w:rPr>
                <w:bCs/>
                <w:color w:val="auto"/>
                <w:szCs w:val="21"/>
              </w:rPr>
              <w:t>按照《建筑设计防火规范》</w:t>
            </w:r>
            <w:r>
              <w:rPr>
                <w:rFonts w:hint="eastAsia"/>
                <w:bCs/>
                <w:color w:val="auto"/>
                <w:szCs w:val="21"/>
              </w:rPr>
              <w:t>（GB50016-2014，2018年版）</w:t>
            </w:r>
            <w:r>
              <w:rPr>
                <w:bCs/>
                <w:color w:val="auto"/>
                <w:szCs w:val="21"/>
              </w:rPr>
              <w:t>等标准的要求建设生产厂房，设置防火间距、平面布置等。定期对设备进行安全检测，检测内容、时间、人员应有记录保存。安全检测根据设备的安全性、危险性设定检测频次。设备检修过程中，要严格按照操作规程进行，防止火灾事故的发生。加强火源的管理，严禁烟火带入，对设备需进行维修焊接，经安全部门确认、准许，并有记录。机动车在厂内行驶，须安装阻火器，必要设备安装防火装置。要有完善的安全消防措施。各重点部位需设置灭火器，并且对其作定期检查。</w:t>
            </w:r>
          </w:p>
          <w:p w14:paraId="0CBC354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本次评估依据《事故状态下水体污染的预防与控制</w:t>
            </w:r>
            <w:r>
              <w:rPr>
                <w:rFonts w:hint="default" w:ascii="Times New Roman" w:hAnsi="Times New Roman" w:eastAsia="宋体" w:cs="Times New Roman"/>
                <w:color w:val="auto"/>
                <w:sz w:val="21"/>
                <w:szCs w:val="21"/>
                <w:highlight w:val="none"/>
                <w:lang w:val="en-US" w:eastAsia="zh-CN"/>
              </w:rPr>
              <w:t>规范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Q</w:t>
            </w:r>
            <w:r>
              <w:rPr>
                <w:rFonts w:hint="default" w:ascii="Times New Roman" w:hAnsi="Times New Roman" w:eastAsia="宋体" w:cs="Times New Roman"/>
                <w:color w:val="auto"/>
                <w:sz w:val="21"/>
                <w:szCs w:val="21"/>
                <w:highlight w:val="none"/>
              </w:rPr>
              <w:t>/SY</w:t>
            </w:r>
            <w:r>
              <w:rPr>
                <w:rFonts w:hint="default" w:ascii="Times New Roman" w:hAnsi="Times New Roman" w:eastAsia="宋体" w:cs="Times New Roman"/>
                <w:color w:val="auto"/>
                <w:sz w:val="21"/>
                <w:szCs w:val="21"/>
                <w:highlight w:val="none"/>
                <w:lang w:val="en-US" w:eastAsia="zh-CN"/>
              </w:rPr>
              <w:t>08190</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）计算事故排水量，包括事故时最大泄漏量、消防水量、生产废水量。事故水池容积确定拟参照</w:t>
            </w:r>
            <w:r>
              <w:rPr>
                <w:rFonts w:hint="default" w:ascii="Times New Roman" w:hAnsi="Times New Roman" w:eastAsia="宋体" w:cs="Times New Roman"/>
                <w:color w:val="auto"/>
                <w:sz w:val="21"/>
                <w:szCs w:val="21"/>
                <w:highlight w:val="none"/>
                <w:lang w:val="en-US" w:eastAsia="zh-CN"/>
              </w:rPr>
              <w:t>Q</w:t>
            </w:r>
            <w:r>
              <w:rPr>
                <w:rFonts w:hint="default" w:ascii="Times New Roman" w:hAnsi="Times New Roman" w:eastAsia="宋体" w:cs="Times New Roman"/>
                <w:color w:val="auto"/>
                <w:sz w:val="21"/>
                <w:szCs w:val="21"/>
                <w:highlight w:val="none"/>
              </w:rPr>
              <w:t>/SY</w:t>
            </w:r>
            <w:r>
              <w:rPr>
                <w:rFonts w:hint="default" w:ascii="Times New Roman" w:hAnsi="Times New Roman" w:eastAsia="宋体" w:cs="Times New Roman"/>
                <w:color w:val="auto"/>
                <w:sz w:val="21"/>
                <w:szCs w:val="21"/>
                <w:highlight w:val="none"/>
                <w:lang w:val="en-US" w:eastAsia="zh-CN"/>
              </w:rPr>
              <w:t>08190</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确定，计算公式如下：</w:t>
            </w:r>
          </w:p>
          <w:p w14:paraId="35A76B17">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总</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1</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vertAlign w:val="subscript"/>
              </w:rPr>
              <w:t>max</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5</w:t>
            </w:r>
          </w:p>
          <w:p w14:paraId="7EFBB047">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2"/>
                <w:sz w:val="21"/>
                <w:szCs w:val="21"/>
                <w:highlight w:val="none"/>
                <w:vertAlign w:val="sub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V</w:t>
            </w:r>
            <w:r>
              <w:rPr>
                <w:rFonts w:hint="default" w:ascii="Times New Roman" w:hAnsi="Times New Roman" w:eastAsia="宋体" w:cs="Times New Roman"/>
                <w:color w:val="auto"/>
                <w:kern w:val="2"/>
                <w:sz w:val="21"/>
                <w:szCs w:val="21"/>
                <w:highlight w:val="none"/>
                <w:vertAlign w:val="sub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=∑Q</w:t>
            </w:r>
            <w:r>
              <w:rPr>
                <w:rFonts w:hint="default" w:ascii="Times New Roman" w:hAnsi="Times New Roman" w:eastAsia="宋体" w:cs="Times New Roman"/>
                <w:color w:val="auto"/>
                <w:kern w:val="2"/>
                <w:sz w:val="21"/>
                <w:szCs w:val="21"/>
                <w:highlight w:val="none"/>
                <w:vertAlign w:val="subscript"/>
                <w:lang w:val="en-US" w:eastAsia="zh-CN" w:bidi="ar-SA"/>
              </w:rPr>
              <w:t>消</w:t>
            </w:r>
            <w:r>
              <w:rPr>
                <w:rFonts w:hint="default" w:ascii="Times New Roman" w:hAnsi="Times New Roman" w:eastAsia="宋体" w:cs="Times New Roman"/>
                <w:color w:val="auto"/>
                <w:kern w:val="2"/>
                <w:sz w:val="21"/>
                <w:szCs w:val="21"/>
                <w:highlight w:val="none"/>
                <w:lang w:val="en-US" w:eastAsia="zh-CN" w:bidi="ar-SA"/>
              </w:rPr>
              <w:t>×t</w:t>
            </w:r>
            <w:r>
              <w:rPr>
                <w:rFonts w:hint="default" w:ascii="Times New Roman" w:hAnsi="Times New Roman" w:eastAsia="宋体" w:cs="Times New Roman"/>
                <w:color w:val="auto"/>
                <w:kern w:val="2"/>
                <w:sz w:val="21"/>
                <w:szCs w:val="21"/>
                <w:highlight w:val="none"/>
                <w:vertAlign w:val="subscript"/>
                <w:lang w:val="en-US" w:eastAsia="zh-CN" w:bidi="ar-SA"/>
              </w:rPr>
              <w:t>消</w:t>
            </w:r>
          </w:p>
          <w:p w14:paraId="6B49C611">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=10qf</w:t>
            </w:r>
          </w:p>
          <w:p w14:paraId="3F14DDD7">
            <w:pPr>
              <w:pStyle w:val="95"/>
              <w:keepNext w:val="0"/>
              <w:keepLines w:val="0"/>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q=q</w:t>
            </w:r>
            <w:r>
              <w:rPr>
                <w:rFonts w:hint="default" w:ascii="Times New Roman" w:hAnsi="Times New Roman" w:eastAsia="宋体" w:cs="Times New Roman"/>
                <w:color w:val="auto"/>
                <w:sz w:val="21"/>
                <w:szCs w:val="21"/>
                <w:highlight w:val="none"/>
                <w:vertAlign w:val="subscript"/>
              </w:rPr>
              <w:t>a</w:t>
            </w:r>
            <w:r>
              <w:rPr>
                <w:rFonts w:hint="default" w:ascii="Times New Roman" w:hAnsi="Times New Roman" w:eastAsia="宋体" w:cs="Times New Roman"/>
                <w:color w:val="auto"/>
                <w:sz w:val="21"/>
                <w:szCs w:val="21"/>
                <w:highlight w:val="none"/>
              </w:rPr>
              <w:t>/n</w:t>
            </w:r>
          </w:p>
          <w:p w14:paraId="665F8A72">
            <w:pPr>
              <w:keepNext w:val="0"/>
              <w:keepLines w:val="0"/>
              <w:pageBreakBefore w:val="0"/>
              <w:kinsoku/>
              <w:wordWrap/>
              <w:overflowPunct/>
              <w:topLinePunct w:val="0"/>
              <w:bidi w:val="0"/>
              <w:adjustRightInd w:val="0"/>
              <w:snapToGrid w:val="0"/>
              <w:spacing w:line="36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式中V</w:t>
            </w:r>
            <w:r>
              <w:rPr>
                <w:rFonts w:hint="default" w:ascii="Times New Roman" w:hAnsi="Times New Roman" w:eastAsia="宋体" w:cs="Times New Roman"/>
                <w:color w:val="auto"/>
                <w:sz w:val="21"/>
                <w:szCs w:val="21"/>
                <w:highlight w:val="none"/>
                <w:vertAlign w:val="subscript"/>
              </w:rPr>
              <w:t>总</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事故缓冲设施总有效容积，单位为立方</w:t>
            </w:r>
            <w:r>
              <w:rPr>
                <w:rFonts w:hint="default" w:ascii="Times New Roman" w:hAnsi="Times New Roman" w:eastAsia="宋体" w:cs="Times New Roman"/>
                <w:color w:val="auto"/>
                <w:sz w:val="21"/>
                <w:szCs w:val="21"/>
                <w:highlight w:val="none"/>
                <w:lang w:val="en-US" w:eastAsia="zh-CN"/>
              </w:rPr>
              <w:t>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p w14:paraId="2A39978D">
            <w:pPr>
              <w:pStyle w:val="96"/>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firstLine="420" w:firstLineChars="200"/>
              <w:jc w:val="both"/>
              <w:textAlignment w:val="baseline"/>
              <w:rPr>
                <w:rFonts w:hint="default" w:ascii="Times New Roman" w:hAnsi="Times New Roman" w:eastAsia="宋体" w:cs="Times New Roman"/>
                <w:color w:val="auto"/>
                <w:sz w:val="21"/>
                <w:szCs w:val="21"/>
                <w:highlight w:val="none"/>
                <w:lang w:val="en-US" w:eastAsia="zh-CN"/>
              </w:rPr>
            </w:pPr>
            <w:r>
              <w:rPr>
                <w:rStyle w:val="97"/>
                <w:rFonts w:hint="default" w:ascii="Times New Roman" w:hAnsi="Times New Roman" w:eastAsia="宋体" w:cs="Times New Roman"/>
                <w:b w:val="0"/>
                <w:color w:val="auto"/>
                <w:sz w:val="21"/>
                <w:szCs w:val="21"/>
              </w:rPr>
              <w:t>V</w:t>
            </w:r>
            <w:r>
              <w:rPr>
                <w:rStyle w:val="97"/>
                <w:rFonts w:hint="default" w:ascii="Times New Roman" w:hAnsi="Times New Roman" w:eastAsia="宋体" w:cs="Times New Roman"/>
                <w:b w:val="0"/>
                <w:color w:val="auto"/>
                <w:sz w:val="21"/>
                <w:szCs w:val="21"/>
                <w:vertAlign w:val="subscript"/>
              </w:rPr>
              <w:t>1</w:t>
            </w:r>
            <w:r>
              <w:rPr>
                <w:rStyle w:val="97"/>
                <w:rFonts w:hint="default" w:ascii="Times New Roman" w:hAnsi="Times New Roman" w:eastAsia="宋体" w:cs="Times New Roman"/>
                <w:b w:val="0"/>
                <w:color w:val="auto"/>
                <w:sz w:val="21"/>
                <w:szCs w:val="21"/>
              </w:rPr>
              <w:t>—收集系统范围内发生事故的一个罐组或一套装置的物料量</w:t>
            </w:r>
            <w:r>
              <w:rPr>
                <w:rStyle w:val="97"/>
                <w:rFonts w:hint="default" w:ascii="Times New Roman" w:hAnsi="Times New Roman" w:eastAsia="宋体" w:cs="Times New Roman"/>
                <w:b w:val="0"/>
                <w:color w:val="auto"/>
                <w:sz w:val="21"/>
                <w:szCs w:val="21"/>
                <w:lang w:eastAsia="zh-CN"/>
              </w:rPr>
              <w:t>，</w:t>
            </w:r>
            <w:r>
              <w:rPr>
                <w:rStyle w:val="97"/>
                <w:rFonts w:hint="default" w:ascii="Times New Roman" w:hAnsi="Times New Roman" w:eastAsia="宋体" w:cs="Times New Roman"/>
                <w:b w:val="0"/>
                <w:color w:val="auto"/>
                <w:sz w:val="21"/>
                <w:szCs w:val="21"/>
                <w:lang w:val="en-US" w:eastAsia="zh-CN"/>
              </w:rPr>
              <w:t>项目最大原料桶装量为0.</w:t>
            </w:r>
            <w:r>
              <w:rPr>
                <w:rStyle w:val="97"/>
                <w:rFonts w:hint="eastAsia" w:eastAsia="宋体" w:cs="Times New Roman"/>
                <w:b w:val="0"/>
                <w:color w:val="auto"/>
                <w:sz w:val="21"/>
                <w:szCs w:val="21"/>
                <w:lang w:val="en-US" w:eastAsia="zh-CN"/>
              </w:rPr>
              <w:t>2</w:t>
            </w:r>
            <w:r>
              <w:rPr>
                <w:rStyle w:val="97"/>
                <w:rFonts w:hint="default" w:ascii="Times New Roman" w:hAnsi="Times New Roman" w:eastAsia="宋体" w:cs="Times New Roman"/>
                <w:b w:val="0"/>
                <w:color w:val="auto"/>
                <w:sz w:val="21"/>
                <w:szCs w:val="21"/>
                <w:lang w:val="en-US" w:eastAsia="zh-CN"/>
              </w:rPr>
              <w:t>m</w:t>
            </w:r>
            <w:r>
              <w:rPr>
                <w:rStyle w:val="97"/>
                <w:rFonts w:hint="default" w:ascii="Times New Roman" w:hAnsi="Times New Roman" w:eastAsia="宋体" w:cs="Times New Roman"/>
                <w:b w:val="0"/>
                <w:color w:val="auto"/>
                <w:sz w:val="21"/>
                <w:szCs w:val="21"/>
                <w:vertAlign w:val="superscript"/>
                <w:lang w:val="en-US" w:eastAsia="zh-CN"/>
              </w:rPr>
              <w:t>3</w:t>
            </w:r>
            <w:r>
              <w:rPr>
                <w:rStyle w:val="97"/>
                <w:rFonts w:hint="default" w:ascii="Times New Roman" w:hAnsi="Times New Roman" w:eastAsia="宋体" w:cs="Times New Roman"/>
                <w:b w:val="0"/>
                <w:color w:val="auto"/>
                <w:sz w:val="21"/>
                <w:szCs w:val="21"/>
                <w:lang w:val="en-US" w:eastAsia="zh-CN"/>
              </w:rPr>
              <w:t>，</w:t>
            </w:r>
            <w:r>
              <w:rPr>
                <w:rFonts w:hint="default" w:ascii="Times New Roman" w:hAnsi="Times New Roman" w:eastAsia="宋体" w:cs="Times New Roman"/>
                <w:b w:val="0"/>
                <w:bCs/>
                <w:color w:val="auto"/>
                <w:sz w:val="21"/>
                <w:szCs w:val="21"/>
                <w:highlight w:val="none"/>
                <w:lang w:val="en-US" w:eastAsia="zh-CN"/>
              </w:rPr>
              <w:t>因此</w:t>
            </w:r>
            <w:r>
              <w:rPr>
                <w:rFonts w:hint="default" w:ascii="Times New Roman" w:hAnsi="Times New Roman" w:eastAsia="宋体" w:cs="Times New Roman"/>
                <w:b/>
                <w:bCs/>
                <w:color w:val="auto"/>
                <w:sz w:val="21"/>
                <w:szCs w:val="21"/>
                <w:highlight w:val="none"/>
                <w:lang w:val="en-US" w:eastAsia="zh-CN"/>
              </w:rPr>
              <w:t>V</w:t>
            </w:r>
            <w:r>
              <w:rPr>
                <w:rFonts w:hint="default" w:ascii="Times New Roman" w:hAnsi="Times New Roman" w:eastAsia="宋体" w:cs="Times New Roman"/>
                <w:b/>
                <w:bCs/>
                <w:color w:val="auto"/>
                <w:sz w:val="21"/>
                <w:szCs w:val="21"/>
                <w:highlight w:val="none"/>
                <w:vertAlign w:val="subscript"/>
                <w:lang w:val="en-US" w:eastAsia="zh-CN"/>
              </w:rPr>
              <w:t>1</w:t>
            </w:r>
            <w:r>
              <w:rPr>
                <w:rFonts w:hint="default" w:ascii="Times New Roman" w:hAnsi="Times New Roman" w:eastAsia="宋体" w:cs="Times New Roman"/>
                <w:b/>
                <w:bCs/>
                <w:color w:val="auto"/>
                <w:sz w:val="21"/>
                <w:szCs w:val="21"/>
                <w:highlight w:val="none"/>
                <w:lang w:val="en-US" w:eastAsia="zh-CN"/>
              </w:rPr>
              <w:t>=0.</w:t>
            </w:r>
            <w:r>
              <w:rPr>
                <w:rFonts w:hint="eastAsia"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p w14:paraId="3FB33E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发生事故的储罐、装置或铁路、汽车装卸区的消防水量，单位为立方米（</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p w14:paraId="337FBE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Q</w:t>
            </w:r>
            <w:r>
              <w:rPr>
                <w:rFonts w:hint="default" w:ascii="Times New Roman" w:hAnsi="Times New Roman" w:eastAsia="宋体" w:cs="Times New Roman"/>
                <w:color w:val="auto"/>
                <w:kern w:val="2"/>
                <w:sz w:val="21"/>
                <w:szCs w:val="21"/>
                <w:highlight w:val="none"/>
                <w:vertAlign w:val="subscript"/>
                <w:lang w:val="en-US" w:eastAsia="zh-CN" w:bidi="ar-SA"/>
              </w:rPr>
              <w:t>消</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发生事故的储罐、装置或铁路、汽车装卸区同时使用的消防设施给水流量，单位为立方米每小时（</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p w14:paraId="474757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t</w:t>
            </w:r>
            <w:r>
              <w:rPr>
                <w:rFonts w:hint="default" w:ascii="Times New Roman" w:hAnsi="Times New Roman" w:eastAsia="宋体" w:cs="Times New Roman"/>
                <w:color w:val="auto"/>
                <w:kern w:val="2"/>
                <w:sz w:val="21"/>
                <w:szCs w:val="21"/>
                <w:highlight w:val="none"/>
                <w:vertAlign w:val="subscript"/>
                <w:lang w:val="en-US" w:eastAsia="zh-CN" w:bidi="ar-SA"/>
              </w:rPr>
              <w:t>消</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消防设施对应的设计消防历时，单位为小时（</w:t>
            </w:r>
            <w:r>
              <w:rPr>
                <w:rFonts w:hint="default" w:ascii="Times New Roman" w:hAnsi="Times New Roman" w:eastAsia="宋体" w:cs="Times New Roman"/>
                <w:color w:val="auto"/>
                <w:sz w:val="21"/>
                <w:szCs w:val="21"/>
                <w:highlight w:val="none"/>
                <w:lang w:val="en-US" w:eastAsia="zh-CN"/>
              </w:rPr>
              <w:t>h）；</w:t>
            </w:r>
          </w:p>
          <w:p w14:paraId="41D890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w:t>
            </w:r>
            <w:r>
              <w:rPr>
                <w:rFonts w:hint="default" w:ascii="Times New Roman" w:hAnsi="Times New Roman" w:eastAsia="宋体" w:cs="Times New Roman"/>
                <w:color w:val="auto"/>
                <w:sz w:val="21"/>
                <w:szCs w:val="21"/>
                <w:highlight w:val="none"/>
              </w:rPr>
              <w:t>消防水量按</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L/s考虑，根据规范要求，</w:t>
            </w:r>
            <w:r>
              <w:rPr>
                <w:rFonts w:hint="default" w:ascii="Times New Roman" w:hAnsi="Times New Roman" w:eastAsia="宋体" w:cs="Times New Roman"/>
                <w:color w:val="auto"/>
                <w:spacing w:val="0"/>
                <w:kern w:val="0"/>
                <w:position w:val="0"/>
                <w:sz w:val="21"/>
                <w:szCs w:val="21"/>
                <w:lang w:val="en-US" w:eastAsia="zh-CN"/>
              </w:rPr>
              <w:t>火灾持续时间按</w:t>
            </w:r>
            <w:r>
              <w:rPr>
                <w:rFonts w:hint="eastAsia" w:cs="Times New Roman"/>
                <w:color w:val="auto"/>
                <w:spacing w:val="0"/>
                <w:kern w:val="0"/>
                <w:position w:val="0"/>
                <w:sz w:val="21"/>
                <w:szCs w:val="21"/>
                <w:lang w:val="en-US" w:eastAsia="zh-CN"/>
              </w:rPr>
              <w:t>2</w:t>
            </w:r>
            <w:r>
              <w:rPr>
                <w:rFonts w:hint="default" w:ascii="Times New Roman" w:hAnsi="Times New Roman" w:eastAsia="宋体" w:cs="Times New Roman"/>
                <w:color w:val="auto"/>
                <w:spacing w:val="0"/>
                <w:kern w:val="0"/>
                <w:position w:val="0"/>
                <w:sz w:val="21"/>
                <w:szCs w:val="21"/>
                <w:lang w:val="en-US" w:eastAsia="zh-CN"/>
              </w:rPr>
              <w:t>h计</w:t>
            </w:r>
            <w:r>
              <w:rPr>
                <w:rFonts w:hint="default" w:ascii="Times New Roman" w:hAnsi="Times New Roman" w:eastAsia="宋体" w:cs="Times New Roman"/>
                <w:color w:val="auto"/>
                <w:sz w:val="21"/>
                <w:szCs w:val="21"/>
                <w:highlight w:val="none"/>
                <w:lang w:val="en-US" w:eastAsia="zh-CN"/>
              </w:rPr>
              <w:t>，则最大消防用水量为</w:t>
            </w:r>
            <w:r>
              <w:rPr>
                <w:rFonts w:hint="eastAsia" w:cs="Times New Roman"/>
                <w:color w:val="auto"/>
                <w:sz w:val="21"/>
                <w:szCs w:val="21"/>
                <w:highlight w:val="none"/>
                <w:lang w:val="en-US" w:eastAsia="zh-CN"/>
              </w:rPr>
              <w:t>144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，因此</w:t>
            </w:r>
            <w:r>
              <w:rPr>
                <w:rFonts w:hint="default" w:ascii="Times New Roman" w:hAnsi="Times New Roman" w:eastAsia="宋体" w:cs="Times New Roman"/>
                <w:b/>
                <w:bCs/>
                <w:color w:val="auto"/>
                <w:sz w:val="21"/>
                <w:szCs w:val="21"/>
                <w:highlight w:val="none"/>
                <w:lang w:val="en-US" w:eastAsia="zh-CN"/>
              </w:rPr>
              <w:t>V</w:t>
            </w:r>
            <w:r>
              <w:rPr>
                <w:rFonts w:hint="default" w:ascii="Times New Roman" w:hAnsi="Times New Roman" w:eastAsia="宋体" w:cs="Times New Roman"/>
                <w:b/>
                <w:bCs/>
                <w:color w:val="auto"/>
                <w:sz w:val="21"/>
                <w:szCs w:val="21"/>
                <w:highlight w:val="none"/>
                <w:vertAlign w:val="subscript"/>
                <w:lang w:val="en-US" w:eastAsia="zh-CN"/>
              </w:rPr>
              <w:t>2</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144</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p w14:paraId="420C61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发生事故时可以</w:t>
            </w:r>
            <w:r>
              <w:rPr>
                <w:rFonts w:hint="eastAsia" w:cs="Times New Roman"/>
                <w:color w:val="auto"/>
                <w:sz w:val="21"/>
                <w:szCs w:val="21"/>
                <w:highlight w:val="none"/>
                <w:lang w:val="en-US" w:eastAsia="zh-CN"/>
              </w:rPr>
              <w:t>传输</w:t>
            </w:r>
            <w:r>
              <w:rPr>
                <w:rFonts w:hint="default" w:ascii="Times New Roman" w:hAnsi="Times New Roman" w:eastAsia="宋体" w:cs="Times New Roman"/>
                <w:color w:val="auto"/>
                <w:sz w:val="21"/>
                <w:szCs w:val="21"/>
                <w:highlight w:val="none"/>
                <w:lang w:eastAsia="zh-CN"/>
              </w:rPr>
              <w:t>到其他储存或处理设施的物料量，单位为立方米（</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p w14:paraId="457CDE70">
            <w:pPr>
              <w:pStyle w:val="96"/>
              <w:keepNext w:val="0"/>
              <w:keepLines w:val="0"/>
              <w:pageBreakBefore w:val="0"/>
              <w:kinsoku/>
              <w:wordWrap/>
              <w:overflowPunct/>
              <w:topLinePunct w:val="0"/>
              <w:bidi w:val="0"/>
              <w:adjustRightInd w:val="0"/>
              <w:snapToGrid w:val="0"/>
              <w:spacing w:line="360" w:lineRule="auto"/>
              <w:ind w:left="0" w:leftChars="0" w:right="0" w:rightChars="0" w:firstLine="420" w:firstLineChars="200"/>
              <w:jc w:val="both"/>
              <w:rPr>
                <w:rStyle w:val="97"/>
                <w:rFonts w:hint="default" w:ascii="Times New Roman" w:hAnsi="Times New Roman" w:eastAsia="宋体" w:cs="Times New Roman"/>
                <w:b w:val="0"/>
                <w:color w:val="auto"/>
                <w:sz w:val="21"/>
                <w:szCs w:val="21"/>
                <w:lang w:eastAsia="zh-CN"/>
              </w:rPr>
            </w:pPr>
            <w:r>
              <w:rPr>
                <w:rStyle w:val="97"/>
                <w:rFonts w:hint="default" w:ascii="Times New Roman" w:hAnsi="Times New Roman" w:eastAsia="宋体" w:cs="Times New Roman"/>
                <w:b w:val="0"/>
                <w:color w:val="auto"/>
                <w:sz w:val="21"/>
                <w:szCs w:val="21"/>
              </w:rPr>
              <w:t>企业发生事故时，</w:t>
            </w:r>
            <w:r>
              <w:rPr>
                <w:rStyle w:val="97"/>
                <w:rFonts w:hint="default" w:ascii="Times New Roman" w:hAnsi="Times New Roman" w:eastAsia="宋体" w:cs="Times New Roman"/>
                <w:b w:val="0"/>
                <w:color w:val="auto"/>
                <w:sz w:val="21"/>
                <w:szCs w:val="21"/>
                <w:lang w:eastAsia="zh-CN"/>
              </w:rPr>
              <w:t>消防尾水</w:t>
            </w:r>
            <w:r>
              <w:rPr>
                <w:rStyle w:val="97"/>
                <w:rFonts w:hint="default" w:ascii="Times New Roman" w:hAnsi="Times New Roman" w:eastAsia="宋体" w:cs="Times New Roman"/>
                <w:b w:val="0"/>
                <w:color w:val="auto"/>
                <w:sz w:val="21"/>
                <w:szCs w:val="21"/>
              </w:rPr>
              <w:t>部分进入雨水管道，雨水排口的阀门处于关闭状态，雨水（事故）应急池阀门处于开启状态，将事故性废水收集至应急事故池，</w:t>
            </w:r>
            <w:r>
              <w:rPr>
                <w:rStyle w:val="97"/>
                <w:rFonts w:hint="default" w:ascii="Times New Roman" w:hAnsi="Times New Roman" w:eastAsia="宋体" w:cs="Times New Roman"/>
                <w:b w:val="0"/>
                <w:color w:val="auto"/>
                <w:sz w:val="21"/>
                <w:szCs w:val="21"/>
                <w:lang w:val="en-US" w:eastAsia="zh-CN"/>
              </w:rPr>
              <w:t>厂区</w:t>
            </w:r>
            <w:r>
              <w:rPr>
                <w:rStyle w:val="97"/>
                <w:rFonts w:hint="default" w:ascii="Times New Roman" w:hAnsi="Times New Roman" w:eastAsia="宋体" w:cs="Times New Roman"/>
                <w:b w:val="0"/>
                <w:color w:val="auto"/>
                <w:sz w:val="21"/>
                <w:szCs w:val="21"/>
              </w:rPr>
              <w:t>雨水管道容积约为V=3.14*</w:t>
            </w:r>
            <w:r>
              <w:rPr>
                <w:rStyle w:val="97"/>
                <w:rFonts w:hint="default" w:ascii="Times New Roman" w:hAnsi="Times New Roman" w:eastAsia="宋体" w:cs="Times New Roman"/>
                <w:b w:val="0"/>
                <w:color w:val="auto"/>
                <w:sz w:val="21"/>
                <w:szCs w:val="21"/>
                <w:lang w:val="en-US" w:eastAsia="zh-CN"/>
              </w:rPr>
              <w:t>0.</w:t>
            </w:r>
            <w:r>
              <w:rPr>
                <w:rStyle w:val="97"/>
                <w:rFonts w:hint="eastAsia" w:eastAsia="宋体" w:cs="Times New Roman"/>
                <w:b w:val="0"/>
                <w:color w:val="auto"/>
                <w:sz w:val="21"/>
                <w:szCs w:val="21"/>
                <w:lang w:val="en-US" w:eastAsia="zh-CN"/>
              </w:rPr>
              <w:t>15</w:t>
            </w:r>
            <w:r>
              <w:rPr>
                <w:rStyle w:val="97"/>
                <w:rFonts w:hint="default" w:ascii="Times New Roman" w:hAnsi="Times New Roman" w:eastAsia="宋体" w:cs="Times New Roman"/>
                <w:b w:val="0"/>
                <w:color w:val="auto"/>
                <w:sz w:val="21"/>
                <w:szCs w:val="21"/>
              </w:rPr>
              <w:t>*0.</w:t>
            </w:r>
            <w:r>
              <w:rPr>
                <w:rStyle w:val="97"/>
                <w:rFonts w:hint="eastAsia" w:eastAsia="宋体" w:cs="Times New Roman"/>
                <w:b w:val="0"/>
                <w:color w:val="auto"/>
                <w:sz w:val="21"/>
                <w:szCs w:val="21"/>
                <w:lang w:val="en-US" w:eastAsia="zh-CN"/>
              </w:rPr>
              <w:t>15</w:t>
            </w:r>
            <w:r>
              <w:rPr>
                <w:rStyle w:val="97"/>
                <w:rFonts w:hint="default" w:ascii="Times New Roman" w:hAnsi="Times New Roman" w:eastAsia="宋体" w:cs="Times New Roman"/>
                <w:b w:val="0"/>
                <w:color w:val="auto"/>
                <w:sz w:val="21"/>
                <w:szCs w:val="21"/>
              </w:rPr>
              <w:t>*</w:t>
            </w:r>
            <w:r>
              <w:rPr>
                <w:rStyle w:val="97"/>
                <w:rFonts w:hint="eastAsia" w:eastAsia="宋体" w:cs="Times New Roman"/>
                <w:b w:val="0"/>
                <w:color w:val="auto"/>
                <w:sz w:val="21"/>
                <w:szCs w:val="21"/>
                <w:lang w:val="en-US" w:eastAsia="zh-CN"/>
              </w:rPr>
              <w:t>8</w:t>
            </w:r>
            <w:r>
              <w:rPr>
                <w:rStyle w:val="97"/>
                <w:rFonts w:hint="default" w:ascii="Times New Roman" w:hAnsi="Times New Roman" w:eastAsia="宋体" w:cs="Times New Roman"/>
                <w:b w:val="0"/>
                <w:color w:val="auto"/>
                <w:sz w:val="21"/>
                <w:szCs w:val="21"/>
                <w:lang w:val="en-US" w:eastAsia="zh-CN"/>
              </w:rPr>
              <w:t>00</w:t>
            </w:r>
            <w:r>
              <w:rPr>
                <w:rStyle w:val="97"/>
                <w:rFonts w:hint="default" w:ascii="Times New Roman" w:hAnsi="Times New Roman" w:eastAsia="宋体" w:cs="Times New Roman"/>
                <w:b w:val="0"/>
                <w:color w:val="auto"/>
                <w:sz w:val="21"/>
                <w:szCs w:val="21"/>
              </w:rPr>
              <w:t>=</w:t>
            </w:r>
            <w:r>
              <w:rPr>
                <w:rStyle w:val="97"/>
                <w:rFonts w:hint="eastAsia" w:eastAsia="宋体" w:cs="Times New Roman"/>
                <w:b w:val="0"/>
                <w:color w:val="auto"/>
                <w:sz w:val="21"/>
                <w:szCs w:val="21"/>
                <w:lang w:val="en-US" w:eastAsia="zh-CN"/>
              </w:rPr>
              <w:t>56.52</w:t>
            </w:r>
            <w:r>
              <w:rPr>
                <w:rStyle w:val="97"/>
                <w:rFonts w:hint="default" w:ascii="Times New Roman" w:hAnsi="Times New Roman" w:eastAsia="宋体" w:cs="Times New Roman"/>
                <w:b w:val="0"/>
                <w:color w:val="auto"/>
                <w:sz w:val="21"/>
                <w:szCs w:val="21"/>
              </w:rPr>
              <w:t>m</w:t>
            </w:r>
            <w:r>
              <w:rPr>
                <w:rStyle w:val="97"/>
                <w:rFonts w:hint="default" w:ascii="Times New Roman" w:hAnsi="Times New Roman" w:eastAsia="宋体" w:cs="Times New Roman"/>
                <w:b w:val="0"/>
                <w:color w:val="auto"/>
                <w:sz w:val="21"/>
                <w:szCs w:val="21"/>
                <w:vertAlign w:val="superscript"/>
              </w:rPr>
              <w:t>3</w:t>
            </w:r>
            <w:r>
              <w:rPr>
                <w:rStyle w:val="97"/>
                <w:rFonts w:hint="default" w:ascii="Times New Roman" w:hAnsi="Times New Roman" w:eastAsia="宋体" w:cs="Times New Roman"/>
                <w:b w:val="0"/>
                <w:color w:val="auto"/>
                <w:sz w:val="21"/>
                <w:szCs w:val="21"/>
              </w:rPr>
              <w:t>，故</w:t>
            </w:r>
            <w:r>
              <w:rPr>
                <w:rStyle w:val="97"/>
                <w:rFonts w:hint="default" w:ascii="Times New Roman" w:hAnsi="Times New Roman" w:eastAsia="宋体" w:cs="Times New Roman"/>
                <w:b/>
                <w:bCs/>
                <w:color w:val="auto"/>
                <w:sz w:val="21"/>
                <w:szCs w:val="21"/>
              </w:rPr>
              <w:t>V</w:t>
            </w:r>
            <w:r>
              <w:rPr>
                <w:rStyle w:val="97"/>
                <w:rFonts w:hint="default" w:ascii="Times New Roman" w:hAnsi="Times New Roman" w:eastAsia="宋体" w:cs="Times New Roman"/>
                <w:b/>
                <w:bCs/>
                <w:color w:val="auto"/>
                <w:sz w:val="21"/>
                <w:szCs w:val="21"/>
                <w:vertAlign w:val="subscript"/>
              </w:rPr>
              <w:t>3</w:t>
            </w:r>
            <w:r>
              <w:rPr>
                <w:rStyle w:val="97"/>
                <w:rFonts w:hint="default" w:ascii="Times New Roman" w:hAnsi="Times New Roman" w:eastAsia="宋体" w:cs="Times New Roman"/>
                <w:b/>
                <w:bCs/>
                <w:color w:val="auto"/>
                <w:sz w:val="21"/>
                <w:szCs w:val="21"/>
              </w:rPr>
              <w:t>=</w:t>
            </w:r>
            <w:r>
              <w:rPr>
                <w:rStyle w:val="97"/>
                <w:rFonts w:hint="eastAsia" w:eastAsia="宋体" w:cs="Times New Roman"/>
                <w:b w:val="0"/>
                <w:color w:val="auto"/>
                <w:sz w:val="21"/>
                <w:szCs w:val="21"/>
                <w:lang w:val="en-US" w:eastAsia="zh-CN"/>
              </w:rPr>
              <w:t>56.52</w:t>
            </w:r>
            <w:r>
              <w:rPr>
                <w:rStyle w:val="97"/>
                <w:rFonts w:hint="default" w:ascii="Times New Roman" w:hAnsi="Times New Roman" w:eastAsia="宋体" w:cs="Times New Roman"/>
                <w:b/>
                <w:bCs/>
                <w:color w:val="auto"/>
                <w:sz w:val="21"/>
                <w:szCs w:val="21"/>
              </w:rPr>
              <w:t>m</w:t>
            </w:r>
            <w:r>
              <w:rPr>
                <w:rStyle w:val="97"/>
                <w:rFonts w:hint="default" w:ascii="Times New Roman" w:hAnsi="Times New Roman" w:eastAsia="宋体" w:cs="Times New Roman"/>
                <w:b/>
                <w:bCs/>
                <w:color w:val="auto"/>
                <w:sz w:val="21"/>
                <w:szCs w:val="21"/>
                <w:vertAlign w:val="superscript"/>
              </w:rPr>
              <w:t>3</w:t>
            </w:r>
            <w:r>
              <w:rPr>
                <w:rStyle w:val="97"/>
                <w:rFonts w:hint="default" w:ascii="Times New Roman" w:hAnsi="Times New Roman" w:eastAsia="宋体" w:cs="Times New Roman"/>
                <w:b w:val="0"/>
                <w:color w:val="auto"/>
                <w:sz w:val="21"/>
                <w:szCs w:val="21"/>
              </w:rPr>
              <w:t>(雨水管网直径</w:t>
            </w:r>
            <w:r>
              <w:rPr>
                <w:rStyle w:val="97"/>
                <w:rFonts w:hint="default" w:ascii="Times New Roman" w:hAnsi="Times New Roman" w:eastAsia="宋体" w:cs="Times New Roman"/>
                <w:b w:val="0"/>
                <w:color w:val="auto"/>
                <w:sz w:val="21"/>
                <w:szCs w:val="21"/>
                <w:lang w:val="en-US" w:eastAsia="zh-CN"/>
              </w:rPr>
              <w:t>平均0.</w:t>
            </w:r>
            <w:r>
              <w:rPr>
                <w:rStyle w:val="97"/>
                <w:rFonts w:hint="eastAsia" w:eastAsia="宋体" w:cs="Times New Roman"/>
                <w:b w:val="0"/>
                <w:color w:val="auto"/>
                <w:sz w:val="21"/>
                <w:szCs w:val="21"/>
                <w:lang w:val="en-US" w:eastAsia="zh-CN"/>
              </w:rPr>
              <w:t>3</w:t>
            </w:r>
            <w:r>
              <w:rPr>
                <w:rStyle w:val="97"/>
                <w:rFonts w:hint="default" w:ascii="Times New Roman" w:hAnsi="Times New Roman" w:eastAsia="宋体" w:cs="Times New Roman"/>
                <w:b w:val="0"/>
                <w:color w:val="auto"/>
                <w:sz w:val="21"/>
                <w:szCs w:val="21"/>
              </w:rPr>
              <w:t>m</w:t>
            </w:r>
            <w:r>
              <w:rPr>
                <w:rStyle w:val="97"/>
                <w:rFonts w:hint="default" w:ascii="Times New Roman" w:hAnsi="Times New Roman" w:eastAsia="宋体" w:cs="Times New Roman"/>
                <w:b w:val="0"/>
                <w:color w:val="auto"/>
                <w:sz w:val="21"/>
                <w:szCs w:val="21"/>
                <w:lang w:eastAsia="zh-CN"/>
              </w:rPr>
              <w:t>，</w:t>
            </w:r>
            <w:r>
              <w:rPr>
                <w:rStyle w:val="97"/>
                <w:rFonts w:hint="default" w:ascii="Times New Roman" w:hAnsi="Times New Roman" w:eastAsia="宋体" w:cs="Times New Roman"/>
                <w:b w:val="0"/>
                <w:color w:val="auto"/>
                <w:sz w:val="21"/>
                <w:szCs w:val="21"/>
              </w:rPr>
              <w:t>总长度约</w:t>
            </w:r>
            <w:r>
              <w:rPr>
                <w:rStyle w:val="97"/>
                <w:rFonts w:hint="eastAsia" w:eastAsia="宋体" w:cs="Times New Roman"/>
                <w:b w:val="0"/>
                <w:color w:val="auto"/>
                <w:sz w:val="21"/>
                <w:szCs w:val="21"/>
                <w:lang w:val="en-US" w:eastAsia="zh-CN"/>
              </w:rPr>
              <w:t>8</w:t>
            </w:r>
            <w:r>
              <w:rPr>
                <w:rStyle w:val="97"/>
                <w:rFonts w:hint="default" w:ascii="Times New Roman" w:hAnsi="Times New Roman" w:eastAsia="宋体" w:cs="Times New Roman"/>
                <w:b w:val="0"/>
                <w:color w:val="auto"/>
                <w:sz w:val="21"/>
                <w:szCs w:val="21"/>
                <w:lang w:val="en-US" w:eastAsia="zh-CN"/>
              </w:rPr>
              <w:t>00</w:t>
            </w:r>
            <w:r>
              <w:rPr>
                <w:rStyle w:val="97"/>
                <w:rFonts w:hint="default" w:ascii="Times New Roman" w:hAnsi="Times New Roman" w:eastAsia="宋体" w:cs="Times New Roman"/>
                <w:b w:val="0"/>
                <w:color w:val="auto"/>
                <w:sz w:val="21"/>
                <w:szCs w:val="21"/>
              </w:rPr>
              <w:t>m)</w:t>
            </w:r>
            <w:r>
              <w:rPr>
                <w:rStyle w:val="97"/>
                <w:rFonts w:hint="default" w:ascii="Times New Roman" w:hAnsi="Times New Roman" w:eastAsia="宋体" w:cs="Times New Roman"/>
                <w:b w:val="0"/>
                <w:color w:val="auto"/>
                <w:sz w:val="21"/>
                <w:szCs w:val="21"/>
                <w:lang w:eastAsia="zh-CN"/>
              </w:rPr>
              <w:t>；</w:t>
            </w:r>
          </w:p>
          <w:p w14:paraId="7B533A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V</w:t>
            </w:r>
            <w:r>
              <w:rPr>
                <w:rFonts w:hint="default" w:ascii="Times New Roman" w:hAnsi="Times New Roman" w:eastAsia="宋体" w:cs="Times New Roman"/>
                <w:color w:val="auto"/>
                <w:sz w:val="21"/>
                <w:szCs w:val="21"/>
                <w:highlight w:val="none"/>
                <w:vertAlign w:val="subscript"/>
                <w:lang w:val="en-US" w:eastAsia="zh-CN"/>
              </w:rPr>
              <w:t>4</w:t>
            </w:r>
            <w:r>
              <w:rPr>
                <w:rFonts w:hint="default" w:ascii="Times New Roman" w:hAnsi="Times New Roman" w:eastAsia="宋体" w:cs="Times New Roman"/>
                <w:color w:val="auto"/>
                <w:sz w:val="21"/>
                <w:szCs w:val="21"/>
                <w:highlight w:val="none"/>
                <w:lang w:eastAsia="zh-CN"/>
              </w:rPr>
              <w:t>—发生事故时仍必须进入该收集系统的生产废水量，单位为立方（</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p w14:paraId="2466A2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本项目无</w:t>
            </w:r>
            <w:r>
              <w:rPr>
                <w:rFonts w:hint="default" w:ascii="Times New Roman" w:hAnsi="Times New Roman" w:eastAsia="宋体" w:cs="Times New Roman"/>
                <w:color w:val="auto"/>
                <w:sz w:val="21"/>
                <w:szCs w:val="21"/>
                <w:highlight w:val="none"/>
                <w:lang w:eastAsia="zh-CN"/>
              </w:rPr>
              <w:t>生产废水</w:t>
            </w:r>
            <w:r>
              <w:rPr>
                <w:rFonts w:hint="default" w:ascii="Times New Roman" w:hAnsi="Times New Roman" w:eastAsia="宋体" w:cs="Times New Roman"/>
                <w:color w:val="auto"/>
                <w:sz w:val="21"/>
                <w:szCs w:val="21"/>
                <w:highlight w:val="none"/>
                <w:lang w:val="en-US" w:eastAsia="zh-CN"/>
              </w:rPr>
              <w:t>外排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bCs/>
                <w:color w:val="auto"/>
                <w:sz w:val="21"/>
                <w:szCs w:val="21"/>
                <w:highlight w:val="none"/>
              </w:rPr>
              <w:t>V</w:t>
            </w:r>
            <w:r>
              <w:rPr>
                <w:rFonts w:hint="default" w:ascii="Times New Roman" w:hAnsi="Times New Roman" w:eastAsia="宋体" w:cs="Times New Roman"/>
                <w:b/>
                <w:bCs/>
                <w:color w:val="auto"/>
                <w:sz w:val="21"/>
                <w:szCs w:val="21"/>
                <w:highlight w:val="none"/>
                <w:vertAlign w:val="subscript"/>
                <w:lang w:val="en-US" w:eastAsia="zh-CN"/>
              </w:rPr>
              <w:t>4</w:t>
            </w:r>
            <w:r>
              <w:rPr>
                <w:rFonts w:hint="default" w:ascii="Times New Roman" w:hAnsi="Times New Roman" w:eastAsia="宋体" w:cs="Times New Roman"/>
                <w:b/>
                <w:bCs/>
                <w:color w:val="auto"/>
                <w:sz w:val="21"/>
                <w:szCs w:val="21"/>
                <w:highlight w:val="none"/>
                <w:lang w:val="en-US" w:eastAsia="zh-CN"/>
              </w:rPr>
              <w:t>=0m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p w14:paraId="474190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发生事故时可能进入该收集系统的降雨量，单位为立方米（</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p w14:paraId="07A29A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q</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降雨强度，按平均日降雨量，单位为毫米（</w:t>
            </w:r>
            <w:r>
              <w:rPr>
                <w:rFonts w:hint="default" w:ascii="Times New Roman" w:hAnsi="Times New Roman" w:eastAsia="宋体" w:cs="Times New Roman"/>
                <w:color w:val="auto"/>
                <w:sz w:val="21"/>
                <w:szCs w:val="21"/>
                <w:highlight w:val="none"/>
                <w:lang w:val="en-US" w:eastAsia="zh-CN"/>
              </w:rPr>
              <w:t>mm）；</w:t>
            </w:r>
          </w:p>
          <w:p w14:paraId="3E3DDB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q</w:t>
            </w:r>
            <w:r>
              <w:rPr>
                <w:rFonts w:hint="default" w:ascii="Times New Roman" w:hAnsi="Times New Roman" w:eastAsia="宋体" w:cs="Times New Roman"/>
                <w:color w:val="auto"/>
                <w:sz w:val="21"/>
                <w:szCs w:val="21"/>
                <w:highlight w:val="none"/>
                <w:vertAlign w:val="subscript"/>
                <w:lang w:val="en-US" w:eastAsia="zh-CN"/>
              </w:rPr>
              <w:t>a</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年平均降雨量，单位为毫米（</w:t>
            </w:r>
            <w:r>
              <w:rPr>
                <w:rFonts w:hint="default" w:ascii="Times New Roman" w:hAnsi="Times New Roman" w:eastAsia="宋体" w:cs="Times New Roman"/>
                <w:color w:val="auto"/>
                <w:sz w:val="21"/>
                <w:szCs w:val="21"/>
                <w:highlight w:val="none"/>
                <w:lang w:val="en-US" w:eastAsia="zh-CN"/>
              </w:rPr>
              <w:t>mm）；</w:t>
            </w:r>
          </w:p>
          <w:p w14:paraId="48326E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年平均降雨日数，单位为天（</w:t>
            </w:r>
            <w:r>
              <w:rPr>
                <w:rFonts w:hint="default" w:ascii="Times New Roman" w:hAnsi="Times New Roman" w:eastAsia="宋体" w:cs="Times New Roman"/>
                <w:color w:val="auto"/>
                <w:sz w:val="21"/>
                <w:szCs w:val="21"/>
                <w:highlight w:val="none"/>
                <w:lang w:val="en-US" w:eastAsia="zh-CN"/>
              </w:rPr>
              <w:t>d）；</w:t>
            </w:r>
          </w:p>
          <w:p w14:paraId="555406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f</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必须进</w:t>
            </w:r>
            <w:r>
              <w:rPr>
                <w:rFonts w:hint="default" w:ascii="Times New Roman" w:hAnsi="Times New Roman" w:eastAsia="宋体" w:cs="Times New Roman"/>
                <w:color w:val="auto"/>
                <w:sz w:val="21"/>
                <w:szCs w:val="21"/>
                <w:highlight w:val="none"/>
                <w:lang w:val="en-US" w:eastAsia="zh-CN"/>
              </w:rPr>
              <w:t>入</w:t>
            </w:r>
            <w:r>
              <w:rPr>
                <w:rFonts w:hint="default" w:ascii="Times New Roman" w:hAnsi="Times New Roman" w:eastAsia="宋体" w:cs="Times New Roman"/>
                <w:color w:val="auto"/>
                <w:sz w:val="21"/>
                <w:szCs w:val="21"/>
                <w:highlight w:val="none"/>
                <w:lang w:eastAsia="zh-CN"/>
              </w:rPr>
              <w:t>事故废水收集系统的雨水汇水面积，单位为公顷（</w:t>
            </w:r>
            <w:r>
              <w:rPr>
                <w:rFonts w:hint="default" w:ascii="Times New Roman" w:hAnsi="Times New Roman" w:eastAsia="宋体" w:cs="Times New Roman"/>
                <w:color w:val="auto"/>
                <w:sz w:val="21"/>
                <w:szCs w:val="21"/>
                <w:highlight w:val="none"/>
                <w:lang w:val="en-US" w:eastAsia="zh-CN"/>
              </w:rPr>
              <w:t>ha）；</w:t>
            </w:r>
          </w:p>
          <w:p w14:paraId="68BAC8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lang w:val="en-US" w:eastAsia="zh-CN"/>
              </w:rPr>
              <w:t>企业</w:t>
            </w:r>
            <w:r>
              <w:rPr>
                <w:rFonts w:hint="default" w:ascii="Times New Roman" w:hAnsi="Times New Roman" w:eastAsia="宋体" w:cs="Times New Roman"/>
                <w:b w:val="0"/>
                <w:color w:val="auto"/>
                <w:sz w:val="21"/>
                <w:szCs w:val="21"/>
                <w:lang w:val="en-US"/>
              </w:rPr>
              <w:t>无露天生产装置，无露天储罐，故</w:t>
            </w:r>
            <w:r>
              <w:rPr>
                <w:rFonts w:hint="default" w:ascii="Times New Roman" w:hAnsi="Times New Roman" w:eastAsia="宋体" w:cs="Times New Roman"/>
                <w:b w:val="0"/>
                <w:color w:val="auto"/>
                <w:sz w:val="21"/>
                <w:szCs w:val="21"/>
                <w:highlight w:val="none"/>
                <w:lang w:val="en-US"/>
              </w:rPr>
              <w:t>初期雨水不需要收集进入事故池</w:t>
            </w:r>
            <w:r>
              <w:rPr>
                <w:rFonts w:hint="default" w:ascii="Times New Roman" w:hAnsi="Times New Roman" w:eastAsia="宋体" w:cs="Times New Roman"/>
                <w:b w:val="0"/>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V</w:t>
            </w:r>
            <w:r>
              <w:rPr>
                <w:rFonts w:hint="default" w:ascii="Times New Roman" w:hAnsi="Times New Roman" w:eastAsia="宋体" w:cs="Times New Roman"/>
                <w:b/>
                <w:bCs/>
                <w:color w:val="auto"/>
                <w:sz w:val="21"/>
                <w:szCs w:val="21"/>
                <w:highlight w:val="none"/>
                <w:lang w:val="en-US"/>
              </w:rPr>
              <w:t>5</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rPr>
              <w:t>0</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lang w:val="en-US"/>
              </w:rPr>
              <w:t>。</w:t>
            </w:r>
          </w:p>
          <w:p w14:paraId="028F42D1">
            <w:pPr>
              <w:keepNext w:val="0"/>
              <w:keepLines w:val="0"/>
              <w:pageBreakBefore w:val="0"/>
              <w:kinsoku/>
              <w:wordWrap/>
              <w:overflowPunct/>
              <w:topLinePunct w:val="0"/>
              <w:bidi w:val="0"/>
              <w:adjustRightInd w:val="0"/>
              <w:snapToGrid w:val="0"/>
              <w:spacing w:line="360" w:lineRule="auto"/>
              <w:ind w:left="0" w:leftChars="0" w:right="0" w:rightChars="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计算过程：</w:t>
            </w:r>
          </w:p>
          <w:p w14:paraId="394606F4">
            <w:pPr>
              <w:keepNext w:val="0"/>
              <w:keepLines w:val="0"/>
              <w:pageBreakBefore w:val="0"/>
              <w:widowControl w:val="0"/>
              <w:kinsoku/>
              <w:wordWrap/>
              <w:overflowPunct/>
              <w:topLinePunct w:val="0"/>
              <w:bidi w:val="0"/>
              <w:adjustRightInd w:val="0"/>
              <w:snapToGrid w:val="0"/>
              <w:spacing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总</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1</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vertAlign w:val="subscript"/>
              </w:rPr>
              <w:t>max</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144</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56.52</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rPr>
              <w:t>0</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87.68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lang w:val="en-US"/>
              </w:rPr>
              <w:t>。</w:t>
            </w:r>
          </w:p>
          <w:p w14:paraId="276AD696">
            <w:pPr>
              <w:keepNext w:val="0"/>
              <w:keepLines w:val="0"/>
              <w:pageBreakBefore w:val="0"/>
              <w:kinsoku/>
              <w:wordWrap/>
              <w:overflowPunct/>
              <w:topLinePunct w:val="0"/>
              <w:bidi w:val="0"/>
              <w:adjustRightInd w:val="0"/>
              <w:snapToGrid w:val="0"/>
              <w:spacing w:line="360" w:lineRule="auto"/>
              <w:ind w:firstLine="420" w:firstLineChars="200"/>
              <w:rPr>
                <w:bCs/>
                <w:color w:val="auto"/>
                <w:szCs w:val="21"/>
              </w:rPr>
            </w:pPr>
            <w:r>
              <w:rPr>
                <w:rFonts w:hint="default" w:ascii="Times New Roman" w:hAnsi="Times New Roman" w:eastAsia="宋体" w:cs="Times New Roman"/>
                <w:b w:val="0"/>
                <w:color w:val="auto"/>
                <w:sz w:val="21"/>
                <w:szCs w:val="21"/>
                <w:highlight w:val="none"/>
              </w:rPr>
              <w:t>经计算，</w:t>
            </w:r>
            <w:r>
              <w:rPr>
                <w:rFonts w:hint="default" w:ascii="Times New Roman" w:hAnsi="Times New Roman" w:eastAsia="宋体" w:cs="Times New Roman"/>
                <w:b w:val="0"/>
                <w:color w:val="auto"/>
                <w:sz w:val="21"/>
                <w:szCs w:val="21"/>
                <w:highlight w:val="none"/>
                <w:lang w:val="en-US" w:eastAsia="zh-CN"/>
              </w:rPr>
              <w:t>企业</w:t>
            </w:r>
            <w:r>
              <w:rPr>
                <w:rFonts w:hint="default" w:ascii="Times New Roman" w:hAnsi="Times New Roman" w:eastAsia="宋体" w:cs="Times New Roman"/>
                <w:b w:val="0"/>
                <w:color w:val="auto"/>
                <w:sz w:val="21"/>
                <w:szCs w:val="21"/>
                <w:highlight w:val="none"/>
              </w:rPr>
              <w:t>应急事故废水最大量为</w:t>
            </w:r>
            <w:r>
              <w:rPr>
                <w:rFonts w:hint="eastAsia" w:cs="Times New Roman"/>
                <w:color w:val="auto"/>
                <w:sz w:val="21"/>
                <w:szCs w:val="21"/>
                <w:highlight w:val="none"/>
                <w:lang w:val="en-US" w:eastAsia="zh-CN"/>
              </w:rPr>
              <w:t>87.68</w:t>
            </w:r>
            <w:r>
              <w:rPr>
                <w:rFonts w:hint="default" w:ascii="Times New Roman" w:hAnsi="Times New Roman" w:eastAsia="宋体" w:cs="Times New Roman"/>
                <w:b w:val="0"/>
                <w:color w:val="auto"/>
                <w:sz w:val="21"/>
                <w:szCs w:val="21"/>
                <w:highlight w:val="none"/>
              </w:rPr>
              <w:t>m</w:t>
            </w:r>
            <w:r>
              <w:rPr>
                <w:rFonts w:hint="default" w:ascii="Times New Roman" w:hAnsi="Times New Roman" w:eastAsia="宋体" w:cs="Times New Roman"/>
                <w:b w:val="0"/>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lang w:val="en-US" w:eastAsia="zh-CN"/>
              </w:rPr>
              <w:t>建设单位</w:t>
            </w:r>
            <w:r>
              <w:rPr>
                <w:rFonts w:hint="eastAsia" w:ascii="Times New Roman" w:hAnsi="Times New Roman" w:eastAsia="宋体" w:cs="Times New Roman"/>
                <w:b w:val="0"/>
                <w:color w:val="auto"/>
                <w:sz w:val="21"/>
                <w:szCs w:val="21"/>
                <w:highlight w:val="none"/>
                <w:lang w:val="en-US" w:eastAsia="zh-CN"/>
              </w:rPr>
              <w:t>应告知</w:t>
            </w:r>
            <w:r>
              <w:rPr>
                <w:rFonts w:hint="eastAsia" w:cs="Times New Roman"/>
                <w:b w:val="0"/>
                <w:color w:val="auto"/>
                <w:sz w:val="21"/>
                <w:szCs w:val="21"/>
                <w:highlight w:val="none"/>
                <w:lang w:val="en-US" w:eastAsia="zh-CN"/>
              </w:rPr>
              <w:t>房东</w:t>
            </w:r>
            <w:r>
              <w:rPr>
                <w:rFonts w:hint="default" w:ascii="Times New Roman" w:hAnsi="Times New Roman" w:eastAsia="宋体" w:cs="Times New Roman"/>
                <w:b w:val="0"/>
                <w:color w:val="auto"/>
                <w:sz w:val="21"/>
                <w:szCs w:val="21"/>
                <w:highlight w:val="none"/>
                <w:lang w:val="en-US" w:eastAsia="zh-CN"/>
              </w:rPr>
              <w:t>设置应急事故池</w:t>
            </w:r>
            <w:r>
              <w:rPr>
                <w:rFonts w:hint="eastAsia" w:cs="Times New Roman"/>
                <w:b w:val="0"/>
                <w:color w:val="auto"/>
                <w:sz w:val="21"/>
                <w:szCs w:val="21"/>
                <w:highlight w:val="none"/>
                <w:lang w:val="en-US" w:eastAsia="zh-CN"/>
              </w:rPr>
              <w:t>90</w:t>
            </w:r>
            <w:r>
              <w:rPr>
                <w:rFonts w:hint="default" w:ascii="Times New Roman" w:hAnsi="Times New Roman" w:eastAsia="宋体" w:cs="Times New Roman"/>
                <w:b w:val="0"/>
                <w:color w:val="auto"/>
                <w:sz w:val="21"/>
                <w:szCs w:val="21"/>
                <w:highlight w:val="none"/>
              </w:rPr>
              <w:t>m</w:t>
            </w:r>
            <w:r>
              <w:rPr>
                <w:rFonts w:hint="default" w:ascii="Times New Roman" w:hAnsi="Times New Roman" w:eastAsia="宋体" w:cs="Times New Roman"/>
                <w:b w:val="0"/>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lang w:val="en-US" w:eastAsia="zh-CN"/>
              </w:rPr>
              <w:t>暂存事故废水，</w:t>
            </w:r>
            <w:r>
              <w:rPr>
                <w:rFonts w:hint="default" w:ascii="Times New Roman" w:hAnsi="Times New Roman" w:eastAsia="宋体" w:cs="Times New Roman"/>
                <w:b w:val="0"/>
                <w:color w:val="auto"/>
                <w:sz w:val="21"/>
                <w:szCs w:val="21"/>
                <w:highlight w:val="none"/>
              </w:rPr>
              <w:t>能够满足本企业事故状态下事故废水的收集。通过完善</w:t>
            </w:r>
            <w:r>
              <w:rPr>
                <w:rFonts w:hint="default" w:ascii="Times New Roman" w:hAnsi="Times New Roman" w:eastAsia="宋体" w:cs="Times New Roman"/>
                <w:b w:val="0"/>
                <w:color w:val="auto"/>
                <w:sz w:val="21"/>
                <w:szCs w:val="21"/>
                <w:highlight w:val="none"/>
                <w:lang w:eastAsia="zh-CN"/>
              </w:rPr>
              <w:t>消防尾水</w:t>
            </w:r>
            <w:r>
              <w:rPr>
                <w:rFonts w:hint="default" w:ascii="Times New Roman" w:hAnsi="Times New Roman" w:eastAsia="宋体" w:cs="Times New Roman"/>
                <w:b w:val="0"/>
                <w:color w:val="auto"/>
                <w:sz w:val="21"/>
                <w:szCs w:val="21"/>
                <w:highlight w:val="none"/>
              </w:rPr>
              <w:t>收集、处理、排放系统，保证生产区</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lang w:val="en-US"/>
              </w:rPr>
              <w:t>仓库</w:t>
            </w:r>
            <w:r>
              <w:rPr>
                <w:rFonts w:hint="default" w:ascii="Times New Roman" w:hAnsi="Times New Roman" w:eastAsia="宋体" w:cs="Times New Roman"/>
                <w:b w:val="0"/>
                <w:color w:val="auto"/>
                <w:sz w:val="21"/>
                <w:szCs w:val="21"/>
                <w:highlight w:val="none"/>
                <w:lang w:val="en-US" w:eastAsia="zh-CN"/>
              </w:rPr>
              <w:t>区</w:t>
            </w:r>
            <w:r>
              <w:rPr>
                <w:rFonts w:hint="default" w:ascii="Times New Roman" w:hAnsi="Times New Roman" w:eastAsia="宋体" w:cs="Times New Roman"/>
                <w:b w:val="0"/>
                <w:color w:val="auto"/>
                <w:sz w:val="21"/>
                <w:szCs w:val="21"/>
                <w:highlight w:val="none"/>
              </w:rPr>
              <w:t>发生火灾事故时，</w:t>
            </w:r>
            <w:r>
              <w:rPr>
                <w:rFonts w:hint="default" w:ascii="Times New Roman" w:hAnsi="Times New Roman" w:eastAsia="宋体" w:cs="Times New Roman"/>
                <w:b w:val="0"/>
                <w:color w:val="auto"/>
                <w:sz w:val="21"/>
                <w:szCs w:val="21"/>
                <w:highlight w:val="none"/>
                <w:lang w:eastAsia="zh-CN"/>
              </w:rPr>
              <w:t>消防尾水</w:t>
            </w:r>
            <w:r>
              <w:rPr>
                <w:rFonts w:hint="default" w:ascii="Times New Roman" w:hAnsi="Times New Roman" w:eastAsia="宋体" w:cs="Times New Roman"/>
                <w:b w:val="0"/>
                <w:color w:val="auto"/>
                <w:sz w:val="21"/>
                <w:szCs w:val="21"/>
                <w:highlight w:val="none"/>
              </w:rPr>
              <w:t>等能迅速、安全地集中到</w:t>
            </w:r>
            <w:r>
              <w:rPr>
                <w:rFonts w:hint="default" w:ascii="Times New Roman" w:hAnsi="Times New Roman" w:eastAsia="宋体" w:cs="Times New Roman"/>
                <w:color w:val="auto"/>
                <w:sz w:val="21"/>
                <w:szCs w:val="21"/>
                <w:lang w:val="en-US" w:eastAsia="zh-CN" w:bidi="zh-CN"/>
              </w:rPr>
              <w:t>应急事故池</w:t>
            </w:r>
            <w:r>
              <w:rPr>
                <w:rFonts w:hint="default" w:ascii="Times New Roman" w:hAnsi="Times New Roman" w:eastAsia="宋体" w:cs="Times New Roman"/>
                <w:b w:val="0"/>
                <w:color w:val="auto"/>
                <w:sz w:val="21"/>
                <w:szCs w:val="21"/>
                <w:highlight w:val="none"/>
              </w:rPr>
              <w:t>，然后针对水质实际情况进行必要的处理，避免对评价范围内的周围农田和河流造成影响</w:t>
            </w:r>
            <w:r>
              <w:rPr>
                <w:rFonts w:hint="eastAsia" w:ascii="Times New Roman" w:hAnsi="Times New Roman" w:eastAsia="宋体" w:cs="Times New Roman"/>
                <w:b w:val="0"/>
                <w:color w:val="auto"/>
                <w:sz w:val="21"/>
                <w:szCs w:val="21"/>
                <w:highlight w:val="none"/>
                <w:lang w:val="en-US" w:eastAsia="zh-CN"/>
              </w:rPr>
              <w:t>。</w:t>
            </w:r>
          </w:p>
          <w:p w14:paraId="5D5B3A5E">
            <w:pPr>
              <w:spacing w:line="360" w:lineRule="auto"/>
              <w:ind w:firstLine="420" w:firstLineChars="200"/>
              <w:rPr>
                <w:bCs/>
                <w:color w:val="auto"/>
                <w:szCs w:val="21"/>
              </w:rPr>
            </w:pPr>
            <w:r>
              <w:rPr>
                <w:bCs/>
                <w:color w:val="auto"/>
                <w:szCs w:val="21"/>
              </w:rPr>
              <w:t>④危废仓库风险防范措施</w:t>
            </w:r>
          </w:p>
          <w:p w14:paraId="040771F2">
            <w:pPr>
              <w:spacing w:line="360" w:lineRule="auto"/>
              <w:ind w:firstLine="420" w:firstLineChars="200"/>
              <w:rPr>
                <w:bCs/>
                <w:color w:val="auto"/>
                <w:szCs w:val="21"/>
              </w:rPr>
            </w:pPr>
            <w:r>
              <w:rPr>
                <w:bCs/>
                <w:color w:val="auto"/>
                <w:szCs w:val="21"/>
              </w:rPr>
              <w:t>危险废物分类存放到危废仓库，做好进出库管理，及时登记，账物相符，并做好贮存场所和危废包装的标识工作。</w:t>
            </w:r>
            <w:r>
              <w:rPr>
                <w:color w:val="auto"/>
                <w:szCs w:val="21"/>
              </w:rPr>
              <w:t>应做到</w:t>
            </w:r>
            <w:r>
              <w:rPr>
                <w:bCs/>
                <w:color w:val="auto"/>
                <w:szCs w:val="21"/>
              </w:rPr>
              <w:t>“</w:t>
            </w:r>
            <w:r>
              <w:rPr>
                <w:rFonts w:hint="eastAsia"/>
                <w:bCs/>
                <w:color w:val="auto"/>
                <w:szCs w:val="21"/>
              </w:rPr>
              <w:t>六</w:t>
            </w:r>
            <w:r>
              <w:rPr>
                <w:bCs/>
                <w:color w:val="auto"/>
                <w:szCs w:val="21"/>
              </w:rPr>
              <w:t>防”，即：防风、防晒、防雨、防漏、防渗、防腐；地面与裙脚要用坚固、防渗的材料建造，建筑材料必须与危险废物相容。通道、出入口和通向消防设施的道路保持畅通，同时配置合格的消防器材，并确保其处于完好状态。</w:t>
            </w:r>
          </w:p>
          <w:p w14:paraId="48815297">
            <w:pPr>
              <w:spacing w:line="360" w:lineRule="auto"/>
              <w:ind w:firstLine="420" w:firstLineChars="200"/>
              <w:rPr>
                <w:bCs/>
                <w:color w:val="auto"/>
                <w:szCs w:val="21"/>
              </w:rPr>
            </w:pPr>
            <w:r>
              <w:rPr>
                <w:bCs/>
                <w:color w:val="auto"/>
                <w:szCs w:val="21"/>
              </w:rPr>
              <w:t>（3）应急要求</w:t>
            </w:r>
          </w:p>
          <w:p w14:paraId="7A7025B3">
            <w:pPr>
              <w:spacing w:line="360" w:lineRule="auto"/>
              <w:ind w:firstLine="420" w:firstLineChars="200"/>
              <w:rPr>
                <w:bCs/>
                <w:color w:val="auto"/>
                <w:szCs w:val="21"/>
              </w:rPr>
            </w:pPr>
            <w:r>
              <w:rPr>
                <w:bCs/>
                <w:color w:val="auto"/>
                <w:szCs w:val="21"/>
              </w:rPr>
              <w:t>发生泄漏事故后，最早发现者应立即通知公司负责人及值班领导报110，报告危险物料外泄部位（或装置），并根据召集应急救援小组，及时采取一切办法控制泄漏蔓延。如果是车间等发生泄漏，立即检查泄漏事故所在车间的事故废水收集系统切断装置，确保其均处于切断状态，并将事故废液通过事故沟等收集进入事故应急池内暂存，如果是运输、装卸过程中（室外）发生泄漏，则应立即检查厂区雨水管网切断装置，确保其处于切断状态，从而防止泄漏的物料通过雨水管网流入外环境。一旦事故污染物进入雨水管网，本单位立即启动应急预案，并报告相关主管部门，及时根据应急预案做好隔离措施和应对处理方案。</w:t>
            </w:r>
          </w:p>
          <w:p w14:paraId="5EE2AF16">
            <w:pPr>
              <w:spacing w:line="360" w:lineRule="auto"/>
              <w:ind w:firstLine="420" w:firstLineChars="200"/>
              <w:rPr>
                <w:bCs/>
                <w:color w:val="auto"/>
                <w:szCs w:val="21"/>
              </w:rPr>
            </w:pPr>
            <w:r>
              <w:rPr>
                <w:rFonts w:hint="eastAsia"/>
                <w:bCs/>
                <w:color w:val="auto"/>
                <w:szCs w:val="21"/>
              </w:rPr>
              <w:t>①</w:t>
            </w:r>
            <w:r>
              <w:rPr>
                <w:bCs/>
                <w:color w:val="auto"/>
                <w:szCs w:val="21"/>
              </w:rPr>
              <w:t>发生物料泄漏事故应急措施</w:t>
            </w:r>
          </w:p>
          <w:p w14:paraId="28F3223D">
            <w:pPr>
              <w:adjustRightInd w:val="0"/>
              <w:snapToGrid w:val="0"/>
              <w:spacing w:line="360" w:lineRule="auto"/>
              <w:ind w:firstLine="420" w:firstLineChars="200"/>
              <w:rPr>
                <w:bCs/>
                <w:color w:val="auto"/>
                <w:szCs w:val="21"/>
              </w:rPr>
            </w:pPr>
            <w:r>
              <w:rPr>
                <w:bCs/>
                <w:color w:val="auto"/>
                <w:szCs w:val="21"/>
              </w:rPr>
              <w:t>对泄漏点的应急处理</w:t>
            </w:r>
            <w:r>
              <w:rPr>
                <w:rFonts w:hint="eastAsia"/>
                <w:bCs/>
                <w:color w:val="auto"/>
                <w:szCs w:val="21"/>
              </w:rPr>
              <w:t>：</w:t>
            </w:r>
            <w:r>
              <w:rPr>
                <w:bCs/>
                <w:color w:val="auto"/>
                <w:szCs w:val="21"/>
              </w:rPr>
              <w:t>因工作失误造成原料桶破损，立即堵住原料桶破裂口，用砂土之类惰性材料覆盖泄漏物或用泵将泄漏液体抽到容器中，集中进行处理，同时将附近其它原料桶搬离泄漏区域。</w:t>
            </w:r>
          </w:p>
          <w:p w14:paraId="77BBFC74">
            <w:pPr>
              <w:spacing w:line="360" w:lineRule="auto"/>
              <w:ind w:firstLine="420" w:firstLineChars="200"/>
              <w:rPr>
                <w:bCs/>
                <w:color w:val="auto"/>
                <w:szCs w:val="21"/>
              </w:rPr>
            </w:pPr>
            <w:r>
              <w:rPr>
                <w:bCs/>
                <w:color w:val="auto"/>
                <w:szCs w:val="21"/>
              </w:rPr>
              <w:t>对泄漏物的应急处理</w:t>
            </w:r>
            <w:r>
              <w:rPr>
                <w:rFonts w:hint="eastAsia"/>
                <w:bCs/>
                <w:color w:val="auto"/>
                <w:szCs w:val="21"/>
              </w:rPr>
              <w:t>：</w:t>
            </w:r>
            <w:r>
              <w:rPr>
                <w:bCs/>
                <w:color w:val="auto"/>
                <w:szCs w:val="21"/>
              </w:rPr>
              <w:t>一旦发生物料泄漏需要先尽快堵住泄漏点，并用黄沙等吸附地面上的泄漏物料，再进行收集处理。</w:t>
            </w:r>
          </w:p>
          <w:p w14:paraId="59DC77F7">
            <w:pPr>
              <w:spacing w:line="360" w:lineRule="auto"/>
              <w:ind w:firstLine="420" w:firstLineChars="200"/>
              <w:rPr>
                <w:bCs/>
                <w:color w:val="auto"/>
                <w:szCs w:val="21"/>
              </w:rPr>
            </w:pPr>
            <w:r>
              <w:rPr>
                <w:rFonts w:hint="eastAsia"/>
                <w:bCs/>
                <w:color w:val="auto"/>
                <w:szCs w:val="21"/>
              </w:rPr>
              <w:t>②</w:t>
            </w:r>
            <w:r>
              <w:rPr>
                <w:bCs/>
                <w:color w:val="auto"/>
                <w:szCs w:val="21"/>
              </w:rPr>
              <w:t>环保设施非正常排放应急处理措施</w:t>
            </w:r>
          </w:p>
          <w:p w14:paraId="19B6B271">
            <w:pPr>
              <w:spacing w:line="360" w:lineRule="auto"/>
              <w:ind w:firstLine="420" w:firstLineChars="200"/>
              <w:rPr>
                <w:bCs/>
                <w:color w:val="auto"/>
                <w:szCs w:val="21"/>
              </w:rPr>
            </w:pPr>
            <w:r>
              <w:rPr>
                <w:bCs/>
                <w:color w:val="auto"/>
                <w:szCs w:val="21"/>
              </w:rPr>
              <w:t>当废气装置发生故障时，立即按照操作流程紧急停车，强行关阀止漏，不能关阀的要设法堵漏，从源头上控制废气的产生,尽快查找出故障源，进行检修。</w:t>
            </w:r>
          </w:p>
          <w:p w14:paraId="6197C5A7">
            <w:pPr>
              <w:spacing w:line="360" w:lineRule="auto"/>
              <w:ind w:firstLine="420" w:firstLineChars="200"/>
              <w:rPr>
                <w:bCs/>
                <w:color w:val="auto"/>
                <w:szCs w:val="21"/>
              </w:rPr>
            </w:pPr>
            <w:r>
              <w:rPr>
                <w:rFonts w:hint="eastAsia"/>
                <w:bCs/>
                <w:color w:val="auto"/>
                <w:szCs w:val="21"/>
              </w:rPr>
              <w:t>③</w:t>
            </w:r>
            <w:r>
              <w:rPr>
                <w:bCs/>
                <w:color w:val="auto"/>
                <w:szCs w:val="21"/>
              </w:rPr>
              <w:t>危废仓库应急措施</w:t>
            </w:r>
          </w:p>
          <w:p w14:paraId="49938C92">
            <w:pPr>
              <w:spacing w:line="360" w:lineRule="auto"/>
              <w:ind w:firstLine="420" w:firstLineChars="200"/>
              <w:rPr>
                <w:bCs/>
                <w:color w:val="auto"/>
                <w:szCs w:val="21"/>
              </w:rPr>
            </w:pPr>
            <w:r>
              <w:rPr>
                <w:bCs/>
                <w:color w:val="auto"/>
                <w:szCs w:val="21"/>
              </w:rPr>
              <w:t>危废仓库的废料若发生泄漏，若地面未做防渗处理，泄漏物将通过地面泄漏，进而影响土壤和地下水。应急措施主要包括：危废仓库发生漏雨，应将储存物料搬离漏雨点；包装如果受潮及时更换；地面如果受污染，将地面废物清扫后重新装袋，并对地面进行清洁；对地面清洁不能使用大量水冲洗，应先将污物擦净后，再用抹布清洗至少三遍；处理过程中应严禁火源，使用的清理工具应能有效防静电；处理时应正确穿戴防护用品，不能直接接触泄漏物。</w:t>
            </w:r>
          </w:p>
          <w:p w14:paraId="0E4950F0">
            <w:pPr>
              <w:pStyle w:val="60"/>
              <w:snapToGrid w:val="0"/>
              <w:spacing w:line="360" w:lineRule="auto"/>
              <w:ind w:left="0" w:firstLine="420" w:firstLineChars="200"/>
              <w:rPr>
                <w:rFonts w:hint="eastAsia" w:ascii="Times New Roman" w:hAnsi="Times New Roman" w:eastAsia="宋体"/>
                <w:bCs/>
                <w:color w:val="auto"/>
                <w:sz w:val="21"/>
                <w:szCs w:val="21"/>
                <w:lang w:val="en-US" w:eastAsia="zh-CN"/>
              </w:rPr>
            </w:pPr>
            <w:r>
              <w:rPr>
                <w:rFonts w:hint="eastAsia" w:ascii="Times New Roman" w:hAnsi="Times New Roman"/>
                <w:bCs/>
                <w:color w:val="auto"/>
                <w:sz w:val="21"/>
                <w:szCs w:val="21"/>
                <w:lang w:val="en-US" w:eastAsia="zh-CN"/>
              </w:rPr>
              <w:t>④</w:t>
            </w:r>
            <w:r>
              <w:rPr>
                <w:bCs/>
                <w:color w:val="auto"/>
                <w:szCs w:val="21"/>
              </w:rPr>
              <w:t>火灾爆炸事故应急措施</w:t>
            </w:r>
          </w:p>
          <w:p w14:paraId="7CBC69DD">
            <w:pPr>
              <w:pStyle w:val="60"/>
              <w:snapToGrid w:val="0"/>
              <w:spacing w:line="360" w:lineRule="auto"/>
              <w:ind w:left="0" w:firstLine="422" w:firstLineChars="200"/>
              <w:rPr>
                <w:rFonts w:hint="eastAsia" w:ascii="Times New Roman" w:hAnsi="Times New Roman"/>
                <w:bCs/>
                <w:color w:val="auto"/>
                <w:sz w:val="21"/>
                <w:szCs w:val="21"/>
              </w:rPr>
            </w:pPr>
            <w:r>
              <w:rPr>
                <w:rFonts w:hint="eastAsia" w:ascii="Times New Roman" w:hAnsi="Times New Roman"/>
                <w:b/>
                <w:bCs w:val="0"/>
                <w:color w:val="auto"/>
                <w:sz w:val="21"/>
                <w:szCs w:val="21"/>
              </w:rPr>
              <w:t>粉尘云爆炸/燃烧事故处置</w:t>
            </w:r>
          </w:p>
          <w:p w14:paraId="2BF963FA">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立即停机与报警：</w:t>
            </w:r>
          </w:p>
          <w:p w14:paraId="3A258E9D">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切断涉爆设备电源，启动车间声光报警，通知人员沿上风向撤离至安全区域。</w:t>
            </w:r>
          </w:p>
          <w:p w14:paraId="3CC167D6">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若火势较小（局部粉尘燃烧），操作人员可使用干粉灭火器（ABC型）或二氧化碳灭火器扑救（禁止用水扑灭铝粉、钛粉</w:t>
            </w:r>
            <w:r>
              <w:rPr>
                <w:rFonts w:hint="eastAsia" w:ascii="Times New Roman" w:hAnsi="Times New Roman"/>
                <w:bCs/>
                <w:color w:val="auto"/>
                <w:sz w:val="21"/>
                <w:szCs w:val="21"/>
                <w:lang w:val="en-US" w:eastAsia="zh-CN"/>
              </w:rPr>
              <w:t>等</w:t>
            </w:r>
            <w:r>
              <w:rPr>
                <w:rFonts w:hint="eastAsia" w:ascii="Times New Roman" w:hAnsi="Times New Roman"/>
                <w:bCs/>
                <w:color w:val="auto"/>
                <w:sz w:val="21"/>
                <w:szCs w:val="21"/>
              </w:rPr>
              <w:t>火灾，会加剧反应）。</w:t>
            </w:r>
          </w:p>
          <w:p w14:paraId="553A1C30">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惰性气体灭火：若清粉舱等密闭设备内起火，立即开启氩气紧急吹扫，降低氧含量至窒息灭火（需确保设备压力安全，防止超压爆炸）。</w:t>
            </w:r>
          </w:p>
          <w:p w14:paraId="227F0385">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专业救援：火势失控时，拨打119，告知“金属粉尘爆炸”，避免消防员盲目用水冲击（可能引发二次爆炸或氢气爆炸）。</w:t>
            </w:r>
          </w:p>
          <w:p w14:paraId="051186FF">
            <w:pPr>
              <w:pStyle w:val="60"/>
              <w:snapToGrid w:val="0"/>
              <w:spacing w:line="360" w:lineRule="auto"/>
              <w:ind w:left="0" w:firstLine="422" w:firstLineChars="200"/>
              <w:rPr>
                <w:rFonts w:hint="eastAsia" w:ascii="Times New Roman" w:hAnsi="Times New Roman"/>
                <w:b/>
                <w:bCs w:val="0"/>
                <w:color w:val="auto"/>
                <w:sz w:val="21"/>
                <w:szCs w:val="21"/>
              </w:rPr>
            </w:pPr>
            <w:r>
              <w:rPr>
                <w:rFonts w:hint="eastAsia" w:ascii="Times New Roman" w:hAnsi="Times New Roman"/>
                <w:b/>
                <w:bCs w:val="0"/>
                <w:color w:val="auto"/>
                <w:sz w:val="21"/>
                <w:szCs w:val="21"/>
              </w:rPr>
              <w:t>粉尘泄漏与人员暴露处置</w:t>
            </w:r>
          </w:p>
          <w:p w14:paraId="458A2BDD">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局部泄漏控制：</w:t>
            </w:r>
          </w:p>
          <w:p w14:paraId="46B9243A">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立即停止邻近设备，开启局部排风，用防静电覆盖物（如导电橡胶布）覆盖散落粉末，禁止踩踏或搅动。</w:t>
            </w:r>
          </w:p>
          <w:p w14:paraId="3E1BA127">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使用防静电真空吸尘器收集泄漏粉末，装入防爆容器，标注“可燃性粉尘，需惰性化储存”。</w:t>
            </w:r>
          </w:p>
          <w:p w14:paraId="3C533CF1">
            <w:pPr>
              <w:pStyle w:val="60"/>
              <w:snapToGrid w:val="0"/>
              <w:spacing w:line="360" w:lineRule="auto"/>
              <w:ind w:left="0" w:firstLine="422" w:firstLineChars="200"/>
              <w:rPr>
                <w:rFonts w:hint="eastAsia" w:ascii="Times New Roman" w:hAnsi="Times New Roman"/>
                <w:b/>
                <w:bCs w:val="0"/>
                <w:color w:val="auto"/>
                <w:sz w:val="21"/>
                <w:szCs w:val="21"/>
              </w:rPr>
            </w:pPr>
            <w:r>
              <w:rPr>
                <w:rFonts w:hint="eastAsia" w:ascii="Times New Roman" w:hAnsi="Times New Roman"/>
                <w:b/>
                <w:bCs w:val="0"/>
                <w:color w:val="auto"/>
                <w:sz w:val="21"/>
                <w:szCs w:val="21"/>
              </w:rPr>
              <w:t>应急预案与演练</w:t>
            </w:r>
          </w:p>
          <w:p w14:paraId="4AF5A996">
            <w:pPr>
              <w:pStyle w:val="60"/>
              <w:snapToGrid w:val="0"/>
              <w:spacing w:line="360" w:lineRule="auto"/>
              <w:ind w:left="0" w:firstLine="420" w:firstLineChars="200"/>
              <w:rPr>
                <w:rFonts w:hint="eastAsia" w:ascii="Times New Roman" w:hAnsi="Times New Roman"/>
                <w:bCs/>
                <w:color w:val="auto"/>
                <w:sz w:val="21"/>
                <w:szCs w:val="21"/>
              </w:rPr>
            </w:pPr>
            <w:r>
              <w:rPr>
                <w:rFonts w:hint="eastAsia" w:ascii="Times New Roman" w:hAnsi="Times New Roman"/>
                <w:bCs/>
                <w:color w:val="auto"/>
                <w:sz w:val="21"/>
                <w:szCs w:val="21"/>
              </w:rPr>
              <w:t>编制专项预案：明确涉爆粉尘事故的报警程序、应急小组职责、疏散路线、灭火器材配置（如在清粉区附近放置2-3具干粉灭火器和灭火毯）。</w:t>
            </w:r>
          </w:p>
          <w:p w14:paraId="5D57B7FF">
            <w:pPr>
              <w:pStyle w:val="60"/>
              <w:snapToGrid w:val="0"/>
              <w:spacing w:line="360" w:lineRule="auto"/>
              <w:ind w:left="0" w:firstLine="420" w:firstLineChars="200"/>
              <w:rPr>
                <w:rFonts w:hint="eastAsia" w:ascii="Times New Roman" w:hAnsi="Times New Roman" w:eastAsia="宋体"/>
                <w:bCs/>
                <w:color w:val="auto"/>
                <w:sz w:val="21"/>
                <w:szCs w:val="21"/>
                <w:lang w:eastAsia="zh-CN"/>
              </w:rPr>
            </w:pPr>
            <w:r>
              <w:rPr>
                <w:rFonts w:hint="eastAsia" w:ascii="Times New Roman" w:hAnsi="Times New Roman"/>
                <w:bCs/>
                <w:color w:val="auto"/>
                <w:sz w:val="21"/>
                <w:szCs w:val="21"/>
              </w:rPr>
              <w:t>定期演练：每半年至少开展1次粉尘爆炸应急演练，验证预案有效性（如模拟清粉舱起火后的惰性气体启动、人员疏散路线是否畅通）</w:t>
            </w:r>
            <w:r>
              <w:rPr>
                <w:rFonts w:hint="eastAsia" w:ascii="Times New Roman" w:hAnsi="Times New Roman"/>
                <w:bCs/>
                <w:color w:val="auto"/>
                <w:sz w:val="21"/>
                <w:szCs w:val="21"/>
                <w:lang w:eastAsia="zh-CN"/>
              </w:rPr>
              <w:t>。</w:t>
            </w:r>
          </w:p>
          <w:p w14:paraId="7FB81DE0">
            <w:pPr>
              <w:pStyle w:val="60"/>
              <w:snapToGrid w:val="0"/>
              <w:spacing w:line="360" w:lineRule="auto"/>
              <w:ind w:left="0" w:firstLine="420" w:firstLineChars="200"/>
              <w:rPr>
                <w:rFonts w:ascii="Times New Roman" w:hAnsi="Times New Roman"/>
                <w:bCs/>
                <w:color w:val="auto"/>
                <w:sz w:val="21"/>
                <w:szCs w:val="21"/>
              </w:rPr>
            </w:pPr>
            <w:r>
              <w:rPr>
                <w:rFonts w:hint="eastAsia" w:ascii="Times New Roman" w:hAnsi="Times New Roman"/>
                <w:bCs/>
                <w:color w:val="auto"/>
                <w:sz w:val="21"/>
                <w:szCs w:val="21"/>
                <w:lang w:val="en-US" w:eastAsia="zh-CN"/>
              </w:rPr>
              <w:t>⑤</w:t>
            </w:r>
            <w:r>
              <w:rPr>
                <w:rFonts w:ascii="Times New Roman" w:hAnsi="Times New Roman"/>
                <w:bCs/>
                <w:color w:val="auto"/>
                <w:sz w:val="21"/>
                <w:szCs w:val="21"/>
              </w:rPr>
              <w:t>应急物资</w:t>
            </w:r>
          </w:p>
          <w:p w14:paraId="52AB6737">
            <w:pPr>
              <w:adjustRightInd w:val="0"/>
              <w:snapToGrid w:val="0"/>
              <w:spacing w:line="360" w:lineRule="auto"/>
              <w:ind w:firstLine="420" w:firstLineChars="200"/>
              <w:rPr>
                <w:bCs/>
                <w:color w:val="auto"/>
                <w:szCs w:val="21"/>
              </w:rPr>
            </w:pPr>
            <w:r>
              <w:rPr>
                <w:bCs/>
                <w:color w:val="auto"/>
                <w:szCs w:val="21"/>
              </w:rPr>
              <w:t>目前厂内已配置一定数量的灭火器、消防沙等应急物资，可及时应对发生的泄漏事故。</w:t>
            </w:r>
          </w:p>
          <w:p w14:paraId="7B4F46BE">
            <w:pPr>
              <w:pStyle w:val="60"/>
              <w:snapToGrid w:val="0"/>
              <w:spacing w:line="360" w:lineRule="auto"/>
              <w:ind w:left="0" w:firstLine="420" w:firstLineChars="200"/>
              <w:rPr>
                <w:rFonts w:ascii="Times New Roman" w:hAnsi="Times New Roman"/>
                <w:bCs/>
                <w:color w:val="auto"/>
                <w:sz w:val="21"/>
                <w:szCs w:val="21"/>
              </w:rPr>
            </w:pPr>
            <w:r>
              <w:rPr>
                <w:rFonts w:hint="eastAsia" w:ascii="Times New Roman" w:hAnsi="Times New Roman"/>
                <w:bCs/>
                <w:color w:val="auto"/>
                <w:sz w:val="21"/>
                <w:szCs w:val="21"/>
                <w:lang w:val="en-US" w:eastAsia="zh-CN"/>
              </w:rPr>
              <w:t>⑥</w:t>
            </w:r>
            <w:r>
              <w:rPr>
                <w:rFonts w:ascii="Times New Roman" w:hAnsi="Times New Roman"/>
                <w:bCs/>
                <w:color w:val="auto"/>
                <w:sz w:val="21"/>
                <w:szCs w:val="21"/>
              </w:rPr>
              <w:t>应急监测</w:t>
            </w:r>
          </w:p>
          <w:p w14:paraId="738B25BF">
            <w:pPr>
              <w:adjustRightInd w:val="0"/>
              <w:snapToGrid w:val="0"/>
              <w:spacing w:line="360" w:lineRule="auto"/>
              <w:ind w:firstLine="420" w:firstLineChars="200"/>
              <w:rPr>
                <w:bCs/>
                <w:color w:val="auto"/>
                <w:szCs w:val="21"/>
              </w:rPr>
            </w:pPr>
            <w:r>
              <w:rPr>
                <w:bCs/>
                <w:color w:val="auto"/>
                <w:szCs w:val="21"/>
              </w:rPr>
              <w:t>由于公司目前无监测能力，因此发生突发环境事件时，已委托环境应急监测专业机构负责对事故现场进行现场应急监测，对事故性质、参数与后果进行评估，为指挥部门提供决策依据。</w:t>
            </w:r>
            <w:r>
              <w:rPr>
                <w:rFonts w:hint="eastAsia"/>
                <w:bCs/>
                <w:color w:val="auto"/>
                <w:szCs w:val="21"/>
                <w:lang w:val="en-US" w:eastAsia="zh-CN"/>
              </w:rPr>
              <w:t>部分原料可燃，</w:t>
            </w:r>
            <w:r>
              <w:rPr>
                <w:rFonts w:hint="eastAsia"/>
                <w:color w:val="auto"/>
              </w:rPr>
              <w:t>受热或接触火焰可能会产生膨胀或爆炸性分解</w:t>
            </w:r>
            <w:r>
              <w:rPr>
                <w:bCs/>
                <w:color w:val="auto"/>
                <w:szCs w:val="21"/>
              </w:rPr>
              <w:t>，在储运过程中可能发生火灾事故；发生火灾事故时，其灭火方式将采用消防水，因此，其可能的次生污染为火灾消防废水、消防土等，产生的伴生污染为燃烧产物，参考物质化学组分，燃烧产物主要为一氧化碳、二氧化碳、烟尘、氮氧化物等。故主要监测的大气因子为：颗粒物、氮氧化物；监测的水质因子为：pH、COD、SS、氨氮、总磷、石油类等；具体可根据事故情况</w:t>
            </w:r>
            <w:r>
              <w:rPr>
                <w:rFonts w:hint="eastAsia"/>
                <w:bCs/>
                <w:color w:val="auto"/>
                <w:szCs w:val="21"/>
                <w:lang w:val="en-US" w:eastAsia="zh-CN"/>
              </w:rPr>
              <w:t>作</w:t>
            </w:r>
            <w:r>
              <w:rPr>
                <w:bCs/>
                <w:color w:val="auto"/>
                <w:szCs w:val="21"/>
              </w:rPr>
              <w:t>调整。</w:t>
            </w:r>
          </w:p>
          <w:p w14:paraId="1168E9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textAlignment w:val="auto"/>
              <w:rPr>
                <w:rFonts w:hint="eastAsia" w:ascii="Times New Roman" w:hAnsi="Times New Roman" w:eastAsia="宋体" w:cs="Times New Roman"/>
                <w:b/>
                <w:bCs w:val="0"/>
                <w:color w:val="auto"/>
                <w:szCs w:val="21"/>
                <w:lang w:eastAsia="zh-CN"/>
              </w:rPr>
            </w:pPr>
            <w:r>
              <w:rPr>
                <w:rFonts w:hint="eastAsia" w:ascii="Times New Roman" w:hAnsi="Times New Roman" w:eastAsia="宋体" w:cs="Times New Roman"/>
                <w:b/>
                <w:bCs w:val="0"/>
                <w:color w:val="auto"/>
                <w:szCs w:val="21"/>
                <w:lang w:eastAsia="zh-CN"/>
              </w:rPr>
              <w:t>（</w:t>
            </w:r>
            <w:r>
              <w:rPr>
                <w:rFonts w:hint="eastAsia" w:ascii="Times New Roman" w:hAnsi="Times New Roman" w:eastAsia="宋体" w:cs="Times New Roman"/>
                <w:b/>
                <w:bCs w:val="0"/>
                <w:color w:val="auto"/>
                <w:szCs w:val="21"/>
                <w:lang w:val="en-US" w:eastAsia="zh-CN"/>
              </w:rPr>
              <w:t>4</w:t>
            </w:r>
            <w:r>
              <w:rPr>
                <w:rFonts w:hint="eastAsia" w:ascii="Times New Roman" w:hAnsi="Times New Roman" w:eastAsia="宋体" w:cs="Times New Roman"/>
                <w:b/>
                <w:bCs w:val="0"/>
                <w:color w:val="auto"/>
                <w:szCs w:val="21"/>
                <w:lang w:eastAsia="zh-CN"/>
              </w:rPr>
              <w:t>）</w:t>
            </w:r>
            <w:r>
              <w:rPr>
                <w:rFonts w:hint="default" w:ascii="Times New Roman" w:hAnsi="Times New Roman" w:eastAsia="宋体" w:cs="Times New Roman"/>
                <w:b/>
                <w:bCs w:val="0"/>
                <w:color w:val="auto"/>
                <w:szCs w:val="21"/>
                <w:lang w:val="en-US" w:eastAsia="zh-CN"/>
              </w:rPr>
              <w:t>与</w:t>
            </w:r>
            <w:r>
              <w:rPr>
                <w:rFonts w:hint="eastAsia" w:ascii="Times New Roman" w:hAnsi="Times New Roman" w:eastAsia="宋体" w:cs="Times New Roman"/>
                <w:b/>
                <w:bCs w:val="0"/>
                <w:color w:val="auto"/>
                <w:szCs w:val="21"/>
                <w:lang w:val="en-US" w:eastAsia="zh-CN"/>
              </w:rPr>
              <w:t>厂区</w:t>
            </w:r>
            <w:r>
              <w:rPr>
                <w:rFonts w:hint="default" w:ascii="Times New Roman" w:hAnsi="Times New Roman" w:eastAsia="宋体" w:cs="Times New Roman"/>
                <w:b/>
                <w:bCs w:val="0"/>
                <w:color w:val="auto"/>
                <w:szCs w:val="21"/>
                <w:lang w:val="en-US" w:eastAsia="zh-CN"/>
              </w:rPr>
              <w:t>应急设施衔接内容</w:t>
            </w:r>
          </w:p>
          <w:p w14:paraId="1E8AE31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建设单位厂区目前未设置应急事故池，雨水排口</w:t>
            </w:r>
            <w:r>
              <w:rPr>
                <w:rFonts w:hint="eastAsia" w:cs="Times New Roman"/>
                <w:bCs/>
                <w:color w:val="auto"/>
                <w:szCs w:val="21"/>
                <w:lang w:val="en-US" w:eastAsia="zh-CN"/>
              </w:rPr>
              <w:t>未</w:t>
            </w:r>
            <w:r>
              <w:rPr>
                <w:rFonts w:hint="eastAsia" w:ascii="Times New Roman" w:hAnsi="Times New Roman" w:eastAsia="宋体" w:cs="Times New Roman"/>
                <w:bCs/>
                <w:color w:val="auto"/>
                <w:szCs w:val="21"/>
                <w:lang w:val="en-US" w:eastAsia="zh-CN"/>
              </w:rPr>
              <w:t>设置阀门</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厂区将</w:t>
            </w:r>
            <w:r>
              <w:rPr>
                <w:rFonts w:hint="eastAsia" w:ascii="Times New Roman" w:hAnsi="Times New Roman" w:eastAsia="宋体" w:cs="Times New Roman"/>
                <w:bCs/>
                <w:color w:val="auto"/>
                <w:szCs w:val="21"/>
              </w:rPr>
              <w:t>拟建一座应急事故池</w:t>
            </w:r>
            <w:r>
              <w:rPr>
                <w:rFonts w:hint="eastAsia" w:ascii="Times New Roman" w:hAnsi="Times New Roman" w:eastAsia="宋体" w:cs="Times New Roman"/>
                <w:bCs/>
                <w:color w:val="auto"/>
                <w:szCs w:val="21"/>
                <w:lang w:val="en-US" w:eastAsia="zh-CN"/>
              </w:rPr>
              <w:t>与</w:t>
            </w:r>
            <w:r>
              <w:rPr>
                <w:rFonts w:hint="eastAsia" w:cs="Times New Roman"/>
                <w:bCs/>
                <w:color w:val="auto"/>
                <w:szCs w:val="21"/>
                <w:lang w:val="en-US" w:eastAsia="zh-CN"/>
              </w:rPr>
              <w:t>雨水</w:t>
            </w:r>
            <w:r>
              <w:rPr>
                <w:rFonts w:hint="eastAsia" w:ascii="Times New Roman" w:hAnsi="Times New Roman" w:eastAsia="宋体" w:cs="Times New Roman"/>
                <w:bCs/>
                <w:color w:val="auto"/>
                <w:szCs w:val="21"/>
                <w:lang w:val="en-US" w:eastAsia="zh-CN"/>
              </w:rPr>
              <w:t>管网</w:t>
            </w:r>
            <w:r>
              <w:rPr>
                <w:rFonts w:hint="eastAsia" w:cs="Times New Roman"/>
                <w:bCs/>
                <w:color w:val="auto"/>
                <w:szCs w:val="21"/>
                <w:lang w:val="en-US" w:eastAsia="zh-CN"/>
              </w:rPr>
              <w:t>连接</w:t>
            </w:r>
            <w:r>
              <w:rPr>
                <w:rFonts w:hint="eastAsia" w:ascii="Times New Roman" w:hAnsi="Times New Roman" w:eastAsia="宋体" w:cs="Times New Roman"/>
                <w:bCs/>
                <w:color w:val="auto"/>
                <w:szCs w:val="21"/>
                <w:lang w:val="en-US" w:eastAsia="zh-CN"/>
              </w:rPr>
              <w:t>，雨水排口设置阀门</w:t>
            </w:r>
            <w:r>
              <w:rPr>
                <w:rFonts w:hint="eastAsia" w:ascii="Times New Roman" w:hAnsi="Times New Roman" w:eastAsia="宋体" w:cs="Times New Roman"/>
                <w:bCs/>
                <w:color w:val="auto"/>
                <w:szCs w:val="21"/>
              </w:rPr>
              <w:t>，且厂区内已配备相应应急物资、建立相应应急管理制度，可对突发环境事件及时作出响应。当企业内部力量不足时，应立即向</w:t>
            </w:r>
            <w:r>
              <w:rPr>
                <w:rFonts w:hint="eastAsia" w:ascii="Times New Roman" w:hAnsi="Times New Roman" w:eastAsia="宋体" w:cs="Times New Roman"/>
                <w:bCs/>
                <w:color w:val="auto"/>
                <w:szCs w:val="21"/>
                <w:lang w:val="en-US" w:eastAsia="zh-CN"/>
              </w:rPr>
              <w:t>房东</w:t>
            </w:r>
            <w:r>
              <w:rPr>
                <w:rFonts w:hint="eastAsia" w:ascii="Times New Roman" w:hAnsi="Times New Roman" w:eastAsia="宋体" w:cs="Times New Roman"/>
                <w:bCs/>
                <w:color w:val="auto"/>
                <w:szCs w:val="21"/>
              </w:rPr>
              <w:t>汇报情况并请求支援，在必要情况下</w:t>
            </w:r>
            <w:r>
              <w:rPr>
                <w:rFonts w:hint="eastAsia" w:ascii="Times New Roman" w:hAnsi="Times New Roman" w:eastAsia="宋体" w:cs="Times New Roman"/>
                <w:bCs/>
                <w:color w:val="auto"/>
                <w:szCs w:val="21"/>
                <w:lang w:val="en-US" w:eastAsia="zh-CN"/>
              </w:rPr>
              <w:t>金坛经济</w:t>
            </w:r>
            <w:r>
              <w:rPr>
                <w:rFonts w:hint="eastAsia" w:ascii="Times New Roman" w:hAnsi="Times New Roman" w:eastAsia="宋体" w:cs="Times New Roman"/>
                <w:bCs/>
                <w:color w:val="auto"/>
                <w:szCs w:val="21"/>
              </w:rPr>
              <w:t>开发区可提供应急救援队伍、应急物资和装备等，支持现场应急救援及处置工作。</w:t>
            </w:r>
          </w:p>
          <w:p w14:paraId="6A3E884D">
            <w:pPr>
              <w:snapToGrid w:val="0"/>
              <w:spacing w:line="360" w:lineRule="auto"/>
              <w:ind w:left="420" w:leftChars="200"/>
              <w:rPr>
                <w:b/>
                <w:bCs/>
                <w:color w:val="auto"/>
                <w:szCs w:val="21"/>
              </w:rPr>
            </w:pPr>
            <w:r>
              <w:rPr>
                <w:rFonts w:hint="eastAsia"/>
                <w:b/>
                <w:bCs/>
                <w:color w:val="auto"/>
                <w:szCs w:val="21"/>
              </w:rPr>
              <w:t>3</w:t>
            </w:r>
            <w:r>
              <w:rPr>
                <w:b/>
                <w:bCs/>
                <w:color w:val="auto"/>
                <w:szCs w:val="21"/>
              </w:rPr>
              <w:t>、突发事故对策和应急预案</w:t>
            </w:r>
          </w:p>
          <w:p w14:paraId="51A1D304">
            <w:pPr>
              <w:adjustRightInd w:val="0"/>
              <w:snapToGrid w:val="0"/>
              <w:spacing w:line="360" w:lineRule="auto"/>
              <w:ind w:firstLine="420" w:firstLineChars="200"/>
              <w:rPr>
                <w:color w:val="auto"/>
                <w:szCs w:val="21"/>
              </w:rPr>
            </w:pPr>
            <w:r>
              <w:rPr>
                <w:color w:val="auto"/>
                <w:szCs w:val="21"/>
              </w:rPr>
              <w:t>当发生</w:t>
            </w:r>
            <w:r>
              <w:rPr>
                <w:rFonts w:hint="eastAsia"/>
                <w:color w:val="auto"/>
                <w:szCs w:val="21"/>
              </w:rPr>
              <w:t>泄漏、</w:t>
            </w:r>
            <w:r>
              <w:rPr>
                <w:color w:val="auto"/>
                <w:szCs w:val="21"/>
              </w:rPr>
              <w:t>火灾爆炸等事故后，由公司应急救援领导小组根据事故情况，对事故的影响和危害性进行判断，若为一般事故，只需启动一级应急救援相关程序，由现场值班的专职、兼职消防人员以及操作人员组成一级应急队伍，开展抢险救援行动。若事故规模较大、危害较严重，应急救援领导小组应迅速成立现场应急救援指挥部，由公司经理以及专业人员组成，并根据事故现场抢险救援的需要，在专职和兼职应急救援人员的基础上，组建各抢险救援、医疗救护、警戒、通讯、信息发布等专业队伍，全面投入应急救援行动中。</w:t>
            </w:r>
          </w:p>
          <w:p w14:paraId="5D68B55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color w:val="auto"/>
                <w:szCs w:val="21"/>
              </w:rPr>
            </w:pPr>
            <w:r>
              <w:rPr>
                <w:rFonts w:hint="eastAsia"/>
                <w:b/>
                <w:color w:val="auto"/>
                <w:szCs w:val="21"/>
              </w:rPr>
              <w:t>4</w:t>
            </w:r>
            <w:r>
              <w:rPr>
                <w:b/>
                <w:color w:val="auto"/>
                <w:szCs w:val="21"/>
              </w:rPr>
              <w:t>、结论</w:t>
            </w:r>
          </w:p>
          <w:p w14:paraId="0B786B29">
            <w:pPr>
              <w:spacing w:line="360" w:lineRule="auto"/>
              <w:ind w:firstLine="411" w:firstLineChars="196"/>
              <w:rPr>
                <w:bCs/>
                <w:color w:val="auto"/>
                <w:szCs w:val="21"/>
              </w:rPr>
            </w:pPr>
            <w:r>
              <w:rPr>
                <w:bCs/>
                <w:color w:val="auto"/>
                <w:szCs w:val="21"/>
              </w:rPr>
              <w:t>建设项目经采取有效的事故防范、减缓措施，加强风险防范和应急预案，环境风险可控。</w:t>
            </w:r>
          </w:p>
          <w:p w14:paraId="6670C8E2">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rPr>
            </w:pPr>
            <w:r>
              <w:rPr>
                <w:b/>
                <w:bCs/>
                <w:color w:val="auto"/>
                <w:szCs w:val="21"/>
              </w:rPr>
              <w:t>表4-</w:t>
            </w:r>
            <w:r>
              <w:rPr>
                <w:rFonts w:hint="eastAsia"/>
                <w:b/>
                <w:bCs/>
                <w:color w:val="auto"/>
                <w:szCs w:val="21"/>
                <w:lang w:val="en-US" w:eastAsia="zh-CN"/>
              </w:rPr>
              <w:t>32</w:t>
            </w:r>
            <w:r>
              <w:rPr>
                <w:b/>
                <w:bCs/>
                <w:color w:val="auto"/>
                <w:szCs w:val="21"/>
              </w:rPr>
              <w:t xml:space="preserve"> 建设项目环境风险简单分析内容表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140"/>
              <w:gridCol w:w="1504"/>
              <w:gridCol w:w="1356"/>
              <w:gridCol w:w="2955"/>
            </w:tblGrid>
            <w:tr w14:paraId="49697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noWrap w:val="0"/>
                  <w:tcMar>
                    <w:top w:w="0" w:type="dxa"/>
                    <w:left w:w="0" w:type="dxa"/>
                    <w:bottom w:w="0" w:type="dxa"/>
                    <w:right w:w="0" w:type="dxa"/>
                  </w:tcMar>
                  <w:vAlign w:val="center"/>
                </w:tcPr>
                <w:p w14:paraId="6274C7D0">
                  <w:pPr>
                    <w:jc w:val="center"/>
                    <w:rPr>
                      <w:color w:val="auto"/>
                      <w:sz w:val="21"/>
                      <w:szCs w:val="21"/>
                    </w:rPr>
                  </w:pPr>
                  <w:r>
                    <w:rPr>
                      <w:color w:val="auto"/>
                      <w:sz w:val="21"/>
                      <w:szCs w:val="21"/>
                    </w:rPr>
                    <w:t>建设项目名称</w:t>
                  </w:r>
                </w:p>
              </w:tc>
              <w:tc>
                <w:tcPr>
                  <w:tcW w:w="4149" w:type="pct"/>
                  <w:gridSpan w:val="4"/>
                  <w:noWrap w:val="0"/>
                  <w:tcMar>
                    <w:top w:w="0" w:type="dxa"/>
                    <w:left w:w="0" w:type="dxa"/>
                    <w:bottom w:w="0" w:type="dxa"/>
                    <w:right w:w="0" w:type="dxa"/>
                  </w:tcMar>
                  <w:vAlign w:val="center"/>
                </w:tcPr>
                <w:p w14:paraId="198C9688">
                  <w:pPr>
                    <w:jc w:val="center"/>
                    <w:rPr>
                      <w:rFonts w:hint="eastAsia" w:eastAsia="宋体"/>
                      <w:color w:val="auto"/>
                      <w:sz w:val="21"/>
                      <w:szCs w:val="21"/>
                      <w:lang w:eastAsia="zh-CN"/>
                    </w:rPr>
                  </w:pPr>
                  <w:r>
                    <w:rPr>
                      <w:rFonts w:hint="eastAsia"/>
                      <w:color w:val="auto"/>
                      <w:sz w:val="21"/>
                      <w:szCs w:val="21"/>
                      <w:lang w:eastAsia="zh-CN"/>
                    </w:rPr>
                    <w:t>新建热塑性弹性体及汽车密封件项目</w:t>
                  </w:r>
                </w:p>
              </w:tc>
            </w:tr>
            <w:tr w14:paraId="6C1E2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noWrap w:val="0"/>
                  <w:tcMar>
                    <w:top w:w="0" w:type="dxa"/>
                    <w:left w:w="0" w:type="dxa"/>
                    <w:bottom w:w="0" w:type="dxa"/>
                    <w:right w:w="0" w:type="dxa"/>
                  </w:tcMar>
                  <w:vAlign w:val="center"/>
                </w:tcPr>
                <w:p w14:paraId="0ABDD9A6">
                  <w:pPr>
                    <w:jc w:val="center"/>
                    <w:rPr>
                      <w:color w:val="auto"/>
                      <w:sz w:val="21"/>
                      <w:szCs w:val="21"/>
                    </w:rPr>
                  </w:pPr>
                  <w:r>
                    <w:rPr>
                      <w:color w:val="auto"/>
                      <w:sz w:val="21"/>
                      <w:szCs w:val="21"/>
                    </w:rPr>
                    <w:t>建设地点</w:t>
                  </w:r>
                </w:p>
              </w:tc>
              <w:tc>
                <w:tcPr>
                  <w:tcW w:w="680" w:type="pct"/>
                  <w:noWrap w:val="0"/>
                  <w:tcMar>
                    <w:top w:w="0" w:type="dxa"/>
                    <w:left w:w="0" w:type="dxa"/>
                    <w:bottom w:w="0" w:type="dxa"/>
                    <w:right w:w="0" w:type="dxa"/>
                  </w:tcMar>
                  <w:vAlign w:val="center"/>
                </w:tcPr>
                <w:p w14:paraId="09907805">
                  <w:pPr>
                    <w:jc w:val="center"/>
                    <w:rPr>
                      <w:color w:val="auto"/>
                      <w:sz w:val="21"/>
                      <w:szCs w:val="21"/>
                    </w:rPr>
                  </w:pPr>
                  <w:r>
                    <w:rPr>
                      <w:color w:val="auto"/>
                      <w:sz w:val="21"/>
                      <w:szCs w:val="21"/>
                    </w:rPr>
                    <w:t>江苏省</w:t>
                  </w:r>
                </w:p>
              </w:tc>
              <w:tc>
                <w:tcPr>
                  <w:tcW w:w="897" w:type="pct"/>
                  <w:noWrap w:val="0"/>
                  <w:tcMar>
                    <w:top w:w="0" w:type="dxa"/>
                    <w:left w:w="0" w:type="dxa"/>
                    <w:bottom w:w="0" w:type="dxa"/>
                    <w:right w:w="0" w:type="dxa"/>
                  </w:tcMar>
                  <w:vAlign w:val="center"/>
                </w:tcPr>
                <w:p w14:paraId="7091AB80">
                  <w:pPr>
                    <w:jc w:val="center"/>
                    <w:rPr>
                      <w:color w:val="auto"/>
                      <w:sz w:val="21"/>
                      <w:szCs w:val="21"/>
                    </w:rPr>
                  </w:pPr>
                  <w:r>
                    <w:rPr>
                      <w:color w:val="auto"/>
                      <w:sz w:val="21"/>
                      <w:szCs w:val="21"/>
                    </w:rPr>
                    <w:t>常州市</w:t>
                  </w:r>
                </w:p>
              </w:tc>
              <w:tc>
                <w:tcPr>
                  <w:tcW w:w="808" w:type="pct"/>
                  <w:noWrap w:val="0"/>
                  <w:tcMar>
                    <w:top w:w="0" w:type="dxa"/>
                    <w:left w:w="0" w:type="dxa"/>
                    <w:bottom w:w="0" w:type="dxa"/>
                    <w:right w:w="0" w:type="dxa"/>
                  </w:tcMar>
                  <w:vAlign w:val="center"/>
                </w:tcPr>
                <w:p w14:paraId="05D95ACD">
                  <w:pPr>
                    <w:jc w:val="center"/>
                    <w:rPr>
                      <w:color w:val="auto"/>
                      <w:sz w:val="21"/>
                      <w:szCs w:val="21"/>
                    </w:rPr>
                  </w:pPr>
                  <w:r>
                    <w:rPr>
                      <w:color w:val="auto"/>
                      <w:sz w:val="21"/>
                      <w:szCs w:val="21"/>
                    </w:rPr>
                    <w:t>金坛区</w:t>
                  </w:r>
                </w:p>
              </w:tc>
              <w:tc>
                <w:tcPr>
                  <w:tcW w:w="1762" w:type="pct"/>
                  <w:noWrap w:val="0"/>
                  <w:tcMar>
                    <w:top w:w="0" w:type="dxa"/>
                    <w:left w:w="0" w:type="dxa"/>
                    <w:bottom w:w="0" w:type="dxa"/>
                    <w:right w:w="0" w:type="dxa"/>
                  </w:tcMar>
                  <w:vAlign w:val="center"/>
                </w:tcPr>
                <w:p w14:paraId="5CAAB352">
                  <w:pPr>
                    <w:jc w:val="center"/>
                    <w:rPr>
                      <w:color w:val="auto"/>
                      <w:sz w:val="21"/>
                      <w:szCs w:val="21"/>
                    </w:rPr>
                  </w:pPr>
                  <w:r>
                    <w:rPr>
                      <w:rFonts w:hint="eastAsia" w:eastAsia="宋体"/>
                      <w:color w:val="auto"/>
                      <w:szCs w:val="21"/>
                      <w:lang w:eastAsia="zh-CN"/>
                    </w:rPr>
                    <w:t>开发区东湖路28号</w:t>
                  </w:r>
                </w:p>
              </w:tc>
            </w:tr>
            <w:tr w14:paraId="264AF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noWrap w:val="0"/>
                  <w:tcMar>
                    <w:top w:w="0" w:type="dxa"/>
                    <w:left w:w="0" w:type="dxa"/>
                    <w:bottom w:w="0" w:type="dxa"/>
                    <w:right w:w="0" w:type="dxa"/>
                  </w:tcMar>
                  <w:vAlign w:val="center"/>
                </w:tcPr>
                <w:p w14:paraId="61BB6E8C">
                  <w:pPr>
                    <w:jc w:val="center"/>
                    <w:rPr>
                      <w:color w:val="auto"/>
                      <w:sz w:val="21"/>
                      <w:szCs w:val="21"/>
                    </w:rPr>
                  </w:pPr>
                  <w:r>
                    <w:rPr>
                      <w:color w:val="auto"/>
                      <w:sz w:val="21"/>
                      <w:szCs w:val="21"/>
                    </w:rPr>
                    <w:t>地理坐标</w:t>
                  </w:r>
                </w:p>
              </w:tc>
              <w:tc>
                <w:tcPr>
                  <w:tcW w:w="680" w:type="pct"/>
                  <w:noWrap w:val="0"/>
                  <w:tcMar>
                    <w:top w:w="0" w:type="dxa"/>
                    <w:left w:w="0" w:type="dxa"/>
                    <w:bottom w:w="0" w:type="dxa"/>
                    <w:right w:w="0" w:type="dxa"/>
                  </w:tcMar>
                  <w:vAlign w:val="center"/>
                </w:tcPr>
                <w:p w14:paraId="21E9F59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经度</w:t>
                  </w:r>
                </w:p>
              </w:tc>
              <w:tc>
                <w:tcPr>
                  <w:tcW w:w="897" w:type="pct"/>
                  <w:noWrap w:val="0"/>
                  <w:tcMar>
                    <w:top w:w="0" w:type="dxa"/>
                    <w:left w:w="0" w:type="dxa"/>
                    <w:bottom w:w="0" w:type="dxa"/>
                    <w:right w:w="0" w:type="dxa"/>
                  </w:tcMar>
                  <w:vAlign w:val="center"/>
                </w:tcPr>
                <w:p w14:paraId="522C5F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119.609108</w:t>
                  </w:r>
                </w:p>
              </w:tc>
              <w:tc>
                <w:tcPr>
                  <w:tcW w:w="808" w:type="pct"/>
                  <w:noWrap w:val="0"/>
                  <w:tcMar>
                    <w:top w:w="0" w:type="dxa"/>
                    <w:left w:w="0" w:type="dxa"/>
                    <w:bottom w:w="0" w:type="dxa"/>
                    <w:right w:w="0" w:type="dxa"/>
                  </w:tcMar>
                  <w:vAlign w:val="center"/>
                </w:tcPr>
                <w:p w14:paraId="611616A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纬度</w:t>
                  </w:r>
                </w:p>
              </w:tc>
              <w:tc>
                <w:tcPr>
                  <w:tcW w:w="1762" w:type="pct"/>
                  <w:noWrap w:val="0"/>
                  <w:tcMar>
                    <w:top w:w="0" w:type="dxa"/>
                    <w:left w:w="0" w:type="dxa"/>
                    <w:bottom w:w="0" w:type="dxa"/>
                    <w:right w:w="0" w:type="dxa"/>
                  </w:tcMar>
                  <w:vAlign w:val="center"/>
                </w:tcPr>
                <w:p w14:paraId="34F7D98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31.758823</w:t>
                  </w:r>
                </w:p>
              </w:tc>
            </w:tr>
            <w:tr w14:paraId="4E610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vMerge w:val="restart"/>
                  <w:noWrap w:val="0"/>
                  <w:tcMar>
                    <w:top w:w="0" w:type="dxa"/>
                    <w:left w:w="0" w:type="dxa"/>
                    <w:bottom w:w="0" w:type="dxa"/>
                    <w:right w:w="0" w:type="dxa"/>
                  </w:tcMar>
                  <w:vAlign w:val="center"/>
                </w:tcPr>
                <w:p w14:paraId="09DCE54A">
                  <w:pPr>
                    <w:jc w:val="center"/>
                    <w:rPr>
                      <w:color w:val="auto"/>
                      <w:sz w:val="21"/>
                      <w:szCs w:val="21"/>
                    </w:rPr>
                  </w:pPr>
                  <w:r>
                    <w:rPr>
                      <w:color w:val="auto"/>
                      <w:sz w:val="21"/>
                      <w:szCs w:val="21"/>
                    </w:rPr>
                    <w:t>主要危险物质及分布</w:t>
                  </w:r>
                </w:p>
              </w:tc>
              <w:tc>
                <w:tcPr>
                  <w:tcW w:w="2386" w:type="pct"/>
                  <w:gridSpan w:val="3"/>
                  <w:noWrap w:val="0"/>
                  <w:tcMar>
                    <w:top w:w="0" w:type="dxa"/>
                    <w:left w:w="0" w:type="dxa"/>
                    <w:bottom w:w="0" w:type="dxa"/>
                    <w:right w:w="0" w:type="dxa"/>
                  </w:tcMar>
                  <w:vAlign w:val="center"/>
                </w:tcPr>
                <w:p w14:paraId="6466145F">
                  <w:pPr>
                    <w:jc w:val="center"/>
                    <w:rPr>
                      <w:color w:val="auto"/>
                      <w:sz w:val="21"/>
                      <w:szCs w:val="21"/>
                    </w:rPr>
                  </w:pPr>
                  <w:r>
                    <w:rPr>
                      <w:color w:val="auto"/>
                      <w:sz w:val="21"/>
                      <w:szCs w:val="21"/>
                    </w:rPr>
                    <w:t>主要危险物质</w:t>
                  </w:r>
                </w:p>
              </w:tc>
              <w:tc>
                <w:tcPr>
                  <w:tcW w:w="1762" w:type="pct"/>
                  <w:noWrap w:val="0"/>
                  <w:tcMar>
                    <w:top w:w="0" w:type="dxa"/>
                    <w:left w:w="0" w:type="dxa"/>
                    <w:bottom w:w="0" w:type="dxa"/>
                    <w:right w:w="0" w:type="dxa"/>
                  </w:tcMar>
                  <w:vAlign w:val="center"/>
                </w:tcPr>
                <w:p w14:paraId="3DC353AF">
                  <w:pPr>
                    <w:jc w:val="center"/>
                    <w:rPr>
                      <w:color w:val="auto"/>
                      <w:sz w:val="21"/>
                      <w:szCs w:val="21"/>
                    </w:rPr>
                  </w:pPr>
                  <w:r>
                    <w:rPr>
                      <w:color w:val="auto"/>
                      <w:sz w:val="21"/>
                      <w:szCs w:val="21"/>
                    </w:rPr>
                    <w:t>分布</w:t>
                  </w:r>
                </w:p>
              </w:tc>
            </w:tr>
            <w:tr w14:paraId="4B7D6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vMerge w:val="continue"/>
                  <w:noWrap w:val="0"/>
                  <w:tcMar>
                    <w:top w:w="0" w:type="dxa"/>
                    <w:left w:w="0" w:type="dxa"/>
                    <w:bottom w:w="0" w:type="dxa"/>
                    <w:right w:w="0" w:type="dxa"/>
                  </w:tcMar>
                  <w:vAlign w:val="center"/>
                </w:tcPr>
                <w:p w14:paraId="4D32CC33">
                  <w:pPr>
                    <w:jc w:val="center"/>
                    <w:rPr>
                      <w:color w:val="auto"/>
                      <w:sz w:val="21"/>
                      <w:szCs w:val="21"/>
                    </w:rPr>
                  </w:pPr>
                </w:p>
              </w:tc>
              <w:tc>
                <w:tcPr>
                  <w:tcW w:w="2386" w:type="pct"/>
                  <w:gridSpan w:val="3"/>
                  <w:noWrap w:val="0"/>
                  <w:tcMar>
                    <w:top w:w="0" w:type="dxa"/>
                    <w:left w:w="0" w:type="dxa"/>
                    <w:bottom w:w="0" w:type="dxa"/>
                    <w:right w:w="0" w:type="dxa"/>
                  </w:tcMar>
                  <w:vAlign w:val="center"/>
                </w:tcPr>
                <w:p w14:paraId="068A4A5B">
                  <w:pPr>
                    <w:jc w:val="center"/>
                    <w:rPr>
                      <w:rFonts w:hint="default" w:eastAsia="宋体"/>
                      <w:color w:val="auto"/>
                      <w:sz w:val="21"/>
                      <w:szCs w:val="21"/>
                      <w:lang w:val="en-US" w:eastAsia="zh-CN"/>
                    </w:rPr>
                  </w:pPr>
                  <w:r>
                    <w:rPr>
                      <w:rFonts w:hint="eastAsia"/>
                      <w:color w:val="auto"/>
                      <w:sz w:val="21"/>
                      <w:szCs w:val="21"/>
                      <w:lang w:val="en-US" w:eastAsia="zh-CN"/>
                    </w:rPr>
                    <w:t>润滑油、</w:t>
                  </w:r>
                  <w:r>
                    <w:rPr>
                      <w:rFonts w:ascii="Times New Roman" w:hAnsi="Times New Roman"/>
                      <w:color w:val="auto"/>
                      <w:szCs w:val="21"/>
                    </w:rPr>
                    <w:t>环保增塑剂</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抗氧剂</w:t>
                  </w:r>
                </w:p>
              </w:tc>
              <w:tc>
                <w:tcPr>
                  <w:tcW w:w="1762" w:type="pct"/>
                  <w:noWrap w:val="0"/>
                  <w:tcMar>
                    <w:top w:w="0" w:type="dxa"/>
                    <w:left w:w="0" w:type="dxa"/>
                    <w:bottom w:w="0" w:type="dxa"/>
                    <w:right w:w="0" w:type="dxa"/>
                  </w:tcMar>
                  <w:vAlign w:val="center"/>
                </w:tcPr>
                <w:p w14:paraId="411C9AFD">
                  <w:pPr>
                    <w:jc w:val="center"/>
                    <w:rPr>
                      <w:rFonts w:hint="default" w:eastAsia="宋体"/>
                      <w:color w:val="auto"/>
                      <w:sz w:val="21"/>
                      <w:szCs w:val="21"/>
                      <w:lang w:val="en-US" w:eastAsia="zh-CN"/>
                    </w:rPr>
                  </w:pPr>
                  <w:r>
                    <w:rPr>
                      <w:rFonts w:hint="eastAsia"/>
                      <w:color w:val="auto"/>
                      <w:sz w:val="21"/>
                      <w:szCs w:val="21"/>
                      <w:lang w:val="en-US" w:eastAsia="zh-CN"/>
                    </w:rPr>
                    <w:t>原料仓库</w:t>
                  </w:r>
                </w:p>
              </w:tc>
            </w:tr>
            <w:tr w14:paraId="34DAF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vMerge w:val="continue"/>
                  <w:noWrap w:val="0"/>
                  <w:tcMar>
                    <w:top w:w="0" w:type="dxa"/>
                    <w:left w:w="0" w:type="dxa"/>
                    <w:bottom w:w="0" w:type="dxa"/>
                    <w:right w:w="0" w:type="dxa"/>
                  </w:tcMar>
                  <w:vAlign w:val="center"/>
                </w:tcPr>
                <w:p w14:paraId="48DC634F">
                  <w:pPr>
                    <w:jc w:val="center"/>
                    <w:rPr>
                      <w:color w:val="auto"/>
                      <w:sz w:val="21"/>
                      <w:szCs w:val="21"/>
                    </w:rPr>
                  </w:pPr>
                </w:p>
              </w:tc>
              <w:tc>
                <w:tcPr>
                  <w:tcW w:w="2386" w:type="pct"/>
                  <w:gridSpan w:val="3"/>
                  <w:noWrap w:val="0"/>
                  <w:tcMar>
                    <w:top w:w="0" w:type="dxa"/>
                    <w:left w:w="0" w:type="dxa"/>
                    <w:bottom w:w="0" w:type="dxa"/>
                    <w:right w:w="0" w:type="dxa"/>
                  </w:tcMar>
                  <w:vAlign w:val="center"/>
                </w:tcPr>
                <w:p w14:paraId="45BE41E7">
                  <w:pPr>
                    <w:jc w:val="center"/>
                    <w:rPr>
                      <w:rFonts w:hint="default" w:eastAsia="宋体"/>
                      <w:color w:val="auto"/>
                      <w:sz w:val="21"/>
                      <w:szCs w:val="21"/>
                      <w:lang w:val="en-US" w:eastAsia="zh-CN"/>
                    </w:rPr>
                  </w:pPr>
                  <w:r>
                    <w:rPr>
                      <w:rFonts w:hint="eastAsia"/>
                      <w:color w:val="auto"/>
                      <w:sz w:val="21"/>
                      <w:szCs w:val="21"/>
                      <w:lang w:val="en-US" w:eastAsia="zh-CN"/>
                    </w:rPr>
                    <w:t>喷淋塔废液、废油桶、废包装桶、废活性炭、废含油抹布等</w:t>
                  </w:r>
                </w:p>
              </w:tc>
              <w:tc>
                <w:tcPr>
                  <w:tcW w:w="1762" w:type="pct"/>
                  <w:noWrap w:val="0"/>
                  <w:tcMar>
                    <w:top w:w="0" w:type="dxa"/>
                    <w:left w:w="0" w:type="dxa"/>
                    <w:bottom w:w="0" w:type="dxa"/>
                    <w:right w:w="0" w:type="dxa"/>
                  </w:tcMar>
                  <w:vAlign w:val="center"/>
                </w:tcPr>
                <w:p w14:paraId="07ADA60F">
                  <w:pPr>
                    <w:jc w:val="center"/>
                    <w:rPr>
                      <w:color w:val="auto"/>
                      <w:sz w:val="21"/>
                      <w:szCs w:val="21"/>
                    </w:rPr>
                  </w:pPr>
                  <w:r>
                    <w:rPr>
                      <w:color w:val="auto"/>
                      <w:sz w:val="21"/>
                      <w:szCs w:val="21"/>
                    </w:rPr>
                    <w:t>危废仓库</w:t>
                  </w:r>
                </w:p>
              </w:tc>
            </w:tr>
            <w:tr w14:paraId="27899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noWrap w:val="0"/>
                  <w:tcMar>
                    <w:top w:w="0" w:type="dxa"/>
                    <w:left w:w="0" w:type="dxa"/>
                    <w:bottom w:w="0" w:type="dxa"/>
                    <w:right w:w="0" w:type="dxa"/>
                  </w:tcMar>
                  <w:vAlign w:val="center"/>
                </w:tcPr>
                <w:p w14:paraId="07E60DE7">
                  <w:pPr>
                    <w:jc w:val="center"/>
                    <w:rPr>
                      <w:color w:val="auto"/>
                      <w:sz w:val="21"/>
                      <w:szCs w:val="21"/>
                    </w:rPr>
                  </w:pPr>
                  <w:r>
                    <w:rPr>
                      <w:color w:val="auto"/>
                      <w:sz w:val="21"/>
                      <w:szCs w:val="21"/>
                    </w:rPr>
                    <w:t>环境影响途径及危害后果（大气、地表水、地下水等）</w:t>
                  </w:r>
                </w:p>
              </w:tc>
              <w:tc>
                <w:tcPr>
                  <w:tcW w:w="4149" w:type="pct"/>
                  <w:gridSpan w:val="4"/>
                  <w:noWrap w:val="0"/>
                  <w:tcMar>
                    <w:top w:w="0" w:type="dxa"/>
                    <w:left w:w="0" w:type="dxa"/>
                    <w:bottom w:w="0" w:type="dxa"/>
                    <w:right w:w="0" w:type="dxa"/>
                  </w:tcMar>
                  <w:vAlign w:val="center"/>
                </w:tcPr>
                <w:p w14:paraId="239F30B9">
                  <w:pPr>
                    <w:jc w:val="center"/>
                    <w:rPr>
                      <w:bCs/>
                      <w:color w:val="auto"/>
                      <w:sz w:val="21"/>
                      <w:szCs w:val="21"/>
                    </w:rPr>
                  </w:pPr>
                  <w:r>
                    <w:rPr>
                      <w:bCs/>
                      <w:color w:val="auto"/>
                      <w:sz w:val="21"/>
                      <w:szCs w:val="21"/>
                    </w:rPr>
                    <w:t>本项目危险物质主要分布在</w:t>
                  </w:r>
                  <w:r>
                    <w:rPr>
                      <w:rFonts w:hint="eastAsia"/>
                      <w:color w:val="auto"/>
                      <w:sz w:val="21"/>
                      <w:szCs w:val="21"/>
                      <w:lang w:val="en-US" w:eastAsia="zh-CN"/>
                    </w:rPr>
                    <w:t>原料仓库</w:t>
                  </w:r>
                  <w:r>
                    <w:rPr>
                      <w:bCs/>
                      <w:color w:val="auto"/>
                      <w:sz w:val="21"/>
                      <w:szCs w:val="21"/>
                    </w:rPr>
                    <w:t>、危废仓库</w:t>
                  </w:r>
                  <w:r>
                    <w:rPr>
                      <w:rFonts w:hint="eastAsia"/>
                      <w:bCs/>
                      <w:color w:val="auto"/>
                      <w:sz w:val="21"/>
                      <w:szCs w:val="21"/>
                      <w:lang w:val="en-US" w:eastAsia="zh-CN"/>
                    </w:rPr>
                    <w:t>等</w:t>
                  </w:r>
                  <w:r>
                    <w:rPr>
                      <w:bCs/>
                      <w:color w:val="auto"/>
                      <w:sz w:val="21"/>
                      <w:szCs w:val="21"/>
                    </w:rPr>
                    <w:t>，对环境影响途径为危险物质泄漏，液体进入雨水管网向外环境扩散，泄漏的危险物质扩散进水中，通过雨水管网进入附近水体，危险物质在下渗过程中会污染地下水，进而流入周围的河流，造成整个周围地区水环境的污染。</w:t>
                  </w:r>
                </w:p>
              </w:tc>
            </w:tr>
            <w:tr w14:paraId="3339C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noWrap w:val="0"/>
                  <w:tcMar>
                    <w:top w:w="0" w:type="dxa"/>
                    <w:left w:w="0" w:type="dxa"/>
                    <w:bottom w:w="0" w:type="dxa"/>
                    <w:right w:w="0" w:type="dxa"/>
                  </w:tcMar>
                  <w:vAlign w:val="center"/>
                </w:tcPr>
                <w:p w14:paraId="47D1F6FF">
                  <w:pPr>
                    <w:jc w:val="center"/>
                    <w:rPr>
                      <w:color w:val="auto"/>
                      <w:sz w:val="21"/>
                      <w:szCs w:val="21"/>
                    </w:rPr>
                  </w:pPr>
                  <w:r>
                    <w:rPr>
                      <w:color w:val="auto"/>
                      <w:sz w:val="21"/>
                      <w:szCs w:val="21"/>
                    </w:rPr>
                    <w:t>风险防范措施要求</w:t>
                  </w:r>
                </w:p>
              </w:tc>
              <w:tc>
                <w:tcPr>
                  <w:tcW w:w="4149" w:type="pct"/>
                  <w:gridSpan w:val="4"/>
                  <w:noWrap w:val="0"/>
                  <w:tcMar>
                    <w:top w:w="0" w:type="dxa"/>
                    <w:left w:w="0" w:type="dxa"/>
                    <w:bottom w:w="0" w:type="dxa"/>
                    <w:right w:w="0" w:type="dxa"/>
                  </w:tcMar>
                  <w:vAlign w:val="center"/>
                </w:tcPr>
                <w:p w14:paraId="6ED8034D">
                  <w:pPr>
                    <w:ind w:firstLine="420" w:firstLineChars="200"/>
                    <w:rPr>
                      <w:bCs/>
                      <w:color w:val="auto"/>
                      <w:sz w:val="21"/>
                      <w:szCs w:val="21"/>
                    </w:rPr>
                  </w:pPr>
                  <w:r>
                    <w:rPr>
                      <w:bCs/>
                      <w:color w:val="auto"/>
                      <w:sz w:val="21"/>
                      <w:szCs w:val="21"/>
                    </w:rPr>
                    <w:t>①物料储运安全防范措施</w:t>
                  </w:r>
                </w:p>
                <w:p w14:paraId="045341BB">
                  <w:pPr>
                    <w:ind w:firstLine="420" w:firstLineChars="200"/>
                    <w:rPr>
                      <w:bCs/>
                      <w:color w:val="auto"/>
                      <w:sz w:val="21"/>
                      <w:szCs w:val="21"/>
                    </w:rPr>
                  </w:pPr>
                  <w:r>
                    <w:rPr>
                      <w:bCs/>
                      <w:color w:val="auto"/>
                      <w:sz w:val="21"/>
                      <w:szCs w:val="21"/>
                    </w:rPr>
                    <w:t>包装过程要求包装材料与危险物相适应、包装封口与危险物相适应；包装标志执行《危险货物包装标志》</w:t>
                  </w:r>
                  <w:r>
                    <w:rPr>
                      <w:rFonts w:hint="eastAsia"/>
                      <w:bCs/>
                      <w:color w:val="auto"/>
                      <w:sz w:val="21"/>
                      <w:szCs w:val="21"/>
                    </w:rPr>
                    <w:t>（</w:t>
                  </w:r>
                  <w:r>
                    <w:rPr>
                      <w:bCs/>
                      <w:color w:val="auto"/>
                      <w:sz w:val="21"/>
                      <w:szCs w:val="21"/>
                    </w:rPr>
                    <w:t>GB190-2009</w:t>
                  </w:r>
                  <w:r>
                    <w:rPr>
                      <w:rFonts w:hint="eastAsia"/>
                      <w:bCs/>
                      <w:color w:val="auto"/>
                      <w:sz w:val="21"/>
                      <w:szCs w:val="21"/>
                    </w:rPr>
                    <w:t>）</w:t>
                  </w:r>
                  <w:r>
                    <w:rPr>
                      <w:bCs/>
                      <w:color w:val="auto"/>
                      <w:sz w:val="21"/>
                      <w:szCs w:val="21"/>
                    </w:rPr>
                    <w:t>和《危险货物运输图示标志》</w:t>
                  </w:r>
                  <w:r>
                    <w:rPr>
                      <w:rFonts w:hint="eastAsia"/>
                      <w:bCs/>
                      <w:color w:val="auto"/>
                      <w:sz w:val="21"/>
                      <w:szCs w:val="21"/>
                    </w:rPr>
                    <w:t>（</w:t>
                  </w:r>
                  <w:r>
                    <w:rPr>
                      <w:bCs/>
                      <w:color w:val="auto"/>
                      <w:sz w:val="21"/>
                      <w:szCs w:val="21"/>
                    </w:rPr>
                    <w:t>GB191-2008</w:t>
                  </w:r>
                  <w:r>
                    <w:rPr>
                      <w:rFonts w:hint="eastAsia"/>
                      <w:bCs/>
                      <w:color w:val="auto"/>
                      <w:sz w:val="21"/>
                      <w:szCs w:val="21"/>
                    </w:rPr>
                    <w:t>）</w:t>
                  </w:r>
                  <w:r>
                    <w:rPr>
                      <w:bCs/>
                      <w:color w:val="auto"/>
                      <w:sz w:val="21"/>
                      <w:szCs w:val="21"/>
                    </w:rPr>
                    <w:t>。运输过程应执行《危险货物运输包装通用技术条件》</w:t>
                  </w:r>
                  <w:r>
                    <w:rPr>
                      <w:rFonts w:hint="eastAsia"/>
                      <w:bCs/>
                      <w:color w:val="auto"/>
                      <w:sz w:val="21"/>
                      <w:szCs w:val="21"/>
                    </w:rPr>
                    <w:t>（</w:t>
                  </w:r>
                  <w:r>
                    <w:rPr>
                      <w:bCs/>
                      <w:color w:val="auto"/>
                      <w:sz w:val="21"/>
                      <w:szCs w:val="21"/>
                    </w:rPr>
                    <w:t>GB12465-2009</w:t>
                  </w:r>
                  <w:r>
                    <w:rPr>
                      <w:rFonts w:hint="eastAsia"/>
                      <w:bCs/>
                      <w:color w:val="auto"/>
                      <w:sz w:val="21"/>
                      <w:szCs w:val="21"/>
                    </w:rPr>
                    <w:t>）</w:t>
                  </w:r>
                  <w:r>
                    <w:rPr>
                      <w:bCs/>
                      <w:color w:val="auto"/>
                      <w:sz w:val="21"/>
                      <w:szCs w:val="21"/>
                    </w:rPr>
                    <w:t>和各种运输方式的《危险货物运输规则》。装卸过程要求防震、防撞、防倾斜；断火源、禁火种；通风和降温。</w:t>
                  </w:r>
                </w:p>
                <w:p w14:paraId="11254C1F">
                  <w:pPr>
                    <w:ind w:firstLine="420" w:firstLineChars="200"/>
                    <w:rPr>
                      <w:bCs/>
                      <w:color w:val="auto"/>
                      <w:sz w:val="21"/>
                      <w:szCs w:val="21"/>
                    </w:rPr>
                  </w:pPr>
                  <w:r>
                    <w:rPr>
                      <w:bCs/>
                      <w:color w:val="auto"/>
                      <w:sz w:val="21"/>
                      <w:szCs w:val="21"/>
                    </w:rPr>
                    <w:t>②物料储存、泄漏事故的防范措施</w:t>
                  </w:r>
                </w:p>
                <w:p w14:paraId="2B5680EF">
                  <w:pPr>
                    <w:ind w:firstLine="420" w:firstLineChars="200"/>
                    <w:rPr>
                      <w:bCs/>
                      <w:color w:val="auto"/>
                      <w:sz w:val="21"/>
                      <w:szCs w:val="21"/>
                    </w:rPr>
                  </w:pPr>
                  <w:r>
                    <w:rPr>
                      <w:bCs/>
                      <w:color w:val="auto"/>
                      <w:sz w:val="21"/>
                      <w:szCs w:val="21"/>
                    </w:rPr>
                    <w:t>仓库设置防止物料泄漏流失和扩散到环境的设施，以及收集系统，严禁吸烟，并按规定设置安全警示标志。原料包装必须严密，保持库房内干燥通风、密封避光，安装通风设施，夏季高温时应采取如喷淋降温、遮阳和防高温隔绝涂料等措施。装卸、搬运时应做到轻装、轻卸，严禁摔、碰、撞、击、拖拉、倾倒和滚动。操作人员应根据物品危险性，穿戴相应的防护用品。作业中不得饮食，不得用手擦嘴、脸、眼睛。每次作业完毕，应及时用肥皂（或专用洗涤剂）洗净面部、手部，用清水漱口，防护用具应及时清洗，集中存放。装卸作业结束后，应当对库区进行检查，确认安全后，方可离开。通过加强管理，提高员工的安全意识，可降低发生泄漏的概率。</w:t>
                  </w:r>
                </w:p>
                <w:p w14:paraId="7B74B585">
                  <w:pPr>
                    <w:ind w:firstLine="420" w:firstLineChars="200"/>
                    <w:rPr>
                      <w:bCs/>
                      <w:color w:val="auto"/>
                      <w:sz w:val="21"/>
                      <w:szCs w:val="21"/>
                    </w:rPr>
                  </w:pPr>
                  <w:r>
                    <w:rPr>
                      <w:bCs/>
                      <w:color w:val="auto"/>
                      <w:sz w:val="21"/>
                      <w:szCs w:val="21"/>
                    </w:rPr>
                    <w:t>③火灾爆炸事故的防范措施</w:t>
                  </w:r>
                </w:p>
                <w:p w14:paraId="093DB313">
                  <w:pPr>
                    <w:ind w:firstLine="420" w:firstLineChars="200"/>
                    <w:rPr>
                      <w:bCs/>
                      <w:color w:val="auto"/>
                      <w:sz w:val="21"/>
                      <w:szCs w:val="21"/>
                    </w:rPr>
                  </w:pPr>
                  <w:r>
                    <w:rPr>
                      <w:bCs/>
                      <w:color w:val="auto"/>
                      <w:sz w:val="21"/>
                      <w:szCs w:val="21"/>
                    </w:rPr>
                    <w:t>按照《建筑设计防火规范》</w:t>
                  </w:r>
                  <w:r>
                    <w:rPr>
                      <w:rFonts w:hint="eastAsia"/>
                      <w:bCs/>
                      <w:color w:val="auto"/>
                      <w:sz w:val="21"/>
                      <w:szCs w:val="21"/>
                    </w:rPr>
                    <w:t>（GB50016-2014，2018年版）</w:t>
                  </w:r>
                  <w:r>
                    <w:rPr>
                      <w:bCs/>
                      <w:color w:val="auto"/>
                      <w:sz w:val="21"/>
                      <w:szCs w:val="21"/>
                    </w:rPr>
                    <w:t>等标准的要求建设生产厂房，设置防火间距、平面布置等。定期对设备进行安全检测，检测内容、时间、人员应有记录保存。安全检测根据设备的安全性、危险性设定检测频次。设备检修过程中，要严格按照操作规程进行，防止火灾事故的发生。加强火源的管理，严禁烟火带入，对设备需进行维修焊接，经安全部门确认、准许，并有记录。机动车在厂内行驶，须安装阻火器，必要设备安装防火装置。要有完善的安全消防措施。各重点部位需设置灭火器，并且对其作定期检查。</w:t>
                  </w:r>
                </w:p>
                <w:p w14:paraId="1C3C6911">
                  <w:pPr>
                    <w:ind w:firstLine="420" w:firstLineChars="200"/>
                    <w:rPr>
                      <w:bCs/>
                      <w:color w:val="auto"/>
                      <w:sz w:val="21"/>
                      <w:szCs w:val="21"/>
                    </w:rPr>
                  </w:pPr>
                  <w:r>
                    <w:rPr>
                      <w:bCs/>
                      <w:color w:val="auto"/>
                      <w:sz w:val="21"/>
                      <w:szCs w:val="21"/>
                    </w:rPr>
                    <w:t>④危废仓库风险防范措施</w:t>
                  </w:r>
                </w:p>
                <w:p w14:paraId="3C880D46">
                  <w:pPr>
                    <w:ind w:firstLine="420" w:firstLineChars="200"/>
                    <w:rPr>
                      <w:bCs/>
                      <w:color w:val="auto"/>
                      <w:sz w:val="21"/>
                      <w:szCs w:val="21"/>
                    </w:rPr>
                  </w:pPr>
                  <w:r>
                    <w:rPr>
                      <w:bCs/>
                      <w:color w:val="auto"/>
                      <w:sz w:val="21"/>
                      <w:szCs w:val="21"/>
                    </w:rPr>
                    <w:t>危险废物分类存放到危废仓库，做好进出库管理，及时登记，账物相符，并做好贮存场所和危废包装的标识工作。危废堆场要做到“</w:t>
                  </w:r>
                  <w:r>
                    <w:rPr>
                      <w:rFonts w:hint="eastAsia"/>
                      <w:bCs/>
                      <w:color w:val="auto"/>
                      <w:sz w:val="21"/>
                      <w:szCs w:val="21"/>
                    </w:rPr>
                    <w:t>六</w:t>
                  </w:r>
                  <w:r>
                    <w:rPr>
                      <w:bCs/>
                      <w:color w:val="auto"/>
                      <w:sz w:val="21"/>
                      <w:szCs w:val="21"/>
                    </w:rPr>
                    <w:t>防”，即：防风、防晒、防雨、防漏、防渗、防腐；地面与裙脚要用坚固、防渗的材料建造，建筑材料必须与危险废物相容。通道、出入口和通向消防设施的道路保持畅通，同时配置合格的消防器材，并确保其处于完好状态。</w:t>
                  </w:r>
                </w:p>
              </w:tc>
            </w:tr>
            <w:tr w14:paraId="17834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pct"/>
                  <w:noWrap w:val="0"/>
                  <w:tcMar>
                    <w:top w:w="0" w:type="dxa"/>
                    <w:left w:w="0" w:type="dxa"/>
                    <w:bottom w:w="0" w:type="dxa"/>
                    <w:right w:w="0" w:type="dxa"/>
                  </w:tcMar>
                  <w:vAlign w:val="center"/>
                </w:tcPr>
                <w:p w14:paraId="4B659CC0">
                  <w:pPr>
                    <w:jc w:val="center"/>
                    <w:rPr>
                      <w:color w:val="auto"/>
                      <w:sz w:val="21"/>
                      <w:szCs w:val="21"/>
                    </w:rPr>
                  </w:pPr>
                  <w:r>
                    <w:rPr>
                      <w:color w:val="auto"/>
                      <w:sz w:val="21"/>
                      <w:szCs w:val="21"/>
                    </w:rPr>
                    <w:t>填表说明（列出项目相关信息及评价说明）</w:t>
                  </w:r>
                </w:p>
              </w:tc>
              <w:tc>
                <w:tcPr>
                  <w:tcW w:w="4149" w:type="pct"/>
                  <w:gridSpan w:val="4"/>
                  <w:noWrap w:val="0"/>
                  <w:tcMar>
                    <w:top w:w="0" w:type="dxa"/>
                    <w:left w:w="0" w:type="dxa"/>
                    <w:bottom w:w="0" w:type="dxa"/>
                    <w:right w:w="0" w:type="dxa"/>
                  </w:tcMar>
                  <w:vAlign w:val="center"/>
                </w:tcPr>
                <w:p w14:paraId="608F7243">
                  <w:pPr>
                    <w:jc w:val="center"/>
                    <w:rPr>
                      <w:color w:val="auto"/>
                      <w:sz w:val="21"/>
                      <w:szCs w:val="21"/>
                    </w:rPr>
                  </w:pPr>
                  <w:r>
                    <w:rPr>
                      <w:color w:val="auto"/>
                      <w:sz w:val="21"/>
                      <w:szCs w:val="21"/>
                    </w:rPr>
                    <w:t>本表根据《建设项目环境风险评价技术导则》（HJ/T169-2018）中“简单分析”工作等级在危险物质、环境影响途径、环境危害后果、风险防范措施等方面给出定性的说明</w:t>
                  </w:r>
                </w:p>
              </w:tc>
            </w:tr>
          </w:tbl>
          <w:p w14:paraId="72EFEF53">
            <w:pPr>
              <w:pStyle w:val="2"/>
              <w:spacing w:before="120" w:beforeLines="50" w:after="0" w:line="360" w:lineRule="auto"/>
              <w:ind w:firstLine="420" w:firstLineChars="200"/>
              <w:rPr>
                <w:rFonts w:hint="eastAsia"/>
                <w:b/>
                <w:color w:val="auto"/>
                <w:szCs w:val="21"/>
              </w:rPr>
            </w:pPr>
            <w:r>
              <w:rPr>
                <w:bCs/>
                <w:color w:val="auto"/>
                <w:szCs w:val="21"/>
              </w:rPr>
              <w:t>本项目通过审批后，</w:t>
            </w:r>
            <w:r>
              <w:rPr>
                <w:rFonts w:hint="eastAsia"/>
                <w:color w:val="auto"/>
                <w:szCs w:val="21"/>
              </w:rPr>
              <w:t>建设单位</w:t>
            </w:r>
            <w:r>
              <w:rPr>
                <w:rFonts w:hint="eastAsia"/>
                <w:bCs/>
                <w:color w:val="auto"/>
                <w:szCs w:val="21"/>
              </w:rPr>
              <w:t>进行编制环境应急预案</w:t>
            </w:r>
            <w:r>
              <w:rPr>
                <w:bCs/>
                <w:color w:val="auto"/>
                <w:szCs w:val="21"/>
              </w:rPr>
              <w:t>，并提交环保部门备案</w:t>
            </w:r>
            <w:r>
              <w:rPr>
                <w:rFonts w:hint="eastAsia"/>
                <w:bCs/>
                <w:color w:val="auto"/>
                <w:szCs w:val="21"/>
              </w:rPr>
              <w:t>。</w:t>
            </w:r>
          </w:p>
          <w:p w14:paraId="4F5FD07E">
            <w:pPr>
              <w:adjustRightInd w:val="0"/>
              <w:snapToGrid w:val="0"/>
              <w:spacing w:line="360" w:lineRule="auto"/>
              <w:ind w:firstLine="422" w:firstLineChars="200"/>
              <w:rPr>
                <w:b/>
                <w:color w:val="auto"/>
                <w:szCs w:val="21"/>
              </w:rPr>
            </w:pPr>
            <w:r>
              <w:rPr>
                <w:rFonts w:hint="eastAsia"/>
                <w:b/>
                <w:color w:val="auto"/>
                <w:szCs w:val="21"/>
              </w:rPr>
              <w:t>七</w:t>
            </w:r>
            <w:r>
              <w:rPr>
                <w:b/>
                <w:color w:val="auto"/>
                <w:szCs w:val="21"/>
              </w:rPr>
              <w:t>、碳排放</w:t>
            </w:r>
          </w:p>
          <w:p w14:paraId="53E35D49">
            <w:pPr>
              <w:pStyle w:val="67"/>
              <w:adjustRightInd w:val="0"/>
              <w:snapToGrid w:val="0"/>
              <w:spacing w:line="360" w:lineRule="auto"/>
              <w:ind w:firstLine="422"/>
              <w:rPr>
                <w:rFonts w:ascii="Times New Roman" w:hAnsi="Times New Roman" w:eastAsia="宋体"/>
                <w:b/>
                <w:bCs/>
                <w:color w:val="auto"/>
                <w:sz w:val="21"/>
                <w:szCs w:val="21"/>
              </w:rPr>
            </w:pPr>
            <w:r>
              <w:rPr>
                <w:rFonts w:hint="eastAsia" w:eastAsia="宋体"/>
                <w:b/>
                <w:bCs/>
                <w:color w:val="auto"/>
                <w:sz w:val="21"/>
                <w:szCs w:val="21"/>
              </w:rPr>
              <w:t>1、</w:t>
            </w:r>
            <w:r>
              <w:rPr>
                <w:rFonts w:ascii="Times New Roman" w:hAnsi="Times New Roman" w:eastAsia="宋体"/>
                <w:b/>
                <w:bCs/>
                <w:color w:val="auto"/>
                <w:sz w:val="21"/>
                <w:szCs w:val="21"/>
              </w:rPr>
              <w:t>建设项目碳排放分析</w:t>
            </w:r>
          </w:p>
          <w:p w14:paraId="52C4C1C0">
            <w:pPr>
              <w:pStyle w:val="69"/>
              <w:spacing w:line="360" w:lineRule="auto"/>
              <w:ind w:firstLine="420" w:firstLineChars="200"/>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本项目碳排放源识别见下表：</w:t>
            </w:r>
          </w:p>
          <w:p w14:paraId="610A03C4">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表4-</w:t>
            </w:r>
            <w:r>
              <w:rPr>
                <w:rFonts w:hint="eastAsia" w:ascii="Times New Roman" w:hAnsi="Times New Roman" w:eastAsia="宋体"/>
                <w:b/>
                <w:bCs/>
                <w:color w:val="auto"/>
                <w:sz w:val="21"/>
                <w:szCs w:val="21"/>
                <w:lang w:val="en-US" w:eastAsia="zh-CN"/>
              </w:rPr>
              <w:t>33</w:t>
            </w:r>
            <w:r>
              <w:rPr>
                <w:rFonts w:ascii="Times New Roman" w:hAnsi="Times New Roman" w:eastAsia="宋体"/>
                <w:b/>
                <w:bCs/>
                <w:color w:val="auto"/>
                <w:sz w:val="21"/>
                <w:szCs w:val="21"/>
              </w:rPr>
              <w:t xml:space="preserve"> 碳排放源识别表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205"/>
              <w:gridCol w:w="1188"/>
              <w:gridCol w:w="796"/>
              <w:gridCol w:w="796"/>
              <w:gridCol w:w="796"/>
              <w:gridCol w:w="796"/>
              <w:gridCol w:w="796"/>
              <w:gridCol w:w="796"/>
              <w:gridCol w:w="16"/>
            </w:tblGrid>
            <w:tr w14:paraId="17817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30" w:type="pct"/>
                  <w:gridSpan w:val="2"/>
                  <w:vMerge w:val="restart"/>
                  <w:noWrap w:val="0"/>
                  <w:vAlign w:val="center"/>
                </w:tcPr>
                <w:p w14:paraId="4DBB7B28">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排放类型</w:t>
                  </w:r>
                </w:p>
              </w:tc>
              <w:tc>
                <w:tcPr>
                  <w:tcW w:w="709" w:type="pct"/>
                  <w:vMerge w:val="restart"/>
                  <w:noWrap w:val="0"/>
                  <w:vAlign w:val="center"/>
                </w:tcPr>
                <w:p w14:paraId="42EE76A8">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设施/材料</w:t>
                  </w:r>
                </w:p>
              </w:tc>
              <w:tc>
                <w:tcPr>
                  <w:tcW w:w="2859" w:type="pct"/>
                  <w:gridSpan w:val="7"/>
                  <w:noWrap w:val="0"/>
                  <w:vAlign w:val="center"/>
                </w:tcPr>
                <w:p w14:paraId="49FDF4C4">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温室气体种类</w:t>
                  </w:r>
                </w:p>
              </w:tc>
            </w:tr>
            <w:tr w14:paraId="1001A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150" w:hRule="atLeast"/>
              </w:trPr>
              <w:tc>
                <w:tcPr>
                  <w:tcW w:w="1430" w:type="pct"/>
                  <w:gridSpan w:val="2"/>
                  <w:vMerge w:val="continue"/>
                  <w:noWrap w:val="0"/>
                  <w:vAlign w:val="center"/>
                </w:tcPr>
                <w:p w14:paraId="735EFE7D">
                  <w:pPr>
                    <w:pStyle w:val="67"/>
                    <w:adjustRightInd w:val="0"/>
                    <w:snapToGrid w:val="0"/>
                    <w:spacing w:line="240" w:lineRule="auto"/>
                    <w:ind w:firstLine="0" w:firstLineChars="0"/>
                    <w:jc w:val="center"/>
                    <w:rPr>
                      <w:rFonts w:ascii="Times New Roman" w:hAnsi="Times New Roman" w:eastAsia="宋体"/>
                      <w:b/>
                      <w:bCs/>
                      <w:color w:val="auto"/>
                      <w:sz w:val="21"/>
                      <w:szCs w:val="21"/>
                    </w:rPr>
                  </w:pPr>
                </w:p>
              </w:tc>
              <w:tc>
                <w:tcPr>
                  <w:tcW w:w="709" w:type="pct"/>
                  <w:vMerge w:val="continue"/>
                  <w:noWrap w:val="0"/>
                  <w:vAlign w:val="center"/>
                </w:tcPr>
                <w:p w14:paraId="3880F678">
                  <w:pPr>
                    <w:pStyle w:val="67"/>
                    <w:adjustRightInd w:val="0"/>
                    <w:snapToGrid w:val="0"/>
                    <w:spacing w:line="240" w:lineRule="auto"/>
                    <w:ind w:firstLine="0" w:firstLineChars="0"/>
                    <w:jc w:val="center"/>
                    <w:rPr>
                      <w:rFonts w:ascii="Times New Roman" w:hAnsi="Times New Roman" w:eastAsia="宋体"/>
                      <w:b/>
                      <w:bCs/>
                      <w:color w:val="auto"/>
                      <w:sz w:val="21"/>
                      <w:szCs w:val="21"/>
                    </w:rPr>
                  </w:pPr>
                </w:p>
              </w:tc>
              <w:tc>
                <w:tcPr>
                  <w:tcW w:w="475" w:type="pct"/>
                  <w:noWrap w:val="0"/>
                  <w:vAlign w:val="center"/>
                </w:tcPr>
                <w:p w14:paraId="27076C4C">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CO</w:t>
                  </w:r>
                  <w:r>
                    <w:rPr>
                      <w:rFonts w:ascii="Times New Roman" w:hAnsi="Times New Roman" w:eastAsia="宋体"/>
                      <w:b/>
                      <w:bCs/>
                      <w:color w:val="auto"/>
                      <w:sz w:val="21"/>
                      <w:szCs w:val="21"/>
                      <w:vertAlign w:val="subscript"/>
                    </w:rPr>
                    <w:t>2</w:t>
                  </w:r>
                </w:p>
              </w:tc>
              <w:tc>
                <w:tcPr>
                  <w:tcW w:w="475" w:type="pct"/>
                  <w:noWrap w:val="0"/>
                  <w:vAlign w:val="center"/>
                </w:tcPr>
                <w:p w14:paraId="1223868D">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CH</w:t>
                  </w:r>
                  <w:r>
                    <w:rPr>
                      <w:rFonts w:ascii="Times New Roman" w:hAnsi="Times New Roman" w:eastAsia="宋体"/>
                      <w:b/>
                      <w:bCs/>
                      <w:color w:val="auto"/>
                      <w:sz w:val="21"/>
                      <w:szCs w:val="21"/>
                      <w:vertAlign w:val="subscript"/>
                    </w:rPr>
                    <w:t>4</w:t>
                  </w:r>
                </w:p>
              </w:tc>
              <w:tc>
                <w:tcPr>
                  <w:tcW w:w="475" w:type="pct"/>
                  <w:noWrap w:val="0"/>
                  <w:vAlign w:val="center"/>
                </w:tcPr>
                <w:p w14:paraId="778FC572">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N</w:t>
                  </w:r>
                  <w:r>
                    <w:rPr>
                      <w:rFonts w:ascii="Times New Roman" w:hAnsi="Times New Roman" w:eastAsia="宋体"/>
                      <w:b/>
                      <w:bCs/>
                      <w:color w:val="auto"/>
                      <w:sz w:val="21"/>
                      <w:szCs w:val="21"/>
                      <w:vertAlign w:val="subscript"/>
                    </w:rPr>
                    <w:t>2</w:t>
                  </w:r>
                  <w:r>
                    <w:rPr>
                      <w:rFonts w:ascii="Times New Roman" w:hAnsi="Times New Roman" w:eastAsia="宋体"/>
                      <w:b/>
                      <w:bCs/>
                      <w:color w:val="auto"/>
                      <w:sz w:val="21"/>
                      <w:szCs w:val="21"/>
                    </w:rPr>
                    <w:t>O</w:t>
                  </w:r>
                </w:p>
              </w:tc>
              <w:tc>
                <w:tcPr>
                  <w:tcW w:w="475" w:type="pct"/>
                  <w:noWrap w:val="0"/>
                  <w:vAlign w:val="center"/>
                </w:tcPr>
                <w:p w14:paraId="6193C26F">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HFCs</w:t>
                  </w:r>
                </w:p>
              </w:tc>
              <w:tc>
                <w:tcPr>
                  <w:tcW w:w="475" w:type="pct"/>
                  <w:noWrap w:val="0"/>
                  <w:vAlign w:val="center"/>
                </w:tcPr>
                <w:p w14:paraId="3E9114FD">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PFCs</w:t>
                  </w:r>
                </w:p>
              </w:tc>
              <w:tc>
                <w:tcPr>
                  <w:tcW w:w="475" w:type="pct"/>
                  <w:noWrap w:val="0"/>
                  <w:vAlign w:val="center"/>
                </w:tcPr>
                <w:p w14:paraId="34AE11E2">
                  <w:pPr>
                    <w:pStyle w:val="67"/>
                    <w:adjustRightInd w:val="0"/>
                    <w:snapToGrid w:val="0"/>
                    <w:spacing w:line="240" w:lineRule="auto"/>
                    <w:ind w:firstLine="0" w:firstLineChars="0"/>
                    <w:jc w:val="center"/>
                    <w:rPr>
                      <w:rFonts w:ascii="Times New Roman" w:hAnsi="Times New Roman" w:eastAsia="宋体"/>
                      <w:b/>
                      <w:bCs/>
                      <w:color w:val="auto"/>
                      <w:sz w:val="21"/>
                      <w:szCs w:val="21"/>
                    </w:rPr>
                  </w:pPr>
                  <w:r>
                    <w:rPr>
                      <w:rFonts w:ascii="Times New Roman" w:hAnsi="Times New Roman" w:eastAsia="宋体"/>
                      <w:b/>
                      <w:bCs/>
                      <w:color w:val="auto"/>
                      <w:sz w:val="21"/>
                      <w:szCs w:val="21"/>
                    </w:rPr>
                    <w:t>SF</w:t>
                  </w:r>
                  <w:r>
                    <w:rPr>
                      <w:rFonts w:ascii="Times New Roman" w:hAnsi="Times New Roman" w:eastAsia="宋体"/>
                      <w:b/>
                      <w:bCs/>
                      <w:color w:val="auto"/>
                      <w:sz w:val="21"/>
                      <w:szCs w:val="21"/>
                      <w:vertAlign w:val="subscript"/>
                    </w:rPr>
                    <w:t>6</w:t>
                  </w:r>
                </w:p>
              </w:tc>
            </w:tr>
            <w:tr w14:paraId="3F874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711" w:type="pct"/>
                  <w:noWrap w:val="0"/>
                  <w:vAlign w:val="center"/>
                </w:tcPr>
                <w:p w14:paraId="0A7F8C2C">
                  <w:pPr>
                    <w:pStyle w:val="67"/>
                    <w:adjustRightInd w:val="0"/>
                    <w:snapToGrid w:val="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间接排放</w:t>
                  </w:r>
                </w:p>
              </w:tc>
              <w:tc>
                <w:tcPr>
                  <w:tcW w:w="718" w:type="pct"/>
                  <w:noWrap w:val="0"/>
                  <w:vAlign w:val="center"/>
                </w:tcPr>
                <w:p w14:paraId="077D09C9">
                  <w:pPr>
                    <w:pStyle w:val="67"/>
                    <w:adjustRightInd w:val="0"/>
                    <w:snapToGrid w:val="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净调入电力和热力</w:t>
                  </w:r>
                </w:p>
              </w:tc>
              <w:tc>
                <w:tcPr>
                  <w:tcW w:w="709" w:type="pct"/>
                  <w:noWrap w:val="0"/>
                  <w:vAlign w:val="center"/>
                </w:tcPr>
                <w:p w14:paraId="47D34F66">
                  <w:pPr>
                    <w:pStyle w:val="67"/>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eastAsia="宋体"/>
                      <w:color w:val="auto"/>
                      <w:sz w:val="21"/>
                      <w:szCs w:val="21"/>
                    </w:rPr>
                    <w:t>各种用电</w:t>
                  </w:r>
                  <w:r>
                    <w:rPr>
                      <w:rFonts w:hint="eastAsia" w:ascii="Times New Roman" w:hAnsi="Times New Roman" w:eastAsia="宋体"/>
                      <w:color w:val="auto"/>
                      <w:sz w:val="21"/>
                      <w:szCs w:val="21"/>
                    </w:rPr>
                    <w:t>、用天然气</w:t>
                  </w:r>
                  <w:r>
                    <w:rPr>
                      <w:rFonts w:ascii="Times New Roman" w:hAnsi="Times New Roman" w:eastAsia="宋体"/>
                      <w:color w:val="auto"/>
                      <w:sz w:val="21"/>
                      <w:szCs w:val="21"/>
                    </w:rPr>
                    <w:t>生产设备</w:t>
                  </w:r>
                </w:p>
              </w:tc>
              <w:tc>
                <w:tcPr>
                  <w:tcW w:w="475" w:type="pct"/>
                  <w:noWrap w:val="0"/>
                  <w:vAlign w:val="center"/>
                </w:tcPr>
                <w:p w14:paraId="7CE528F8">
                  <w:pPr>
                    <w:pStyle w:val="67"/>
                    <w:adjustRightInd w:val="0"/>
                    <w:snapToGrid w:val="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475" w:type="pct"/>
                  <w:noWrap w:val="0"/>
                  <w:vAlign w:val="center"/>
                </w:tcPr>
                <w:p w14:paraId="4C677687">
                  <w:pPr>
                    <w:pStyle w:val="67"/>
                    <w:adjustRightInd w:val="0"/>
                    <w:snapToGrid w:val="0"/>
                    <w:spacing w:line="240" w:lineRule="auto"/>
                    <w:ind w:firstLine="0" w:firstLineChars="0"/>
                    <w:jc w:val="center"/>
                    <w:rPr>
                      <w:rFonts w:ascii="Times New Roman" w:hAnsi="Times New Roman" w:eastAsia="宋体"/>
                      <w:color w:val="auto"/>
                      <w:sz w:val="21"/>
                      <w:szCs w:val="21"/>
                    </w:rPr>
                  </w:pPr>
                </w:p>
              </w:tc>
              <w:tc>
                <w:tcPr>
                  <w:tcW w:w="475" w:type="pct"/>
                  <w:noWrap w:val="0"/>
                  <w:vAlign w:val="center"/>
                </w:tcPr>
                <w:p w14:paraId="494DB205">
                  <w:pPr>
                    <w:pStyle w:val="67"/>
                    <w:adjustRightInd w:val="0"/>
                    <w:snapToGrid w:val="0"/>
                    <w:spacing w:line="240" w:lineRule="auto"/>
                    <w:ind w:firstLine="0" w:firstLineChars="0"/>
                    <w:jc w:val="center"/>
                    <w:rPr>
                      <w:rFonts w:ascii="Times New Roman" w:hAnsi="Times New Roman" w:eastAsia="宋体"/>
                      <w:color w:val="auto"/>
                      <w:sz w:val="21"/>
                      <w:szCs w:val="21"/>
                    </w:rPr>
                  </w:pPr>
                </w:p>
              </w:tc>
              <w:tc>
                <w:tcPr>
                  <w:tcW w:w="475" w:type="pct"/>
                  <w:noWrap w:val="0"/>
                  <w:vAlign w:val="center"/>
                </w:tcPr>
                <w:p w14:paraId="71FBE432">
                  <w:pPr>
                    <w:pStyle w:val="67"/>
                    <w:adjustRightInd w:val="0"/>
                    <w:snapToGrid w:val="0"/>
                    <w:spacing w:line="240" w:lineRule="auto"/>
                    <w:ind w:firstLine="0" w:firstLineChars="0"/>
                    <w:jc w:val="center"/>
                    <w:rPr>
                      <w:rFonts w:ascii="Times New Roman" w:hAnsi="Times New Roman" w:eastAsia="宋体"/>
                      <w:color w:val="auto"/>
                      <w:sz w:val="21"/>
                      <w:szCs w:val="21"/>
                    </w:rPr>
                  </w:pPr>
                </w:p>
              </w:tc>
              <w:tc>
                <w:tcPr>
                  <w:tcW w:w="475" w:type="pct"/>
                  <w:noWrap w:val="0"/>
                  <w:vAlign w:val="center"/>
                </w:tcPr>
                <w:p w14:paraId="7FD324C3">
                  <w:pPr>
                    <w:pStyle w:val="67"/>
                    <w:adjustRightInd w:val="0"/>
                    <w:snapToGrid w:val="0"/>
                    <w:spacing w:line="240" w:lineRule="auto"/>
                    <w:ind w:firstLine="0" w:firstLineChars="0"/>
                    <w:jc w:val="center"/>
                    <w:rPr>
                      <w:rFonts w:ascii="Times New Roman" w:hAnsi="Times New Roman" w:eastAsia="宋体"/>
                      <w:color w:val="auto"/>
                      <w:sz w:val="21"/>
                      <w:szCs w:val="21"/>
                    </w:rPr>
                  </w:pPr>
                </w:p>
              </w:tc>
              <w:tc>
                <w:tcPr>
                  <w:tcW w:w="475" w:type="pct"/>
                  <w:noWrap w:val="0"/>
                  <w:vAlign w:val="center"/>
                </w:tcPr>
                <w:p w14:paraId="415F61E8">
                  <w:pPr>
                    <w:pStyle w:val="67"/>
                    <w:adjustRightInd w:val="0"/>
                    <w:snapToGrid w:val="0"/>
                    <w:spacing w:line="240" w:lineRule="auto"/>
                    <w:ind w:firstLine="0" w:firstLineChars="0"/>
                    <w:jc w:val="center"/>
                    <w:rPr>
                      <w:rFonts w:ascii="Times New Roman" w:hAnsi="Times New Roman" w:eastAsia="宋体"/>
                      <w:color w:val="auto"/>
                      <w:sz w:val="21"/>
                      <w:szCs w:val="21"/>
                    </w:rPr>
                  </w:pPr>
                </w:p>
              </w:tc>
            </w:tr>
          </w:tbl>
          <w:p w14:paraId="2A45753F">
            <w:pPr>
              <w:pStyle w:val="67"/>
              <w:adjustRightInd w:val="0"/>
              <w:snapToGrid w:val="0"/>
              <w:spacing w:before="120" w:beforeLines="50" w:line="360" w:lineRule="auto"/>
              <w:ind w:firstLine="42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2、碳排放预测与评价</w:t>
            </w:r>
          </w:p>
          <w:p w14:paraId="0F32DADB">
            <w:pPr>
              <w:pStyle w:val="67"/>
              <w:adjustRightInd w:val="0"/>
              <w:snapToGrid w:val="0"/>
              <w:spacing w:line="360" w:lineRule="auto"/>
              <w:ind w:firstLine="420"/>
              <w:rPr>
                <w:rFonts w:ascii="Times New Roman" w:hAnsi="Times New Roman" w:eastAsia="宋体"/>
                <w:color w:val="auto"/>
                <w:sz w:val="21"/>
                <w:szCs w:val="21"/>
              </w:rPr>
            </w:pPr>
            <w:r>
              <w:rPr>
                <w:rFonts w:ascii="Times New Roman" w:hAnsi="Times New Roman" w:eastAsia="宋体"/>
                <w:color w:val="auto"/>
                <w:sz w:val="21"/>
                <w:szCs w:val="21"/>
              </w:rPr>
              <w:t>营运期碳排放：</w:t>
            </w:r>
          </w:p>
          <w:p w14:paraId="57210D92">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1"/>
                <w:sz w:val="21"/>
                <w:szCs w:val="21"/>
              </w:rPr>
              <w:t>建设项目碳排放总量计算见公式</w:t>
            </w:r>
            <w:r>
              <w:rPr>
                <w:rFonts w:hint="default" w:ascii="Times New Roman" w:hAnsi="Times New Roman" w:eastAsia="宋体" w:cs="Times New Roman"/>
                <w:color w:val="auto"/>
                <w:sz w:val="21"/>
                <w:szCs w:val="21"/>
              </w:rPr>
              <w:t>（1）；</w:t>
            </w:r>
          </w:p>
          <w:p w14:paraId="2F5A8EA9">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总</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燃料燃烧</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工业生产过程</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净调入电力和热力</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1</w:t>
            </w:r>
            <w:r>
              <w:rPr>
                <w:rFonts w:hint="eastAsia" w:cs="Times New Roman"/>
                <w:color w:val="auto"/>
                <w:position w:val="2"/>
                <w:sz w:val="21"/>
                <w:szCs w:val="21"/>
                <w:lang w:eastAsia="zh-CN"/>
              </w:rPr>
              <w:t>）</w:t>
            </w:r>
          </w:p>
          <w:p w14:paraId="1881AF67">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式中：</w:t>
            </w:r>
          </w:p>
          <w:p w14:paraId="5A526EAA">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eastAsia" w:ascii="Times New Roman" w:hAnsi="Times New Roman" w:eastAsia="宋体" w:cs="Times New Roman"/>
                <w:color w:val="auto"/>
                <w:position w:val="2"/>
                <w:sz w:val="21"/>
                <w:szCs w:val="21"/>
                <w:lang w:eastAsia="zh-CN"/>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pacing w:val="-1"/>
                <w:sz w:val="21"/>
                <w:szCs w:val="21"/>
                <w:vertAlign w:val="subscript"/>
              </w:rPr>
              <w:t>总</w:t>
            </w:r>
            <w:r>
              <w:rPr>
                <w:rFonts w:hint="default" w:ascii="Times New Roman" w:hAnsi="Times New Roman" w:eastAsia="宋体" w:cs="Times New Roman"/>
                <w:color w:val="auto"/>
                <w:position w:val="2"/>
                <w:sz w:val="21"/>
                <w:szCs w:val="21"/>
              </w:rPr>
              <w:t>——碳排放总量</w:t>
            </w:r>
            <w:r>
              <w:rPr>
                <w:rFonts w:hint="eastAsia" w:cs="Times New Roman"/>
                <w:color w:val="auto"/>
                <w:position w:val="2"/>
                <w:sz w:val="21"/>
                <w:szCs w:val="21"/>
                <w:lang w:eastAsia="zh-CN"/>
              </w:rPr>
              <w:t>（</w:t>
            </w:r>
            <w:r>
              <w:rPr>
                <w:rFonts w:hint="default" w:ascii="Times New Roman" w:hAnsi="Times New Roman" w:eastAsia="宋体" w:cs="Times New Roman"/>
                <w:color w:val="auto"/>
                <w:spacing w:val="1"/>
                <w:position w:val="2"/>
                <w:sz w:val="21"/>
                <w:szCs w:val="21"/>
              </w:rPr>
              <w:t>t</w:t>
            </w:r>
            <w:r>
              <w:rPr>
                <w:rFonts w:hint="default" w:ascii="Times New Roman" w:hAnsi="Times New Roman" w:eastAsia="宋体" w:cs="Times New Roman"/>
                <w:color w:val="auto"/>
                <w:position w:val="2"/>
                <w:sz w:val="21"/>
                <w:szCs w:val="21"/>
              </w:rPr>
              <w: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spacing w:val="-120"/>
                <w:position w:val="2"/>
                <w:sz w:val="21"/>
                <w:szCs w:val="21"/>
              </w:rPr>
              <w:t>）</w:t>
            </w:r>
            <w:r>
              <w:rPr>
                <w:rFonts w:hint="eastAsia" w:cs="Times New Roman"/>
                <w:color w:val="auto"/>
                <w:position w:val="2"/>
                <w:sz w:val="21"/>
                <w:szCs w:val="21"/>
                <w:lang w:eastAsia="zh-CN"/>
              </w:rPr>
              <w:t>）</w:t>
            </w:r>
          </w:p>
          <w:p w14:paraId="176EA900">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eastAsia" w:ascii="Times New Roman" w:hAnsi="Times New Roman" w:eastAsia="宋体" w:cs="Times New Roman"/>
                <w:color w:val="auto"/>
                <w:position w:val="2"/>
                <w:sz w:val="21"/>
                <w:szCs w:val="21"/>
                <w:lang w:eastAsia="zh-CN"/>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pacing w:val="-1"/>
                <w:sz w:val="21"/>
                <w:szCs w:val="21"/>
                <w:vertAlign w:val="subscript"/>
              </w:rPr>
              <w:t>燃料燃烧</w:t>
            </w:r>
            <w:r>
              <w:rPr>
                <w:rFonts w:hint="default" w:ascii="Times New Roman" w:hAnsi="Times New Roman" w:eastAsia="宋体" w:cs="Times New Roman"/>
                <w:color w:val="auto"/>
                <w:position w:val="2"/>
                <w:sz w:val="21"/>
                <w:szCs w:val="21"/>
              </w:rPr>
              <w:t>——燃料燃烧碳排放量</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eastAsia" w:cs="Times New Roman"/>
                <w:color w:val="auto"/>
                <w:position w:val="2"/>
                <w:sz w:val="21"/>
                <w:szCs w:val="21"/>
                <w:lang w:eastAsia="zh-CN"/>
              </w:rPr>
              <w:t>）</w:t>
            </w:r>
          </w:p>
          <w:p w14:paraId="1CF4E7EE">
            <w:pPr>
              <w:keepNext w:val="0"/>
              <w:keepLines w:val="0"/>
              <w:pageBreakBefore w:val="0"/>
              <w:widowControl w:val="0"/>
              <w:kinsoku/>
              <w:wordWrap/>
              <w:overflowPunct/>
              <w:topLinePunct w:val="0"/>
              <w:autoSpaceDE/>
              <w:autoSpaceDN/>
              <w:bidi w:val="0"/>
              <w:spacing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pacing w:val="-1"/>
                <w:sz w:val="21"/>
                <w:szCs w:val="21"/>
                <w:vertAlign w:val="subscript"/>
              </w:rPr>
              <w:t>工业生产过程</w:t>
            </w:r>
            <w:r>
              <w:rPr>
                <w:rFonts w:hint="default" w:ascii="Times New Roman" w:hAnsi="Times New Roman" w:eastAsia="宋体" w:cs="Times New Roman"/>
                <w:color w:val="auto"/>
                <w:position w:val="2"/>
                <w:sz w:val="21"/>
                <w:szCs w:val="21"/>
              </w:rPr>
              <w:t>——工业生产过程碳排放量（tC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2"/>
                <w:sz w:val="21"/>
                <w:szCs w:val="21"/>
                <w:vertAlign w:val="subscript"/>
              </w:rPr>
              <w:t>2e</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092827D4">
            <w:pPr>
              <w:keepNext w:val="0"/>
              <w:keepLines w:val="0"/>
              <w:pageBreakBefore w:val="0"/>
              <w:widowControl w:val="0"/>
              <w:kinsoku/>
              <w:wordWrap/>
              <w:overflowPunct/>
              <w:topLinePunct w:val="0"/>
              <w:autoSpaceDE/>
              <w:autoSpaceDN/>
              <w:bidi w:val="0"/>
              <w:spacing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pacing w:val="-1"/>
                <w:sz w:val="21"/>
                <w:szCs w:val="21"/>
                <w:vertAlign w:val="subscript"/>
              </w:rPr>
              <w:t>净调入电力和热力</w:t>
            </w:r>
            <w:r>
              <w:rPr>
                <w:rFonts w:hint="default" w:ascii="Times New Roman" w:hAnsi="Times New Roman" w:eastAsia="宋体" w:cs="Times New Roman"/>
                <w:color w:val="auto"/>
                <w:position w:val="2"/>
                <w:sz w:val="21"/>
                <w:szCs w:val="21"/>
              </w:rPr>
              <w:t>——净调入电力和热力消耗碳排放总量（tC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0EFDEF8E">
            <w:pPr>
              <w:keepNext w:val="0"/>
              <w:keepLines w:val="0"/>
              <w:pageBreakBefore w:val="0"/>
              <w:widowControl w:val="0"/>
              <w:kinsoku/>
              <w:wordWrap/>
              <w:overflowPunct/>
              <w:topLinePunct w:val="0"/>
              <w:autoSpaceDE/>
              <w:autoSpaceDN/>
              <w:bidi w:val="0"/>
              <w:spacing w:line="360" w:lineRule="auto"/>
              <w:ind w:firstLine="408"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position w:val="2"/>
                <w:sz w:val="21"/>
                <w:szCs w:val="21"/>
              </w:rPr>
              <w:t>根据燃料用于电力生产还是用于其他工业生产情况不同，燃料燃烧排放量</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燃料燃烧</w:t>
            </w:r>
            <w:r>
              <w:rPr>
                <w:rFonts w:hint="default" w:ascii="Times New Roman" w:hAnsi="Times New Roman" w:eastAsia="宋体" w:cs="Times New Roman"/>
                <w:color w:val="auto"/>
                <w:spacing w:val="-34"/>
                <w:position w:val="2"/>
                <w:sz w:val="21"/>
                <w:szCs w:val="21"/>
              </w:rPr>
              <w:t>）</w:t>
            </w:r>
            <w:r>
              <w:rPr>
                <w:rFonts w:hint="default" w:ascii="Times New Roman" w:hAnsi="Times New Roman" w:eastAsia="宋体" w:cs="Times New Roman"/>
                <w:color w:val="auto"/>
                <w:spacing w:val="-6"/>
                <w:position w:val="2"/>
                <w:sz w:val="21"/>
                <w:szCs w:val="21"/>
              </w:rPr>
              <w:t>计算</w:t>
            </w:r>
            <w:r>
              <w:rPr>
                <w:rFonts w:hint="default" w:ascii="Times New Roman" w:hAnsi="Times New Roman" w:eastAsia="宋体" w:cs="Times New Roman"/>
                <w:color w:val="auto"/>
                <w:sz w:val="21"/>
                <w:szCs w:val="21"/>
              </w:rPr>
              <w:t>方法不同，具体见公式（2</w:t>
            </w:r>
            <w:r>
              <w:rPr>
                <w:rFonts w:hint="default" w:ascii="Times New Roman" w:hAnsi="Times New Roman" w:eastAsia="宋体" w:cs="Times New Roman"/>
                <w:color w:val="auto"/>
                <w:position w:val="2"/>
                <w:sz w:val="21"/>
                <w:szCs w:val="21"/>
              </w:rPr>
              <w:t>）</w:t>
            </w:r>
          </w:p>
          <w:p w14:paraId="0D82F036">
            <w:pPr>
              <w:keepNext w:val="0"/>
              <w:keepLines w:val="0"/>
              <w:pageBreakBefore w:val="0"/>
              <w:widowControl w:val="0"/>
              <w:kinsoku/>
              <w:wordWrap/>
              <w:overflowPunct/>
              <w:topLinePunct w:val="0"/>
              <w:autoSpaceDE/>
              <w:autoSpaceDN/>
              <w:bidi w:val="0"/>
              <w:spacing w:line="360" w:lineRule="auto"/>
              <w:ind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燃料燃烧</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电燃</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工燃</w:t>
            </w:r>
            <w:r>
              <w:rPr>
                <w:rFonts w:hint="default" w:ascii="Times New Roman" w:hAnsi="Times New Roman" w:eastAsia="宋体" w:cs="Times New Roman"/>
                <w:color w:val="auto"/>
                <w:position w:val="2"/>
                <w:sz w:val="21"/>
                <w:szCs w:val="21"/>
              </w:rPr>
              <w:t>（2）</w:t>
            </w:r>
          </w:p>
          <w:p w14:paraId="6941EC4D">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142CD8EF">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pacing w:val="-1"/>
                <w:sz w:val="21"/>
                <w:szCs w:val="21"/>
                <w:vertAlign w:val="subscript"/>
              </w:rPr>
              <w:t>电燃</w:t>
            </w:r>
            <w:r>
              <w:rPr>
                <w:rFonts w:hint="default" w:ascii="Times New Roman" w:hAnsi="Times New Roman" w:eastAsia="宋体" w:cs="Times New Roman"/>
                <w:color w:val="auto"/>
                <w:position w:val="2"/>
                <w:sz w:val="21"/>
                <w:szCs w:val="21"/>
              </w:rPr>
              <w:t>——电力生产燃料燃烧排放量（tC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4F82CE89">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pacing w:val="-1"/>
                <w:sz w:val="21"/>
                <w:szCs w:val="21"/>
                <w:vertAlign w:val="subscript"/>
              </w:rPr>
              <w:t>工燃</w:t>
            </w:r>
            <w:r>
              <w:rPr>
                <w:rFonts w:hint="default" w:ascii="Times New Roman" w:hAnsi="Times New Roman" w:eastAsia="宋体" w:cs="Times New Roman"/>
                <w:color w:val="auto"/>
                <w:position w:val="2"/>
                <w:sz w:val="21"/>
                <w:szCs w:val="21"/>
              </w:rPr>
              <w:t>——工业生产燃料燃烧排放量（tC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4314B847">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position w:val="2"/>
                <w:sz w:val="21"/>
                <w:szCs w:val="21"/>
              </w:rPr>
              <w:t>建设项目用于电力生产的燃料燃烧产生的排放量</w:t>
            </w:r>
            <w:r>
              <w:rPr>
                <w:rFonts w:hint="default" w:ascii="Times New Roman" w:hAnsi="Times New Roman" w:eastAsia="宋体" w:cs="Times New Roman"/>
                <w:color w:val="auto"/>
                <w:spacing w:val="1"/>
                <w:position w:val="2"/>
                <w:sz w:val="21"/>
                <w:szCs w:val="21"/>
              </w:rPr>
              <w:t>（</w:t>
            </w: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z w:val="21"/>
                <w:szCs w:val="21"/>
                <w:vertAlign w:val="subscript"/>
              </w:rPr>
              <w:t>电燃</w:t>
            </w:r>
            <w:r>
              <w:rPr>
                <w:rFonts w:hint="default" w:ascii="Times New Roman" w:hAnsi="Times New Roman" w:eastAsia="宋体" w:cs="Times New Roman"/>
                <w:color w:val="auto"/>
                <w:position w:val="2"/>
                <w:sz w:val="21"/>
                <w:szCs w:val="21"/>
              </w:rPr>
              <w:t>）计算方法见公式（3）</w:t>
            </w:r>
          </w:p>
          <w:p w14:paraId="40EE1068">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电燃</w:t>
            </w:r>
            <w:r>
              <w:rPr>
                <w:rFonts w:hint="default" w:ascii="Times New Roman" w:hAnsi="Times New Roman" w:eastAsia="宋体" w:cs="Times New Roman"/>
                <w:color w:val="auto"/>
                <w:position w:val="2"/>
                <w:sz w:val="21"/>
                <w:szCs w:val="21"/>
              </w:rPr>
              <w:t>=∑</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AD</w:t>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vertAlign w:val="subscript"/>
              </w:rPr>
              <w:t>燃料</w:t>
            </w:r>
            <w:r>
              <w:rPr>
                <w:rFonts w:hint="default" w:ascii="Times New Roman" w:hAnsi="Times New Roman" w:eastAsia="宋体" w:cs="Times New Roman"/>
                <w:color w:val="auto"/>
                <w:position w:val="2"/>
                <w:sz w:val="21"/>
                <w:szCs w:val="21"/>
              </w:rPr>
              <w:t>*EF</w:t>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vertAlign w:val="subscript"/>
              </w:rPr>
              <w:t>燃料</w:t>
            </w:r>
            <w:r>
              <w:rPr>
                <w:rFonts w:hint="default" w:ascii="Times New Roman" w:hAnsi="Times New Roman" w:eastAsia="宋体" w:cs="Times New Roman"/>
                <w:color w:val="auto"/>
                <w:position w:val="2"/>
                <w:sz w:val="21"/>
                <w:szCs w:val="21"/>
              </w:rPr>
              <w:t>+AD</w:t>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vertAlign w:val="subscript"/>
              </w:rPr>
              <w:t>燃料</w:t>
            </w:r>
            <w:r>
              <w:rPr>
                <w:rFonts w:hint="default" w:ascii="Times New Roman" w:hAnsi="Times New Roman" w:eastAsia="宋体" w:cs="Times New Roman"/>
                <w:color w:val="auto"/>
                <w:position w:val="2"/>
                <w:sz w:val="21"/>
                <w:szCs w:val="21"/>
              </w:rPr>
              <w:t>*EF</w:t>
            </w:r>
            <w:r>
              <w:rPr>
                <w:rFonts w:hint="default" w:ascii="Times New Roman" w:hAnsi="Times New Roman" w:eastAsia="宋体" w:cs="Times New Roman"/>
                <w:color w:val="auto"/>
                <w:spacing w:val="-1"/>
                <w:position w:val="2"/>
                <w:sz w:val="21"/>
                <w:szCs w:val="21"/>
              </w:rPr>
              <w:t>＇</w:t>
            </w:r>
            <w:r>
              <w:rPr>
                <w:rFonts w:hint="default" w:ascii="Times New Roman" w:hAnsi="Times New Roman" w:eastAsia="宋体" w:cs="Times New Roman"/>
                <w:color w:val="auto"/>
                <w:sz w:val="21"/>
                <w:szCs w:val="21"/>
                <w:vertAlign w:val="subscript"/>
              </w:rPr>
              <w:t>i燃料</w:t>
            </w:r>
            <w:r>
              <w:rPr>
                <w:rFonts w:hint="default" w:ascii="Times New Roman" w:hAnsi="Times New Roman" w:eastAsia="宋体" w:cs="Times New Roman"/>
                <w:color w:val="auto"/>
                <w:position w:val="2"/>
                <w:sz w:val="21"/>
                <w:szCs w:val="21"/>
              </w:rPr>
              <w:t>*GWP</w:t>
            </w:r>
            <w:r>
              <w:rPr>
                <w:rFonts w:hint="default" w:ascii="Times New Roman" w:hAnsi="Times New Roman" w:eastAsia="宋体" w:cs="Times New Roman"/>
                <w:color w:val="auto"/>
                <w:sz w:val="21"/>
                <w:szCs w:val="21"/>
                <w:vertAlign w:val="subscript"/>
              </w:rPr>
              <w:t>N</w:t>
            </w:r>
            <w:r>
              <w:rPr>
                <w:rFonts w:hint="default" w:ascii="Times New Roman" w:hAnsi="Times New Roman" w:eastAsia="宋体" w:cs="Times New Roman"/>
                <w:color w:val="auto"/>
                <w:sz w:val="16"/>
                <w:szCs w:val="16"/>
                <w:vertAlign w:val="subscript"/>
              </w:rPr>
              <w:t>2</w:t>
            </w:r>
            <w:r>
              <w:rPr>
                <w:rFonts w:hint="default" w:ascii="Times New Roman" w:hAnsi="Times New Roman" w:eastAsia="宋体" w:cs="Times New Roman"/>
                <w:color w:val="auto"/>
                <w:sz w:val="21"/>
                <w:szCs w:val="21"/>
                <w:vertAlign w:val="subscript"/>
              </w:rPr>
              <w:t>O</w:t>
            </w:r>
            <w:r>
              <w:rPr>
                <w:rFonts w:hint="eastAsia" w:cs="Times New Roman"/>
                <w:color w:val="auto"/>
                <w:position w:val="2"/>
                <w:sz w:val="21"/>
                <w:szCs w:val="21"/>
                <w:lang w:eastAsia="zh-CN"/>
              </w:rPr>
              <w:t>）</w:t>
            </w:r>
          </w:p>
          <w:p w14:paraId="0D5F11D7">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15802CD2">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i——燃料种类；</w:t>
            </w:r>
          </w:p>
          <w:p w14:paraId="311388D8">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AD</w:t>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pacing w:val="-1"/>
                <w:sz w:val="21"/>
                <w:szCs w:val="21"/>
                <w:vertAlign w:val="subscript"/>
              </w:rPr>
              <w:t>燃料</w:t>
            </w:r>
            <w:r>
              <w:rPr>
                <w:rFonts w:hint="default" w:ascii="Times New Roman" w:hAnsi="Times New Roman" w:eastAsia="宋体" w:cs="Times New Roman"/>
                <w:color w:val="auto"/>
                <w:position w:val="2"/>
                <w:sz w:val="21"/>
                <w:szCs w:val="21"/>
              </w:rPr>
              <w:t>——i</w:t>
            </w:r>
            <w:r>
              <w:rPr>
                <w:rFonts w:hint="default" w:ascii="Times New Roman" w:hAnsi="Times New Roman" w:eastAsia="宋体" w:cs="Times New Roman"/>
                <w:color w:val="auto"/>
                <w:spacing w:val="-1"/>
                <w:position w:val="2"/>
                <w:sz w:val="21"/>
                <w:szCs w:val="21"/>
              </w:rPr>
              <w:t>燃料燃烧消耗量</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0"/>
                <w:position w:val="2"/>
                <w:sz w:val="21"/>
                <w:szCs w:val="21"/>
              </w:rPr>
              <w:t>或</w:t>
            </w:r>
            <w:r>
              <w:rPr>
                <w:rFonts w:hint="default" w:ascii="Times New Roman" w:hAnsi="Times New Roman" w:eastAsia="宋体" w:cs="Times New Roman"/>
                <w:color w:val="auto"/>
                <w:position w:val="2"/>
                <w:sz w:val="21"/>
                <w:szCs w:val="21"/>
              </w:rPr>
              <w:t>kNm</w:t>
            </w:r>
            <w:r>
              <w:rPr>
                <w:rFonts w:hint="default" w:ascii="Times New Roman" w:hAnsi="Times New Roman" w:eastAsia="宋体" w:cs="Times New Roman"/>
                <w:color w:val="auto"/>
                <w:spacing w:val="1"/>
                <w:position w:val="2"/>
                <w:sz w:val="21"/>
                <w:szCs w:val="21"/>
                <w:vertAlign w:val="superscript"/>
              </w:rPr>
              <w:t>3</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14C5F8F1">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E</w:t>
            </w:r>
            <w:r>
              <w:rPr>
                <w:rFonts w:hint="default" w:ascii="Times New Roman" w:hAnsi="Times New Roman" w:eastAsia="宋体" w:cs="Times New Roman"/>
                <w:color w:val="auto"/>
                <w:spacing w:val="-2"/>
                <w:position w:val="2"/>
                <w:sz w:val="21"/>
                <w:szCs w:val="21"/>
              </w:rPr>
              <w:t>F</w:t>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pacing w:val="-1"/>
                <w:sz w:val="21"/>
                <w:szCs w:val="21"/>
                <w:vertAlign w:val="subscript"/>
              </w:rPr>
              <w:t>燃料</w:t>
            </w:r>
            <w:r>
              <w:rPr>
                <w:rFonts w:hint="default" w:ascii="Times New Roman" w:hAnsi="Times New Roman" w:eastAsia="宋体" w:cs="Times New Roman"/>
                <w:color w:val="auto"/>
                <w:position w:val="2"/>
                <w:sz w:val="21"/>
                <w:szCs w:val="21"/>
              </w:rPr>
              <w:t>——i燃料燃烧二氧化碳排放因子（tC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2"/>
                <w:sz w:val="21"/>
                <w:szCs w:val="21"/>
                <w:vertAlign w:val="subscript"/>
              </w:rPr>
              <w:t>2e</w:t>
            </w:r>
            <w:r>
              <w:rPr>
                <w:rFonts w:hint="default" w:ascii="Times New Roman" w:hAnsi="Times New Roman" w:eastAsia="宋体" w:cs="Times New Roman"/>
                <w:color w:val="auto"/>
                <w:position w:val="2"/>
                <w:sz w:val="21"/>
                <w:szCs w:val="21"/>
              </w:rPr>
              <w:t>/kg</w:t>
            </w:r>
            <w:r>
              <w:rPr>
                <w:rFonts w:hint="default" w:ascii="Times New Roman" w:hAnsi="Times New Roman" w:eastAsia="宋体" w:cs="Times New Roman"/>
                <w:color w:val="auto"/>
                <w:spacing w:val="-30"/>
                <w:position w:val="2"/>
                <w:sz w:val="21"/>
                <w:szCs w:val="21"/>
              </w:rPr>
              <w:t>或</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position w:val="2"/>
                <w:sz w:val="21"/>
                <w:szCs w:val="21"/>
              </w:rPr>
              <w:t>/kNm</w:t>
            </w:r>
            <w:r>
              <w:rPr>
                <w:rFonts w:hint="default" w:ascii="Times New Roman" w:hAnsi="Times New Roman" w:eastAsia="宋体" w:cs="Times New Roman"/>
                <w:color w:val="auto"/>
                <w:spacing w:val="1"/>
                <w:position w:val="2"/>
                <w:sz w:val="21"/>
                <w:szCs w:val="21"/>
                <w:vertAlign w:val="superscript"/>
              </w:rPr>
              <w:t>3</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5D7C3F83">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eastAsia" w:ascii="Times New Roman" w:hAnsi="Times New Roman" w:eastAsia="宋体" w:cs="Times New Roman"/>
                <w:color w:val="auto"/>
                <w:position w:val="2"/>
                <w:sz w:val="21"/>
                <w:szCs w:val="21"/>
                <w:lang w:eastAsia="zh-CN"/>
              </w:rPr>
            </w:pPr>
            <w:r>
              <w:rPr>
                <w:rFonts w:hint="default" w:ascii="Times New Roman" w:hAnsi="Times New Roman" w:eastAsia="宋体" w:cs="Times New Roman"/>
                <w:color w:val="auto"/>
                <w:spacing w:val="-1"/>
                <w:position w:val="2"/>
                <w:sz w:val="21"/>
                <w:szCs w:val="21"/>
              </w:rPr>
              <w:t>E</w:t>
            </w:r>
            <w:r>
              <w:rPr>
                <w:rFonts w:hint="default" w:ascii="Times New Roman" w:hAnsi="Times New Roman" w:eastAsia="宋体" w:cs="Times New Roman"/>
                <w:color w:val="auto"/>
                <w:spacing w:val="-2"/>
                <w:position w:val="2"/>
                <w:sz w:val="21"/>
                <w:szCs w:val="21"/>
              </w:rPr>
              <w:t>F</w:t>
            </w:r>
            <w:r>
              <w:rPr>
                <w:rFonts w:hint="default" w:ascii="Times New Roman" w:hAnsi="Times New Roman" w:eastAsia="宋体" w:cs="Times New Roman"/>
                <w:color w:val="auto"/>
                <w:spacing w:val="-1"/>
                <w:position w:val="2"/>
                <w:sz w:val="21"/>
                <w:szCs w:val="21"/>
              </w:rPr>
              <w:t>＇</w:t>
            </w:r>
            <w:r>
              <w:rPr>
                <w:rFonts w:hint="default" w:ascii="Times New Roman" w:hAnsi="Times New Roman" w:eastAsia="宋体" w:cs="Times New Roman"/>
                <w:color w:val="auto"/>
                <w:sz w:val="21"/>
                <w:szCs w:val="21"/>
                <w:vertAlign w:val="subscript"/>
              </w:rPr>
              <w:t>i燃料</w:t>
            </w:r>
            <w:r>
              <w:rPr>
                <w:rFonts w:hint="default" w:ascii="Times New Roman" w:hAnsi="Times New Roman" w:eastAsia="宋体" w:cs="Times New Roman"/>
                <w:color w:val="auto"/>
                <w:position w:val="2"/>
                <w:sz w:val="21"/>
                <w:szCs w:val="21"/>
              </w:rPr>
              <w:t>——i燃料燃烧氧化亚氮排放因子</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position w:val="2"/>
                <w:sz w:val="21"/>
                <w:szCs w:val="21"/>
              </w:rPr>
              <w:t>/kg</w:t>
            </w:r>
            <w:r>
              <w:rPr>
                <w:rFonts w:hint="default" w:ascii="Times New Roman" w:hAnsi="Times New Roman" w:eastAsia="宋体" w:cs="Times New Roman"/>
                <w:color w:val="auto"/>
                <w:spacing w:val="-30"/>
                <w:position w:val="2"/>
                <w:sz w:val="21"/>
                <w:szCs w:val="21"/>
              </w:rPr>
              <w:t>或</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position w:val="2"/>
                <w:sz w:val="21"/>
                <w:szCs w:val="21"/>
              </w:rPr>
              <w:t>/kNm</w:t>
            </w:r>
            <w:r>
              <w:rPr>
                <w:rFonts w:hint="default" w:ascii="Times New Roman" w:hAnsi="Times New Roman" w:eastAsia="宋体" w:cs="Times New Roman"/>
                <w:color w:val="auto"/>
                <w:spacing w:val="1"/>
                <w:position w:val="2"/>
                <w:sz w:val="21"/>
                <w:szCs w:val="21"/>
                <w:vertAlign w:val="superscript"/>
              </w:rPr>
              <w:t>3</w:t>
            </w:r>
            <w:r>
              <w:rPr>
                <w:rFonts w:hint="eastAsia" w:cs="Times New Roman"/>
                <w:color w:val="auto"/>
                <w:position w:val="2"/>
                <w:sz w:val="21"/>
                <w:szCs w:val="21"/>
                <w:lang w:eastAsia="zh-CN"/>
              </w:rPr>
              <w:t>）</w:t>
            </w:r>
          </w:p>
          <w:p w14:paraId="67CC28A7">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position w:val="2"/>
                <w:sz w:val="21"/>
                <w:szCs w:val="21"/>
              </w:rPr>
              <w:t>G</w:t>
            </w:r>
            <w:r>
              <w:rPr>
                <w:rFonts w:hint="default" w:ascii="Times New Roman" w:hAnsi="Times New Roman" w:eastAsia="宋体" w:cs="Times New Roman"/>
                <w:color w:val="auto"/>
                <w:spacing w:val="1"/>
                <w:position w:val="2"/>
                <w:sz w:val="21"/>
                <w:szCs w:val="21"/>
              </w:rPr>
              <w:t>W</w:t>
            </w:r>
            <w:r>
              <w:rPr>
                <w:rFonts w:hint="default" w:ascii="Times New Roman" w:hAnsi="Times New Roman" w:eastAsia="宋体" w:cs="Times New Roman"/>
                <w:color w:val="auto"/>
                <w:position w:val="2"/>
                <w:sz w:val="21"/>
                <w:szCs w:val="21"/>
              </w:rPr>
              <w:t>P</w:t>
            </w:r>
            <w:r>
              <w:rPr>
                <w:rFonts w:hint="default" w:ascii="Times New Roman" w:hAnsi="Times New Roman" w:eastAsia="宋体" w:cs="Times New Roman"/>
                <w:color w:val="auto"/>
                <w:spacing w:val="-1"/>
                <w:sz w:val="21"/>
                <w:szCs w:val="21"/>
                <w:vertAlign w:val="subscript"/>
              </w:rPr>
              <w:t>N</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1"/>
                <w:sz w:val="21"/>
                <w:szCs w:val="21"/>
                <w:vertAlign w:val="subscript"/>
              </w:rPr>
              <w:t>O</w:t>
            </w:r>
            <w:r>
              <w:rPr>
                <w:rFonts w:hint="default" w:ascii="Times New Roman" w:hAnsi="Times New Roman" w:eastAsia="宋体" w:cs="Times New Roman"/>
                <w:color w:val="auto"/>
                <w:position w:val="2"/>
                <w:sz w:val="21"/>
                <w:szCs w:val="21"/>
              </w:rPr>
              <w:t>——i</w:t>
            </w:r>
            <w:r>
              <w:rPr>
                <w:rFonts w:hint="default" w:ascii="Times New Roman" w:hAnsi="Times New Roman" w:eastAsia="宋体" w:cs="Times New Roman"/>
                <w:color w:val="auto"/>
                <w:spacing w:val="-1"/>
                <w:position w:val="2"/>
                <w:sz w:val="21"/>
                <w:szCs w:val="21"/>
              </w:rPr>
              <w:t>燃料燃烧二氧化碳排放因子</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position w:val="2"/>
                <w:sz w:val="21"/>
                <w:szCs w:val="21"/>
              </w:rPr>
              <w:t>/kg</w:t>
            </w:r>
            <w:r>
              <w:rPr>
                <w:rFonts w:hint="default" w:ascii="Times New Roman" w:hAnsi="Times New Roman" w:eastAsia="宋体" w:cs="Times New Roman"/>
                <w:color w:val="auto"/>
                <w:spacing w:val="-30"/>
                <w:position w:val="2"/>
                <w:sz w:val="21"/>
                <w:szCs w:val="21"/>
              </w:rPr>
              <w:t>或</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position w:val="2"/>
                <w:sz w:val="21"/>
                <w:szCs w:val="21"/>
              </w:rPr>
              <w:t>/kNm</w:t>
            </w:r>
            <w:r>
              <w:rPr>
                <w:rFonts w:hint="default" w:ascii="Times New Roman" w:hAnsi="Times New Roman" w:eastAsia="宋体" w:cs="Times New Roman"/>
                <w:color w:val="auto"/>
                <w:spacing w:val="1"/>
                <w:position w:val="2"/>
                <w:sz w:val="21"/>
                <w:szCs w:val="21"/>
                <w:vertAlign w:val="superscript"/>
              </w:rPr>
              <w:t>3</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EF</w:t>
            </w:r>
            <w:r>
              <w:rPr>
                <w:rFonts w:hint="default" w:ascii="Times New Roman" w:hAnsi="Times New Roman" w:eastAsia="宋体" w:cs="Times New Roman"/>
                <w:color w:val="auto"/>
                <w:sz w:val="21"/>
                <w:szCs w:val="21"/>
                <w:vertAlign w:val="subscript"/>
              </w:rPr>
              <w:t>i</w:t>
            </w:r>
            <w:r>
              <w:rPr>
                <w:rFonts w:hint="eastAsia" w:ascii="Times New Roman" w:hAnsi="Times New Roman" w:eastAsia="宋体" w:cs="Times New Roman"/>
                <w:color w:val="auto"/>
                <w:sz w:val="21"/>
                <w:szCs w:val="21"/>
                <w:vertAlign w:val="subscript"/>
                <w:lang w:val="en-US" w:eastAsia="zh-CN"/>
              </w:rPr>
              <w:t>燃料</w:t>
            </w:r>
            <w:r>
              <w:rPr>
                <w:rFonts w:hint="default" w:ascii="Times New Roman" w:hAnsi="Times New Roman" w:eastAsia="宋体" w:cs="Times New Roman"/>
                <w:color w:val="auto"/>
                <w:position w:val="2"/>
                <w:sz w:val="21"/>
                <w:szCs w:val="21"/>
              </w:rPr>
              <w:t>——氧化亚氮全球变暖潜势值。</w:t>
            </w:r>
          </w:p>
          <w:p w14:paraId="6F24AB10">
            <w:pPr>
              <w:pStyle w:val="2"/>
              <w:keepNext w:val="0"/>
              <w:keepLines w:val="0"/>
              <w:pageBreakBefore w:val="0"/>
              <w:widowControl w:val="0"/>
              <w:kinsoku/>
              <w:wordWrap/>
              <w:overflowPunct/>
              <w:topLinePunct w:val="0"/>
              <w:autoSpaceDE/>
              <w:autoSpaceDN/>
              <w:bidi w:val="0"/>
              <w:spacing w:after="0" w:line="360" w:lineRule="auto"/>
              <w:ind w:firstLine="412" w:firstLineChars="20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position w:val="2"/>
                <w:sz w:val="21"/>
                <w:szCs w:val="21"/>
              </w:rPr>
              <w:t>建设项目用于电力生产之外的其他工业生产的燃料燃烧产生的排放量</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工燃</w:t>
            </w:r>
            <w:r>
              <w:rPr>
                <w:rFonts w:hint="default" w:ascii="Times New Roman" w:hAnsi="Times New Roman" w:eastAsia="宋体" w:cs="Times New Roman"/>
                <w:color w:val="auto"/>
                <w:spacing w:val="-48"/>
                <w:position w:val="2"/>
                <w:sz w:val="21"/>
                <w:szCs w:val="21"/>
              </w:rPr>
              <w:t>）</w:t>
            </w:r>
            <w:r>
              <w:rPr>
                <w:rFonts w:hint="default" w:ascii="Times New Roman" w:hAnsi="Times New Roman" w:eastAsia="宋体" w:cs="Times New Roman"/>
                <w:color w:val="auto"/>
                <w:spacing w:val="-3"/>
                <w:position w:val="2"/>
                <w:sz w:val="21"/>
                <w:szCs w:val="21"/>
              </w:rPr>
              <w:t>计算方法见</w:t>
            </w:r>
            <w:r>
              <w:rPr>
                <w:rFonts w:hint="default" w:ascii="Times New Roman" w:hAnsi="Times New Roman" w:eastAsia="宋体" w:cs="Times New Roman"/>
                <w:color w:val="auto"/>
                <w:sz w:val="21"/>
                <w:szCs w:val="21"/>
              </w:rPr>
              <w:t>公式</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4</w:t>
            </w:r>
            <w:r>
              <w:rPr>
                <w:rFonts w:hint="eastAsia" w:cs="Times New Roman"/>
                <w:color w:val="auto"/>
                <w:sz w:val="21"/>
                <w:szCs w:val="21"/>
                <w:lang w:eastAsia="zh-CN"/>
              </w:rPr>
              <w:t>）</w:t>
            </w:r>
          </w:p>
          <w:p w14:paraId="094EA590">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工燃</w:t>
            </w:r>
            <w:r>
              <w:rPr>
                <w:rFonts w:hint="default" w:ascii="Times New Roman" w:hAnsi="Times New Roman" w:eastAsia="宋体" w:cs="Times New Roman"/>
                <w:color w:val="auto"/>
                <w:position w:val="2"/>
                <w:sz w:val="21"/>
                <w:szCs w:val="21"/>
              </w:rPr>
              <w:t>=∑</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AD</w:t>
            </w:r>
            <w:r>
              <w:rPr>
                <w:rFonts w:hint="default" w:ascii="Times New Roman" w:hAnsi="Times New Roman" w:eastAsia="宋体" w:cs="Times New Roman"/>
                <w:color w:val="auto"/>
                <w:sz w:val="21"/>
                <w:szCs w:val="21"/>
                <w:vertAlign w:val="subscript"/>
              </w:rPr>
              <w:t>i燃料</w:t>
            </w:r>
            <w:r>
              <w:rPr>
                <w:rFonts w:hint="default" w:ascii="Times New Roman" w:hAnsi="Times New Roman" w:eastAsia="宋体" w:cs="Times New Roman"/>
                <w:color w:val="auto"/>
                <w:position w:val="2"/>
                <w:sz w:val="21"/>
                <w:szCs w:val="21"/>
              </w:rPr>
              <w:t>*EF</w:t>
            </w:r>
            <w:r>
              <w:rPr>
                <w:rFonts w:hint="default" w:ascii="Times New Roman" w:hAnsi="Times New Roman" w:eastAsia="宋体" w:cs="Times New Roman"/>
                <w:color w:val="auto"/>
                <w:sz w:val="21"/>
                <w:szCs w:val="21"/>
                <w:vertAlign w:val="subscript"/>
              </w:rPr>
              <w:t>i燃料</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（4）</w:t>
            </w:r>
          </w:p>
          <w:p w14:paraId="3824459E">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3979780E">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i——燃料种类；</w:t>
            </w:r>
          </w:p>
          <w:p w14:paraId="73D5F263">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position w:val="2"/>
                <w:sz w:val="21"/>
                <w:szCs w:val="21"/>
              </w:rPr>
              <w:t>AD</w:t>
            </w:r>
            <w:r>
              <w:rPr>
                <w:rFonts w:hint="default" w:ascii="Times New Roman" w:hAnsi="Times New Roman" w:eastAsia="宋体" w:cs="Times New Roman"/>
                <w:color w:val="auto"/>
                <w:sz w:val="21"/>
                <w:szCs w:val="21"/>
                <w:vertAlign w:val="subscript"/>
              </w:rPr>
              <w:t>i</w:t>
            </w:r>
            <w:r>
              <w:rPr>
                <w:rFonts w:hint="default" w:ascii="Times New Roman" w:hAnsi="Times New Roman" w:eastAsia="宋体" w:cs="Times New Roman"/>
                <w:color w:val="auto"/>
                <w:spacing w:val="-1"/>
                <w:sz w:val="21"/>
                <w:szCs w:val="21"/>
                <w:vertAlign w:val="subscript"/>
              </w:rPr>
              <w:t>燃料</w:t>
            </w:r>
            <w:r>
              <w:rPr>
                <w:rFonts w:hint="default" w:ascii="Times New Roman" w:hAnsi="Times New Roman" w:eastAsia="宋体" w:cs="Times New Roman"/>
                <w:color w:val="auto"/>
                <w:position w:val="2"/>
                <w:sz w:val="21"/>
                <w:szCs w:val="21"/>
              </w:rPr>
              <w:t>——i</w:t>
            </w:r>
            <w:r>
              <w:rPr>
                <w:rFonts w:hint="default" w:ascii="Times New Roman" w:hAnsi="Times New Roman" w:eastAsia="宋体" w:cs="Times New Roman"/>
                <w:color w:val="auto"/>
                <w:spacing w:val="-1"/>
                <w:position w:val="2"/>
                <w:sz w:val="21"/>
                <w:szCs w:val="21"/>
              </w:rPr>
              <w:t>燃料燃烧消耗量</w:t>
            </w:r>
            <w:r>
              <w:rPr>
                <w:rFonts w:hint="eastAsia" w:cs="Times New Roman"/>
                <w:color w:val="auto"/>
                <w:spacing w:val="-1"/>
                <w:position w:val="2"/>
                <w:sz w:val="21"/>
                <w:szCs w:val="21"/>
                <w:lang w:eastAsia="zh-CN"/>
              </w:rPr>
              <w:t>（</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0"/>
                <w:position w:val="2"/>
                <w:sz w:val="21"/>
                <w:szCs w:val="21"/>
              </w:rPr>
              <w:t>或</w:t>
            </w:r>
            <w:r>
              <w:rPr>
                <w:rFonts w:hint="default" w:ascii="Times New Roman" w:hAnsi="Times New Roman" w:eastAsia="宋体" w:cs="Times New Roman"/>
                <w:color w:val="auto"/>
                <w:position w:val="2"/>
                <w:sz w:val="21"/>
                <w:szCs w:val="21"/>
              </w:rPr>
              <w:t>kNm</w:t>
            </w:r>
            <w:r>
              <w:rPr>
                <w:rFonts w:hint="default" w:ascii="Times New Roman" w:hAnsi="Times New Roman" w:eastAsia="宋体" w:cs="Times New Roman"/>
                <w:color w:val="auto"/>
                <w:spacing w:val="1"/>
                <w:position w:val="2"/>
                <w:sz w:val="21"/>
                <w:szCs w:val="21"/>
                <w:vertAlign w:val="superscript"/>
              </w:rPr>
              <w:t>3</w:t>
            </w:r>
            <w:r>
              <w:rPr>
                <w:rFonts w:hint="default" w:ascii="Times New Roman" w:hAnsi="Times New Roman" w:eastAsia="宋体" w:cs="Times New Roman"/>
                <w:color w:val="auto"/>
                <w:spacing w:val="-120"/>
                <w:position w:val="2"/>
                <w:sz w:val="21"/>
                <w:szCs w:val="21"/>
              </w:rPr>
              <w:t>）</w:t>
            </w:r>
            <w:r>
              <w:rPr>
                <w:rFonts w:hint="eastAsia" w:cs="Times New Roman"/>
                <w:color w:val="auto"/>
                <w:spacing w:val="-1"/>
                <w:position w:val="2"/>
                <w:sz w:val="21"/>
                <w:szCs w:val="21"/>
                <w:lang w:eastAsia="zh-CN"/>
              </w:rPr>
              <w:t>），</w:t>
            </w:r>
            <w:r>
              <w:rPr>
                <w:rFonts w:hint="eastAsia" w:cs="Times New Roman"/>
                <w:color w:val="auto"/>
                <w:spacing w:val="-1"/>
                <w:position w:val="2"/>
                <w:sz w:val="21"/>
                <w:szCs w:val="21"/>
                <w:lang w:val="en-US" w:eastAsia="zh-CN"/>
              </w:rPr>
              <w:t>0</w:t>
            </w:r>
            <w:r>
              <w:rPr>
                <w:rFonts w:hint="default" w:ascii="Times New Roman" w:hAnsi="Times New Roman" w:eastAsia="宋体" w:cs="Times New Roman"/>
                <w:color w:val="auto"/>
                <w:position w:val="2"/>
                <w:sz w:val="21"/>
                <w:szCs w:val="21"/>
              </w:rPr>
              <w:t>kNm</w:t>
            </w:r>
            <w:r>
              <w:rPr>
                <w:rFonts w:hint="default" w:ascii="Times New Roman" w:hAnsi="Times New Roman" w:eastAsia="宋体" w:cs="Times New Roman"/>
                <w:color w:val="auto"/>
                <w:spacing w:val="1"/>
                <w:position w:val="2"/>
                <w:sz w:val="21"/>
                <w:szCs w:val="21"/>
                <w:vertAlign w:val="superscript"/>
              </w:rPr>
              <w:t>3</w:t>
            </w:r>
          </w:p>
          <w:p w14:paraId="64FD52FC">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default" w:ascii="Times New Roman" w:hAnsi="Times New Roman" w:eastAsia="宋体" w:cs="Times New Roman"/>
                <w:color w:val="auto"/>
                <w:position w:val="2"/>
                <w:sz w:val="21"/>
                <w:szCs w:val="21"/>
                <w:lang w:val="en-US" w:eastAsia="zh-CN"/>
              </w:rPr>
            </w:pPr>
            <w:r>
              <w:rPr>
                <w:rFonts w:hint="default" w:ascii="Times New Roman" w:hAnsi="Times New Roman" w:eastAsia="宋体" w:cs="Times New Roman"/>
                <w:color w:val="auto"/>
                <w:spacing w:val="-1"/>
                <w:position w:val="2"/>
                <w:sz w:val="21"/>
                <w:szCs w:val="21"/>
              </w:rPr>
              <w:t>E</w:t>
            </w:r>
            <w:r>
              <w:rPr>
                <w:rFonts w:hint="default" w:ascii="Times New Roman" w:hAnsi="Times New Roman" w:eastAsia="宋体" w:cs="Times New Roman"/>
                <w:color w:val="auto"/>
                <w:spacing w:val="-2"/>
                <w:position w:val="2"/>
                <w:sz w:val="21"/>
                <w:szCs w:val="21"/>
              </w:rPr>
              <w:t>F</w:t>
            </w:r>
            <w:r>
              <w:rPr>
                <w:rFonts w:hint="default" w:ascii="Times New Roman" w:hAnsi="Times New Roman" w:eastAsia="宋体" w:cs="Times New Roman"/>
                <w:color w:val="auto"/>
                <w:sz w:val="21"/>
                <w:szCs w:val="21"/>
                <w:vertAlign w:val="subscript"/>
              </w:rPr>
              <w:t>i</w:t>
            </w:r>
            <w:r>
              <w:rPr>
                <w:rFonts w:hint="default" w:ascii="Times New Roman" w:hAnsi="Times New Roman" w:eastAsia="宋体" w:cs="Times New Roman"/>
                <w:color w:val="auto"/>
                <w:spacing w:val="-1"/>
                <w:sz w:val="21"/>
                <w:szCs w:val="21"/>
                <w:vertAlign w:val="subscript"/>
              </w:rPr>
              <w:t>燃料</w:t>
            </w:r>
            <w:r>
              <w:rPr>
                <w:rFonts w:hint="default" w:ascii="Times New Roman" w:hAnsi="Times New Roman" w:eastAsia="宋体" w:cs="Times New Roman"/>
                <w:color w:val="auto"/>
                <w:position w:val="2"/>
                <w:sz w:val="21"/>
                <w:szCs w:val="21"/>
              </w:rPr>
              <w:t>——i燃料燃烧二氧化碳排放因子</w:t>
            </w:r>
            <w:r>
              <w:rPr>
                <w:rFonts w:hint="eastAsia" w:cs="Times New Roman"/>
                <w:color w:val="auto"/>
                <w:position w:val="2"/>
                <w:sz w:val="21"/>
                <w:szCs w:val="21"/>
                <w:lang w:eastAsia="zh-CN"/>
              </w:rPr>
              <w:t>（</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2"/>
                <w:sz w:val="21"/>
                <w:szCs w:val="21"/>
                <w:vertAlign w:val="subscript"/>
              </w:rPr>
              <w:t>2e</w:t>
            </w:r>
            <w:r>
              <w:rPr>
                <w:rFonts w:hint="default" w:ascii="Times New Roman" w:hAnsi="Times New Roman" w:eastAsia="宋体" w:cs="Times New Roman"/>
                <w:color w:val="auto"/>
                <w:position w:val="2"/>
                <w:sz w:val="21"/>
                <w:szCs w:val="21"/>
              </w:rPr>
              <w:t>/kg</w:t>
            </w:r>
            <w:r>
              <w:rPr>
                <w:rFonts w:hint="default" w:ascii="Times New Roman" w:hAnsi="Times New Roman" w:eastAsia="宋体" w:cs="Times New Roman"/>
                <w:color w:val="auto"/>
                <w:spacing w:val="-30"/>
                <w:position w:val="2"/>
                <w:sz w:val="21"/>
                <w:szCs w:val="21"/>
              </w:rPr>
              <w:t>或</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position w:val="2"/>
                <w:sz w:val="21"/>
                <w:szCs w:val="21"/>
              </w:rPr>
              <w:t>/kNm</w:t>
            </w:r>
            <w:r>
              <w:rPr>
                <w:rFonts w:hint="default" w:ascii="Times New Roman" w:hAnsi="Times New Roman" w:eastAsia="宋体" w:cs="Times New Roman"/>
                <w:color w:val="auto"/>
                <w:spacing w:val="1"/>
                <w:position w:val="2"/>
                <w:sz w:val="21"/>
                <w:szCs w:val="21"/>
                <w:vertAlign w:val="superscript"/>
              </w:rPr>
              <w:t>3</w:t>
            </w:r>
            <w:r>
              <w:rPr>
                <w:rFonts w:hint="eastAsia" w:cs="Times New Roman"/>
                <w:color w:val="auto"/>
                <w:position w:val="2"/>
                <w:sz w:val="21"/>
                <w:szCs w:val="21"/>
                <w:lang w:eastAsia="zh-CN"/>
              </w:rPr>
              <w:t>），</w:t>
            </w:r>
            <w:r>
              <w:rPr>
                <w:rFonts w:hint="eastAsia" w:cs="Times New Roman"/>
                <w:color w:val="auto"/>
                <w:position w:val="2"/>
                <w:sz w:val="21"/>
                <w:szCs w:val="21"/>
                <w:lang w:val="en-US" w:eastAsia="zh-CN"/>
              </w:rPr>
              <w:t>0</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pacing w:val="-2"/>
                <w:sz w:val="21"/>
                <w:szCs w:val="21"/>
                <w:vertAlign w:val="subscript"/>
              </w:rPr>
              <w:t>e</w:t>
            </w:r>
            <w:r>
              <w:rPr>
                <w:rFonts w:hint="default" w:ascii="Times New Roman" w:hAnsi="Times New Roman" w:eastAsia="宋体" w:cs="Times New Roman"/>
                <w:color w:val="auto"/>
                <w:position w:val="2"/>
                <w:sz w:val="21"/>
                <w:szCs w:val="21"/>
              </w:rPr>
              <w:t>/kNm</w:t>
            </w:r>
            <w:r>
              <w:rPr>
                <w:rFonts w:hint="default" w:ascii="Times New Roman" w:hAnsi="Times New Roman" w:eastAsia="宋体" w:cs="Times New Roman"/>
                <w:color w:val="auto"/>
                <w:spacing w:val="1"/>
                <w:position w:val="2"/>
                <w:sz w:val="21"/>
                <w:szCs w:val="21"/>
                <w:vertAlign w:val="superscript"/>
              </w:rPr>
              <w:t>3</w:t>
            </w:r>
          </w:p>
          <w:p w14:paraId="2BD6D2D4">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pacing w:val="-1"/>
                <w:position w:val="2"/>
                <w:sz w:val="21"/>
                <w:szCs w:val="21"/>
                <w:lang w:val="en-US" w:eastAsia="zh-CN"/>
              </w:rPr>
            </w:pP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工燃</w:t>
            </w:r>
            <w:r>
              <w:rPr>
                <w:rFonts w:hint="default" w:ascii="Times New Roman" w:hAnsi="Times New Roman" w:eastAsia="宋体" w:cs="Times New Roman"/>
                <w:color w:val="auto"/>
                <w:position w:val="2"/>
                <w:sz w:val="21"/>
                <w:szCs w:val="21"/>
              </w:rPr>
              <w:t>=∑（AD</w:t>
            </w:r>
            <w:r>
              <w:rPr>
                <w:rFonts w:hint="default" w:ascii="Times New Roman" w:hAnsi="Times New Roman" w:eastAsia="宋体" w:cs="Times New Roman"/>
                <w:color w:val="auto"/>
                <w:sz w:val="21"/>
                <w:szCs w:val="21"/>
                <w:vertAlign w:val="subscript"/>
              </w:rPr>
              <w:t>i燃料</w:t>
            </w:r>
            <w:r>
              <w:rPr>
                <w:rFonts w:hint="default" w:ascii="Times New Roman" w:hAnsi="Times New Roman" w:eastAsia="宋体" w:cs="Times New Roman"/>
                <w:color w:val="auto"/>
                <w:position w:val="2"/>
                <w:sz w:val="21"/>
                <w:szCs w:val="21"/>
              </w:rPr>
              <w:t>*EF</w:t>
            </w:r>
            <w:r>
              <w:rPr>
                <w:rFonts w:hint="default" w:ascii="Times New Roman" w:hAnsi="Times New Roman" w:eastAsia="宋体" w:cs="Times New Roman"/>
                <w:color w:val="auto"/>
                <w:sz w:val="21"/>
                <w:szCs w:val="21"/>
                <w:vertAlign w:val="subscript"/>
              </w:rPr>
              <w:t>i燃料</w:t>
            </w:r>
            <w:r>
              <w:rPr>
                <w:rFonts w:hint="default" w:ascii="Times New Roman" w:hAnsi="Times New Roman" w:eastAsia="宋体" w:cs="Times New Roman"/>
                <w:color w:val="auto"/>
                <w:position w:val="2"/>
                <w:sz w:val="21"/>
                <w:szCs w:val="21"/>
              </w:rPr>
              <w:t>）</w:t>
            </w:r>
            <w:r>
              <w:rPr>
                <w:rFonts w:hint="eastAsia" w:cs="Times New Roman"/>
                <w:color w:val="auto"/>
                <w:position w:val="2"/>
                <w:sz w:val="21"/>
                <w:szCs w:val="21"/>
                <w:lang w:val="en-US" w:eastAsia="zh-CN"/>
              </w:rPr>
              <w:t>=0</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2"/>
                <w:sz w:val="21"/>
                <w:szCs w:val="21"/>
                <w:vertAlign w:val="subscript"/>
              </w:rPr>
              <w:t>2e</w:t>
            </w:r>
          </w:p>
          <w:p w14:paraId="7C25C0AF">
            <w:pPr>
              <w:keepNext w:val="0"/>
              <w:keepLines w:val="0"/>
              <w:pageBreakBefore w:val="0"/>
              <w:widowControl w:val="0"/>
              <w:kinsoku/>
              <w:wordWrap/>
              <w:overflowPunct/>
              <w:topLinePunct w:val="0"/>
              <w:autoSpaceDE/>
              <w:autoSpaceDN/>
              <w:bidi w:val="0"/>
              <w:spacing w:line="360" w:lineRule="auto"/>
              <w:ind w:firstLine="416"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position w:val="2"/>
                <w:sz w:val="21"/>
                <w:szCs w:val="21"/>
              </w:rPr>
              <w:t>净调入电力和热力消耗碳排放总量</w:t>
            </w:r>
            <w:r>
              <w:rPr>
                <w:rFonts w:hint="default" w:ascii="Times New Roman" w:hAnsi="Times New Roman" w:eastAsia="宋体" w:cs="Times New Roman"/>
                <w:color w:val="auto"/>
                <w:position w:val="2"/>
                <w:sz w:val="21"/>
                <w:szCs w:val="21"/>
              </w:rPr>
              <w:t>（</w:t>
            </w: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z w:val="21"/>
                <w:szCs w:val="21"/>
              </w:rPr>
              <w:t>净调入电力和热力</w:t>
            </w:r>
            <w:r>
              <w:rPr>
                <w:rFonts w:hint="default" w:ascii="Times New Roman" w:hAnsi="Times New Roman" w:eastAsia="宋体" w:cs="Times New Roman"/>
                <w:color w:val="auto"/>
                <w:position w:val="2"/>
                <w:sz w:val="21"/>
                <w:szCs w:val="21"/>
              </w:rPr>
              <w:t>）计算方法见公式（5）</w:t>
            </w:r>
          </w:p>
          <w:p w14:paraId="63E095CA">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净调入电力和热力</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净调入电力</w:t>
            </w: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净调入热力</w:t>
            </w:r>
            <w:r>
              <w:rPr>
                <w:rFonts w:hint="default" w:ascii="Times New Roman" w:hAnsi="Times New Roman" w:eastAsia="宋体" w:cs="Times New Roman"/>
                <w:color w:val="auto"/>
                <w:position w:val="2"/>
                <w:sz w:val="21"/>
                <w:szCs w:val="21"/>
              </w:rPr>
              <w:t>（5）</w:t>
            </w:r>
          </w:p>
          <w:p w14:paraId="4C174574">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1437D6FA">
            <w:pPr>
              <w:keepNext w:val="0"/>
              <w:keepLines w:val="0"/>
              <w:pageBreakBefore w:val="0"/>
              <w:widowControl w:val="0"/>
              <w:kinsoku/>
              <w:wordWrap/>
              <w:overflowPunct/>
              <w:topLinePunct w:val="0"/>
              <w:autoSpaceDE/>
              <w:autoSpaceDN/>
              <w:bidi w:val="0"/>
              <w:spacing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pacing w:val="-1"/>
                <w:sz w:val="21"/>
                <w:szCs w:val="21"/>
                <w:vertAlign w:val="subscript"/>
              </w:rPr>
              <w:t>净调入电力</w:t>
            </w:r>
            <w:r>
              <w:rPr>
                <w:rFonts w:hint="default" w:ascii="Times New Roman" w:hAnsi="Times New Roman" w:eastAsia="宋体" w:cs="Times New Roman"/>
                <w:color w:val="auto"/>
                <w:position w:val="2"/>
                <w:sz w:val="21"/>
                <w:szCs w:val="21"/>
              </w:rPr>
              <w:t>——净调入电力消耗碳排放量（tC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2"/>
                <w:sz w:val="21"/>
                <w:szCs w:val="21"/>
                <w:vertAlign w:val="subscript"/>
              </w:rPr>
              <w:t>2e</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26C81309">
            <w:pPr>
              <w:keepNext w:val="0"/>
              <w:keepLines w:val="0"/>
              <w:pageBreakBefore w:val="0"/>
              <w:widowControl w:val="0"/>
              <w:kinsoku/>
              <w:wordWrap/>
              <w:overflowPunct/>
              <w:topLinePunct w:val="0"/>
              <w:autoSpaceDE/>
              <w:autoSpaceDN/>
              <w:bidi w:val="0"/>
              <w:spacing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pacing w:val="-1"/>
                <w:sz w:val="21"/>
                <w:szCs w:val="21"/>
                <w:vertAlign w:val="subscript"/>
              </w:rPr>
              <w:t>净调入热力</w:t>
            </w:r>
            <w:r>
              <w:rPr>
                <w:rFonts w:hint="default" w:ascii="Times New Roman" w:hAnsi="Times New Roman" w:eastAsia="宋体" w:cs="Times New Roman"/>
                <w:color w:val="auto"/>
                <w:position w:val="2"/>
                <w:sz w:val="21"/>
                <w:szCs w:val="21"/>
              </w:rPr>
              <w:t>——净调入热力消耗碳排放量（tC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2"/>
                <w:sz w:val="21"/>
                <w:szCs w:val="21"/>
                <w:vertAlign w:val="subscript"/>
              </w:rPr>
              <w:t>2e</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67B358AE">
            <w:pPr>
              <w:keepNext w:val="0"/>
              <w:keepLines w:val="0"/>
              <w:pageBreakBefore w:val="0"/>
              <w:widowControl w:val="0"/>
              <w:kinsoku/>
              <w:wordWrap/>
              <w:overflowPunct/>
              <w:topLinePunct w:val="0"/>
              <w:autoSpaceDE/>
              <w:autoSpaceDN/>
              <w:bidi w:val="0"/>
              <w:spacing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其中，净调入电力消耗碳排放量</w:t>
            </w:r>
            <w:r>
              <w:rPr>
                <w:rFonts w:hint="default" w:ascii="Times New Roman" w:hAnsi="Times New Roman" w:eastAsia="宋体" w:cs="Times New Roman"/>
                <w:color w:val="auto"/>
                <w:position w:val="2"/>
                <w:sz w:val="21"/>
                <w:szCs w:val="21"/>
              </w:rPr>
              <w:t>（</w:t>
            </w: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z w:val="21"/>
                <w:szCs w:val="21"/>
              </w:rPr>
              <w:t>净调入电力</w:t>
            </w:r>
            <w:r>
              <w:rPr>
                <w:rFonts w:hint="default" w:ascii="Times New Roman" w:hAnsi="Times New Roman" w:eastAsia="宋体" w:cs="Times New Roman"/>
                <w:color w:val="auto"/>
                <w:position w:val="2"/>
                <w:sz w:val="21"/>
                <w:szCs w:val="21"/>
              </w:rPr>
              <w:t>）计算方法见公式（6</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532A2FC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净调入电力</w:t>
            </w:r>
            <w:r>
              <w:rPr>
                <w:rFonts w:hint="default" w:ascii="Times New Roman" w:hAnsi="Times New Roman" w:eastAsia="宋体" w:cs="Times New Roman"/>
                <w:color w:val="auto"/>
                <w:position w:val="2"/>
                <w:sz w:val="21"/>
                <w:szCs w:val="21"/>
              </w:rPr>
              <w:t>=AD</w:t>
            </w:r>
            <w:r>
              <w:rPr>
                <w:rFonts w:hint="default" w:ascii="Times New Roman" w:hAnsi="Times New Roman" w:eastAsia="宋体" w:cs="Times New Roman"/>
                <w:color w:val="auto"/>
                <w:sz w:val="21"/>
                <w:szCs w:val="21"/>
                <w:vertAlign w:val="subscript"/>
              </w:rPr>
              <w:t>净调入电量</w:t>
            </w:r>
            <w:r>
              <w:rPr>
                <w:rFonts w:hint="default" w:ascii="Times New Roman" w:hAnsi="Times New Roman" w:eastAsia="宋体" w:cs="Times New Roman"/>
                <w:color w:val="auto"/>
                <w:position w:val="2"/>
                <w:sz w:val="21"/>
                <w:szCs w:val="21"/>
              </w:rPr>
              <w:t>*EF</w:t>
            </w:r>
            <w:r>
              <w:rPr>
                <w:rFonts w:hint="default" w:ascii="Times New Roman" w:hAnsi="Times New Roman" w:eastAsia="宋体" w:cs="Times New Roman"/>
                <w:color w:val="auto"/>
                <w:sz w:val="21"/>
                <w:szCs w:val="21"/>
                <w:vertAlign w:val="subscript"/>
              </w:rPr>
              <w:t>电力</w:t>
            </w:r>
            <w:r>
              <w:rPr>
                <w:rFonts w:hint="default" w:ascii="Times New Roman" w:hAnsi="Times New Roman" w:eastAsia="宋体" w:cs="Times New Roman"/>
                <w:color w:val="auto"/>
                <w:position w:val="2"/>
                <w:sz w:val="21"/>
                <w:szCs w:val="21"/>
              </w:rPr>
              <w:t>（6）</w:t>
            </w:r>
          </w:p>
          <w:p w14:paraId="3CF390AC">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378AF500">
            <w:pPr>
              <w:keepNext w:val="0"/>
              <w:keepLines w:val="0"/>
              <w:pageBreakBefore w:val="0"/>
              <w:widowControl w:val="0"/>
              <w:kinsoku/>
              <w:wordWrap/>
              <w:overflowPunct/>
              <w:topLinePunct w:val="0"/>
              <w:autoSpaceDE/>
              <w:autoSpaceDN/>
              <w:bidi w:val="0"/>
              <w:spacing w:line="360" w:lineRule="auto"/>
              <w:ind w:firstLine="416"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D</w:t>
            </w:r>
            <w:r>
              <w:rPr>
                <w:rFonts w:hint="default" w:ascii="Times New Roman" w:hAnsi="Times New Roman" w:eastAsia="宋体" w:cs="Times New Roman"/>
                <w:color w:val="auto"/>
                <w:spacing w:val="-1"/>
                <w:sz w:val="21"/>
                <w:szCs w:val="21"/>
                <w:vertAlign w:val="subscript"/>
              </w:rPr>
              <w:t>净调入电量</w:t>
            </w:r>
            <w:r>
              <w:rPr>
                <w:rFonts w:hint="default" w:ascii="Times New Roman" w:hAnsi="Times New Roman" w:eastAsia="宋体" w:cs="Times New Roman"/>
                <w:color w:val="auto"/>
                <w:position w:val="2"/>
                <w:sz w:val="21"/>
                <w:szCs w:val="21"/>
              </w:rPr>
              <w:t>——净调入电力消耗量（M</w:t>
            </w:r>
            <w:r>
              <w:rPr>
                <w:rFonts w:hint="default" w:ascii="Times New Roman" w:hAnsi="Times New Roman" w:eastAsia="宋体" w:cs="Times New Roman"/>
                <w:color w:val="auto"/>
                <w:spacing w:val="1"/>
                <w:position w:val="2"/>
                <w:sz w:val="21"/>
                <w:szCs w:val="21"/>
              </w:rPr>
              <w:t>W</w:t>
            </w: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pacing w:val="-120"/>
                <w:position w:val="2"/>
                <w:sz w:val="21"/>
                <w:szCs w:val="21"/>
              </w:rPr>
              <w:t>）</w:t>
            </w:r>
          </w:p>
          <w:p w14:paraId="7FF5EEB0">
            <w:pPr>
              <w:pStyle w:val="2"/>
              <w:keepNext w:val="0"/>
              <w:keepLines w:val="0"/>
              <w:pageBreakBefore w:val="0"/>
              <w:widowControl w:val="0"/>
              <w:kinsoku/>
              <w:wordWrap/>
              <w:overflowPunct/>
              <w:topLinePunct w:val="0"/>
              <w:autoSpaceDE/>
              <w:autoSpaceDN/>
              <w:bidi w:val="0"/>
              <w:spacing w:after="0" w:line="360" w:lineRule="auto"/>
              <w:ind w:firstLine="416" w:firstLineChars="200"/>
              <w:textAlignment w:val="auto"/>
              <w:rPr>
                <w:rFonts w:hint="eastAsia" w:ascii="Times New Roman" w:hAnsi="Times New Roman" w:eastAsia="宋体" w:cs="Times New Roman"/>
                <w:color w:val="auto"/>
                <w:position w:val="2"/>
                <w:sz w:val="21"/>
                <w:szCs w:val="21"/>
                <w:lang w:eastAsia="zh-CN"/>
              </w:rPr>
            </w:pPr>
            <w:r>
              <w:rPr>
                <w:rFonts w:hint="default" w:ascii="Times New Roman" w:hAnsi="Times New Roman" w:eastAsia="宋体" w:cs="Times New Roman"/>
                <w:color w:val="auto"/>
                <w:spacing w:val="-1"/>
                <w:position w:val="2"/>
                <w:sz w:val="21"/>
                <w:szCs w:val="21"/>
              </w:rPr>
              <w:t>E</w:t>
            </w:r>
            <w:r>
              <w:rPr>
                <w:rFonts w:hint="default" w:ascii="Times New Roman" w:hAnsi="Times New Roman" w:eastAsia="宋体" w:cs="Times New Roman"/>
                <w:color w:val="auto"/>
                <w:position w:val="2"/>
                <w:sz w:val="21"/>
                <w:szCs w:val="21"/>
              </w:rPr>
              <w:t>F</w:t>
            </w:r>
            <w:r>
              <w:rPr>
                <w:rFonts w:hint="default" w:ascii="Times New Roman" w:hAnsi="Times New Roman" w:eastAsia="宋体" w:cs="Times New Roman"/>
                <w:color w:val="auto"/>
                <w:spacing w:val="-1"/>
                <w:sz w:val="21"/>
                <w:szCs w:val="21"/>
                <w:vertAlign w:val="subscript"/>
              </w:rPr>
              <w:t>电力</w:t>
            </w:r>
            <w:r>
              <w:rPr>
                <w:rFonts w:hint="default" w:ascii="Times New Roman" w:hAnsi="Times New Roman" w:eastAsia="宋体" w:cs="Times New Roman"/>
                <w:color w:val="auto"/>
                <w:position w:val="2"/>
                <w:sz w:val="21"/>
                <w:szCs w:val="21"/>
              </w:rPr>
              <w:t>——电力排放因子（tC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z w:val="21"/>
                <w:szCs w:val="21"/>
                <w:vertAlign w:val="subscript"/>
              </w:rPr>
              <w:t>e</w:t>
            </w:r>
            <w:r>
              <w:rPr>
                <w:rFonts w:hint="default" w:ascii="Times New Roman" w:hAnsi="Times New Roman" w:eastAsia="宋体" w:cs="Times New Roman"/>
                <w:color w:val="auto"/>
                <w:position w:val="2"/>
                <w:sz w:val="21"/>
                <w:szCs w:val="21"/>
              </w:rPr>
              <w:t>/M</w:t>
            </w:r>
            <w:r>
              <w:rPr>
                <w:rFonts w:hint="default" w:ascii="Times New Roman" w:hAnsi="Times New Roman" w:eastAsia="宋体" w:cs="Times New Roman"/>
                <w:color w:val="auto"/>
                <w:spacing w:val="1"/>
                <w:position w:val="2"/>
                <w:sz w:val="21"/>
                <w:szCs w:val="21"/>
              </w:rPr>
              <w:t>W</w:t>
            </w: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r>
              <w:rPr>
                <w:rFonts w:hint="default" w:ascii="Times New Roman" w:hAnsi="Times New Roman" w:eastAsia="宋体" w:cs="Times New Roman"/>
                <w:color w:val="auto"/>
                <w:spacing w:val="-21"/>
                <w:position w:val="2"/>
                <w:sz w:val="21"/>
                <w:szCs w:val="21"/>
              </w:rPr>
              <w:t>为</w:t>
            </w:r>
            <w:r>
              <w:rPr>
                <w:rFonts w:hint="default" w:ascii="Times New Roman" w:hAnsi="Times New Roman" w:eastAsia="宋体" w:cs="Times New Roman"/>
                <w:color w:val="auto"/>
                <w:position w:val="2"/>
                <w:sz w:val="21"/>
                <w:szCs w:val="21"/>
              </w:rPr>
              <w:t>0.</w:t>
            </w:r>
            <w:r>
              <w:rPr>
                <w:rFonts w:hint="eastAsia" w:ascii="Times New Roman" w:hAnsi="Times New Roman" w:eastAsia="宋体" w:cs="Times New Roman"/>
                <w:color w:val="auto"/>
                <w:position w:val="2"/>
                <w:sz w:val="21"/>
                <w:szCs w:val="21"/>
                <w:lang w:val="en-US" w:eastAsia="zh-CN"/>
              </w:rPr>
              <w:t>5073</w:t>
            </w:r>
            <w:r>
              <w:rPr>
                <w:rFonts w:hint="default" w:ascii="Times New Roman" w:hAnsi="Times New Roman" w:eastAsia="宋体" w:cs="Times New Roman"/>
                <w:color w:val="auto"/>
                <w:position w:val="2"/>
                <w:sz w:val="21"/>
                <w:szCs w:val="21"/>
              </w:rPr>
              <w:t>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z w:val="21"/>
                <w:szCs w:val="21"/>
                <w:vertAlign w:val="subscript"/>
              </w:rPr>
              <w:t>e</w:t>
            </w:r>
            <w:r>
              <w:rPr>
                <w:rFonts w:hint="default" w:ascii="Times New Roman" w:hAnsi="Times New Roman" w:eastAsia="宋体" w:cs="Times New Roman"/>
                <w:color w:val="auto"/>
                <w:position w:val="2"/>
                <w:sz w:val="21"/>
                <w:szCs w:val="21"/>
              </w:rPr>
              <w:t>/M</w:t>
            </w:r>
            <w:r>
              <w:rPr>
                <w:rFonts w:hint="default" w:ascii="Times New Roman" w:hAnsi="Times New Roman" w:eastAsia="宋体" w:cs="Times New Roman"/>
                <w:color w:val="auto"/>
                <w:spacing w:val="1"/>
                <w:position w:val="2"/>
                <w:sz w:val="21"/>
                <w:szCs w:val="21"/>
              </w:rPr>
              <w:t>W</w:t>
            </w: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pacing w:val="-1"/>
                <w:position w:val="2"/>
                <w:sz w:val="21"/>
                <w:szCs w:val="21"/>
              </w:rPr>
              <w:t>其中，净调入热力消耗碳排放量</w:t>
            </w:r>
            <w:r>
              <w:rPr>
                <w:rFonts w:hint="default" w:ascii="Times New Roman" w:hAnsi="Times New Roman" w:eastAsia="宋体" w:cs="Times New Roman"/>
                <w:color w:val="auto"/>
                <w:position w:val="2"/>
                <w:sz w:val="21"/>
                <w:szCs w:val="21"/>
              </w:rPr>
              <w:t>（</w:t>
            </w: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E</w:t>
            </w:r>
            <w:r>
              <w:rPr>
                <w:rFonts w:hint="default" w:ascii="Times New Roman" w:hAnsi="Times New Roman" w:eastAsia="宋体" w:cs="Times New Roman"/>
                <w:color w:val="auto"/>
                <w:sz w:val="21"/>
                <w:szCs w:val="21"/>
                <w:vertAlign w:val="subscript"/>
              </w:rPr>
              <w:t>净调入热力</w:t>
            </w:r>
            <w:r>
              <w:rPr>
                <w:rFonts w:hint="default" w:ascii="Times New Roman" w:hAnsi="Times New Roman" w:eastAsia="宋体" w:cs="Times New Roman"/>
                <w:color w:val="auto"/>
                <w:position w:val="2"/>
                <w:sz w:val="21"/>
                <w:szCs w:val="21"/>
              </w:rPr>
              <w:t>）计算方法见公式</w:t>
            </w:r>
            <w:r>
              <w:rPr>
                <w:rFonts w:hint="eastAsia" w:cs="Times New Roman"/>
                <w:color w:val="auto"/>
                <w:position w:val="2"/>
                <w:sz w:val="21"/>
                <w:szCs w:val="21"/>
                <w:lang w:eastAsia="zh-CN"/>
              </w:rPr>
              <w:t>（</w:t>
            </w:r>
            <w:r>
              <w:rPr>
                <w:rFonts w:hint="eastAsia" w:cs="Times New Roman"/>
                <w:color w:val="auto"/>
                <w:position w:val="2"/>
                <w:sz w:val="21"/>
                <w:szCs w:val="21"/>
                <w:lang w:val="en-US" w:eastAsia="zh-CN"/>
              </w:rPr>
              <w:t>7</w:t>
            </w:r>
            <w:r>
              <w:rPr>
                <w:rFonts w:hint="eastAsia" w:cs="Times New Roman"/>
                <w:color w:val="auto"/>
                <w:position w:val="2"/>
                <w:sz w:val="21"/>
                <w:szCs w:val="21"/>
                <w:lang w:eastAsia="zh-CN"/>
              </w:rPr>
              <w:t>）</w:t>
            </w:r>
          </w:p>
          <w:p w14:paraId="2821D947">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AE</w:t>
            </w:r>
            <w:r>
              <w:rPr>
                <w:rFonts w:hint="default" w:ascii="Times New Roman" w:hAnsi="Times New Roman" w:eastAsia="宋体" w:cs="Times New Roman"/>
                <w:color w:val="auto"/>
                <w:sz w:val="21"/>
                <w:szCs w:val="21"/>
                <w:vertAlign w:val="subscript"/>
              </w:rPr>
              <w:t>净调入热力</w:t>
            </w:r>
            <w:r>
              <w:rPr>
                <w:rFonts w:hint="default" w:ascii="Times New Roman" w:hAnsi="Times New Roman" w:eastAsia="宋体" w:cs="Times New Roman"/>
                <w:color w:val="auto"/>
                <w:position w:val="2"/>
                <w:sz w:val="21"/>
                <w:szCs w:val="21"/>
              </w:rPr>
              <w:t>=AD</w:t>
            </w:r>
            <w:r>
              <w:rPr>
                <w:rFonts w:hint="default" w:ascii="Times New Roman" w:hAnsi="Times New Roman" w:eastAsia="宋体" w:cs="Times New Roman"/>
                <w:color w:val="auto"/>
                <w:sz w:val="21"/>
                <w:szCs w:val="21"/>
                <w:vertAlign w:val="subscript"/>
              </w:rPr>
              <w:t>净调入热力消耗量</w:t>
            </w:r>
            <w:r>
              <w:rPr>
                <w:rFonts w:hint="default" w:ascii="Times New Roman" w:hAnsi="Times New Roman" w:eastAsia="宋体" w:cs="Times New Roman"/>
                <w:color w:val="auto"/>
                <w:position w:val="2"/>
                <w:sz w:val="21"/>
                <w:szCs w:val="21"/>
              </w:rPr>
              <w:t>*EF</w:t>
            </w:r>
            <w:r>
              <w:rPr>
                <w:rFonts w:hint="default" w:ascii="Times New Roman" w:hAnsi="Times New Roman" w:eastAsia="宋体" w:cs="Times New Roman"/>
                <w:color w:val="auto"/>
                <w:sz w:val="21"/>
                <w:szCs w:val="21"/>
                <w:vertAlign w:val="subscript"/>
              </w:rPr>
              <w:t>热力</w:t>
            </w:r>
            <w:r>
              <w:rPr>
                <w:rFonts w:hint="default" w:ascii="Times New Roman" w:hAnsi="Times New Roman" w:eastAsia="宋体" w:cs="Times New Roman"/>
                <w:color w:val="auto"/>
                <w:position w:val="2"/>
                <w:sz w:val="21"/>
                <w:szCs w:val="21"/>
              </w:rPr>
              <w:t>（7）</w:t>
            </w:r>
          </w:p>
          <w:p w14:paraId="435A81BF">
            <w:pPr>
              <w:pStyle w:val="2"/>
              <w:keepNext w:val="0"/>
              <w:keepLines w:val="0"/>
              <w:pageBreakBefore w:val="0"/>
              <w:widowControl w:val="0"/>
              <w:kinsoku/>
              <w:wordWrap/>
              <w:overflowPunct/>
              <w:topLinePunct w:val="0"/>
              <w:autoSpaceDE/>
              <w:autoSpaceDN/>
              <w:bidi w:val="0"/>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55CC95B4">
            <w:pPr>
              <w:keepNext w:val="0"/>
              <w:keepLines w:val="0"/>
              <w:pageBreakBefore w:val="0"/>
              <w:widowControl w:val="0"/>
              <w:kinsoku/>
              <w:wordWrap/>
              <w:overflowPunct/>
              <w:topLinePunct w:val="0"/>
              <w:autoSpaceDE/>
              <w:autoSpaceDN/>
              <w:bidi w:val="0"/>
              <w:spacing w:line="360" w:lineRule="auto"/>
              <w:ind w:firstLine="416" w:firstLineChars="200"/>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spacing w:val="-1"/>
                <w:position w:val="2"/>
                <w:sz w:val="21"/>
                <w:szCs w:val="21"/>
              </w:rPr>
              <w:t>A</w:t>
            </w:r>
            <w:r>
              <w:rPr>
                <w:rFonts w:hint="default" w:ascii="Times New Roman" w:hAnsi="Times New Roman" w:eastAsia="宋体" w:cs="Times New Roman"/>
                <w:color w:val="auto"/>
                <w:position w:val="2"/>
                <w:sz w:val="21"/>
                <w:szCs w:val="21"/>
              </w:rPr>
              <w:t>D</w:t>
            </w:r>
            <w:r>
              <w:rPr>
                <w:rFonts w:hint="default" w:ascii="Times New Roman" w:hAnsi="Times New Roman" w:eastAsia="宋体" w:cs="Times New Roman"/>
                <w:color w:val="auto"/>
                <w:spacing w:val="-1"/>
                <w:sz w:val="21"/>
                <w:szCs w:val="21"/>
                <w:vertAlign w:val="subscript"/>
              </w:rPr>
              <w:t>净调入热力消耗量</w:t>
            </w:r>
            <w:r>
              <w:rPr>
                <w:rFonts w:hint="default" w:ascii="Times New Roman" w:hAnsi="Times New Roman" w:eastAsia="宋体" w:cs="Times New Roman"/>
                <w:color w:val="auto"/>
                <w:position w:val="2"/>
                <w:sz w:val="21"/>
                <w:szCs w:val="21"/>
              </w:rPr>
              <w:t>——净调入热力消耗量（</w:t>
            </w:r>
            <w:r>
              <w:rPr>
                <w:rFonts w:hint="default" w:ascii="Times New Roman" w:hAnsi="Times New Roman" w:eastAsia="宋体" w:cs="Times New Roman"/>
                <w:color w:val="auto"/>
                <w:spacing w:val="-1"/>
                <w:position w:val="2"/>
                <w:sz w:val="21"/>
                <w:szCs w:val="21"/>
              </w:rPr>
              <w:t>G</w:t>
            </w:r>
            <w:r>
              <w:rPr>
                <w:rFonts w:hint="default" w:ascii="Times New Roman" w:hAnsi="Times New Roman" w:eastAsia="宋体" w:cs="Times New Roman"/>
                <w:color w:val="auto"/>
                <w:position w:val="2"/>
                <w:sz w:val="21"/>
                <w:szCs w:val="21"/>
              </w:rPr>
              <w:t>j</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p>
          <w:p w14:paraId="47EC0845">
            <w:pPr>
              <w:spacing w:line="360" w:lineRule="auto"/>
              <w:ind w:firstLine="416" w:firstLineChars="200"/>
              <w:rPr>
                <w:color w:val="auto"/>
                <w:szCs w:val="21"/>
              </w:rPr>
            </w:pPr>
            <w:r>
              <w:rPr>
                <w:rFonts w:hint="default" w:ascii="Times New Roman" w:hAnsi="Times New Roman" w:eastAsia="宋体" w:cs="Times New Roman"/>
                <w:color w:val="auto"/>
                <w:spacing w:val="-1"/>
                <w:position w:val="2"/>
                <w:sz w:val="21"/>
                <w:szCs w:val="21"/>
              </w:rPr>
              <w:t>E</w:t>
            </w:r>
            <w:r>
              <w:rPr>
                <w:rFonts w:hint="default" w:ascii="Times New Roman" w:hAnsi="Times New Roman" w:eastAsia="宋体" w:cs="Times New Roman"/>
                <w:color w:val="auto"/>
                <w:position w:val="2"/>
                <w:sz w:val="21"/>
                <w:szCs w:val="21"/>
              </w:rPr>
              <w:t>F</w:t>
            </w:r>
            <w:r>
              <w:rPr>
                <w:rFonts w:hint="default" w:ascii="Times New Roman" w:hAnsi="Times New Roman" w:eastAsia="宋体" w:cs="Times New Roman"/>
                <w:color w:val="auto"/>
                <w:spacing w:val="-1"/>
                <w:sz w:val="21"/>
                <w:szCs w:val="21"/>
                <w:vertAlign w:val="subscript"/>
              </w:rPr>
              <w:t>热力</w:t>
            </w:r>
            <w:r>
              <w:rPr>
                <w:rFonts w:hint="default" w:ascii="Times New Roman" w:hAnsi="Times New Roman" w:eastAsia="宋体" w:cs="Times New Roman"/>
                <w:color w:val="auto"/>
                <w:position w:val="2"/>
                <w:sz w:val="21"/>
                <w:szCs w:val="21"/>
              </w:rPr>
              <w:t>——热力排放因子（tC</w:t>
            </w:r>
            <w:r>
              <w:rPr>
                <w:rFonts w:hint="default" w:ascii="Times New Roman" w:hAnsi="Times New Roman" w:eastAsia="宋体" w:cs="Times New Roman"/>
                <w:color w:val="auto"/>
                <w:spacing w:val="-1"/>
                <w:position w:val="2"/>
                <w:sz w:val="21"/>
                <w:szCs w:val="21"/>
              </w:rPr>
              <w:t>O</w:t>
            </w:r>
            <w:r>
              <w:rPr>
                <w:rFonts w:hint="default" w:ascii="Times New Roman" w:hAnsi="Times New Roman" w:eastAsia="宋体" w:cs="Times New Roman"/>
                <w:color w:val="auto"/>
                <w:spacing w:val="1"/>
                <w:sz w:val="21"/>
                <w:szCs w:val="21"/>
                <w:vertAlign w:val="subscript"/>
              </w:rPr>
              <w:t>2</w:t>
            </w:r>
            <w:r>
              <w:rPr>
                <w:rFonts w:hint="default" w:ascii="Times New Roman" w:hAnsi="Times New Roman" w:eastAsia="宋体" w:cs="Times New Roman"/>
                <w:color w:val="auto"/>
                <w:sz w:val="21"/>
                <w:szCs w:val="21"/>
                <w:vertAlign w:val="subscript"/>
              </w:rPr>
              <w:t>e</w:t>
            </w:r>
            <w:r>
              <w:rPr>
                <w:rFonts w:hint="default" w:ascii="Times New Roman" w:hAnsi="Times New Roman" w:eastAsia="宋体" w:cs="Times New Roman"/>
                <w:color w:val="auto"/>
                <w:position w:val="2"/>
                <w:sz w:val="21"/>
                <w:szCs w:val="21"/>
              </w:rPr>
              <w:t>/</w:t>
            </w:r>
            <w:r>
              <w:rPr>
                <w:rFonts w:hint="default" w:ascii="Times New Roman" w:hAnsi="Times New Roman" w:eastAsia="宋体" w:cs="Times New Roman"/>
                <w:color w:val="auto"/>
                <w:spacing w:val="-1"/>
                <w:position w:val="2"/>
                <w:sz w:val="21"/>
                <w:szCs w:val="21"/>
              </w:rPr>
              <w:t>G</w:t>
            </w:r>
            <w:r>
              <w:rPr>
                <w:rFonts w:hint="default" w:ascii="Times New Roman" w:hAnsi="Times New Roman" w:eastAsia="宋体" w:cs="Times New Roman"/>
                <w:color w:val="auto"/>
                <w:position w:val="2"/>
                <w:sz w:val="21"/>
                <w:szCs w:val="21"/>
              </w:rPr>
              <w:t>j</w:t>
            </w:r>
            <w:r>
              <w:rPr>
                <w:rFonts w:hint="default" w:ascii="Times New Roman" w:hAnsi="Times New Roman" w:eastAsia="宋体" w:cs="Times New Roman"/>
                <w:color w:val="auto"/>
                <w:spacing w:val="-120"/>
                <w:position w:val="2"/>
                <w:sz w:val="21"/>
                <w:szCs w:val="21"/>
              </w:rPr>
              <w:t>）</w:t>
            </w:r>
            <w:r>
              <w:rPr>
                <w:rFonts w:hint="default" w:ascii="Times New Roman" w:hAnsi="Times New Roman" w:eastAsia="宋体" w:cs="Times New Roman"/>
                <w:color w:val="auto"/>
                <w:position w:val="2"/>
                <w:sz w:val="21"/>
                <w:szCs w:val="21"/>
              </w:rPr>
              <w:t>）</w:t>
            </w:r>
            <w:r>
              <w:rPr>
                <w:color w:val="auto"/>
                <w:position w:val="2"/>
                <w:szCs w:val="21"/>
              </w:rPr>
              <w:t>。</w:t>
            </w:r>
          </w:p>
          <w:p w14:paraId="341C0334">
            <w:pPr>
              <w:pStyle w:val="4"/>
              <w:rPr>
                <w:rFonts w:ascii="Times New Roman" w:hAnsi="Times New Roman" w:eastAsia="宋体" w:cs="Times New Roman"/>
                <w:color w:val="auto"/>
                <w:sz w:val="21"/>
                <w:szCs w:val="21"/>
              </w:rPr>
            </w:pPr>
            <w:bookmarkStart w:id="23" w:name="_Toc32132"/>
            <w:bookmarkStart w:id="24" w:name="_Toc68895592"/>
            <w:bookmarkStart w:id="25" w:name="_Toc12601"/>
            <w:bookmarkStart w:id="26" w:name="_Toc24365"/>
            <w:r>
              <w:rPr>
                <w:rFonts w:ascii="Times New Roman" w:hAnsi="Times New Roman" w:eastAsia="宋体" w:cs="Times New Roman"/>
                <w:color w:val="auto"/>
                <w:sz w:val="21"/>
                <w:szCs w:val="21"/>
              </w:rPr>
              <w:t>表4-</w:t>
            </w:r>
            <w:r>
              <w:rPr>
                <w:rFonts w:hint="eastAsia" w:ascii="Times New Roman" w:hAnsi="Times New Roman" w:eastAsia="宋体" w:cs="Times New Roman"/>
                <w:color w:val="auto"/>
                <w:sz w:val="21"/>
                <w:szCs w:val="21"/>
                <w:lang w:val="en-US" w:eastAsia="zh-CN"/>
              </w:rPr>
              <w:t>34</w:t>
            </w:r>
            <w:r>
              <w:rPr>
                <w:rFonts w:hint="eastAsia"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t>营运期使用的材料表</w:t>
            </w:r>
            <w:bookmarkEnd w:id="23"/>
            <w:bookmarkEnd w:id="24"/>
            <w:bookmarkEnd w:id="25"/>
            <w:bookmarkEnd w:id="26"/>
          </w:p>
          <w:tbl>
            <w:tblPr>
              <w:tblStyle w:val="28"/>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08"/>
              <w:gridCol w:w="4469"/>
            </w:tblGrid>
            <w:tr w14:paraId="18922B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32" w:type="pct"/>
                  <w:noWrap w:val="0"/>
                  <w:vAlign w:val="center"/>
                </w:tcPr>
                <w:p w14:paraId="50882B71">
                  <w:pPr>
                    <w:pStyle w:val="69"/>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类别</w:t>
                  </w:r>
                </w:p>
              </w:tc>
              <w:tc>
                <w:tcPr>
                  <w:tcW w:w="2667" w:type="pct"/>
                  <w:noWrap w:val="0"/>
                  <w:vAlign w:val="center"/>
                </w:tcPr>
                <w:p w14:paraId="52D7EE13">
                  <w:pPr>
                    <w:pStyle w:val="69"/>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使用量</w:t>
                  </w:r>
                </w:p>
              </w:tc>
            </w:tr>
            <w:tr w14:paraId="761842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32" w:type="pct"/>
                  <w:noWrap w:val="0"/>
                  <w:vAlign w:val="center"/>
                </w:tcPr>
                <w:p w14:paraId="5D9FB861">
                  <w:pPr>
                    <w:pStyle w:val="69"/>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电力使用量</w:t>
                  </w:r>
                </w:p>
              </w:tc>
              <w:tc>
                <w:tcPr>
                  <w:tcW w:w="2667" w:type="pct"/>
                  <w:noWrap w:val="0"/>
                  <w:vAlign w:val="center"/>
                </w:tcPr>
                <w:p w14:paraId="646B3F6F">
                  <w:pPr>
                    <w:pStyle w:val="69"/>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300</w:t>
                  </w:r>
                  <w:r>
                    <w:rPr>
                      <w:rFonts w:ascii="Times New Roman" w:hAnsi="Times New Roman" w:eastAsia="宋体" w:cs="Times New Roman"/>
                      <w:color w:val="auto"/>
                      <w:sz w:val="21"/>
                      <w:szCs w:val="21"/>
                    </w:rPr>
                    <w:t>MWh</w:t>
                  </w:r>
                </w:p>
              </w:tc>
            </w:tr>
          </w:tbl>
          <w:p w14:paraId="79A438FF">
            <w:pPr>
              <w:pStyle w:val="2"/>
              <w:spacing w:after="0" w:line="360" w:lineRule="auto"/>
              <w:ind w:firstLine="420" w:firstLineChars="200"/>
              <w:rPr>
                <w:color w:val="auto"/>
                <w:kern w:val="0"/>
                <w:szCs w:val="21"/>
              </w:rPr>
            </w:pPr>
            <w:r>
              <w:rPr>
                <w:color w:val="auto"/>
                <w:szCs w:val="21"/>
              </w:rPr>
              <w:t>本项目碳排放总量如下：</w:t>
            </w:r>
          </w:p>
          <w:p w14:paraId="5F4002BA">
            <w:pPr>
              <w:pStyle w:val="2"/>
              <w:adjustRightInd w:val="0"/>
              <w:snapToGrid w:val="0"/>
              <w:spacing w:after="0" w:line="360" w:lineRule="auto"/>
              <w:ind w:firstLine="420" w:firstLineChars="200"/>
              <w:rPr>
                <w:color w:val="auto"/>
                <w:position w:val="2"/>
                <w:szCs w:val="21"/>
              </w:rPr>
            </w:pPr>
            <w:r>
              <w:rPr>
                <w:color w:val="auto"/>
                <w:position w:val="2"/>
                <w:szCs w:val="21"/>
              </w:rPr>
              <w:t>AE</w:t>
            </w:r>
            <w:r>
              <w:rPr>
                <w:color w:val="auto"/>
                <w:szCs w:val="21"/>
                <w:vertAlign w:val="subscript"/>
              </w:rPr>
              <w:t>电燃</w:t>
            </w:r>
            <w:r>
              <w:rPr>
                <w:color w:val="auto"/>
                <w:position w:val="2"/>
                <w:szCs w:val="21"/>
              </w:rPr>
              <w:t>=0</w:t>
            </w:r>
          </w:p>
          <w:p w14:paraId="2D57D0BE">
            <w:pPr>
              <w:pStyle w:val="2"/>
              <w:adjustRightInd w:val="0"/>
              <w:snapToGrid w:val="0"/>
              <w:spacing w:after="0" w:line="360" w:lineRule="auto"/>
              <w:ind w:firstLine="420" w:firstLineChars="200"/>
              <w:rPr>
                <w:color w:val="auto"/>
                <w:szCs w:val="21"/>
              </w:rPr>
            </w:pPr>
            <w:r>
              <w:rPr>
                <w:color w:val="auto"/>
                <w:position w:val="2"/>
                <w:szCs w:val="21"/>
              </w:rPr>
              <w:t>AE</w:t>
            </w:r>
            <w:r>
              <w:rPr>
                <w:color w:val="auto"/>
                <w:szCs w:val="21"/>
                <w:vertAlign w:val="subscript"/>
              </w:rPr>
              <w:t>工燃</w:t>
            </w:r>
            <w:r>
              <w:rPr>
                <w:color w:val="auto"/>
                <w:position w:val="2"/>
                <w:szCs w:val="21"/>
              </w:rPr>
              <w:t>=</w:t>
            </w:r>
            <w:r>
              <w:rPr>
                <w:rFonts w:hint="eastAsia"/>
                <w:color w:val="auto"/>
                <w:position w:val="2"/>
                <w:szCs w:val="21"/>
                <w:lang w:val="en-US" w:eastAsia="zh-CN"/>
              </w:rPr>
              <w:t>0</w:t>
            </w:r>
            <w:r>
              <w:rPr>
                <w:color w:val="auto"/>
                <w:position w:val="2"/>
                <w:szCs w:val="21"/>
              </w:rPr>
              <w:t>tC</w:t>
            </w:r>
            <w:r>
              <w:rPr>
                <w:color w:val="auto"/>
                <w:spacing w:val="-1"/>
                <w:position w:val="2"/>
                <w:szCs w:val="21"/>
              </w:rPr>
              <w:t>O</w:t>
            </w:r>
            <w:r>
              <w:rPr>
                <w:color w:val="auto"/>
                <w:spacing w:val="-2"/>
                <w:szCs w:val="21"/>
                <w:vertAlign w:val="subscript"/>
              </w:rPr>
              <w:t>2e</w:t>
            </w:r>
          </w:p>
          <w:p w14:paraId="442FF4E2">
            <w:pPr>
              <w:pStyle w:val="2"/>
              <w:adjustRightInd w:val="0"/>
              <w:snapToGrid w:val="0"/>
              <w:spacing w:after="0" w:line="360" w:lineRule="auto"/>
              <w:ind w:firstLine="420" w:firstLineChars="200"/>
              <w:rPr>
                <w:color w:val="auto"/>
                <w:szCs w:val="21"/>
              </w:rPr>
            </w:pPr>
            <w:r>
              <w:rPr>
                <w:color w:val="auto"/>
                <w:position w:val="2"/>
                <w:szCs w:val="21"/>
              </w:rPr>
              <w:t>AE</w:t>
            </w:r>
            <w:r>
              <w:rPr>
                <w:color w:val="auto"/>
                <w:szCs w:val="21"/>
                <w:vertAlign w:val="subscript"/>
              </w:rPr>
              <w:t>净调入电力</w:t>
            </w:r>
            <w:r>
              <w:rPr>
                <w:color w:val="auto"/>
                <w:position w:val="2"/>
                <w:szCs w:val="21"/>
              </w:rPr>
              <w:t>=</w:t>
            </w:r>
            <w:r>
              <w:rPr>
                <w:rFonts w:hint="eastAsia"/>
                <w:color w:val="auto"/>
                <w:position w:val="2"/>
                <w:szCs w:val="21"/>
                <w:lang w:val="en-US" w:eastAsia="zh-CN"/>
              </w:rPr>
              <w:t>30</w:t>
            </w:r>
            <w:r>
              <w:rPr>
                <w:rFonts w:hint="eastAsia"/>
                <w:color w:val="auto"/>
                <w:position w:val="2"/>
                <w:szCs w:val="21"/>
              </w:rPr>
              <w:t>0</w:t>
            </w:r>
            <w:r>
              <w:rPr>
                <w:color w:val="auto"/>
                <w:position w:val="2"/>
                <w:szCs w:val="21"/>
              </w:rPr>
              <w:t>MWh*</w:t>
            </w:r>
            <w:r>
              <w:rPr>
                <w:rFonts w:hint="eastAsia"/>
                <w:color w:val="auto"/>
                <w:position w:val="2"/>
                <w:szCs w:val="21"/>
              </w:rPr>
              <w:t>0.5073</w:t>
            </w:r>
            <w:r>
              <w:rPr>
                <w:color w:val="auto"/>
                <w:position w:val="2"/>
                <w:szCs w:val="21"/>
              </w:rPr>
              <w:t>tCO</w:t>
            </w:r>
            <w:r>
              <w:rPr>
                <w:color w:val="auto"/>
                <w:szCs w:val="21"/>
                <w:vertAlign w:val="subscript"/>
              </w:rPr>
              <w:t>2e</w:t>
            </w:r>
            <w:r>
              <w:rPr>
                <w:color w:val="auto"/>
                <w:position w:val="2"/>
                <w:szCs w:val="21"/>
              </w:rPr>
              <w:t>/MWh=</w:t>
            </w:r>
            <w:r>
              <w:rPr>
                <w:rFonts w:hint="eastAsia"/>
                <w:color w:val="auto"/>
                <w:position w:val="2"/>
                <w:szCs w:val="21"/>
                <w:lang w:val="en-US" w:eastAsia="zh-CN"/>
              </w:rPr>
              <w:t>152.19</w:t>
            </w:r>
            <w:r>
              <w:rPr>
                <w:color w:val="auto"/>
                <w:position w:val="2"/>
                <w:szCs w:val="21"/>
              </w:rPr>
              <w:t>tCO</w:t>
            </w:r>
            <w:r>
              <w:rPr>
                <w:color w:val="auto"/>
                <w:szCs w:val="21"/>
                <w:vertAlign w:val="subscript"/>
              </w:rPr>
              <w:t>2e</w:t>
            </w:r>
          </w:p>
          <w:p w14:paraId="4E981404">
            <w:pPr>
              <w:adjustRightInd w:val="0"/>
              <w:snapToGrid w:val="0"/>
              <w:spacing w:line="360" w:lineRule="auto"/>
              <w:ind w:firstLine="420" w:firstLineChars="200"/>
              <w:rPr>
                <w:color w:val="auto"/>
                <w:szCs w:val="21"/>
              </w:rPr>
            </w:pPr>
            <w:r>
              <w:rPr>
                <w:color w:val="auto"/>
                <w:position w:val="2"/>
                <w:szCs w:val="21"/>
              </w:rPr>
              <w:t>AE</w:t>
            </w:r>
            <w:r>
              <w:rPr>
                <w:color w:val="auto"/>
                <w:szCs w:val="21"/>
                <w:vertAlign w:val="subscript"/>
              </w:rPr>
              <w:t>净调入热力</w:t>
            </w:r>
            <w:r>
              <w:rPr>
                <w:color w:val="auto"/>
                <w:position w:val="2"/>
                <w:szCs w:val="21"/>
              </w:rPr>
              <w:t>=0</w:t>
            </w:r>
          </w:p>
          <w:p w14:paraId="19416812">
            <w:pPr>
              <w:pStyle w:val="2"/>
              <w:adjustRightInd w:val="0"/>
              <w:snapToGrid w:val="0"/>
              <w:spacing w:after="0" w:line="360" w:lineRule="auto"/>
              <w:ind w:firstLine="420" w:firstLineChars="200"/>
              <w:rPr>
                <w:color w:val="auto"/>
                <w:szCs w:val="21"/>
              </w:rPr>
            </w:pPr>
            <w:r>
              <w:rPr>
                <w:color w:val="auto"/>
                <w:position w:val="2"/>
                <w:szCs w:val="21"/>
              </w:rPr>
              <w:t>AE</w:t>
            </w:r>
            <w:r>
              <w:rPr>
                <w:color w:val="auto"/>
                <w:position w:val="2"/>
                <w:szCs w:val="21"/>
                <w:vertAlign w:val="subscript"/>
              </w:rPr>
              <w:t>总</w:t>
            </w:r>
            <w:r>
              <w:rPr>
                <w:color w:val="auto"/>
                <w:position w:val="2"/>
                <w:szCs w:val="21"/>
              </w:rPr>
              <w:t>=</w:t>
            </w:r>
            <w:r>
              <w:rPr>
                <w:rFonts w:hint="eastAsia"/>
                <w:color w:val="auto"/>
                <w:position w:val="2"/>
                <w:szCs w:val="21"/>
                <w:lang w:val="en-US" w:eastAsia="zh-CN"/>
              </w:rPr>
              <w:t>152.19</w:t>
            </w:r>
            <w:r>
              <w:rPr>
                <w:color w:val="auto"/>
                <w:position w:val="2"/>
                <w:szCs w:val="21"/>
              </w:rPr>
              <w:t>tCO</w:t>
            </w:r>
            <w:r>
              <w:rPr>
                <w:color w:val="auto"/>
                <w:szCs w:val="21"/>
                <w:vertAlign w:val="subscript"/>
              </w:rPr>
              <w:t>2e</w:t>
            </w:r>
          </w:p>
          <w:p w14:paraId="604D577C">
            <w:pPr>
              <w:pStyle w:val="2"/>
              <w:adjustRightInd w:val="0"/>
              <w:snapToGrid w:val="0"/>
              <w:spacing w:after="0" w:line="360" w:lineRule="auto"/>
              <w:ind w:firstLine="420" w:firstLineChars="200"/>
              <w:rPr>
                <w:color w:val="auto"/>
                <w:szCs w:val="21"/>
              </w:rPr>
            </w:pPr>
            <w:r>
              <w:rPr>
                <w:color w:val="auto"/>
                <w:position w:val="2"/>
                <w:szCs w:val="21"/>
              </w:rPr>
              <w:t>碳排放强度（单位用地碳排放量）=</w:t>
            </w:r>
            <w:r>
              <w:rPr>
                <w:rFonts w:hint="eastAsia"/>
                <w:color w:val="auto"/>
                <w:position w:val="2"/>
                <w:szCs w:val="21"/>
                <w:lang w:val="en-US" w:eastAsia="zh-CN"/>
              </w:rPr>
              <w:t>152.19</w:t>
            </w:r>
            <w:r>
              <w:rPr>
                <w:color w:val="auto"/>
                <w:position w:val="2"/>
                <w:szCs w:val="21"/>
              </w:rPr>
              <w:t>/</w:t>
            </w:r>
            <w:r>
              <w:rPr>
                <w:rFonts w:hint="eastAsia"/>
                <w:color w:val="auto"/>
                <w:position w:val="2"/>
                <w:szCs w:val="21"/>
                <w:lang w:val="en-US" w:eastAsia="zh-CN"/>
              </w:rPr>
              <w:t>1660</w:t>
            </w:r>
            <w:r>
              <w:rPr>
                <w:color w:val="auto"/>
                <w:position w:val="2"/>
                <w:szCs w:val="21"/>
              </w:rPr>
              <w:t>=</w:t>
            </w:r>
            <w:r>
              <w:rPr>
                <w:rFonts w:hint="eastAsia"/>
                <w:color w:val="auto"/>
                <w:position w:val="2"/>
                <w:szCs w:val="21"/>
                <w:lang w:val="en-US" w:eastAsia="zh-CN"/>
              </w:rPr>
              <w:t>0.092</w:t>
            </w:r>
            <w:r>
              <w:rPr>
                <w:color w:val="auto"/>
                <w:position w:val="2"/>
                <w:szCs w:val="21"/>
              </w:rPr>
              <w:t>tCO</w:t>
            </w:r>
            <w:r>
              <w:rPr>
                <w:color w:val="auto"/>
                <w:szCs w:val="21"/>
                <w:vertAlign w:val="subscript"/>
              </w:rPr>
              <w:t>2e</w:t>
            </w:r>
            <w:r>
              <w:rPr>
                <w:color w:val="auto"/>
                <w:position w:val="2"/>
                <w:szCs w:val="21"/>
              </w:rPr>
              <w:t>/m</w:t>
            </w:r>
            <w:r>
              <w:rPr>
                <w:color w:val="auto"/>
                <w:position w:val="2"/>
                <w:szCs w:val="21"/>
                <w:vertAlign w:val="superscript"/>
              </w:rPr>
              <w:t>2</w:t>
            </w:r>
          </w:p>
          <w:p w14:paraId="6A8CFE36">
            <w:pPr>
              <w:pStyle w:val="2"/>
              <w:adjustRightInd w:val="0"/>
              <w:snapToGrid w:val="0"/>
              <w:spacing w:after="0" w:line="360" w:lineRule="auto"/>
              <w:ind w:firstLine="420" w:firstLineChars="200"/>
              <w:rPr>
                <w:color w:val="auto"/>
                <w:szCs w:val="21"/>
              </w:rPr>
            </w:pPr>
            <w:r>
              <w:rPr>
                <w:color w:val="auto"/>
                <w:position w:val="2"/>
                <w:szCs w:val="21"/>
              </w:rPr>
              <w:t>碳排放强度（单位工业总产值碳排放量）=</w:t>
            </w:r>
            <w:r>
              <w:rPr>
                <w:rFonts w:hint="eastAsia"/>
                <w:color w:val="auto"/>
                <w:position w:val="2"/>
                <w:szCs w:val="21"/>
                <w:lang w:val="en-US" w:eastAsia="zh-CN"/>
              </w:rPr>
              <w:t>152.19</w:t>
            </w:r>
            <w:r>
              <w:rPr>
                <w:color w:val="auto"/>
                <w:position w:val="2"/>
                <w:szCs w:val="21"/>
              </w:rPr>
              <w:t>/</w:t>
            </w:r>
            <w:r>
              <w:rPr>
                <w:rFonts w:hint="eastAsia"/>
                <w:color w:val="auto"/>
                <w:position w:val="2"/>
                <w:szCs w:val="21"/>
                <w:lang w:val="en-US" w:eastAsia="zh-CN"/>
              </w:rPr>
              <w:t>2000</w:t>
            </w:r>
            <w:r>
              <w:rPr>
                <w:color w:val="auto"/>
                <w:position w:val="2"/>
                <w:szCs w:val="21"/>
              </w:rPr>
              <w:t>=</w:t>
            </w:r>
            <w:r>
              <w:rPr>
                <w:rFonts w:hint="eastAsia"/>
                <w:color w:val="auto"/>
                <w:position w:val="2"/>
                <w:szCs w:val="21"/>
                <w:lang w:val="en-US" w:eastAsia="zh-CN"/>
              </w:rPr>
              <w:t>0.076</w:t>
            </w:r>
            <w:r>
              <w:rPr>
                <w:color w:val="auto"/>
                <w:position w:val="2"/>
                <w:szCs w:val="21"/>
              </w:rPr>
              <w:t>tCO</w:t>
            </w:r>
            <w:r>
              <w:rPr>
                <w:color w:val="auto"/>
                <w:szCs w:val="21"/>
                <w:vertAlign w:val="subscript"/>
              </w:rPr>
              <w:t>2e</w:t>
            </w:r>
            <w:r>
              <w:rPr>
                <w:color w:val="auto"/>
                <w:position w:val="2"/>
                <w:szCs w:val="21"/>
              </w:rPr>
              <w:t>/万元</w:t>
            </w:r>
          </w:p>
          <w:p w14:paraId="70FA23B6">
            <w:pPr>
              <w:pStyle w:val="4"/>
              <w:keepNext w:val="0"/>
              <w:keepLines w:val="0"/>
              <w:pageBreakBefore w:val="0"/>
              <w:widowControl w:val="0"/>
              <w:kinsoku/>
              <w:wordWrap/>
              <w:overflowPunct/>
              <w:topLinePunct w:val="0"/>
              <w:autoSpaceDE w:val="0"/>
              <w:autoSpaceDN w:val="0"/>
              <w:bidi w:val="0"/>
              <w:adjustRightInd w:val="0"/>
              <w:snapToGrid w:val="0"/>
              <w:textAlignment w:val="auto"/>
              <w:rPr>
                <w:rFonts w:ascii="Times New Roman" w:hAnsi="Times New Roman" w:eastAsia="宋体" w:cs="Times New Roman"/>
                <w:color w:val="auto"/>
                <w:sz w:val="21"/>
                <w:szCs w:val="21"/>
              </w:rPr>
            </w:pPr>
            <w:bookmarkStart w:id="27" w:name="_Toc19819"/>
            <w:bookmarkStart w:id="28" w:name="_Toc68895593"/>
            <w:bookmarkStart w:id="29" w:name="_Toc27073"/>
            <w:bookmarkStart w:id="30" w:name="_Toc1464"/>
            <w:r>
              <w:rPr>
                <w:rFonts w:ascii="Times New Roman" w:hAnsi="Times New Roman" w:eastAsia="宋体" w:cs="Times New Roman"/>
                <w:color w:val="auto"/>
                <w:sz w:val="21"/>
                <w:szCs w:val="21"/>
              </w:rPr>
              <w:t>表4-</w:t>
            </w:r>
            <w:r>
              <w:rPr>
                <w:rFonts w:hint="eastAsia" w:ascii="Times New Roman" w:hAnsi="Times New Roman" w:eastAsia="宋体" w:cs="Times New Roman"/>
                <w:color w:val="auto"/>
                <w:sz w:val="21"/>
                <w:szCs w:val="21"/>
                <w:lang w:val="en-US" w:eastAsia="zh-CN"/>
              </w:rPr>
              <w:t>35</w:t>
            </w:r>
            <w:r>
              <w:rPr>
                <w:rFonts w:hint="eastAsia"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t>碳排放汇总表</w:t>
            </w:r>
            <w:bookmarkEnd w:id="27"/>
            <w:bookmarkEnd w:id="28"/>
            <w:bookmarkEnd w:id="29"/>
            <w:bookmarkEnd w:id="30"/>
          </w:p>
          <w:tbl>
            <w:tblPr>
              <w:tblStyle w:val="28"/>
              <w:tblW w:w="4999"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249"/>
              <w:gridCol w:w="2380"/>
              <w:gridCol w:w="3947"/>
            </w:tblGrid>
            <w:tr w14:paraId="759EAF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44" w:type="pct"/>
                  <w:gridSpan w:val="3"/>
                  <w:noWrap w:val="0"/>
                  <w:vAlign w:val="center"/>
                </w:tcPr>
                <w:p w14:paraId="014A4B6D">
                  <w:pPr>
                    <w:pStyle w:val="69"/>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排放类型</w:t>
                  </w:r>
                </w:p>
              </w:tc>
              <w:tc>
                <w:tcPr>
                  <w:tcW w:w="2355" w:type="pct"/>
                  <w:noWrap w:val="0"/>
                  <w:vAlign w:val="center"/>
                </w:tcPr>
                <w:p w14:paraId="3B376311">
                  <w:pPr>
                    <w:pStyle w:val="69"/>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碳排放量</w:t>
                  </w:r>
                </w:p>
              </w:tc>
            </w:tr>
            <w:tr w14:paraId="4B29E5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9" w:type="pct"/>
                  <w:noWrap w:val="0"/>
                  <w:vAlign w:val="center"/>
                </w:tcPr>
                <w:p w14:paraId="5991CEE3">
                  <w:pPr>
                    <w:pStyle w:val="69"/>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营运期</w:t>
                  </w:r>
                </w:p>
              </w:tc>
              <w:tc>
                <w:tcPr>
                  <w:tcW w:w="745" w:type="pct"/>
                  <w:noWrap w:val="0"/>
                  <w:vAlign w:val="center"/>
                </w:tcPr>
                <w:p w14:paraId="59B7184A">
                  <w:pPr>
                    <w:pStyle w:val="69"/>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间接排放</w:t>
                  </w:r>
                </w:p>
              </w:tc>
              <w:tc>
                <w:tcPr>
                  <w:tcW w:w="1419" w:type="pct"/>
                  <w:noWrap w:val="0"/>
                  <w:vAlign w:val="center"/>
                </w:tcPr>
                <w:p w14:paraId="267719E6">
                  <w:pPr>
                    <w:pStyle w:val="69"/>
                    <w:jc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净调入电力</w:t>
                  </w:r>
                </w:p>
              </w:tc>
              <w:tc>
                <w:tcPr>
                  <w:tcW w:w="2355" w:type="pct"/>
                  <w:noWrap w:val="0"/>
                  <w:vAlign w:val="center"/>
                </w:tcPr>
                <w:p w14:paraId="7192EB34">
                  <w:pPr>
                    <w:pStyle w:val="69"/>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152.19</w:t>
                  </w:r>
                  <w:r>
                    <w:rPr>
                      <w:rFonts w:ascii="Times New Roman" w:hAnsi="Times New Roman" w:eastAsia="宋体" w:cs="Times New Roman"/>
                      <w:color w:val="auto"/>
                      <w:sz w:val="21"/>
                      <w:szCs w:val="21"/>
                    </w:rPr>
                    <w:t>tCO</w:t>
                  </w:r>
                  <w:r>
                    <w:rPr>
                      <w:rFonts w:ascii="Times New Roman" w:hAnsi="Times New Roman" w:eastAsia="宋体" w:cs="Times New Roman"/>
                      <w:color w:val="auto"/>
                      <w:sz w:val="21"/>
                      <w:szCs w:val="21"/>
                      <w:vertAlign w:val="subscript"/>
                    </w:rPr>
                    <w:t>2e</w:t>
                  </w:r>
                </w:p>
              </w:tc>
            </w:tr>
          </w:tbl>
          <w:p w14:paraId="758ADCEE">
            <w:pPr>
              <w:pStyle w:val="67"/>
              <w:adjustRightInd w:val="0"/>
              <w:snapToGrid w:val="0"/>
              <w:spacing w:before="120" w:beforeLines="50" w:line="360" w:lineRule="auto"/>
              <w:ind w:firstLine="422"/>
              <w:rPr>
                <w:rFonts w:ascii="Times New Roman" w:hAnsi="Times New Roman" w:eastAsia="宋体"/>
                <w:b/>
                <w:bCs/>
                <w:color w:val="auto"/>
                <w:sz w:val="21"/>
                <w:szCs w:val="21"/>
              </w:rPr>
            </w:pPr>
            <w:r>
              <w:rPr>
                <w:rFonts w:ascii="Times New Roman" w:hAnsi="Times New Roman" w:eastAsia="宋体"/>
                <w:b/>
                <w:bCs/>
                <w:color w:val="auto"/>
                <w:sz w:val="21"/>
                <w:szCs w:val="21"/>
              </w:rPr>
              <w:t>（3）碳排放评价</w:t>
            </w:r>
          </w:p>
          <w:p w14:paraId="1F6597B4">
            <w:pPr>
              <w:pStyle w:val="67"/>
              <w:adjustRightInd w:val="0"/>
              <w:snapToGrid w:val="0"/>
              <w:spacing w:line="360" w:lineRule="auto"/>
              <w:ind w:firstLine="420"/>
              <w:jc w:val="both"/>
              <w:rPr>
                <w:rFonts w:ascii="Times New Roman" w:hAnsi="Times New Roman" w:eastAsia="宋体"/>
                <w:color w:val="auto"/>
                <w:sz w:val="21"/>
                <w:szCs w:val="21"/>
              </w:rPr>
            </w:pPr>
            <w:r>
              <w:rPr>
                <w:rFonts w:ascii="Times New Roman" w:hAnsi="Times New Roman" w:eastAsia="宋体"/>
                <w:color w:val="auto"/>
                <w:sz w:val="21"/>
                <w:szCs w:val="21"/>
              </w:rPr>
              <w:t>本项目营运期单位用地的碳排放量为</w:t>
            </w:r>
            <w:r>
              <w:rPr>
                <w:rFonts w:hint="eastAsia" w:ascii="Times New Roman" w:hAnsi="Times New Roman" w:eastAsia="宋体"/>
                <w:color w:val="auto"/>
                <w:sz w:val="21"/>
                <w:szCs w:val="21"/>
              </w:rPr>
              <w:t>.076</w:t>
            </w:r>
            <w:r>
              <w:rPr>
                <w:rFonts w:ascii="Times New Roman" w:hAnsi="Times New Roman" w:eastAsia="宋体"/>
                <w:color w:val="auto"/>
                <w:sz w:val="21"/>
                <w:szCs w:val="21"/>
              </w:rPr>
              <w:t>tCO</w:t>
            </w:r>
            <w:r>
              <w:rPr>
                <w:rFonts w:ascii="Times New Roman" w:hAnsi="Times New Roman" w:eastAsia="宋体"/>
                <w:color w:val="auto"/>
                <w:sz w:val="21"/>
                <w:szCs w:val="21"/>
                <w:vertAlign w:val="subscript"/>
              </w:rPr>
              <w:t>2e</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，为减少碳排放，</w:t>
            </w:r>
            <w:r>
              <w:rPr>
                <w:rFonts w:hint="eastAsia" w:ascii="Times New Roman" w:hAnsi="Times New Roman" w:eastAsia="宋体"/>
                <w:color w:val="auto"/>
                <w:sz w:val="21"/>
                <w:szCs w:val="21"/>
              </w:rPr>
              <w:t>建设单位</w:t>
            </w:r>
            <w:r>
              <w:rPr>
                <w:rFonts w:ascii="Times New Roman" w:hAnsi="Times New Roman" w:eastAsia="宋体"/>
                <w:color w:val="auto"/>
                <w:sz w:val="21"/>
                <w:szCs w:val="21"/>
              </w:rPr>
              <w:t>可采取如下措施：</w:t>
            </w:r>
          </w:p>
          <w:p w14:paraId="239F6CA4">
            <w:pPr>
              <w:pStyle w:val="67"/>
              <w:adjustRightInd w:val="0"/>
              <w:snapToGrid w:val="0"/>
              <w:spacing w:line="360" w:lineRule="auto"/>
              <w:ind w:firstLine="420"/>
              <w:jc w:val="both"/>
              <w:rPr>
                <w:rFonts w:ascii="Times New Roman" w:hAnsi="Times New Roman" w:eastAsia="宋体"/>
                <w:color w:val="auto"/>
                <w:sz w:val="21"/>
                <w:szCs w:val="21"/>
              </w:rPr>
            </w:pPr>
            <w:r>
              <w:rPr>
                <w:rFonts w:ascii="Times New Roman" w:hAnsi="Times New Roman" w:eastAsia="宋体"/>
                <w:color w:val="auto"/>
                <w:sz w:val="21"/>
                <w:szCs w:val="21"/>
              </w:rPr>
              <w:t>①采用更加节能的生产设备、环保设备、辅助设备、生活用电设施等；</w:t>
            </w:r>
          </w:p>
          <w:p w14:paraId="1EA0D05C">
            <w:pPr>
              <w:pStyle w:val="2"/>
              <w:spacing w:after="0" w:line="360" w:lineRule="auto"/>
              <w:ind w:firstLine="420" w:firstLineChars="200"/>
              <w:rPr>
                <w:b/>
                <w:bCs/>
                <w:color w:val="auto"/>
                <w:szCs w:val="21"/>
              </w:rPr>
            </w:pPr>
            <w:r>
              <w:rPr>
                <w:color w:val="auto"/>
                <w:szCs w:val="21"/>
              </w:rPr>
              <w:t>②本项目使用的加热炉耗能比较大，可通过实时关注行业内的发展动态，采用最先进的工艺，降低高耗能设备的使用。</w:t>
            </w:r>
          </w:p>
          <w:p w14:paraId="11077C0D">
            <w:pPr>
              <w:pStyle w:val="2"/>
              <w:spacing w:after="0" w:line="360" w:lineRule="auto"/>
              <w:ind w:firstLine="420" w:firstLineChars="200"/>
              <w:rPr>
                <w:color w:val="auto"/>
                <w:szCs w:val="21"/>
              </w:rPr>
            </w:pPr>
            <w:r>
              <w:rPr>
                <w:color w:val="auto"/>
                <w:szCs w:val="21"/>
              </w:rPr>
              <w:t>③公司成立专门的环保管理系统，促进和管理一切环保减排的目标和政策。</w:t>
            </w:r>
          </w:p>
          <w:p w14:paraId="136F3102">
            <w:pPr>
              <w:adjustRightInd w:val="0"/>
              <w:snapToGrid w:val="0"/>
              <w:spacing w:line="360" w:lineRule="auto"/>
              <w:ind w:firstLine="422" w:firstLineChars="200"/>
              <w:rPr>
                <w:b/>
                <w:bCs/>
                <w:color w:val="auto"/>
                <w:szCs w:val="21"/>
              </w:rPr>
            </w:pPr>
            <w:r>
              <w:rPr>
                <w:rFonts w:hint="eastAsia"/>
                <w:b/>
                <w:bCs/>
                <w:color w:val="auto"/>
                <w:szCs w:val="21"/>
              </w:rPr>
              <w:t>八</w:t>
            </w:r>
            <w:r>
              <w:rPr>
                <w:b/>
                <w:bCs/>
                <w:color w:val="auto"/>
                <w:szCs w:val="21"/>
              </w:rPr>
              <w:t>、环境管理与监测计划</w:t>
            </w:r>
          </w:p>
          <w:p w14:paraId="208426B4">
            <w:pPr>
              <w:adjustRightInd w:val="0"/>
              <w:snapToGrid w:val="0"/>
              <w:spacing w:line="360" w:lineRule="auto"/>
              <w:ind w:firstLine="422" w:firstLineChars="200"/>
              <w:rPr>
                <w:b/>
                <w:color w:val="auto"/>
                <w:szCs w:val="21"/>
              </w:rPr>
            </w:pPr>
            <w:r>
              <w:rPr>
                <w:rFonts w:hint="eastAsia"/>
                <w:b/>
                <w:color w:val="auto"/>
                <w:szCs w:val="21"/>
              </w:rPr>
              <w:t>1、</w:t>
            </w:r>
            <w:r>
              <w:rPr>
                <w:b/>
                <w:color w:val="auto"/>
                <w:szCs w:val="21"/>
              </w:rPr>
              <w:t>环境管理</w:t>
            </w:r>
          </w:p>
          <w:p w14:paraId="23AD5938">
            <w:pPr>
              <w:adjustRightInd w:val="0"/>
              <w:snapToGrid w:val="0"/>
              <w:spacing w:line="360" w:lineRule="auto"/>
              <w:ind w:firstLine="420" w:firstLineChars="200"/>
              <w:rPr>
                <w:bCs/>
                <w:color w:val="auto"/>
                <w:szCs w:val="21"/>
              </w:rPr>
            </w:pPr>
            <w:r>
              <w:rPr>
                <w:rFonts w:hint="eastAsia"/>
                <w:bCs/>
                <w:color w:val="auto"/>
                <w:szCs w:val="21"/>
              </w:rPr>
              <w:t>（1）</w:t>
            </w:r>
            <w:r>
              <w:rPr>
                <w:bCs/>
                <w:color w:val="auto"/>
                <w:szCs w:val="21"/>
              </w:rPr>
              <w:t>环境管理目的：为了缓解项目生产运行期对环境构成的不良影响，在采取环保治理工程措施解决本项目环境影响的同时，必须制定全面的环境管理计划，以保证</w:t>
            </w:r>
            <w:r>
              <w:rPr>
                <w:rFonts w:hint="eastAsia"/>
                <w:color w:val="auto"/>
                <w:szCs w:val="21"/>
              </w:rPr>
              <w:t>建设单位</w:t>
            </w:r>
            <w:r>
              <w:rPr>
                <w:bCs/>
                <w:color w:val="auto"/>
                <w:szCs w:val="21"/>
              </w:rPr>
              <w:t>的环境保护制度化和系统化，保证</w:t>
            </w:r>
            <w:r>
              <w:rPr>
                <w:rFonts w:hint="eastAsia"/>
                <w:color w:val="auto"/>
                <w:szCs w:val="21"/>
              </w:rPr>
              <w:t>建设单位</w:t>
            </w:r>
            <w:r>
              <w:rPr>
                <w:bCs/>
                <w:color w:val="auto"/>
                <w:szCs w:val="21"/>
              </w:rPr>
              <w:t>环保工作持久开展，保证</w:t>
            </w:r>
            <w:r>
              <w:rPr>
                <w:rFonts w:hint="eastAsia"/>
                <w:color w:val="auto"/>
                <w:szCs w:val="21"/>
              </w:rPr>
              <w:t>建设单位</w:t>
            </w:r>
            <w:r>
              <w:rPr>
                <w:bCs/>
                <w:color w:val="auto"/>
                <w:szCs w:val="21"/>
              </w:rPr>
              <w:t>能够持续发展生产。</w:t>
            </w:r>
          </w:p>
          <w:p w14:paraId="143B5EDD">
            <w:pPr>
              <w:spacing w:line="360" w:lineRule="auto"/>
              <w:ind w:firstLine="420" w:firstLineChars="200"/>
              <w:rPr>
                <w:color w:val="auto"/>
                <w:szCs w:val="21"/>
              </w:rPr>
            </w:pPr>
            <w:r>
              <w:rPr>
                <w:rFonts w:hint="eastAsia"/>
                <w:color w:val="auto"/>
                <w:szCs w:val="21"/>
              </w:rPr>
              <w:t>（2）</w:t>
            </w:r>
            <w:r>
              <w:rPr>
                <w:color w:val="auto"/>
                <w:szCs w:val="21"/>
              </w:rPr>
              <w:t>环境管理机构：建设单位重视环境保护工作，</w:t>
            </w:r>
            <w:r>
              <w:rPr>
                <w:rFonts w:hint="eastAsia"/>
                <w:color w:val="auto"/>
                <w:szCs w:val="21"/>
                <w:lang w:val="en-US" w:eastAsia="zh-CN"/>
              </w:rPr>
              <w:t>已</w:t>
            </w:r>
            <w:r>
              <w:rPr>
                <w:color w:val="auto"/>
                <w:szCs w:val="21"/>
              </w:rPr>
              <w:t>设置专门从事环境管理的机构，配备环保人员</w:t>
            </w:r>
            <w:r>
              <w:rPr>
                <w:rFonts w:hint="eastAsia"/>
                <w:color w:val="auto"/>
                <w:szCs w:val="21"/>
                <w:lang w:val="en-US" w:eastAsia="zh-CN"/>
              </w:rPr>
              <w:t>2</w:t>
            </w:r>
            <w:r>
              <w:rPr>
                <w:color w:val="auto"/>
                <w:szCs w:val="21"/>
              </w:rPr>
              <w:t>名，负责环境监督管理工作，同时</w:t>
            </w:r>
            <w:r>
              <w:rPr>
                <w:rFonts w:hint="eastAsia"/>
                <w:color w:val="auto"/>
                <w:szCs w:val="21"/>
                <w:lang w:val="en-US" w:eastAsia="zh-CN"/>
              </w:rPr>
              <w:t>应</w:t>
            </w:r>
            <w:r>
              <w:rPr>
                <w:color w:val="auto"/>
                <w:szCs w:val="21"/>
              </w:rPr>
              <w:t>加强对管理人员的环保培训，不断提高管理水平。</w:t>
            </w:r>
          </w:p>
          <w:p w14:paraId="5B2A51D3">
            <w:pPr>
              <w:spacing w:line="360" w:lineRule="auto"/>
              <w:ind w:firstLine="420" w:firstLineChars="200"/>
              <w:rPr>
                <w:color w:val="auto"/>
                <w:szCs w:val="21"/>
              </w:rPr>
            </w:pPr>
            <w:r>
              <w:rPr>
                <w:rFonts w:hint="eastAsia"/>
                <w:color w:val="auto"/>
                <w:szCs w:val="21"/>
              </w:rPr>
              <w:t>（3）</w:t>
            </w:r>
            <w:r>
              <w:rPr>
                <w:color w:val="auto"/>
                <w:szCs w:val="21"/>
              </w:rPr>
              <w:t>环境管理内容：项目在生产运行过程中为保证环境管理系统的有效运行应制定环境管理方案。</w:t>
            </w:r>
          </w:p>
          <w:p w14:paraId="33ED32A9">
            <w:pPr>
              <w:spacing w:line="360" w:lineRule="auto"/>
              <w:ind w:firstLine="422" w:firstLineChars="200"/>
              <w:rPr>
                <w:b/>
                <w:bCs/>
                <w:color w:val="auto"/>
                <w:szCs w:val="21"/>
              </w:rPr>
            </w:pPr>
            <w:r>
              <w:rPr>
                <w:rFonts w:hint="eastAsia"/>
                <w:b/>
                <w:bCs/>
                <w:color w:val="auto"/>
                <w:szCs w:val="21"/>
              </w:rPr>
              <w:t>2、</w:t>
            </w:r>
            <w:r>
              <w:rPr>
                <w:b/>
                <w:bCs/>
                <w:color w:val="auto"/>
                <w:szCs w:val="21"/>
              </w:rPr>
              <w:t>环境管理制度的建立</w:t>
            </w:r>
          </w:p>
          <w:p w14:paraId="01C6EA4C">
            <w:pPr>
              <w:spacing w:line="360" w:lineRule="auto"/>
              <w:ind w:firstLine="420" w:firstLineChars="200"/>
              <w:rPr>
                <w:rFonts w:hint="eastAsia" w:eastAsia="宋体"/>
                <w:color w:val="auto"/>
                <w:szCs w:val="21"/>
                <w:lang w:eastAsia="zh-CN"/>
              </w:rPr>
            </w:pPr>
            <w:r>
              <w:rPr>
                <w:rFonts w:hint="eastAsia"/>
                <w:color w:val="auto"/>
                <w:szCs w:val="21"/>
              </w:rPr>
              <w:t>（1）</w:t>
            </w:r>
            <w:r>
              <w:rPr>
                <w:color w:val="auto"/>
                <w:szCs w:val="21"/>
              </w:rPr>
              <w:t>污染处理设施的管理制度</w:t>
            </w:r>
          </w:p>
          <w:p w14:paraId="040FC3CD">
            <w:pPr>
              <w:spacing w:line="360" w:lineRule="auto"/>
              <w:ind w:firstLine="420" w:firstLineChars="200"/>
              <w:rPr>
                <w:color w:val="auto"/>
                <w:szCs w:val="21"/>
              </w:rPr>
            </w:pPr>
            <w:r>
              <w:rPr>
                <w:color w:val="auto"/>
                <w:szCs w:val="21"/>
              </w:rPr>
              <w:t>对污染治理设施和管理必须与生产经营活动一起纳入</w:t>
            </w:r>
            <w:r>
              <w:rPr>
                <w:rFonts w:hint="eastAsia"/>
                <w:color w:val="auto"/>
                <w:szCs w:val="21"/>
              </w:rPr>
              <w:t>建设单位</w:t>
            </w:r>
            <w:r>
              <w:rPr>
                <w:color w:val="auto"/>
                <w:szCs w:val="21"/>
              </w:rPr>
              <w:t>的日常管理中，要建立岗位责任制，制定操作规程，建立管理台帐。</w:t>
            </w:r>
          </w:p>
          <w:p w14:paraId="6E71D3F3">
            <w:pPr>
              <w:spacing w:line="360" w:lineRule="auto"/>
              <w:ind w:firstLine="420" w:firstLineChars="200"/>
              <w:rPr>
                <w:color w:val="auto"/>
                <w:szCs w:val="21"/>
              </w:rPr>
            </w:pPr>
            <w:r>
              <w:rPr>
                <w:rFonts w:hint="eastAsia"/>
                <w:color w:val="auto"/>
                <w:szCs w:val="21"/>
              </w:rPr>
              <w:t>（2）</w:t>
            </w:r>
            <w:r>
              <w:rPr>
                <w:color w:val="auto"/>
                <w:szCs w:val="21"/>
              </w:rPr>
              <w:t>奖惩制度</w:t>
            </w:r>
          </w:p>
          <w:p w14:paraId="5593FFBE">
            <w:pPr>
              <w:spacing w:line="360" w:lineRule="auto"/>
              <w:ind w:firstLine="420" w:firstLineChars="200"/>
              <w:rPr>
                <w:color w:val="auto"/>
                <w:szCs w:val="21"/>
              </w:rPr>
            </w:pPr>
            <w:r>
              <w:rPr>
                <w:rFonts w:hint="eastAsia"/>
                <w:color w:val="auto"/>
                <w:szCs w:val="21"/>
              </w:rPr>
              <w:t>建设单位</w:t>
            </w:r>
            <w:r>
              <w:rPr>
                <w:color w:val="auto"/>
                <w:szCs w:val="21"/>
              </w:rPr>
              <w:t>应设置环境保护奖惩制度，对爱护环保设施，节能降耗、改善环境者给予奖励；对不按环保要求管理，造成环保设施损坏、环境污染和资源、能源浪费者予以重罚。</w:t>
            </w:r>
          </w:p>
          <w:p w14:paraId="120BEECB">
            <w:pPr>
              <w:spacing w:line="360" w:lineRule="auto"/>
              <w:ind w:firstLine="420" w:firstLineChars="200"/>
              <w:rPr>
                <w:color w:val="auto"/>
                <w:szCs w:val="21"/>
              </w:rPr>
            </w:pPr>
            <w:r>
              <w:rPr>
                <w:rFonts w:hint="eastAsia"/>
                <w:color w:val="auto"/>
                <w:szCs w:val="21"/>
              </w:rPr>
              <w:t>（3）</w:t>
            </w:r>
            <w:r>
              <w:rPr>
                <w:color w:val="auto"/>
                <w:szCs w:val="21"/>
              </w:rPr>
              <w:t>排污许可制度</w:t>
            </w:r>
          </w:p>
          <w:p w14:paraId="3D5C29DB">
            <w:pPr>
              <w:spacing w:line="360" w:lineRule="auto"/>
              <w:ind w:firstLine="420" w:firstLineChars="200"/>
              <w:rPr>
                <w:color w:val="auto"/>
                <w:szCs w:val="21"/>
              </w:rPr>
            </w:pPr>
            <w:r>
              <w:rPr>
                <w:rFonts w:hint="eastAsia"/>
                <w:color w:val="auto"/>
                <w:szCs w:val="21"/>
              </w:rPr>
              <w:t>建设单位</w:t>
            </w:r>
            <w:r>
              <w:rPr>
                <w:color w:val="auto"/>
                <w:szCs w:val="21"/>
              </w:rPr>
              <w:t>己于</w:t>
            </w:r>
            <w:r>
              <w:rPr>
                <w:rFonts w:hint="eastAsia"/>
                <w:color w:val="auto"/>
                <w:szCs w:val="21"/>
              </w:rPr>
              <w:t>2021年12月28日</w:t>
            </w:r>
            <w:r>
              <w:rPr>
                <w:rFonts w:hint="eastAsia" w:cs="Times New Roman"/>
                <w:color w:val="auto"/>
                <w:sz w:val="21"/>
                <w:szCs w:val="21"/>
                <w:lang w:val="en-US" w:eastAsia="zh-CN"/>
              </w:rPr>
              <w:t>登记</w:t>
            </w:r>
            <w:r>
              <w:rPr>
                <w:color w:val="auto"/>
                <w:szCs w:val="21"/>
              </w:rPr>
              <w:t>排污许可证，证书编号：</w:t>
            </w:r>
            <w:r>
              <w:rPr>
                <w:rFonts w:hint="eastAsia"/>
                <w:color w:val="auto"/>
                <w:szCs w:val="21"/>
              </w:rPr>
              <w:t>91320413MA256BF113001Y</w:t>
            </w:r>
            <w:r>
              <w:rPr>
                <w:color w:val="auto"/>
                <w:szCs w:val="21"/>
              </w:rPr>
              <w:t>，有效期限：</w:t>
            </w:r>
            <w:r>
              <w:rPr>
                <w:rFonts w:hint="default" w:ascii="Times New Roman" w:hAnsi="Times New Roman" w:eastAsia="宋体" w:cs="Times New Roman"/>
                <w:color w:val="auto"/>
                <w:sz w:val="21"/>
                <w:szCs w:val="21"/>
                <w:lang w:val="en-US" w:eastAsia="zh-CN"/>
              </w:rPr>
              <w:t>自2021年12月28日至2026年12月27日止</w:t>
            </w:r>
            <w:r>
              <w:rPr>
                <w:color w:val="auto"/>
                <w:szCs w:val="21"/>
              </w:rPr>
              <w:t>。</w:t>
            </w:r>
            <w:r>
              <w:rPr>
                <w:rFonts w:hint="eastAsia"/>
                <w:color w:val="auto"/>
                <w:szCs w:val="21"/>
                <w:lang w:val="en-US" w:eastAsia="zh-CN"/>
              </w:rPr>
              <w:t>本项目搬迁后的</w:t>
            </w:r>
            <w:r>
              <w:rPr>
                <w:color w:val="auto"/>
                <w:szCs w:val="21"/>
              </w:rPr>
              <w:t>单位基本情况、污染物排放去向、污染物排放执行标准以及采取的污染物防治措施等信息发生变动的，应按规定及时进行变更。</w:t>
            </w:r>
          </w:p>
          <w:p w14:paraId="01DED83C">
            <w:pPr>
              <w:spacing w:line="360" w:lineRule="auto"/>
              <w:ind w:firstLine="422" w:firstLineChars="200"/>
              <w:rPr>
                <w:b/>
                <w:bCs/>
                <w:color w:val="auto"/>
                <w:szCs w:val="21"/>
              </w:rPr>
            </w:pPr>
            <w:r>
              <w:rPr>
                <w:rFonts w:hint="eastAsia"/>
                <w:b/>
                <w:bCs/>
                <w:color w:val="auto"/>
                <w:szCs w:val="21"/>
              </w:rPr>
              <w:t>3、</w:t>
            </w:r>
            <w:r>
              <w:rPr>
                <w:b/>
                <w:bCs/>
                <w:color w:val="auto"/>
                <w:szCs w:val="21"/>
              </w:rPr>
              <w:t>排污口规范化设置</w:t>
            </w:r>
          </w:p>
          <w:p w14:paraId="6281E095">
            <w:pPr>
              <w:spacing w:line="360" w:lineRule="auto"/>
              <w:ind w:firstLine="420" w:firstLineChars="200"/>
              <w:rPr>
                <w:color w:val="auto"/>
                <w:szCs w:val="21"/>
              </w:rPr>
            </w:pPr>
            <w:r>
              <w:rPr>
                <w:color w:val="auto"/>
                <w:szCs w:val="21"/>
              </w:rPr>
              <w:t>按《江苏省排污口设置及规范化整治管理办法》</w:t>
            </w:r>
            <w:r>
              <w:rPr>
                <w:rFonts w:hint="eastAsia"/>
                <w:color w:val="auto"/>
                <w:szCs w:val="21"/>
              </w:rPr>
              <w:t>（</w:t>
            </w:r>
            <w:r>
              <w:rPr>
                <w:color w:val="auto"/>
                <w:szCs w:val="21"/>
              </w:rPr>
              <w:t>苏环控[</w:t>
            </w:r>
            <w:r>
              <w:rPr>
                <w:rFonts w:hint="eastAsia"/>
                <w:color w:val="auto"/>
                <w:szCs w:val="21"/>
              </w:rPr>
              <w:t>19</w:t>
            </w:r>
            <w:r>
              <w:rPr>
                <w:color w:val="auto"/>
                <w:szCs w:val="21"/>
              </w:rPr>
              <w:t>97]122号</w:t>
            </w:r>
            <w:r>
              <w:rPr>
                <w:rFonts w:hint="eastAsia"/>
                <w:color w:val="auto"/>
                <w:szCs w:val="21"/>
              </w:rPr>
              <w:t>）</w:t>
            </w:r>
            <w:r>
              <w:rPr>
                <w:color w:val="auto"/>
                <w:szCs w:val="21"/>
              </w:rPr>
              <w:t>要求，该建设项目废水、废气排放口、固定噪声源扰民处、固废堆放处必须进行规范化设置。</w:t>
            </w:r>
          </w:p>
          <w:p w14:paraId="37139332">
            <w:pPr>
              <w:pStyle w:val="86"/>
              <w:spacing w:line="360" w:lineRule="auto"/>
              <w:ind w:left="480" w:firstLine="0" w:firstLineChars="0"/>
              <w:rPr>
                <w:color w:val="auto"/>
                <w:szCs w:val="21"/>
              </w:rPr>
            </w:pPr>
            <w:r>
              <w:rPr>
                <w:rFonts w:hint="eastAsia"/>
                <w:color w:val="auto"/>
                <w:szCs w:val="21"/>
              </w:rPr>
              <w:t>（1）</w:t>
            </w:r>
            <w:r>
              <w:rPr>
                <w:color w:val="auto"/>
                <w:szCs w:val="21"/>
              </w:rPr>
              <w:t>废水排放口规范化设置</w:t>
            </w:r>
          </w:p>
          <w:p w14:paraId="370FC5A8">
            <w:pPr>
              <w:snapToGrid w:val="0"/>
              <w:spacing w:line="360" w:lineRule="auto"/>
              <w:ind w:firstLine="420" w:firstLineChars="200"/>
              <w:rPr>
                <w:color w:val="auto"/>
                <w:szCs w:val="21"/>
              </w:rPr>
            </w:pPr>
            <w:r>
              <w:rPr>
                <w:color w:val="auto"/>
                <w:szCs w:val="21"/>
              </w:rPr>
              <w:t>本项目依托</w:t>
            </w:r>
            <w:r>
              <w:rPr>
                <w:rFonts w:hint="eastAsia"/>
                <w:color w:val="auto"/>
                <w:szCs w:val="21"/>
                <w:lang w:val="en-US" w:eastAsia="zh-CN"/>
              </w:rPr>
              <w:t>租赁</w:t>
            </w:r>
            <w:r>
              <w:rPr>
                <w:color w:val="auto"/>
                <w:szCs w:val="21"/>
              </w:rPr>
              <w:t>厂区现有1个雨水排放口、1个污水接管口，不另行设置。雨、污排放口已按江苏省环保厅《江苏省排污口设置及规范化整治管理办法》</w:t>
            </w:r>
            <w:r>
              <w:rPr>
                <w:rFonts w:hint="eastAsia"/>
                <w:color w:val="auto"/>
                <w:szCs w:val="21"/>
              </w:rPr>
              <w:t>（</w:t>
            </w:r>
            <w:r>
              <w:rPr>
                <w:color w:val="auto"/>
                <w:szCs w:val="21"/>
              </w:rPr>
              <w:t>苏环控[</w:t>
            </w:r>
            <w:r>
              <w:rPr>
                <w:rFonts w:hint="eastAsia"/>
                <w:color w:val="auto"/>
                <w:szCs w:val="21"/>
              </w:rPr>
              <w:t>19</w:t>
            </w:r>
            <w:r>
              <w:rPr>
                <w:color w:val="auto"/>
                <w:szCs w:val="21"/>
              </w:rPr>
              <w:t>97]122号</w:t>
            </w:r>
            <w:r>
              <w:rPr>
                <w:rFonts w:hint="eastAsia"/>
                <w:color w:val="auto"/>
                <w:szCs w:val="21"/>
              </w:rPr>
              <w:t>）</w:t>
            </w:r>
            <w:r>
              <w:rPr>
                <w:color w:val="auto"/>
                <w:szCs w:val="21"/>
              </w:rPr>
              <w:t>中相关规定进行规范化设置。</w:t>
            </w:r>
          </w:p>
          <w:p w14:paraId="33E9835A">
            <w:pPr>
              <w:spacing w:line="360" w:lineRule="auto"/>
              <w:ind w:firstLine="420" w:firstLineChars="200"/>
              <w:rPr>
                <w:color w:val="auto"/>
                <w:szCs w:val="21"/>
              </w:rPr>
            </w:pPr>
            <w:r>
              <w:rPr>
                <w:rFonts w:hint="eastAsia"/>
                <w:color w:val="auto"/>
                <w:szCs w:val="21"/>
              </w:rPr>
              <w:t>（</w:t>
            </w:r>
            <w:r>
              <w:rPr>
                <w:rFonts w:hint="eastAsia"/>
                <w:color w:val="auto"/>
                <w:szCs w:val="21"/>
                <w:lang w:val="en-US" w:eastAsia="zh-CN"/>
              </w:rPr>
              <w:t>2</w:t>
            </w:r>
            <w:r>
              <w:rPr>
                <w:rFonts w:hint="eastAsia"/>
                <w:color w:val="auto"/>
                <w:szCs w:val="21"/>
              </w:rPr>
              <w:t>）</w:t>
            </w:r>
            <w:r>
              <w:rPr>
                <w:color w:val="auto"/>
                <w:szCs w:val="21"/>
              </w:rPr>
              <w:t>固废堆放规范化整治</w:t>
            </w:r>
          </w:p>
          <w:p w14:paraId="4CC2B1CA">
            <w:pPr>
              <w:spacing w:line="360" w:lineRule="auto"/>
              <w:ind w:firstLine="420" w:firstLineChars="200"/>
              <w:rPr>
                <w:color w:val="auto"/>
                <w:szCs w:val="21"/>
              </w:rPr>
            </w:pPr>
            <w:r>
              <w:rPr>
                <w:color w:val="auto"/>
                <w:szCs w:val="21"/>
              </w:rPr>
              <w:t>本项目</w:t>
            </w:r>
            <w:r>
              <w:rPr>
                <w:rFonts w:hint="eastAsia"/>
                <w:color w:val="auto"/>
                <w:szCs w:val="21"/>
                <w:lang w:val="en-US" w:eastAsia="zh-CN"/>
              </w:rPr>
              <w:t>新建</w:t>
            </w:r>
            <w:r>
              <w:rPr>
                <w:color w:val="auto"/>
                <w:szCs w:val="21"/>
              </w:rPr>
              <w:t>1个危废仓库、1个一般固废仓库</w:t>
            </w:r>
            <w:r>
              <w:rPr>
                <w:rFonts w:hint="eastAsia"/>
                <w:color w:val="auto"/>
                <w:szCs w:val="21"/>
                <w:lang w:eastAsia="zh-CN"/>
              </w:rPr>
              <w:t>、</w:t>
            </w:r>
            <w:r>
              <w:rPr>
                <w:rFonts w:hint="eastAsia"/>
                <w:color w:val="auto"/>
                <w:szCs w:val="21"/>
                <w:lang w:val="en-US" w:eastAsia="zh-CN"/>
              </w:rPr>
              <w:t>2个排气筒</w:t>
            </w:r>
            <w:r>
              <w:rPr>
                <w:color w:val="auto"/>
                <w:szCs w:val="21"/>
              </w:rPr>
              <w:t>，应设置环境保护图形标志牌，将工业固废等分开堆放，做到防扬散、防渗漏，确保不对周围环境形成二次污染。环境保护图形标志的形状及颜色见表4-</w:t>
            </w:r>
            <w:r>
              <w:rPr>
                <w:rFonts w:hint="eastAsia"/>
                <w:color w:val="auto"/>
                <w:szCs w:val="21"/>
                <w:lang w:val="en-US" w:eastAsia="zh-CN"/>
              </w:rPr>
              <w:t>36</w:t>
            </w:r>
            <w:r>
              <w:rPr>
                <w:color w:val="auto"/>
                <w:szCs w:val="21"/>
              </w:rPr>
              <w:t>，环境保护图形符号见表4-</w:t>
            </w:r>
            <w:r>
              <w:rPr>
                <w:rFonts w:hint="eastAsia"/>
                <w:color w:val="auto"/>
                <w:szCs w:val="21"/>
                <w:lang w:val="en-US" w:eastAsia="zh-CN"/>
              </w:rPr>
              <w:t>37</w:t>
            </w:r>
            <w:r>
              <w:rPr>
                <w:color w:val="auto"/>
                <w:szCs w:val="21"/>
              </w:rPr>
              <w:t>，危险废物识别标识见表</w:t>
            </w:r>
            <w:r>
              <w:rPr>
                <w:rFonts w:hint="eastAsia"/>
                <w:color w:val="auto"/>
                <w:szCs w:val="21"/>
                <w:lang w:val="en-US" w:eastAsia="zh-CN"/>
              </w:rPr>
              <w:t>4</w:t>
            </w:r>
            <w:r>
              <w:rPr>
                <w:color w:val="auto"/>
                <w:szCs w:val="21"/>
              </w:rPr>
              <w:t>-</w:t>
            </w:r>
            <w:r>
              <w:rPr>
                <w:rFonts w:hint="eastAsia"/>
                <w:color w:val="auto"/>
                <w:szCs w:val="21"/>
                <w:lang w:val="en-US" w:eastAsia="zh-CN"/>
              </w:rPr>
              <w:t>38</w:t>
            </w:r>
            <w:r>
              <w:rPr>
                <w:color w:val="auto"/>
                <w:szCs w:val="21"/>
              </w:rPr>
              <w:t>。</w:t>
            </w:r>
          </w:p>
          <w:p w14:paraId="3B596884">
            <w:pPr>
              <w:jc w:val="center"/>
              <w:rPr>
                <w:b/>
                <w:color w:val="auto"/>
                <w:szCs w:val="21"/>
              </w:rPr>
            </w:pPr>
            <w:r>
              <w:rPr>
                <w:b/>
                <w:color w:val="auto"/>
                <w:szCs w:val="21"/>
              </w:rPr>
              <w:t>表4-</w:t>
            </w:r>
            <w:r>
              <w:rPr>
                <w:rFonts w:hint="eastAsia"/>
                <w:b/>
                <w:color w:val="auto"/>
                <w:szCs w:val="21"/>
                <w:lang w:val="en-US" w:eastAsia="zh-CN"/>
              </w:rPr>
              <w:t>36</w:t>
            </w:r>
            <w:r>
              <w:rPr>
                <w:b/>
                <w:color w:val="auto"/>
                <w:szCs w:val="21"/>
              </w:rPr>
              <w:t xml:space="preserve"> 环境保护图形标志的形状及颜色表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61"/>
              <w:gridCol w:w="1981"/>
              <w:gridCol w:w="1845"/>
              <w:gridCol w:w="1684"/>
              <w:gridCol w:w="1809"/>
            </w:tblGrid>
            <w:tr w14:paraId="53ED8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3" w:type="pct"/>
                  <w:noWrap w:val="0"/>
                  <w:vAlign w:val="center"/>
                </w:tcPr>
                <w:p w14:paraId="37F4307F">
                  <w:pPr>
                    <w:adjustRightInd w:val="0"/>
                    <w:snapToGrid w:val="0"/>
                    <w:jc w:val="center"/>
                    <w:rPr>
                      <w:b/>
                      <w:color w:val="auto"/>
                      <w:szCs w:val="21"/>
                    </w:rPr>
                  </w:pPr>
                  <w:r>
                    <w:rPr>
                      <w:b/>
                      <w:color w:val="auto"/>
                      <w:szCs w:val="21"/>
                    </w:rPr>
                    <w:t>序号</w:t>
                  </w:r>
                </w:p>
              </w:tc>
              <w:tc>
                <w:tcPr>
                  <w:tcW w:w="1182" w:type="pct"/>
                  <w:noWrap w:val="0"/>
                  <w:vAlign w:val="center"/>
                </w:tcPr>
                <w:p w14:paraId="3CFECDBA">
                  <w:pPr>
                    <w:adjustRightInd w:val="0"/>
                    <w:snapToGrid w:val="0"/>
                    <w:jc w:val="center"/>
                    <w:rPr>
                      <w:b/>
                      <w:color w:val="auto"/>
                      <w:szCs w:val="21"/>
                    </w:rPr>
                  </w:pPr>
                  <w:r>
                    <w:rPr>
                      <w:b/>
                      <w:color w:val="auto"/>
                      <w:szCs w:val="21"/>
                    </w:rPr>
                    <w:t>标志名称</w:t>
                  </w:r>
                </w:p>
              </w:tc>
              <w:tc>
                <w:tcPr>
                  <w:tcW w:w="1101" w:type="pct"/>
                  <w:noWrap w:val="0"/>
                  <w:vAlign w:val="center"/>
                </w:tcPr>
                <w:p w14:paraId="452EE04F">
                  <w:pPr>
                    <w:adjustRightInd w:val="0"/>
                    <w:snapToGrid w:val="0"/>
                    <w:jc w:val="center"/>
                    <w:rPr>
                      <w:b/>
                      <w:color w:val="auto"/>
                      <w:szCs w:val="21"/>
                    </w:rPr>
                  </w:pPr>
                  <w:r>
                    <w:rPr>
                      <w:b/>
                      <w:color w:val="auto"/>
                      <w:szCs w:val="21"/>
                    </w:rPr>
                    <w:t>形状</w:t>
                  </w:r>
                </w:p>
              </w:tc>
              <w:tc>
                <w:tcPr>
                  <w:tcW w:w="1005" w:type="pct"/>
                  <w:noWrap w:val="0"/>
                  <w:vAlign w:val="center"/>
                </w:tcPr>
                <w:p w14:paraId="6B68EBAE">
                  <w:pPr>
                    <w:adjustRightInd w:val="0"/>
                    <w:snapToGrid w:val="0"/>
                    <w:jc w:val="center"/>
                    <w:rPr>
                      <w:b/>
                      <w:color w:val="auto"/>
                      <w:szCs w:val="21"/>
                    </w:rPr>
                  </w:pPr>
                  <w:r>
                    <w:rPr>
                      <w:b/>
                      <w:color w:val="auto"/>
                      <w:szCs w:val="21"/>
                    </w:rPr>
                    <w:t>背景颜色</w:t>
                  </w:r>
                </w:p>
              </w:tc>
              <w:tc>
                <w:tcPr>
                  <w:tcW w:w="1079" w:type="pct"/>
                  <w:noWrap w:val="0"/>
                  <w:vAlign w:val="center"/>
                </w:tcPr>
                <w:p w14:paraId="28D5E0BB">
                  <w:pPr>
                    <w:adjustRightInd w:val="0"/>
                    <w:snapToGrid w:val="0"/>
                    <w:jc w:val="center"/>
                    <w:rPr>
                      <w:b/>
                      <w:color w:val="auto"/>
                      <w:szCs w:val="21"/>
                    </w:rPr>
                  </w:pPr>
                  <w:r>
                    <w:rPr>
                      <w:b/>
                      <w:color w:val="auto"/>
                      <w:szCs w:val="21"/>
                    </w:rPr>
                    <w:t>图形颜色</w:t>
                  </w:r>
                </w:p>
              </w:tc>
            </w:tr>
            <w:tr w14:paraId="75127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3" w:type="pct"/>
                  <w:noWrap w:val="0"/>
                  <w:vAlign w:val="center"/>
                </w:tcPr>
                <w:p w14:paraId="199A7E06">
                  <w:pPr>
                    <w:jc w:val="center"/>
                    <w:rPr>
                      <w:color w:val="auto"/>
                      <w:szCs w:val="21"/>
                    </w:rPr>
                  </w:pPr>
                  <w:r>
                    <w:rPr>
                      <w:color w:val="auto"/>
                      <w:szCs w:val="21"/>
                    </w:rPr>
                    <w:t>1</w:t>
                  </w:r>
                </w:p>
              </w:tc>
              <w:tc>
                <w:tcPr>
                  <w:tcW w:w="1182" w:type="pct"/>
                  <w:noWrap w:val="0"/>
                  <w:vAlign w:val="center"/>
                </w:tcPr>
                <w:p w14:paraId="3F27C4AC">
                  <w:pPr>
                    <w:jc w:val="center"/>
                    <w:rPr>
                      <w:color w:val="auto"/>
                      <w:szCs w:val="21"/>
                    </w:rPr>
                  </w:pPr>
                  <w:r>
                    <w:rPr>
                      <w:color w:val="auto"/>
                      <w:szCs w:val="21"/>
                    </w:rPr>
                    <w:t>警告标志</w:t>
                  </w:r>
                </w:p>
              </w:tc>
              <w:tc>
                <w:tcPr>
                  <w:tcW w:w="1101" w:type="pct"/>
                  <w:noWrap w:val="0"/>
                  <w:vAlign w:val="center"/>
                </w:tcPr>
                <w:p w14:paraId="69876923">
                  <w:pPr>
                    <w:jc w:val="center"/>
                    <w:rPr>
                      <w:color w:val="auto"/>
                      <w:szCs w:val="21"/>
                    </w:rPr>
                  </w:pPr>
                  <w:r>
                    <w:rPr>
                      <w:color w:val="auto"/>
                      <w:szCs w:val="21"/>
                    </w:rPr>
                    <w:t>三角形边框</w:t>
                  </w:r>
                </w:p>
              </w:tc>
              <w:tc>
                <w:tcPr>
                  <w:tcW w:w="1005" w:type="pct"/>
                  <w:noWrap w:val="0"/>
                  <w:vAlign w:val="center"/>
                </w:tcPr>
                <w:p w14:paraId="189C9D76">
                  <w:pPr>
                    <w:jc w:val="center"/>
                    <w:rPr>
                      <w:color w:val="auto"/>
                      <w:szCs w:val="21"/>
                    </w:rPr>
                  </w:pPr>
                  <w:r>
                    <w:rPr>
                      <w:color w:val="auto"/>
                      <w:szCs w:val="21"/>
                    </w:rPr>
                    <w:t>黄色</w:t>
                  </w:r>
                </w:p>
              </w:tc>
              <w:tc>
                <w:tcPr>
                  <w:tcW w:w="1079" w:type="pct"/>
                  <w:noWrap w:val="0"/>
                  <w:vAlign w:val="center"/>
                </w:tcPr>
                <w:p w14:paraId="447E386F">
                  <w:pPr>
                    <w:jc w:val="center"/>
                    <w:rPr>
                      <w:color w:val="auto"/>
                      <w:szCs w:val="21"/>
                    </w:rPr>
                  </w:pPr>
                  <w:r>
                    <w:rPr>
                      <w:color w:val="auto"/>
                      <w:szCs w:val="21"/>
                    </w:rPr>
                    <w:t>黑色</w:t>
                  </w:r>
                </w:p>
              </w:tc>
            </w:tr>
            <w:tr w14:paraId="13489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3" w:type="pct"/>
                  <w:noWrap w:val="0"/>
                  <w:vAlign w:val="center"/>
                </w:tcPr>
                <w:p w14:paraId="7F3EE36D">
                  <w:pPr>
                    <w:jc w:val="center"/>
                    <w:rPr>
                      <w:color w:val="auto"/>
                      <w:szCs w:val="21"/>
                    </w:rPr>
                  </w:pPr>
                  <w:r>
                    <w:rPr>
                      <w:color w:val="auto"/>
                      <w:szCs w:val="21"/>
                    </w:rPr>
                    <w:t>2</w:t>
                  </w:r>
                </w:p>
              </w:tc>
              <w:tc>
                <w:tcPr>
                  <w:tcW w:w="1182" w:type="pct"/>
                  <w:noWrap w:val="0"/>
                  <w:vAlign w:val="center"/>
                </w:tcPr>
                <w:p w14:paraId="0758C8BA">
                  <w:pPr>
                    <w:jc w:val="center"/>
                    <w:rPr>
                      <w:color w:val="auto"/>
                      <w:szCs w:val="21"/>
                    </w:rPr>
                  </w:pPr>
                  <w:r>
                    <w:rPr>
                      <w:color w:val="auto"/>
                      <w:szCs w:val="21"/>
                    </w:rPr>
                    <w:t>提示标志</w:t>
                  </w:r>
                </w:p>
              </w:tc>
              <w:tc>
                <w:tcPr>
                  <w:tcW w:w="1101" w:type="pct"/>
                  <w:noWrap w:val="0"/>
                  <w:vAlign w:val="center"/>
                </w:tcPr>
                <w:p w14:paraId="0D726F67">
                  <w:pPr>
                    <w:jc w:val="center"/>
                    <w:rPr>
                      <w:color w:val="auto"/>
                      <w:szCs w:val="21"/>
                    </w:rPr>
                  </w:pPr>
                  <w:r>
                    <w:rPr>
                      <w:color w:val="auto"/>
                      <w:szCs w:val="21"/>
                    </w:rPr>
                    <w:t>正方形边框</w:t>
                  </w:r>
                </w:p>
              </w:tc>
              <w:tc>
                <w:tcPr>
                  <w:tcW w:w="1005" w:type="pct"/>
                  <w:noWrap w:val="0"/>
                  <w:vAlign w:val="center"/>
                </w:tcPr>
                <w:p w14:paraId="6ADCFB30">
                  <w:pPr>
                    <w:jc w:val="center"/>
                    <w:rPr>
                      <w:color w:val="auto"/>
                      <w:szCs w:val="21"/>
                    </w:rPr>
                  </w:pPr>
                  <w:r>
                    <w:rPr>
                      <w:color w:val="auto"/>
                      <w:szCs w:val="21"/>
                    </w:rPr>
                    <w:t>绿色</w:t>
                  </w:r>
                </w:p>
              </w:tc>
              <w:tc>
                <w:tcPr>
                  <w:tcW w:w="1079" w:type="pct"/>
                  <w:noWrap w:val="0"/>
                  <w:vAlign w:val="center"/>
                </w:tcPr>
                <w:p w14:paraId="6806FDE9">
                  <w:pPr>
                    <w:jc w:val="center"/>
                    <w:rPr>
                      <w:color w:val="auto"/>
                      <w:szCs w:val="21"/>
                    </w:rPr>
                  </w:pPr>
                  <w:r>
                    <w:rPr>
                      <w:color w:val="auto"/>
                      <w:szCs w:val="21"/>
                    </w:rPr>
                    <w:t>白色</w:t>
                  </w:r>
                </w:p>
              </w:tc>
            </w:tr>
          </w:tbl>
          <w:p w14:paraId="46F6BAA6">
            <w:pPr>
              <w:spacing w:before="120" w:beforeLines="50"/>
              <w:jc w:val="center"/>
              <w:rPr>
                <w:b/>
                <w:color w:val="auto"/>
                <w:szCs w:val="21"/>
              </w:rPr>
            </w:pPr>
            <w:r>
              <w:rPr>
                <w:b/>
                <w:color w:val="auto"/>
                <w:szCs w:val="21"/>
              </w:rPr>
              <w:t>表4-</w:t>
            </w:r>
            <w:r>
              <w:rPr>
                <w:rFonts w:hint="eastAsia"/>
                <w:b/>
                <w:color w:val="auto"/>
                <w:szCs w:val="21"/>
                <w:lang w:val="en-US" w:eastAsia="zh-CN"/>
              </w:rPr>
              <w:t>37</w:t>
            </w:r>
            <w:r>
              <w:rPr>
                <w:b/>
                <w:color w:val="auto"/>
                <w:szCs w:val="21"/>
              </w:rPr>
              <w:t xml:space="preserve"> 环境保护图形符号一览表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59"/>
              <w:gridCol w:w="1637"/>
              <w:gridCol w:w="1736"/>
              <w:gridCol w:w="1429"/>
              <w:gridCol w:w="2519"/>
            </w:tblGrid>
            <w:tr w14:paraId="283D9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trPr>
              <w:tc>
                <w:tcPr>
                  <w:tcW w:w="632" w:type="pct"/>
                  <w:noWrap w:val="0"/>
                  <w:vAlign w:val="center"/>
                </w:tcPr>
                <w:p w14:paraId="3CFFBA7F">
                  <w:pPr>
                    <w:jc w:val="center"/>
                    <w:rPr>
                      <w:b/>
                      <w:bCs/>
                      <w:color w:val="auto"/>
                      <w:szCs w:val="21"/>
                    </w:rPr>
                  </w:pPr>
                  <w:r>
                    <w:rPr>
                      <w:b/>
                      <w:bCs/>
                      <w:color w:val="auto"/>
                      <w:szCs w:val="21"/>
                    </w:rPr>
                    <w:t>序号</w:t>
                  </w:r>
                </w:p>
              </w:tc>
              <w:tc>
                <w:tcPr>
                  <w:tcW w:w="976" w:type="pct"/>
                  <w:noWrap w:val="0"/>
                  <w:vAlign w:val="center"/>
                </w:tcPr>
                <w:p w14:paraId="38A326AE">
                  <w:pPr>
                    <w:jc w:val="center"/>
                    <w:rPr>
                      <w:b/>
                      <w:bCs/>
                      <w:color w:val="auto"/>
                      <w:szCs w:val="21"/>
                    </w:rPr>
                  </w:pPr>
                  <w:r>
                    <w:rPr>
                      <w:b/>
                      <w:bCs/>
                      <w:color w:val="auto"/>
                      <w:szCs w:val="21"/>
                    </w:rPr>
                    <w:t>提示图形符号</w:t>
                  </w:r>
                </w:p>
              </w:tc>
              <w:tc>
                <w:tcPr>
                  <w:tcW w:w="1035" w:type="pct"/>
                  <w:noWrap w:val="0"/>
                  <w:vAlign w:val="center"/>
                </w:tcPr>
                <w:p w14:paraId="510C1117">
                  <w:pPr>
                    <w:jc w:val="center"/>
                    <w:rPr>
                      <w:b/>
                      <w:bCs/>
                      <w:color w:val="auto"/>
                      <w:szCs w:val="21"/>
                    </w:rPr>
                  </w:pPr>
                  <w:r>
                    <w:rPr>
                      <w:b/>
                      <w:bCs/>
                      <w:color w:val="auto"/>
                      <w:szCs w:val="21"/>
                    </w:rPr>
                    <w:t>警告图形符号</w:t>
                  </w:r>
                </w:p>
              </w:tc>
              <w:tc>
                <w:tcPr>
                  <w:tcW w:w="852" w:type="pct"/>
                  <w:noWrap w:val="0"/>
                  <w:vAlign w:val="center"/>
                </w:tcPr>
                <w:p w14:paraId="63FD97D1">
                  <w:pPr>
                    <w:jc w:val="center"/>
                    <w:rPr>
                      <w:b/>
                      <w:bCs/>
                      <w:color w:val="auto"/>
                      <w:szCs w:val="21"/>
                    </w:rPr>
                  </w:pPr>
                  <w:r>
                    <w:rPr>
                      <w:b/>
                      <w:bCs/>
                      <w:color w:val="auto"/>
                      <w:szCs w:val="21"/>
                    </w:rPr>
                    <w:t>名称</w:t>
                  </w:r>
                </w:p>
              </w:tc>
              <w:tc>
                <w:tcPr>
                  <w:tcW w:w="1502" w:type="pct"/>
                  <w:noWrap w:val="0"/>
                  <w:vAlign w:val="center"/>
                </w:tcPr>
                <w:p w14:paraId="27BC5BAB">
                  <w:pPr>
                    <w:jc w:val="center"/>
                    <w:rPr>
                      <w:b/>
                      <w:bCs/>
                      <w:color w:val="auto"/>
                      <w:szCs w:val="21"/>
                    </w:rPr>
                  </w:pPr>
                  <w:r>
                    <w:rPr>
                      <w:b/>
                      <w:bCs/>
                      <w:color w:val="auto"/>
                      <w:szCs w:val="21"/>
                    </w:rPr>
                    <w:t>功能</w:t>
                  </w:r>
                </w:p>
              </w:tc>
            </w:tr>
            <w:tr w14:paraId="4E4C5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632" w:type="pct"/>
                  <w:noWrap w:val="0"/>
                  <w:vAlign w:val="center"/>
                </w:tcPr>
                <w:p w14:paraId="1BB5E3FD">
                  <w:pPr>
                    <w:jc w:val="center"/>
                    <w:rPr>
                      <w:color w:val="auto"/>
                      <w:szCs w:val="21"/>
                    </w:rPr>
                  </w:pPr>
                  <w:r>
                    <w:rPr>
                      <w:color w:val="auto"/>
                      <w:szCs w:val="21"/>
                    </w:rPr>
                    <w:t>2</w:t>
                  </w:r>
                </w:p>
              </w:tc>
              <w:tc>
                <w:tcPr>
                  <w:tcW w:w="976" w:type="pct"/>
                  <w:noWrap w:val="0"/>
                  <w:vAlign w:val="center"/>
                </w:tcPr>
                <w:p w14:paraId="7685C68A">
                  <w:pPr>
                    <w:jc w:val="center"/>
                    <w:rPr>
                      <w:color w:val="auto"/>
                      <w:szCs w:val="21"/>
                    </w:rPr>
                  </w:pPr>
                  <w:r>
                    <w:rPr>
                      <w:color w:val="auto"/>
                      <w:szCs w:val="21"/>
                    </w:rPr>
                    <w:drawing>
                      <wp:inline distT="0" distB="0" distL="114300" distR="114300">
                        <wp:extent cx="682625" cy="668655"/>
                        <wp:effectExtent l="0" t="0" r="3175" b="17145"/>
                        <wp:docPr id="4" name="图片 33"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 descr="wps4"/>
                                <pic:cNvPicPr>
                                  <a:picLocks noChangeAspect="1"/>
                                </pic:cNvPicPr>
                              </pic:nvPicPr>
                              <pic:blipFill>
                                <a:blip r:embed="rId28"/>
                                <a:stretch>
                                  <a:fillRect/>
                                </a:stretch>
                              </pic:blipFill>
                              <pic:spPr>
                                <a:xfrm>
                                  <a:off x="0" y="0"/>
                                  <a:ext cx="682625" cy="668655"/>
                                </a:xfrm>
                                <a:prstGeom prst="rect">
                                  <a:avLst/>
                                </a:prstGeom>
                                <a:noFill/>
                                <a:ln>
                                  <a:noFill/>
                                </a:ln>
                              </pic:spPr>
                            </pic:pic>
                          </a:graphicData>
                        </a:graphic>
                      </wp:inline>
                    </w:drawing>
                  </w:r>
                </w:p>
              </w:tc>
              <w:tc>
                <w:tcPr>
                  <w:tcW w:w="1035" w:type="pct"/>
                  <w:noWrap w:val="0"/>
                  <w:vAlign w:val="center"/>
                </w:tcPr>
                <w:p w14:paraId="684A6A1F">
                  <w:pPr>
                    <w:jc w:val="center"/>
                    <w:rPr>
                      <w:color w:val="auto"/>
                      <w:szCs w:val="21"/>
                    </w:rPr>
                  </w:pPr>
                  <w:r>
                    <w:rPr>
                      <w:color w:val="auto"/>
                      <w:szCs w:val="21"/>
                    </w:rPr>
                    <w:drawing>
                      <wp:inline distT="0" distB="0" distL="114300" distR="114300">
                        <wp:extent cx="723265" cy="614045"/>
                        <wp:effectExtent l="0" t="0" r="635" b="14605"/>
                        <wp:docPr id="5" name="图片 36"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descr="wps5"/>
                                <pic:cNvPicPr>
                                  <a:picLocks noChangeAspect="1"/>
                                </pic:cNvPicPr>
                              </pic:nvPicPr>
                              <pic:blipFill>
                                <a:blip r:embed="rId29"/>
                                <a:stretch>
                                  <a:fillRect/>
                                </a:stretch>
                              </pic:blipFill>
                              <pic:spPr>
                                <a:xfrm>
                                  <a:off x="0" y="0"/>
                                  <a:ext cx="723265" cy="614045"/>
                                </a:xfrm>
                                <a:prstGeom prst="rect">
                                  <a:avLst/>
                                </a:prstGeom>
                                <a:noFill/>
                                <a:ln>
                                  <a:noFill/>
                                </a:ln>
                              </pic:spPr>
                            </pic:pic>
                          </a:graphicData>
                        </a:graphic>
                      </wp:inline>
                    </w:drawing>
                  </w:r>
                </w:p>
              </w:tc>
              <w:tc>
                <w:tcPr>
                  <w:tcW w:w="852" w:type="pct"/>
                  <w:noWrap w:val="0"/>
                  <w:vAlign w:val="center"/>
                </w:tcPr>
                <w:p w14:paraId="42B0DBB6">
                  <w:pPr>
                    <w:jc w:val="center"/>
                    <w:rPr>
                      <w:color w:val="auto"/>
                      <w:szCs w:val="21"/>
                    </w:rPr>
                  </w:pPr>
                  <w:r>
                    <w:rPr>
                      <w:color w:val="auto"/>
                      <w:szCs w:val="21"/>
                    </w:rPr>
                    <w:t>噪声排放源</w:t>
                  </w:r>
                </w:p>
              </w:tc>
              <w:tc>
                <w:tcPr>
                  <w:tcW w:w="1502" w:type="pct"/>
                  <w:noWrap w:val="0"/>
                  <w:vAlign w:val="center"/>
                </w:tcPr>
                <w:p w14:paraId="636BC513">
                  <w:pPr>
                    <w:jc w:val="center"/>
                    <w:rPr>
                      <w:color w:val="auto"/>
                      <w:szCs w:val="21"/>
                    </w:rPr>
                  </w:pPr>
                  <w:r>
                    <w:rPr>
                      <w:color w:val="auto"/>
                      <w:szCs w:val="21"/>
                    </w:rPr>
                    <w:t>表示噪声向外环境排放</w:t>
                  </w:r>
                </w:p>
              </w:tc>
            </w:tr>
          </w:tbl>
          <w:p w14:paraId="6FB4A38D">
            <w:pPr>
              <w:adjustRightInd w:val="0"/>
              <w:snapToGrid w:val="0"/>
              <w:spacing w:before="120" w:beforeLines="50"/>
              <w:jc w:val="center"/>
              <w:rPr>
                <w:b/>
                <w:bCs/>
                <w:color w:val="auto"/>
                <w:szCs w:val="21"/>
              </w:rPr>
            </w:pPr>
          </w:p>
          <w:p w14:paraId="3B6F6857">
            <w:pPr>
              <w:adjustRightInd w:val="0"/>
              <w:snapToGrid w:val="0"/>
              <w:spacing w:before="120" w:beforeLines="50"/>
              <w:jc w:val="center"/>
              <w:rPr>
                <w:b/>
                <w:bCs/>
                <w:color w:val="auto"/>
                <w:szCs w:val="21"/>
              </w:rPr>
            </w:pPr>
          </w:p>
          <w:p w14:paraId="69044ECD">
            <w:pPr>
              <w:adjustRightInd w:val="0"/>
              <w:snapToGrid w:val="0"/>
              <w:spacing w:before="120" w:beforeLines="50"/>
              <w:jc w:val="center"/>
              <w:rPr>
                <w:b/>
                <w:bCs/>
                <w:color w:val="auto"/>
                <w:szCs w:val="21"/>
              </w:rPr>
            </w:pPr>
          </w:p>
          <w:p w14:paraId="7829C205">
            <w:pPr>
              <w:adjustRightInd w:val="0"/>
              <w:snapToGrid w:val="0"/>
              <w:spacing w:before="120" w:beforeLines="50"/>
              <w:jc w:val="center"/>
              <w:rPr>
                <w:b/>
                <w:bCs/>
                <w:color w:val="auto"/>
                <w:szCs w:val="21"/>
              </w:rPr>
            </w:pPr>
          </w:p>
          <w:p w14:paraId="7A1B36FB">
            <w:pPr>
              <w:adjustRightInd w:val="0"/>
              <w:snapToGrid w:val="0"/>
              <w:spacing w:before="120" w:beforeLines="50"/>
              <w:jc w:val="center"/>
              <w:rPr>
                <w:b/>
                <w:bCs/>
                <w:color w:val="auto"/>
                <w:szCs w:val="21"/>
              </w:rPr>
            </w:pPr>
          </w:p>
          <w:p w14:paraId="54C17DE2">
            <w:pPr>
              <w:adjustRightInd w:val="0"/>
              <w:snapToGrid w:val="0"/>
              <w:spacing w:before="120" w:beforeLines="50"/>
              <w:jc w:val="center"/>
              <w:rPr>
                <w:b/>
                <w:bCs/>
                <w:color w:val="auto"/>
                <w:szCs w:val="21"/>
              </w:rPr>
            </w:pPr>
          </w:p>
          <w:p w14:paraId="40FE695A">
            <w:pPr>
              <w:adjustRightInd w:val="0"/>
              <w:snapToGrid w:val="0"/>
              <w:spacing w:before="120" w:beforeLines="50"/>
              <w:jc w:val="center"/>
              <w:rPr>
                <w:b/>
                <w:bCs/>
                <w:color w:val="auto"/>
                <w:szCs w:val="21"/>
              </w:rPr>
            </w:pPr>
          </w:p>
          <w:p w14:paraId="585B83AD">
            <w:pPr>
              <w:adjustRightInd w:val="0"/>
              <w:snapToGrid w:val="0"/>
              <w:spacing w:before="120" w:beforeLines="50"/>
              <w:jc w:val="center"/>
              <w:rPr>
                <w:b/>
                <w:bCs/>
                <w:color w:val="auto"/>
                <w:szCs w:val="21"/>
              </w:rPr>
            </w:pPr>
          </w:p>
          <w:p w14:paraId="3BE2B276">
            <w:pPr>
              <w:adjustRightInd w:val="0"/>
              <w:snapToGrid w:val="0"/>
              <w:spacing w:before="120" w:beforeLines="50"/>
              <w:jc w:val="center"/>
              <w:rPr>
                <w:b/>
                <w:bCs/>
                <w:color w:val="auto"/>
                <w:szCs w:val="21"/>
              </w:rPr>
            </w:pPr>
          </w:p>
          <w:p w14:paraId="54623DDB">
            <w:pPr>
              <w:adjustRightInd w:val="0"/>
              <w:snapToGrid w:val="0"/>
              <w:spacing w:before="120" w:beforeLines="50"/>
              <w:jc w:val="center"/>
              <w:rPr>
                <w:b/>
                <w:bCs/>
                <w:color w:val="auto"/>
                <w:szCs w:val="21"/>
              </w:rPr>
            </w:pPr>
          </w:p>
          <w:p w14:paraId="4CD1C0A0">
            <w:pPr>
              <w:adjustRightInd w:val="0"/>
              <w:snapToGrid w:val="0"/>
              <w:spacing w:before="120" w:beforeLines="50"/>
              <w:jc w:val="center"/>
              <w:rPr>
                <w:b/>
                <w:bCs/>
                <w:color w:val="auto"/>
                <w:szCs w:val="21"/>
              </w:rPr>
            </w:pPr>
          </w:p>
          <w:p w14:paraId="0DAB68CB">
            <w:pPr>
              <w:adjustRightInd w:val="0"/>
              <w:snapToGrid w:val="0"/>
              <w:spacing w:before="120" w:beforeLines="50"/>
              <w:jc w:val="center"/>
              <w:rPr>
                <w:b/>
                <w:bCs/>
                <w:color w:val="auto"/>
                <w:szCs w:val="21"/>
              </w:rPr>
            </w:pPr>
          </w:p>
          <w:p w14:paraId="396CB88B">
            <w:pPr>
              <w:adjustRightInd w:val="0"/>
              <w:snapToGrid w:val="0"/>
              <w:spacing w:before="120" w:beforeLines="50"/>
              <w:jc w:val="center"/>
              <w:rPr>
                <w:b/>
                <w:bCs/>
                <w:color w:val="auto"/>
                <w:szCs w:val="21"/>
              </w:rPr>
            </w:pPr>
          </w:p>
          <w:p w14:paraId="687E7DE0">
            <w:pPr>
              <w:adjustRightInd w:val="0"/>
              <w:snapToGrid w:val="0"/>
              <w:spacing w:before="120" w:beforeLines="50"/>
              <w:jc w:val="center"/>
              <w:rPr>
                <w:b/>
                <w:bCs/>
                <w:color w:val="auto"/>
                <w:szCs w:val="21"/>
              </w:rPr>
            </w:pPr>
            <w:r>
              <w:rPr>
                <w:b/>
                <w:bCs/>
                <w:color w:val="auto"/>
                <w:szCs w:val="21"/>
              </w:rPr>
              <w:t>表4-</w:t>
            </w:r>
            <w:r>
              <w:rPr>
                <w:rFonts w:hint="eastAsia"/>
                <w:b/>
                <w:bCs/>
                <w:color w:val="auto"/>
                <w:szCs w:val="21"/>
                <w:lang w:val="en-US" w:eastAsia="zh-CN"/>
              </w:rPr>
              <w:t>38</w:t>
            </w:r>
            <w:r>
              <w:rPr>
                <w:b/>
                <w:bCs/>
                <w:color w:val="auto"/>
                <w:szCs w:val="21"/>
              </w:rPr>
              <w:t xml:space="preserve"> 危险废物识别标识</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736"/>
              <w:gridCol w:w="1682"/>
              <w:gridCol w:w="3962"/>
            </w:tblGrid>
            <w:tr w14:paraId="52B6C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trPr>
              <w:tc>
                <w:tcPr>
                  <w:tcW w:w="1632" w:type="pct"/>
                  <w:noWrap w:val="0"/>
                  <w:vAlign w:val="center"/>
                </w:tcPr>
                <w:p w14:paraId="7B1511FC">
                  <w:pPr>
                    <w:jc w:val="center"/>
                    <w:rPr>
                      <w:b/>
                      <w:color w:val="auto"/>
                      <w:szCs w:val="21"/>
                    </w:rPr>
                  </w:pPr>
                  <w:r>
                    <w:rPr>
                      <w:b/>
                      <w:color w:val="auto"/>
                      <w:szCs w:val="21"/>
                    </w:rPr>
                    <w:t>警告图形符号</w:t>
                  </w:r>
                </w:p>
              </w:tc>
              <w:tc>
                <w:tcPr>
                  <w:tcW w:w="1003" w:type="pct"/>
                  <w:noWrap w:val="0"/>
                  <w:vAlign w:val="center"/>
                </w:tcPr>
                <w:p w14:paraId="6CA2A397">
                  <w:pPr>
                    <w:jc w:val="center"/>
                    <w:rPr>
                      <w:b/>
                      <w:color w:val="auto"/>
                      <w:szCs w:val="21"/>
                    </w:rPr>
                  </w:pPr>
                  <w:r>
                    <w:rPr>
                      <w:b/>
                      <w:color w:val="auto"/>
                      <w:szCs w:val="21"/>
                    </w:rPr>
                    <w:t>名称</w:t>
                  </w:r>
                </w:p>
              </w:tc>
              <w:tc>
                <w:tcPr>
                  <w:tcW w:w="2363" w:type="pct"/>
                  <w:noWrap w:val="0"/>
                  <w:vAlign w:val="center"/>
                </w:tcPr>
                <w:p w14:paraId="4ED3556E">
                  <w:pPr>
                    <w:jc w:val="center"/>
                    <w:rPr>
                      <w:b/>
                      <w:color w:val="auto"/>
                      <w:szCs w:val="21"/>
                    </w:rPr>
                  </w:pPr>
                  <w:r>
                    <w:rPr>
                      <w:b/>
                      <w:color w:val="auto"/>
                      <w:szCs w:val="21"/>
                    </w:rPr>
                    <w:t>公开内容</w:t>
                  </w:r>
                </w:p>
              </w:tc>
            </w:tr>
            <w:tr w14:paraId="0CB42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32" w:type="pct"/>
                  <w:noWrap w:val="0"/>
                  <w:vAlign w:val="center"/>
                </w:tcPr>
                <w:p w14:paraId="28AB18E0">
                  <w:pPr>
                    <w:snapToGrid w:val="0"/>
                    <w:jc w:val="center"/>
                    <w:rPr>
                      <w:color w:val="auto"/>
                      <w:szCs w:val="21"/>
                    </w:rPr>
                  </w:pPr>
                  <w:r>
                    <w:rPr>
                      <w:color w:val="auto"/>
                    </w:rPr>
                    <w:drawing>
                      <wp:inline distT="0" distB="0" distL="114300" distR="114300">
                        <wp:extent cx="1255395" cy="793750"/>
                        <wp:effectExtent l="0" t="0" r="1905" b="635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30"/>
                                <a:stretch>
                                  <a:fillRect/>
                                </a:stretch>
                              </pic:blipFill>
                              <pic:spPr>
                                <a:xfrm>
                                  <a:off x="0" y="0"/>
                                  <a:ext cx="1255395" cy="793750"/>
                                </a:xfrm>
                                <a:prstGeom prst="rect">
                                  <a:avLst/>
                                </a:prstGeom>
                                <a:noFill/>
                                <a:ln>
                                  <a:noFill/>
                                </a:ln>
                              </pic:spPr>
                            </pic:pic>
                          </a:graphicData>
                        </a:graphic>
                      </wp:inline>
                    </w:drawing>
                  </w:r>
                </w:p>
              </w:tc>
              <w:tc>
                <w:tcPr>
                  <w:tcW w:w="1003" w:type="pct"/>
                  <w:noWrap w:val="0"/>
                  <w:vAlign w:val="center"/>
                </w:tcPr>
                <w:p w14:paraId="60C41100">
                  <w:pPr>
                    <w:jc w:val="center"/>
                    <w:rPr>
                      <w:color w:val="auto"/>
                      <w:szCs w:val="21"/>
                    </w:rPr>
                  </w:pPr>
                  <w:r>
                    <w:rPr>
                      <w:color w:val="auto"/>
                      <w:szCs w:val="21"/>
                    </w:rPr>
                    <w:t>危险废物贮存、利用、处置设施标志</w:t>
                  </w:r>
                </w:p>
              </w:tc>
              <w:tc>
                <w:tcPr>
                  <w:tcW w:w="2363" w:type="pct"/>
                  <w:noWrap w:val="0"/>
                  <w:tcMar>
                    <w:top w:w="0" w:type="dxa"/>
                    <w:left w:w="0" w:type="dxa"/>
                    <w:bottom w:w="0" w:type="dxa"/>
                    <w:right w:w="0" w:type="dxa"/>
                  </w:tcMar>
                  <w:vAlign w:val="center"/>
                </w:tcPr>
                <w:p w14:paraId="735E393D">
                  <w:pPr>
                    <w:pStyle w:val="62"/>
                    <w:spacing w:after="0" w:line="240" w:lineRule="auto"/>
                    <w:rPr>
                      <w:rFonts w:ascii="Times New Roman" w:cs="Times New Roman"/>
                      <w:color w:val="auto"/>
                      <w:sz w:val="21"/>
                      <w:szCs w:val="21"/>
                    </w:rPr>
                  </w:pPr>
                  <w:r>
                    <w:rPr>
                      <w:rFonts w:ascii="Times New Roman" w:cs="Times New Roman"/>
                      <w:b w:val="0"/>
                      <w:bCs/>
                      <w:color w:val="auto"/>
                      <w:sz w:val="21"/>
                      <w:szCs w:val="21"/>
                    </w:rPr>
                    <w:t>包括</w:t>
                  </w:r>
                  <w:r>
                    <w:rPr>
                      <w:rFonts w:hint="eastAsia" w:ascii="Times New Roman" w:cs="Times New Roman"/>
                      <w:b w:val="0"/>
                      <w:bCs/>
                      <w:color w:val="auto"/>
                      <w:sz w:val="21"/>
                      <w:szCs w:val="21"/>
                    </w:rPr>
                    <w:t>单位名称、设施编码、负责人及联系方式等信息</w:t>
                  </w:r>
                  <w:r>
                    <w:rPr>
                      <w:rFonts w:ascii="Times New Roman" w:cs="Times New Roman"/>
                      <w:b w:val="0"/>
                      <w:bCs/>
                      <w:color w:val="auto"/>
                      <w:sz w:val="21"/>
                      <w:szCs w:val="21"/>
                    </w:rPr>
                    <w:t>。</w:t>
                  </w:r>
                </w:p>
              </w:tc>
            </w:tr>
            <w:tr w14:paraId="6DB11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32" w:type="pct"/>
                  <w:noWrap w:val="0"/>
                  <w:vAlign w:val="center"/>
                </w:tcPr>
                <w:p w14:paraId="7B9AFB51">
                  <w:pPr>
                    <w:snapToGrid w:val="0"/>
                    <w:jc w:val="center"/>
                    <w:rPr>
                      <w:color w:val="auto"/>
                      <w:szCs w:val="21"/>
                    </w:rPr>
                  </w:pPr>
                  <w:r>
                    <w:rPr>
                      <w:color w:val="auto"/>
                    </w:rPr>
                    <w:drawing>
                      <wp:inline distT="0" distB="0" distL="114300" distR="114300">
                        <wp:extent cx="1182370" cy="993775"/>
                        <wp:effectExtent l="0" t="0" r="17780" b="1587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1"/>
                                <a:stretch>
                                  <a:fillRect/>
                                </a:stretch>
                              </pic:blipFill>
                              <pic:spPr>
                                <a:xfrm>
                                  <a:off x="0" y="0"/>
                                  <a:ext cx="1182370" cy="993775"/>
                                </a:xfrm>
                                <a:prstGeom prst="rect">
                                  <a:avLst/>
                                </a:prstGeom>
                                <a:noFill/>
                                <a:ln>
                                  <a:noFill/>
                                </a:ln>
                              </pic:spPr>
                            </pic:pic>
                          </a:graphicData>
                        </a:graphic>
                      </wp:inline>
                    </w:drawing>
                  </w:r>
                </w:p>
              </w:tc>
              <w:tc>
                <w:tcPr>
                  <w:tcW w:w="1003" w:type="pct"/>
                  <w:noWrap w:val="0"/>
                  <w:vAlign w:val="center"/>
                </w:tcPr>
                <w:p w14:paraId="5C73A605">
                  <w:pPr>
                    <w:jc w:val="center"/>
                    <w:rPr>
                      <w:color w:val="auto"/>
                      <w:szCs w:val="21"/>
                    </w:rPr>
                  </w:pPr>
                  <w:r>
                    <w:rPr>
                      <w:color w:val="auto"/>
                      <w:szCs w:val="21"/>
                    </w:rPr>
                    <w:t>危险废物贮存分区标志</w:t>
                  </w:r>
                </w:p>
              </w:tc>
              <w:tc>
                <w:tcPr>
                  <w:tcW w:w="2363" w:type="pct"/>
                  <w:noWrap w:val="0"/>
                  <w:tcMar>
                    <w:top w:w="0" w:type="dxa"/>
                    <w:left w:w="0" w:type="dxa"/>
                    <w:bottom w:w="0" w:type="dxa"/>
                    <w:right w:w="0" w:type="dxa"/>
                  </w:tcMar>
                  <w:vAlign w:val="center"/>
                </w:tcPr>
                <w:p w14:paraId="5B7010BA">
                  <w:pPr>
                    <w:jc w:val="center"/>
                    <w:rPr>
                      <w:color w:val="auto"/>
                      <w:szCs w:val="21"/>
                    </w:rPr>
                  </w:pPr>
                  <w:r>
                    <w:rPr>
                      <w:color w:val="auto"/>
                      <w:szCs w:val="21"/>
                    </w:rPr>
                    <w:t>包括</w:t>
                  </w:r>
                  <w:r>
                    <w:rPr>
                      <w:rFonts w:hint="eastAsia"/>
                      <w:color w:val="auto"/>
                      <w:szCs w:val="21"/>
                    </w:rPr>
                    <w:t>贮存分区、收集池、应急物资、出入口当前所处位置等</w:t>
                  </w:r>
                  <w:r>
                    <w:rPr>
                      <w:color w:val="auto"/>
                      <w:szCs w:val="21"/>
                    </w:rPr>
                    <w:t>。</w:t>
                  </w:r>
                </w:p>
              </w:tc>
            </w:tr>
            <w:tr w14:paraId="4BD5D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32" w:type="pct"/>
                  <w:noWrap w:val="0"/>
                  <w:vAlign w:val="center"/>
                </w:tcPr>
                <w:p w14:paraId="6785139B">
                  <w:pPr>
                    <w:snapToGrid w:val="0"/>
                    <w:jc w:val="center"/>
                    <w:rPr>
                      <w:color w:val="auto"/>
                      <w:szCs w:val="21"/>
                    </w:rPr>
                  </w:pPr>
                  <w:r>
                    <w:rPr>
                      <w:color w:val="auto"/>
                    </w:rPr>
                    <w:drawing>
                      <wp:inline distT="0" distB="0" distL="114300" distR="114300">
                        <wp:extent cx="1164590" cy="1156970"/>
                        <wp:effectExtent l="0" t="0" r="16510" b="508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32"/>
                                <a:stretch>
                                  <a:fillRect/>
                                </a:stretch>
                              </pic:blipFill>
                              <pic:spPr>
                                <a:xfrm>
                                  <a:off x="0" y="0"/>
                                  <a:ext cx="1164590" cy="1156970"/>
                                </a:xfrm>
                                <a:prstGeom prst="rect">
                                  <a:avLst/>
                                </a:prstGeom>
                                <a:noFill/>
                                <a:ln>
                                  <a:noFill/>
                                </a:ln>
                              </pic:spPr>
                            </pic:pic>
                          </a:graphicData>
                        </a:graphic>
                      </wp:inline>
                    </w:drawing>
                  </w:r>
                </w:p>
              </w:tc>
              <w:tc>
                <w:tcPr>
                  <w:tcW w:w="1003" w:type="pct"/>
                  <w:noWrap w:val="0"/>
                  <w:vAlign w:val="center"/>
                </w:tcPr>
                <w:p w14:paraId="589CF63C">
                  <w:pPr>
                    <w:jc w:val="center"/>
                    <w:rPr>
                      <w:color w:val="auto"/>
                      <w:szCs w:val="21"/>
                    </w:rPr>
                  </w:pPr>
                  <w:r>
                    <w:rPr>
                      <w:color w:val="auto"/>
                      <w:szCs w:val="21"/>
                    </w:rPr>
                    <w:t>包装识别</w:t>
                  </w:r>
                </w:p>
                <w:p w14:paraId="301658CD">
                  <w:pPr>
                    <w:jc w:val="center"/>
                    <w:rPr>
                      <w:color w:val="auto"/>
                      <w:szCs w:val="21"/>
                    </w:rPr>
                  </w:pPr>
                  <w:r>
                    <w:rPr>
                      <w:color w:val="auto"/>
                      <w:szCs w:val="21"/>
                    </w:rPr>
                    <w:t>标签</w:t>
                  </w:r>
                </w:p>
              </w:tc>
              <w:tc>
                <w:tcPr>
                  <w:tcW w:w="2363" w:type="pct"/>
                  <w:noWrap w:val="0"/>
                  <w:tcMar>
                    <w:top w:w="0" w:type="dxa"/>
                    <w:left w:w="0" w:type="dxa"/>
                    <w:bottom w:w="0" w:type="dxa"/>
                    <w:right w:w="0" w:type="dxa"/>
                  </w:tcMar>
                  <w:vAlign w:val="center"/>
                </w:tcPr>
                <w:p w14:paraId="42D1D87D">
                  <w:pPr>
                    <w:jc w:val="center"/>
                    <w:rPr>
                      <w:color w:val="auto"/>
                      <w:szCs w:val="21"/>
                    </w:rPr>
                  </w:pPr>
                  <w:r>
                    <w:rPr>
                      <w:rFonts w:hint="eastAsia"/>
                      <w:color w:val="auto"/>
                      <w:szCs w:val="21"/>
                    </w:rPr>
                    <w:t>废物名称、废物类别、废物代码、废物形态、危险特性、主要成分、有害成分等</w:t>
                  </w:r>
                </w:p>
              </w:tc>
            </w:tr>
          </w:tbl>
          <w:p w14:paraId="4219DD1A">
            <w:pPr>
              <w:adjustRightInd w:val="0"/>
              <w:snapToGrid w:val="0"/>
              <w:spacing w:before="120" w:beforeLines="50"/>
              <w:jc w:val="center"/>
              <w:rPr>
                <w:b/>
                <w:bCs/>
                <w:color w:val="auto"/>
                <w:szCs w:val="21"/>
              </w:rPr>
            </w:pPr>
          </w:p>
          <w:p w14:paraId="1E2EAA2A">
            <w:pPr>
              <w:adjustRightInd w:val="0"/>
              <w:snapToGrid w:val="0"/>
              <w:spacing w:before="120" w:beforeLines="50"/>
              <w:jc w:val="center"/>
              <w:rPr>
                <w:b/>
                <w:bCs/>
                <w:color w:val="auto"/>
                <w:szCs w:val="21"/>
              </w:rPr>
            </w:pPr>
          </w:p>
          <w:p w14:paraId="54C98EF2">
            <w:pPr>
              <w:adjustRightInd w:val="0"/>
              <w:snapToGrid w:val="0"/>
              <w:spacing w:before="120" w:beforeLines="50"/>
              <w:jc w:val="center"/>
              <w:rPr>
                <w:b/>
                <w:bCs/>
                <w:color w:val="auto"/>
                <w:szCs w:val="21"/>
              </w:rPr>
            </w:pPr>
          </w:p>
          <w:p w14:paraId="785566F1">
            <w:pPr>
              <w:adjustRightInd w:val="0"/>
              <w:snapToGrid w:val="0"/>
              <w:spacing w:before="120" w:beforeLines="50"/>
              <w:jc w:val="center"/>
              <w:rPr>
                <w:b/>
                <w:bCs/>
                <w:color w:val="auto"/>
                <w:szCs w:val="21"/>
              </w:rPr>
            </w:pPr>
          </w:p>
          <w:p w14:paraId="10ED1145">
            <w:pPr>
              <w:adjustRightInd w:val="0"/>
              <w:snapToGrid w:val="0"/>
              <w:spacing w:before="120" w:beforeLines="50"/>
              <w:jc w:val="center"/>
              <w:rPr>
                <w:b/>
                <w:bCs/>
                <w:color w:val="auto"/>
                <w:szCs w:val="21"/>
              </w:rPr>
            </w:pPr>
          </w:p>
          <w:p w14:paraId="377F9093">
            <w:pPr>
              <w:adjustRightInd w:val="0"/>
              <w:snapToGrid w:val="0"/>
              <w:spacing w:before="120" w:beforeLines="50"/>
              <w:jc w:val="center"/>
              <w:rPr>
                <w:b/>
                <w:bCs/>
                <w:color w:val="auto"/>
                <w:szCs w:val="21"/>
              </w:rPr>
            </w:pPr>
          </w:p>
          <w:p w14:paraId="325B5986">
            <w:pPr>
              <w:adjustRightInd w:val="0"/>
              <w:snapToGrid w:val="0"/>
              <w:spacing w:before="120" w:beforeLines="50"/>
              <w:jc w:val="center"/>
              <w:rPr>
                <w:b/>
                <w:bCs/>
                <w:color w:val="auto"/>
                <w:szCs w:val="21"/>
              </w:rPr>
            </w:pPr>
          </w:p>
          <w:p w14:paraId="3DC36945">
            <w:pPr>
              <w:adjustRightInd w:val="0"/>
              <w:snapToGrid w:val="0"/>
              <w:spacing w:before="120" w:beforeLines="50"/>
              <w:jc w:val="center"/>
              <w:rPr>
                <w:b/>
                <w:bCs/>
                <w:color w:val="auto"/>
                <w:szCs w:val="21"/>
              </w:rPr>
            </w:pPr>
          </w:p>
          <w:p w14:paraId="1573DD92">
            <w:pPr>
              <w:adjustRightInd w:val="0"/>
              <w:snapToGrid w:val="0"/>
              <w:spacing w:before="120" w:beforeLines="50"/>
              <w:jc w:val="center"/>
              <w:rPr>
                <w:b/>
                <w:bCs/>
                <w:color w:val="auto"/>
                <w:szCs w:val="21"/>
              </w:rPr>
            </w:pPr>
          </w:p>
          <w:p w14:paraId="166ADD9F">
            <w:pPr>
              <w:adjustRightInd w:val="0"/>
              <w:snapToGrid w:val="0"/>
              <w:spacing w:before="120" w:beforeLines="50"/>
              <w:jc w:val="center"/>
              <w:rPr>
                <w:b/>
                <w:bCs/>
                <w:color w:val="auto"/>
                <w:szCs w:val="21"/>
              </w:rPr>
            </w:pPr>
          </w:p>
          <w:p w14:paraId="050AC666">
            <w:pPr>
              <w:adjustRightInd w:val="0"/>
              <w:snapToGrid w:val="0"/>
              <w:spacing w:before="120" w:beforeLines="50"/>
              <w:jc w:val="center"/>
              <w:rPr>
                <w:b/>
                <w:bCs/>
                <w:color w:val="auto"/>
                <w:szCs w:val="21"/>
              </w:rPr>
            </w:pPr>
          </w:p>
          <w:p w14:paraId="74873A27">
            <w:pPr>
              <w:adjustRightInd w:val="0"/>
              <w:snapToGrid w:val="0"/>
              <w:spacing w:before="120" w:beforeLines="50"/>
              <w:jc w:val="center"/>
              <w:rPr>
                <w:b/>
                <w:bCs/>
                <w:color w:val="auto"/>
                <w:szCs w:val="21"/>
              </w:rPr>
            </w:pPr>
          </w:p>
          <w:p w14:paraId="2A27B2EB">
            <w:pPr>
              <w:adjustRightInd w:val="0"/>
              <w:snapToGrid w:val="0"/>
              <w:spacing w:before="120" w:beforeLines="50"/>
              <w:jc w:val="center"/>
              <w:rPr>
                <w:b/>
                <w:bCs/>
                <w:color w:val="auto"/>
                <w:szCs w:val="21"/>
              </w:rPr>
            </w:pPr>
          </w:p>
          <w:p w14:paraId="382716D5">
            <w:pPr>
              <w:adjustRightInd w:val="0"/>
              <w:snapToGrid w:val="0"/>
              <w:spacing w:before="120" w:beforeLines="50"/>
              <w:jc w:val="center"/>
              <w:rPr>
                <w:b/>
                <w:bCs/>
                <w:color w:val="auto"/>
                <w:szCs w:val="21"/>
              </w:rPr>
            </w:pPr>
          </w:p>
          <w:p w14:paraId="7DE0375F">
            <w:pPr>
              <w:adjustRightInd w:val="0"/>
              <w:snapToGrid w:val="0"/>
              <w:spacing w:before="120" w:beforeLines="50"/>
              <w:jc w:val="center"/>
              <w:rPr>
                <w:b/>
                <w:bCs/>
                <w:color w:val="auto"/>
                <w:szCs w:val="21"/>
              </w:rPr>
            </w:pPr>
          </w:p>
          <w:p w14:paraId="66EB17A9">
            <w:pPr>
              <w:adjustRightInd w:val="0"/>
              <w:snapToGrid w:val="0"/>
              <w:spacing w:before="120" w:beforeLines="50"/>
              <w:jc w:val="center"/>
              <w:rPr>
                <w:b/>
                <w:bCs/>
                <w:color w:val="auto"/>
                <w:szCs w:val="21"/>
              </w:rPr>
            </w:pPr>
          </w:p>
          <w:p w14:paraId="15F524D3">
            <w:pPr>
              <w:adjustRightInd w:val="0"/>
              <w:snapToGrid w:val="0"/>
              <w:spacing w:before="120" w:beforeLines="50"/>
              <w:jc w:val="center"/>
              <w:rPr>
                <w:b/>
                <w:bCs/>
                <w:color w:val="auto"/>
                <w:szCs w:val="21"/>
              </w:rPr>
            </w:pPr>
          </w:p>
          <w:p w14:paraId="7BAEA0BA">
            <w:pPr>
              <w:adjustRightInd w:val="0"/>
              <w:snapToGrid w:val="0"/>
              <w:spacing w:before="120" w:beforeLines="50"/>
              <w:jc w:val="center"/>
              <w:rPr>
                <w:b/>
                <w:bCs/>
                <w:color w:val="auto"/>
                <w:szCs w:val="21"/>
              </w:rPr>
            </w:pPr>
          </w:p>
          <w:p w14:paraId="6B2DF02E">
            <w:pPr>
              <w:adjustRightInd w:val="0"/>
              <w:snapToGrid w:val="0"/>
              <w:spacing w:before="120" w:beforeLines="50"/>
              <w:jc w:val="center"/>
              <w:rPr>
                <w:b/>
                <w:bCs/>
                <w:color w:val="auto"/>
                <w:szCs w:val="21"/>
              </w:rPr>
            </w:pPr>
          </w:p>
          <w:p w14:paraId="3D5A8F19">
            <w:pPr>
              <w:adjustRightInd w:val="0"/>
              <w:snapToGrid w:val="0"/>
              <w:spacing w:before="120" w:beforeLines="50"/>
              <w:jc w:val="center"/>
              <w:rPr>
                <w:b/>
                <w:bCs/>
                <w:color w:val="auto"/>
                <w:szCs w:val="21"/>
              </w:rPr>
            </w:pPr>
          </w:p>
          <w:p w14:paraId="5A62323D">
            <w:pPr>
              <w:adjustRightInd w:val="0"/>
              <w:snapToGrid w:val="0"/>
              <w:spacing w:line="360" w:lineRule="auto"/>
              <w:rPr>
                <w:bCs/>
                <w:color w:val="auto"/>
                <w:szCs w:val="21"/>
              </w:rPr>
            </w:pPr>
          </w:p>
        </w:tc>
      </w:tr>
    </w:tbl>
    <w:p w14:paraId="34606152">
      <w:pPr>
        <w:pStyle w:val="25"/>
        <w:adjustRightInd w:val="0"/>
        <w:snapToGrid w:val="0"/>
        <w:spacing w:before="0" w:beforeAutospacing="0" w:after="0" w:afterAutospacing="0"/>
        <w:outlineLvl w:val="0"/>
        <w:rPr>
          <w:rFonts w:ascii="Times New Roman" w:hAnsi="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4D76AFE">
      <w:pPr>
        <w:pStyle w:val="25"/>
        <w:adjustRightInd w:val="0"/>
        <w:snapToGrid w:val="0"/>
        <w:spacing w:before="0" w:beforeAutospacing="0" w:after="0" w:afterAutospacing="0"/>
        <w:outlineLvl w:val="0"/>
        <w:rPr>
          <w:rFonts w:ascii="Times New Roman" w:hAnsi="Times New Roman"/>
          <w:b/>
          <w:bCs/>
          <w:snapToGrid w:val="0"/>
          <w:color w:val="auto"/>
          <w:sz w:val="30"/>
          <w:szCs w:val="30"/>
        </w:rPr>
      </w:pPr>
      <w:bookmarkStart w:id="31" w:name="_Toc22893"/>
      <w:r>
        <w:rPr>
          <w:rFonts w:ascii="Times New Roman" w:hAnsi="Times New Roman"/>
          <w:b/>
          <w:bCs/>
          <w:snapToGrid w:val="0"/>
          <w:color w:val="auto"/>
          <w:sz w:val="30"/>
          <w:szCs w:val="30"/>
        </w:rPr>
        <w:t>五、</w:t>
      </w:r>
      <w:bookmarkStart w:id="32" w:name="_Hlk54167917"/>
      <w:r>
        <w:rPr>
          <w:rFonts w:ascii="Times New Roman" w:hAnsi="Times New Roman"/>
          <w:b/>
          <w:bCs/>
          <w:snapToGrid w:val="0"/>
          <w:color w:val="auto"/>
          <w:sz w:val="30"/>
          <w:szCs w:val="30"/>
        </w:rPr>
        <w:t>环境保护措施监督检查清单</w:t>
      </w:r>
      <w:bookmarkEnd w:id="31"/>
      <w:bookmarkEnd w:id="32"/>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9"/>
        <w:gridCol w:w="635"/>
        <w:gridCol w:w="1064"/>
        <w:gridCol w:w="1421"/>
        <w:gridCol w:w="1503"/>
        <w:gridCol w:w="3328"/>
      </w:tblGrid>
      <w:tr w14:paraId="5A6AB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tcBorders>
              <w:tl2br w:val="single" w:color="auto" w:sz="6" w:space="0"/>
            </w:tcBorders>
            <w:noWrap w:val="0"/>
            <w:tcMar>
              <w:top w:w="0" w:type="dxa"/>
              <w:left w:w="0" w:type="dxa"/>
              <w:bottom w:w="0" w:type="dxa"/>
              <w:right w:w="0" w:type="dxa"/>
            </w:tcMar>
            <w:vAlign w:val="center"/>
          </w:tcPr>
          <w:p w14:paraId="181BA8B6">
            <w:pPr>
              <w:adjustRightInd w:val="0"/>
              <w:snapToGrid w:val="0"/>
              <w:jc w:val="right"/>
              <w:rPr>
                <w:b/>
                <w:bCs/>
                <w:color w:val="auto"/>
                <w:szCs w:val="21"/>
              </w:rPr>
            </w:pPr>
            <w:r>
              <w:rPr>
                <w:b/>
                <w:bCs/>
                <w:color w:val="auto"/>
                <w:szCs w:val="21"/>
              </w:rPr>
              <w:t>内容</w:t>
            </w:r>
          </w:p>
          <w:p w14:paraId="0505FA3D">
            <w:pPr>
              <w:adjustRightInd w:val="0"/>
              <w:snapToGrid w:val="0"/>
              <w:rPr>
                <w:b/>
                <w:bCs/>
                <w:color w:val="auto"/>
                <w:szCs w:val="21"/>
              </w:rPr>
            </w:pPr>
            <w:r>
              <w:rPr>
                <w:b/>
                <w:bCs/>
                <w:color w:val="auto"/>
                <w:szCs w:val="21"/>
              </w:rPr>
              <w:t>要素</w:t>
            </w:r>
          </w:p>
        </w:tc>
        <w:tc>
          <w:tcPr>
            <w:tcW w:w="954" w:type="pct"/>
            <w:gridSpan w:val="2"/>
            <w:noWrap w:val="0"/>
            <w:tcMar>
              <w:top w:w="0" w:type="dxa"/>
              <w:left w:w="0" w:type="dxa"/>
              <w:bottom w:w="0" w:type="dxa"/>
              <w:right w:w="0" w:type="dxa"/>
            </w:tcMar>
            <w:vAlign w:val="center"/>
          </w:tcPr>
          <w:p w14:paraId="79106205">
            <w:pPr>
              <w:adjustRightInd w:val="0"/>
              <w:snapToGrid w:val="0"/>
              <w:jc w:val="center"/>
              <w:rPr>
                <w:b/>
                <w:bCs/>
                <w:color w:val="auto"/>
                <w:szCs w:val="21"/>
              </w:rPr>
            </w:pPr>
            <w:r>
              <w:rPr>
                <w:b/>
                <w:bCs/>
                <w:color w:val="auto"/>
                <w:szCs w:val="21"/>
              </w:rPr>
              <w:t>排放口(编号、名称)/污染源</w:t>
            </w:r>
          </w:p>
        </w:tc>
        <w:tc>
          <w:tcPr>
            <w:tcW w:w="802" w:type="pct"/>
            <w:noWrap w:val="0"/>
            <w:tcMar>
              <w:top w:w="0" w:type="dxa"/>
              <w:left w:w="0" w:type="dxa"/>
              <w:bottom w:w="0" w:type="dxa"/>
              <w:right w:w="0" w:type="dxa"/>
            </w:tcMar>
            <w:vAlign w:val="center"/>
          </w:tcPr>
          <w:p w14:paraId="34CFCBB6">
            <w:pPr>
              <w:adjustRightInd w:val="0"/>
              <w:snapToGrid w:val="0"/>
              <w:jc w:val="center"/>
              <w:rPr>
                <w:b/>
                <w:bCs/>
                <w:color w:val="auto"/>
                <w:szCs w:val="21"/>
              </w:rPr>
            </w:pPr>
            <w:r>
              <w:rPr>
                <w:b/>
                <w:bCs/>
                <w:color w:val="auto"/>
                <w:szCs w:val="21"/>
              </w:rPr>
              <w:t>污染物项目</w:t>
            </w:r>
          </w:p>
        </w:tc>
        <w:tc>
          <w:tcPr>
            <w:tcW w:w="848" w:type="pct"/>
            <w:noWrap w:val="0"/>
            <w:tcMar>
              <w:top w:w="0" w:type="dxa"/>
              <w:left w:w="0" w:type="dxa"/>
              <w:bottom w:w="0" w:type="dxa"/>
              <w:right w:w="0" w:type="dxa"/>
            </w:tcMar>
            <w:vAlign w:val="center"/>
          </w:tcPr>
          <w:p w14:paraId="75500EC8">
            <w:pPr>
              <w:adjustRightInd w:val="0"/>
              <w:snapToGrid w:val="0"/>
              <w:jc w:val="center"/>
              <w:rPr>
                <w:b/>
                <w:bCs/>
                <w:color w:val="auto"/>
                <w:szCs w:val="21"/>
              </w:rPr>
            </w:pPr>
            <w:r>
              <w:rPr>
                <w:b/>
                <w:bCs/>
                <w:color w:val="auto"/>
                <w:szCs w:val="21"/>
              </w:rPr>
              <w:t>环境保护措施</w:t>
            </w:r>
          </w:p>
        </w:tc>
        <w:tc>
          <w:tcPr>
            <w:tcW w:w="1874" w:type="pct"/>
            <w:noWrap w:val="0"/>
            <w:tcMar>
              <w:top w:w="0" w:type="dxa"/>
              <w:left w:w="0" w:type="dxa"/>
              <w:bottom w:w="0" w:type="dxa"/>
              <w:right w:w="0" w:type="dxa"/>
            </w:tcMar>
            <w:vAlign w:val="center"/>
          </w:tcPr>
          <w:p w14:paraId="48ABB2F7">
            <w:pPr>
              <w:adjustRightInd w:val="0"/>
              <w:snapToGrid w:val="0"/>
              <w:jc w:val="center"/>
              <w:rPr>
                <w:b/>
                <w:bCs/>
                <w:color w:val="auto"/>
                <w:szCs w:val="21"/>
              </w:rPr>
            </w:pPr>
            <w:r>
              <w:rPr>
                <w:b/>
                <w:bCs/>
                <w:color w:val="auto"/>
                <w:szCs w:val="21"/>
              </w:rPr>
              <w:t>执行标准</w:t>
            </w:r>
          </w:p>
        </w:tc>
      </w:tr>
      <w:tr w14:paraId="1319D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519" w:type="pct"/>
            <w:vMerge w:val="restart"/>
            <w:noWrap w:val="0"/>
            <w:tcMar>
              <w:top w:w="0" w:type="dxa"/>
              <w:left w:w="0" w:type="dxa"/>
              <w:bottom w:w="0" w:type="dxa"/>
              <w:right w:w="0" w:type="dxa"/>
            </w:tcMar>
            <w:vAlign w:val="center"/>
          </w:tcPr>
          <w:p w14:paraId="535DE9D9">
            <w:pPr>
              <w:adjustRightInd w:val="0"/>
              <w:snapToGrid w:val="0"/>
              <w:jc w:val="center"/>
              <w:rPr>
                <w:rFonts w:hint="eastAsia" w:eastAsia="宋体"/>
                <w:color w:val="auto"/>
                <w:szCs w:val="21"/>
                <w:lang w:val="en-US" w:eastAsia="zh-CN"/>
              </w:rPr>
            </w:pPr>
            <w:r>
              <w:rPr>
                <w:rFonts w:hint="eastAsia"/>
                <w:color w:val="auto"/>
                <w:szCs w:val="21"/>
                <w:lang w:val="en-US" w:eastAsia="zh-CN"/>
              </w:rPr>
              <w:t>大气环境</w:t>
            </w:r>
          </w:p>
        </w:tc>
        <w:tc>
          <w:tcPr>
            <w:tcW w:w="353" w:type="pct"/>
            <w:noWrap w:val="0"/>
            <w:tcMar>
              <w:top w:w="0" w:type="dxa"/>
              <w:left w:w="0" w:type="dxa"/>
              <w:bottom w:w="0" w:type="dxa"/>
              <w:right w:w="0" w:type="dxa"/>
            </w:tcMar>
            <w:vAlign w:val="center"/>
          </w:tcPr>
          <w:p w14:paraId="69FF08D4">
            <w:pPr>
              <w:adjustRightInd w:val="0"/>
              <w:snapToGrid w:val="0"/>
              <w:jc w:val="center"/>
              <w:rPr>
                <w:rFonts w:hint="default" w:eastAsia="宋体"/>
                <w:color w:val="auto"/>
                <w:szCs w:val="21"/>
                <w:lang w:val="en-US" w:eastAsia="zh-CN"/>
              </w:rPr>
            </w:pPr>
            <w:r>
              <w:rPr>
                <w:rFonts w:hint="eastAsia"/>
                <w:color w:val="auto"/>
                <w:szCs w:val="21"/>
                <w:lang w:val="en-US" w:eastAsia="zh-CN"/>
              </w:rPr>
              <w:t>DA001</w:t>
            </w:r>
          </w:p>
        </w:tc>
        <w:tc>
          <w:tcPr>
            <w:tcW w:w="600" w:type="pct"/>
            <w:noWrap w:val="0"/>
            <w:tcMar>
              <w:top w:w="0" w:type="dxa"/>
              <w:left w:w="0" w:type="dxa"/>
              <w:bottom w:w="0" w:type="dxa"/>
              <w:right w:w="0" w:type="dxa"/>
            </w:tcMar>
            <w:vAlign w:val="center"/>
          </w:tcPr>
          <w:p w14:paraId="35C65CE0">
            <w:pPr>
              <w:adjustRightInd w:val="0"/>
              <w:snapToGrid w:val="0"/>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配料、投料</w:t>
            </w:r>
          </w:p>
        </w:tc>
        <w:tc>
          <w:tcPr>
            <w:tcW w:w="802" w:type="pct"/>
            <w:noWrap w:val="0"/>
            <w:tcMar>
              <w:top w:w="0" w:type="dxa"/>
              <w:left w:w="0" w:type="dxa"/>
              <w:bottom w:w="0" w:type="dxa"/>
              <w:right w:w="0" w:type="dxa"/>
            </w:tcMar>
            <w:vAlign w:val="center"/>
          </w:tcPr>
          <w:p w14:paraId="113077EB">
            <w:pPr>
              <w:jc w:val="center"/>
              <w:rPr>
                <w:rFonts w:hint="eastAsia" w:eastAsia="宋体"/>
                <w:color w:val="auto"/>
                <w:kern w:val="2"/>
                <w:sz w:val="21"/>
                <w:szCs w:val="21"/>
                <w:lang w:val="en-US" w:eastAsia="zh-CN" w:bidi="ar-SA"/>
              </w:rPr>
            </w:pPr>
            <w:r>
              <w:rPr>
                <w:rFonts w:hint="eastAsia" w:eastAsia="宋体"/>
                <w:bCs/>
                <w:color w:val="auto"/>
                <w:szCs w:val="21"/>
                <w:lang w:val="en-US" w:eastAsia="zh-CN"/>
              </w:rPr>
              <w:t>颗粒物</w:t>
            </w:r>
          </w:p>
        </w:tc>
        <w:tc>
          <w:tcPr>
            <w:tcW w:w="848" w:type="pct"/>
            <w:noWrap w:val="0"/>
            <w:tcMar>
              <w:top w:w="0" w:type="dxa"/>
              <w:left w:w="0" w:type="dxa"/>
              <w:bottom w:w="0" w:type="dxa"/>
              <w:right w:w="0" w:type="dxa"/>
            </w:tcMar>
            <w:vAlign w:val="center"/>
          </w:tcPr>
          <w:p w14:paraId="7178496F">
            <w:pPr>
              <w:adjustRightInd w:val="0"/>
              <w:snapToGrid w:val="0"/>
              <w:jc w:val="center"/>
              <w:rPr>
                <w:rFonts w:hint="default"/>
                <w:color w:val="auto"/>
                <w:szCs w:val="21"/>
                <w:lang w:val="en-US" w:eastAsia="zh-CN"/>
              </w:rPr>
            </w:pPr>
            <w:r>
              <w:rPr>
                <w:rFonts w:hint="eastAsia"/>
                <w:color w:val="auto"/>
                <w:szCs w:val="21"/>
                <w:lang w:val="en-US" w:eastAsia="zh-CN"/>
              </w:rPr>
              <w:t>布袋除尘器</w:t>
            </w:r>
          </w:p>
        </w:tc>
        <w:tc>
          <w:tcPr>
            <w:tcW w:w="1874" w:type="pct"/>
            <w:vMerge w:val="restart"/>
            <w:noWrap w:val="0"/>
            <w:tcMar>
              <w:top w:w="0" w:type="dxa"/>
              <w:left w:w="0" w:type="dxa"/>
              <w:bottom w:w="0" w:type="dxa"/>
              <w:right w:w="0" w:type="dxa"/>
            </w:tcMar>
            <w:vAlign w:val="center"/>
          </w:tcPr>
          <w:p w14:paraId="44817224">
            <w:pPr>
              <w:adjustRightInd w:val="0"/>
              <w:snapToGrid w:val="0"/>
              <w:jc w:val="center"/>
              <w:rPr>
                <w:rFonts w:hint="eastAsia"/>
                <w:color w:val="auto"/>
                <w:kern w:val="2"/>
                <w:sz w:val="21"/>
                <w:szCs w:val="21"/>
                <w:lang w:val="en-US" w:eastAsia="zh-CN" w:bidi="ar-SA"/>
              </w:rPr>
            </w:pPr>
            <w:r>
              <w:rPr>
                <w:rFonts w:hint="eastAsia"/>
                <w:color w:val="auto"/>
                <w:szCs w:val="21"/>
                <w:lang w:eastAsia="zh-CN"/>
              </w:rPr>
              <w:t>《合成树脂工业污染物排放标准》（GB 31572-2015）及2024年修改单表</w:t>
            </w:r>
            <w:r>
              <w:rPr>
                <w:rFonts w:hint="eastAsia"/>
                <w:color w:val="auto"/>
                <w:szCs w:val="21"/>
                <w:lang w:val="en-US" w:eastAsia="zh-CN"/>
              </w:rPr>
              <w:t>5</w:t>
            </w:r>
            <w:r>
              <w:rPr>
                <w:rFonts w:hint="eastAsia"/>
                <w:color w:val="auto"/>
                <w:szCs w:val="21"/>
                <w:lang w:eastAsia="zh-CN"/>
              </w:rPr>
              <w:t>中的标准</w:t>
            </w:r>
          </w:p>
        </w:tc>
      </w:tr>
      <w:tr w14:paraId="0009DC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vMerge w:val="continue"/>
            <w:noWrap w:val="0"/>
            <w:tcMar>
              <w:top w:w="0" w:type="dxa"/>
              <w:left w:w="0" w:type="dxa"/>
              <w:bottom w:w="0" w:type="dxa"/>
              <w:right w:w="0" w:type="dxa"/>
            </w:tcMar>
            <w:vAlign w:val="center"/>
          </w:tcPr>
          <w:p w14:paraId="31A7CED0">
            <w:pPr>
              <w:adjustRightInd w:val="0"/>
              <w:snapToGrid w:val="0"/>
              <w:jc w:val="center"/>
              <w:rPr>
                <w:rFonts w:hint="eastAsia"/>
                <w:color w:val="auto"/>
                <w:szCs w:val="21"/>
                <w:lang w:val="en-US" w:eastAsia="zh-CN"/>
              </w:rPr>
            </w:pPr>
          </w:p>
        </w:tc>
        <w:tc>
          <w:tcPr>
            <w:tcW w:w="353" w:type="pct"/>
            <w:vMerge w:val="restart"/>
            <w:shd w:val="clear" w:color="auto" w:fill="auto"/>
            <w:noWrap w:val="0"/>
            <w:tcMar>
              <w:top w:w="0" w:type="dxa"/>
              <w:left w:w="0" w:type="dxa"/>
              <w:bottom w:w="0" w:type="dxa"/>
              <w:right w:w="0" w:type="dxa"/>
            </w:tcMar>
            <w:vAlign w:val="center"/>
          </w:tcPr>
          <w:p w14:paraId="2FBD1C5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DA002</w:t>
            </w:r>
          </w:p>
        </w:tc>
        <w:tc>
          <w:tcPr>
            <w:tcW w:w="600" w:type="pct"/>
            <w:vMerge w:val="restart"/>
            <w:noWrap w:val="0"/>
            <w:tcMar>
              <w:top w:w="0" w:type="dxa"/>
              <w:left w:w="0" w:type="dxa"/>
              <w:bottom w:w="0" w:type="dxa"/>
              <w:right w:w="0" w:type="dxa"/>
            </w:tcMar>
            <w:vAlign w:val="center"/>
          </w:tcPr>
          <w:p w14:paraId="37A112D6">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挤出、烘干、测试</w:t>
            </w:r>
          </w:p>
        </w:tc>
        <w:tc>
          <w:tcPr>
            <w:tcW w:w="802" w:type="pct"/>
            <w:noWrap w:val="0"/>
            <w:tcMar>
              <w:top w:w="0" w:type="dxa"/>
              <w:left w:w="0" w:type="dxa"/>
              <w:bottom w:w="0" w:type="dxa"/>
              <w:right w:w="0" w:type="dxa"/>
            </w:tcMar>
            <w:vAlign w:val="center"/>
          </w:tcPr>
          <w:p w14:paraId="28D7F40B">
            <w:pPr>
              <w:jc w:val="center"/>
              <w:rPr>
                <w:rFonts w:hint="eastAsia"/>
                <w:bCs/>
                <w:color w:val="auto"/>
                <w:szCs w:val="21"/>
                <w:lang w:val="en-US" w:eastAsia="zh-CN"/>
              </w:rPr>
            </w:pPr>
            <w:r>
              <w:rPr>
                <w:bCs/>
                <w:color w:val="auto"/>
                <w:szCs w:val="21"/>
              </w:rPr>
              <w:t>非甲烷总烃</w:t>
            </w:r>
          </w:p>
        </w:tc>
        <w:tc>
          <w:tcPr>
            <w:tcW w:w="848" w:type="pct"/>
            <w:vMerge w:val="restart"/>
            <w:noWrap w:val="0"/>
            <w:tcMar>
              <w:top w:w="0" w:type="dxa"/>
              <w:left w:w="0" w:type="dxa"/>
              <w:bottom w:w="0" w:type="dxa"/>
              <w:right w:w="0" w:type="dxa"/>
            </w:tcMar>
            <w:vAlign w:val="center"/>
          </w:tcPr>
          <w:p w14:paraId="003A569D">
            <w:pPr>
              <w:adjustRightInd w:val="0"/>
              <w:snapToGrid w:val="0"/>
              <w:jc w:val="center"/>
              <w:rPr>
                <w:rFonts w:hint="eastAsia"/>
                <w:color w:val="auto"/>
                <w:szCs w:val="21"/>
                <w:lang w:val="en-US" w:eastAsia="zh-CN"/>
              </w:rPr>
            </w:pPr>
            <w:r>
              <w:rPr>
                <w:rFonts w:hint="eastAsia"/>
                <w:color w:val="auto"/>
                <w:szCs w:val="21"/>
                <w:lang w:val="en-US" w:eastAsia="zh-CN"/>
              </w:rPr>
              <w:t>水喷淋塔+除湿器+二级活性炭吸附装置</w:t>
            </w:r>
          </w:p>
        </w:tc>
        <w:tc>
          <w:tcPr>
            <w:tcW w:w="1874" w:type="pct"/>
            <w:vMerge w:val="continue"/>
            <w:noWrap w:val="0"/>
            <w:tcMar>
              <w:top w:w="0" w:type="dxa"/>
              <w:left w:w="0" w:type="dxa"/>
              <w:bottom w:w="0" w:type="dxa"/>
              <w:right w:w="0" w:type="dxa"/>
            </w:tcMar>
            <w:vAlign w:val="center"/>
          </w:tcPr>
          <w:p w14:paraId="3F6A49D3">
            <w:pPr>
              <w:adjustRightInd w:val="0"/>
              <w:snapToGrid w:val="0"/>
              <w:jc w:val="center"/>
              <w:rPr>
                <w:rFonts w:hint="eastAsia"/>
                <w:color w:val="auto"/>
                <w:kern w:val="2"/>
                <w:sz w:val="21"/>
                <w:szCs w:val="21"/>
                <w:lang w:val="en-US" w:eastAsia="zh-CN" w:bidi="ar-SA"/>
              </w:rPr>
            </w:pPr>
          </w:p>
        </w:tc>
      </w:tr>
      <w:tr w14:paraId="3DD5B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vMerge w:val="continue"/>
            <w:noWrap w:val="0"/>
            <w:tcMar>
              <w:top w:w="0" w:type="dxa"/>
              <w:left w:w="0" w:type="dxa"/>
              <w:bottom w:w="0" w:type="dxa"/>
              <w:right w:w="0" w:type="dxa"/>
            </w:tcMar>
            <w:vAlign w:val="center"/>
          </w:tcPr>
          <w:p w14:paraId="7925F492">
            <w:pPr>
              <w:adjustRightInd w:val="0"/>
              <w:snapToGrid w:val="0"/>
              <w:jc w:val="center"/>
              <w:rPr>
                <w:rFonts w:hint="eastAsia"/>
                <w:color w:val="auto"/>
                <w:szCs w:val="21"/>
                <w:lang w:val="en-US" w:eastAsia="zh-CN"/>
              </w:rPr>
            </w:pPr>
          </w:p>
        </w:tc>
        <w:tc>
          <w:tcPr>
            <w:tcW w:w="353" w:type="pct"/>
            <w:vMerge w:val="continue"/>
            <w:noWrap w:val="0"/>
            <w:tcMar>
              <w:top w:w="0" w:type="dxa"/>
              <w:left w:w="0" w:type="dxa"/>
              <w:bottom w:w="0" w:type="dxa"/>
              <w:right w:w="0" w:type="dxa"/>
            </w:tcMar>
            <w:vAlign w:val="center"/>
          </w:tcPr>
          <w:p w14:paraId="0FC86C18">
            <w:pPr>
              <w:adjustRightInd w:val="0"/>
              <w:snapToGrid w:val="0"/>
              <w:jc w:val="center"/>
              <w:rPr>
                <w:rFonts w:hint="eastAsia"/>
                <w:color w:val="auto"/>
                <w:szCs w:val="21"/>
                <w:lang w:val="en-US" w:eastAsia="zh-CN"/>
              </w:rPr>
            </w:pPr>
          </w:p>
        </w:tc>
        <w:tc>
          <w:tcPr>
            <w:tcW w:w="600" w:type="pct"/>
            <w:vMerge w:val="continue"/>
            <w:noWrap w:val="0"/>
            <w:tcMar>
              <w:top w:w="0" w:type="dxa"/>
              <w:left w:w="0" w:type="dxa"/>
              <w:bottom w:w="0" w:type="dxa"/>
              <w:right w:w="0" w:type="dxa"/>
            </w:tcMar>
            <w:vAlign w:val="center"/>
          </w:tcPr>
          <w:p w14:paraId="79AF6E02">
            <w:pPr>
              <w:adjustRightInd w:val="0"/>
              <w:snapToGrid w:val="0"/>
              <w:jc w:val="center"/>
              <w:rPr>
                <w:rFonts w:hint="eastAsia" w:eastAsia="宋体"/>
                <w:color w:val="auto"/>
                <w:szCs w:val="21"/>
                <w:lang w:val="en-US" w:eastAsia="zh-CN"/>
              </w:rPr>
            </w:pPr>
          </w:p>
        </w:tc>
        <w:tc>
          <w:tcPr>
            <w:tcW w:w="802" w:type="pct"/>
            <w:noWrap w:val="0"/>
            <w:tcMar>
              <w:top w:w="0" w:type="dxa"/>
              <w:left w:w="0" w:type="dxa"/>
              <w:bottom w:w="0" w:type="dxa"/>
              <w:right w:w="0" w:type="dxa"/>
            </w:tcMar>
            <w:vAlign w:val="center"/>
          </w:tcPr>
          <w:p w14:paraId="0FF6AE49">
            <w:pPr>
              <w:jc w:val="center"/>
              <w:rPr>
                <w:rFonts w:hint="eastAsia"/>
                <w:bCs/>
                <w:color w:val="auto"/>
                <w:szCs w:val="21"/>
                <w:lang w:val="en-US" w:eastAsia="zh-CN"/>
              </w:rPr>
            </w:pPr>
            <w:r>
              <w:rPr>
                <w:rFonts w:hint="eastAsia" w:eastAsia="宋体"/>
                <w:bCs/>
                <w:color w:val="auto"/>
                <w:szCs w:val="21"/>
                <w:lang w:val="en-US" w:eastAsia="zh-CN"/>
              </w:rPr>
              <w:t>颗粒物</w:t>
            </w:r>
          </w:p>
        </w:tc>
        <w:tc>
          <w:tcPr>
            <w:tcW w:w="848" w:type="pct"/>
            <w:vMerge w:val="continue"/>
            <w:noWrap w:val="0"/>
            <w:tcMar>
              <w:top w:w="0" w:type="dxa"/>
              <w:left w:w="0" w:type="dxa"/>
              <w:bottom w:w="0" w:type="dxa"/>
              <w:right w:w="0" w:type="dxa"/>
            </w:tcMar>
            <w:vAlign w:val="center"/>
          </w:tcPr>
          <w:p w14:paraId="09D18494">
            <w:pPr>
              <w:adjustRightInd w:val="0"/>
              <w:snapToGrid w:val="0"/>
              <w:jc w:val="center"/>
              <w:rPr>
                <w:rFonts w:hint="eastAsia"/>
                <w:color w:val="auto"/>
                <w:szCs w:val="21"/>
                <w:lang w:val="en-US" w:eastAsia="zh-CN"/>
              </w:rPr>
            </w:pPr>
          </w:p>
        </w:tc>
        <w:tc>
          <w:tcPr>
            <w:tcW w:w="1874" w:type="pct"/>
            <w:vMerge w:val="continue"/>
            <w:tcBorders>
              <w:bottom w:val="single" w:color="auto" w:sz="4" w:space="0"/>
            </w:tcBorders>
            <w:noWrap w:val="0"/>
            <w:tcMar>
              <w:top w:w="0" w:type="dxa"/>
              <w:left w:w="0" w:type="dxa"/>
              <w:bottom w:w="0" w:type="dxa"/>
              <w:right w:w="0" w:type="dxa"/>
            </w:tcMar>
            <w:vAlign w:val="center"/>
          </w:tcPr>
          <w:p w14:paraId="1B90C991">
            <w:pPr>
              <w:adjustRightInd w:val="0"/>
              <w:snapToGrid w:val="0"/>
              <w:jc w:val="center"/>
              <w:rPr>
                <w:rFonts w:hint="eastAsia"/>
                <w:color w:val="auto"/>
                <w:kern w:val="2"/>
                <w:sz w:val="21"/>
                <w:szCs w:val="21"/>
                <w:lang w:val="en-US" w:eastAsia="zh-CN" w:bidi="ar-SA"/>
              </w:rPr>
            </w:pPr>
          </w:p>
        </w:tc>
      </w:tr>
      <w:tr w14:paraId="6F33D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vMerge w:val="continue"/>
            <w:noWrap w:val="0"/>
            <w:tcMar>
              <w:top w:w="0" w:type="dxa"/>
              <w:left w:w="0" w:type="dxa"/>
              <w:bottom w:w="0" w:type="dxa"/>
              <w:right w:w="0" w:type="dxa"/>
            </w:tcMar>
            <w:vAlign w:val="center"/>
          </w:tcPr>
          <w:p w14:paraId="1DC9EF71">
            <w:pPr>
              <w:adjustRightInd w:val="0"/>
              <w:snapToGrid w:val="0"/>
              <w:jc w:val="center"/>
              <w:rPr>
                <w:rFonts w:hint="eastAsia" w:eastAsia="宋体"/>
                <w:color w:val="auto"/>
                <w:szCs w:val="21"/>
                <w:lang w:val="en-US" w:eastAsia="zh-CN"/>
              </w:rPr>
            </w:pPr>
          </w:p>
        </w:tc>
        <w:tc>
          <w:tcPr>
            <w:tcW w:w="353" w:type="pct"/>
            <w:vMerge w:val="restart"/>
            <w:noWrap w:val="0"/>
            <w:tcMar>
              <w:top w:w="0" w:type="dxa"/>
              <w:left w:w="0" w:type="dxa"/>
              <w:bottom w:w="0" w:type="dxa"/>
              <w:right w:w="0" w:type="dxa"/>
            </w:tcMar>
            <w:vAlign w:val="center"/>
          </w:tcPr>
          <w:p w14:paraId="1FC59FA1">
            <w:pPr>
              <w:adjustRightInd w:val="0"/>
              <w:snapToGrid w:val="0"/>
              <w:jc w:val="center"/>
              <w:rPr>
                <w:rFonts w:hint="eastAsia"/>
                <w:color w:val="auto"/>
                <w:szCs w:val="21"/>
              </w:rPr>
            </w:pPr>
            <w:r>
              <w:rPr>
                <w:color w:val="auto"/>
                <w:szCs w:val="21"/>
              </w:rPr>
              <w:t>面源</w:t>
            </w:r>
          </w:p>
        </w:tc>
        <w:tc>
          <w:tcPr>
            <w:tcW w:w="600" w:type="pct"/>
            <w:vMerge w:val="restart"/>
            <w:noWrap w:val="0"/>
            <w:tcMar>
              <w:top w:w="0" w:type="dxa"/>
              <w:left w:w="0" w:type="dxa"/>
              <w:bottom w:w="0" w:type="dxa"/>
              <w:right w:w="0" w:type="dxa"/>
            </w:tcMar>
            <w:vAlign w:val="center"/>
          </w:tcPr>
          <w:p w14:paraId="17F2E0DD">
            <w:pPr>
              <w:adjustRightInd w:val="0"/>
              <w:snapToGrid w:val="0"/>
              <w:jc w:val="center"/>
              <w:rPr>
                <w:rFonts w:hint="default" w:eastAsia="宋体"/>
                <w:color w:val="auto"/>
                <w:szCs w:val="21"/>
                <w:lang w:val="en-US" w:eastAsia="zh-CN"/>
              </w:rPr>
            </w:pPr>
            <w:r>
              <w:rPr>
                <w:rFonts w:hint="eastAsia"/>
                <w:color w:val="auto"/>
                <w:szCs w:val="21"/>
                <w:lang w:val="en-US" w:eastAsia="zh-CN"/>
              </w:rPr>
              <w:t>未收集废气</w:t>
            </w:r>
          </w:p>
        </w:tc>
        <w:tc>
          <w:tcPr>
            <w:tcW w:w="802" w:type="pct"/>
            <w:noWrap w:val="0"/>
            <w:tcMar>
              <w:top w:w="0" w:type="dxa"/>
              <w:left w:w="0" w:type="dxa"/>
              <w:bottom w:w="0" w:type="dxa"/>
              <w:right w:w="0" w:type="dxa"/>
            </w:tcMar>
            <w:vAlign w:val="center"/>
          </w:tcPr>
          <w:p w14:paraId="36E29096">
            <w:pPr>
              <w:jc w:val="center"/>
              <w:rPr>
                <w:rFonts w:hint="eastAsia"/>
                <w:color w:val="auto"/>
                <w:szCs w:val="21"/>
              </w:rPr>
            </w:pPr>
            <w:r>
              <w:rPr>
                <w:bCs/>
                <w:color w:val="auto"/>
                <w:szCs w:val="21"/>
              </w:rPr>
              <w:t>非甲烷总烃</w:t>
            </w:r>
          </w:p>
        </w:tc>
        <w:tc>
          <w:tcPr>
            <w:tcW w:w="848" w:type="pct"/>
            <w:noWrap w:val="0"/>
            <w:tcMar>
              <w:top w:w="0" w:type="dxa"/>
              <w:left w:w="0" w:type="dxa"/>
              <w:bottom w:w="0" w:type="dxa"/>
              <w:right w:w="0" w:type="dxa"/>
            </w:tcMar>
            <w:vAlign w:val="center"/>
          </w:tcPr>
          <w:p w14:paraId="25A72467">
            <w:pPr>
              <w:adjustRightInd w:val="0"/>
              <w:snapToGrid w:val="0"/>
              <w:jc w:val="center"/>
              <w:rPr>
                <w:rFonts w:hint="default" w:eastAsia="宋体"/>
                <w:color w:val="auto"/>
                <w:szCs w:val="21"/>
                <w:lang w:val="en-US" w:eastAsia="zh-CN"/>
              </w:rPr>
            </w:pPr>
            <w:r>
              <w:rPr>
                <w:rFonts w:hint="eastAsia"/>
                <w:color w:val="auto"/>
                <w:szCs w:val="21"/>
              </w:rPr>
              <w:t>/</w:t>
            </w:r>
          </w:p>
        </w:tc>
        <w:tc>
          <w:tcPr>
            <w:tcW w:w="1874" w:type="pct"/>
            <w:tcBorders>
              <w:bottom w:val="single" w:color="auto" w:sz="4" w:space="0"/>
            </w:tcBorders>
            <w:noWrap w:val="0"/>
            <w:tcMar>
              <w:top w:w="0" w:type="dxa"/>
              <w:left w:w="0" w:type="dxa"/>
              <w:bottom w:w="0" w:type="dxa"/>
              <w:right w:w="0" w:type="dxa"/>
            </w:tcMar>
            <w:vAlign w:val="center"/>
          </w:tcPr>
          <w:p w14:paraId="7B2FAD6E">
            <w:pPr>
              <w:adjustRightInd w:val="0"/>
              <w:snapToGrid w:val="0"/>
              <w:jc w:val="center"/>
              <w:rPr>
                <w:rFonts w:hint="eastAsia"/>
                <w:color w:val="auto"/>
                <w:szCs w:val="21"/>
              </w:rPr>
            </w:pPr>
            <w:r>
              <w:rPr>
                <w:rFonts w:hint="eastAsia"/>
                <w:color w:val="auto"/>
                <w:szCs w:val="21"/>
                <w:lang w:eastAsia="zh-CN"/>
              </w:rPr>
              <w:t>《合成树脂工业污染物排放标准》（GB 31572-2015）及2024年修改单表9中的标准</w:t>
            </w:r>
          </w:p>
        </w:tc>
      </w:tr>
      <w:tr w14:paraId="0F928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vMerge w:val="continue"/>
            <w:noWrap w:val="0"/>
            <w:tcMar>
              <w:top w:w="0" w:type="dxa"/>
              <w:left w:w="0" w:type="dxa"/>
              <w:bottom w:w="0" w:type="dxa"/>
              <w:right w:w="0" w:type="dxa"/>
            </w:tcMar>
            <w:vAlign w:val="center"/>
          </w:tcPr>
          <w:p w14:paraId="78E52055">
            <w:pPr>
              <w:adjustRightInd w:val="0"/>
              <w:snapToGrid w:val="0"/>
              <w:jc w:val="center"/>
              <w:rPr>
                <w:color w:val="auto"/>
                <w:szCs w:val="21"/>
              </w:rPr>
            </w:pPr>
          </w:p>
        </w:tc>
        <w:tc>
          <w:tcPr>
            <w:tcW w:w="353" w:type="pct"/>
            <w:vMerge w:val="continue"/>
            <w:noWrap w:val="0"/>
            <w:tcMar>
              <w:top w:w="0" w:type="dxa"/>
              <w:left w:w="0" w:type="dxa"/>
              <w:bottom w:w="0" w:type="dxa"/>
              <w:right w:w="0" w:type="dxa"/>
            </w:tcMar>
            <w:vAlign w:val="center"/>
          </w:tcPr>
          <w:p w14:paraId="39DCF5C6">
            <w:pPr>
              <w:adjustRightInd w:val="0"/>
              <w:snapToGrid w:val="0"/>
              <w:jc w:val="center"/>
              <w:rPr>
                <w:color w:val="auto"/>
                <w:szCs w:val="21"/>
              </w:rPr>
            </w:pPr>
          </w:p>
        </w:tc>
        <w:tc>
          <w:tcPr>
            <w:tcW w:w="600" w:type="pct"/>
            <w:vMerge w:val="continue"/>
            <w:noWrap w:val="0"/>
            <w:tcMar>
              <w:top w:w="0" w:type="dxa"/>
              <w:left w:w="0" w:type="dxa"/>
              <w:bottom w:w="0" w:type="dxa"/>
              <w:right w:w="0" w:type="dxa"/>
            </w:tcMar>
            <w:vAlign w:val="center"/>
          </w:tcPr>
          <w:p w14:paraId="1FA98803">
            <w:pPr>
              <w:adjustRightInd w:val="0"/>
              <w:snapToGrid w:val="0"/>
              <w:jc w:val="center"/>
              <w:rPr>
                <w:rFonts w:hint="default" w:eastAsia="宋体"/>
                <w:color w:val="auto"/>
                <w:kern w:val="2"/>
                <w:sz w:val="21"/>
                <w:szCs w:val="21"/>
                <w:lang w:val="en-US" w:eastAsia="zh-CN" w:bidi="ar-SA"/>
              </w:rPr>
            </w:pPr>
          </w:p>
        </w:tc>
        <w:tc>
          <w:tcPr>
            <w:tcW w:w="802" w:type="pct"/>
            <w:shd w:val="clear" w:color="auto" w:fill="auto"/>
            <w:noWrap w:val="0"/>
            <w:tcMar>
              <w:top w:w="0" w:type="dxa"/>
              <w:left w:w="0" w:type="dxa"/>
              <w:bottom w:w="0" w:type="dxa"/>
              <w:right w:w="0" w:type="dxa"/>
            </w:tcMar>
            <w:vAlign w:val="center"/>
          </w:tcPr>
          <w:p w14:paraId="5A4B06A7">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颗粒物</w:t>
            </w:r>
          </w:p>
        </w:tc>
        <w:tc>
          <w:tcPr>
            <w:tcW w:w="848" w:type="pct"/>
            <w:shd w:val="clear" w:color="auto" w:fill="auto"/>
            <w:noWrap w:val="0"/>
            <w:tcMar>
              <w:top w:w="0" w:type="dxa"/>
              <w:left w:w="0" w:type="dxa"/>
              <w:bottom w:w="0" w:type="dxa"/>
              <w:right w:w="0" w:type="dxa"/>
            </w:tcMar>
            <w:vAlign w:val="center"/>
          </w:tcPr>
          <w:p w14:paraId="554BDD3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874" w:type="pct"/>
            <w:vMerge w:val="restart"/>
            <w:shd w:val="clear" w:color="auto" w:fill="auto"/>
            <w:noWrap w:val="0"/>
            <w:tcMar>
              <w:top w:w="0" w:type="dxa"/>
              <w:left w:w="0" w:type="dxa"/>
              <w:bottom w:w="0" w:type="dxa"/>
              <w:right w:w="0" w:type="dxa"/>
            </w:tcMar>
            <w:vAlign w:val="center"/>
          </w:tcPr>
          <w:p w14:paraId="19A371B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rPr>
              <w:t>《大气污染物综合排放标准》（DB32/4041-2021）表</w:t>
            </w:r>
            <w:r>
              <w:rPr>
                <w:rFonts w:hint="eastAsia"/>
                <w:color w:val="auto"/>
                <w:lang w:val="en-US" w:eastAsia="zh-CN"/>
              </w:rPr>
              <w:t>3</w:t>
            </w:r>
            <w:r>
              <w:rPr>
                <w:color w:val="auto"/>
              </w:rPr>
              <w:t>标准</w:t>
            </w:r>
          </w:p>
        </w:tc>
      </w:tr>
      <w:tr w14:paraId="336D5F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vMerge w:val="continue"/>
            <w:noWrap w:val="0"/>
            <w:tcMar>
              <w:top w:w="0" w:type="dxa"/>
              <w:left w:w="0" w:type="dxa"/>
              <w:bottom w:w="0" w:type="dxa"/>
              <w:right w:w="0" w:type="dxa"/>
            </w:tcMar>
            <w:vAlign w:val="center"/>
          </w:tcPr>
          <w:p w14:paraId="35D9D64F">
            <w:pPr>
              <w:adjustRightInd w:val="0"/>
              <w:snapToGrid w:val="0"/>
              <w:jc w:val="center"/>
              <w:rPr>
                <w:color w:val="auto"/>
                <w:szCs w:val="21"/>
              </w:rPr>
            </w:pPr>
          </w:p>
        </w:tc>
        <w:tc>
          <w:tcPr>
            <w:tcW w:w="353" w:type="pct"/>
            <w:vMerge w:val="continue"/>
            <w:noWrap w:val="0"/>
            <w:tcMar>
              <w:top w:w="0" w:type="dxa"/>
              <w:left w:w="0" w:type="dxa"/>
              <w:bottom w:w="0" w:type="dxa"/>
              <w:right w:w="0" w:type="dxa"/>
            </w:tcMar>
            <w:vAlign w:val="center"/>
          </w:tcPr>
          <w:p w14:paraId="42818219">
            <w:pPr>
              <w:adjustRightInd w:val="0"/>
              <w:snapToGrid w:val="0"/>
              <w:jc w:val="center"/>
              <w:rPr>
                <w:color w:val="auto"/>
                <w:szCs w:val="21"/>
              </w:rPr>
            </w:pPr>
          </w:p>
        </w:tc>
        <w:tc>
          <w:tcPr>
            <w:tcW w:w="600" w:type="pct"/>
            <w:noWrap w:val="0"/>
            <w:tcMar>
              <w:top w:w="0" w:type="dxa"/>
              <w:left w:w="0" w:type="dxa"/>
              <w:bottom w:w="0" w:type="dxa"/>
              <w:right w:w="0" w:type="dxa"/>
            </w:tcMar>
            <w:vAlign w:val="center"/>
          </w:tcPr>
          <w:p w14:paraId="68A2178E">
            <w:pPr>
              <w:adjustRightInd w:val="0"/>
              <w:snapToGrid w:val="0"/>
              <w:jc w:val="center"/>
              <w:rPr>
                <w:rFonts w:hint="default"/>
                <w:color w:val="auto"/>
                <w:szCs w:val="21"/>
                <w:lang w:val="en-US" w:eastAsia="zh-CN"/>
              </w:rPr>
            </w:pPr>
            <w:r>
              <w:rPr>
                <w:rFonts w:hint="eastAsia"/>
                <w:color w:val="auto"/>
                <w:szCs w:val="21"/>
                <w:lang w:val="en-US" w:eastAsia="zh-CN"/>
              </w:rPr>
              <w:t>粉碎</w:t>
            </w:r>
          </w:p>
        </w:tc>
        <w:tc>
          <w:tcPr>
            <w:tcW w:w="802" w:type="pct"/>
            <w:shd w:val="clear" w:color="auto" w:fill="auto"/>
            <w:noWrap w:val="0"/>
            <w:tcMar>
              <w:top w:w="0" w:type="dxa"/>
              <w:left w:w="0" w:type="dxa"/>
              <w:bottom w:w="0" w:type="dxa"/>
              <w:right w:w="0" w:type="dxa"/>
            </w:tcMar>
            <w:vAlign w:val="center"/>
          </w:tcPr>
          <w:p w14:paraId="0F496F0E">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颗粒物</w:t>
            </w:r>
          </w:p>
        </w:tc>
        <w:tc>
          <w:tcPr>
            <w:tcW w:w="848" w:type="pct"/>
            <w:shd w:val="clear" w:color="auto" w:fill="auto"/>
            <w:noWrap w:val="0"/>
            <w:tcMar>
              <w:top w:w="0" w:type="dxa"/>
              <w:left w:w="0" w:type="dxa"/>
              <w:bottom w:w="0" w:type="dxa"/>
              <w:right w:w="0" w:type="dxa"/>
            </w:tcMar>
            <w:vAlign w:val="center"/>
          </w:tcPr>
          <w:p w14:paraId="06AD255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1874" w:type="pct"/>
            <w:vMerge w:val="continue"/>
            <w:noWrap w:val="0"/>
            <w:tcMar>
              <w:top w:w="0" w:type="dxa"/>
              <w:left w:w="0" w:type="dxa"/>
              <w:bottom w:w="0" w:type="dxa"/>
              <w:right w:w="0" w:type="dxa"/>
            </w:tcMar>
            <w:vAlign w:val="center"/>
          </w:tcPr>
          <w:p w14:paraId="33ECFB52">
            <w:pPr>
              <w:adjustRightInd w:val="0"/>
              <w:snapToGrid w:val="0"/>
              <w:jc w:val="center"/>
              <w:rPr>
                <w:color w:val="auto"/>
              </w:rPr>
            </w:pPr>
          </w:p>
        </w:tc>
      </w:tr>
      <w:tr w14:paraId="43DAF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vMerge w:val="continue"/>
            <w:noWrap w:val="0"/>
            <w:tcMar>
              <w:top w:w="0" w:type="dxa"/>
              <w:left w:w="0" w:type="dxa"/>
              <w:bottom w:w="0" w:type="dxa"/>
              <w:right w:w="0" w:type="dxa"/>
            </w:tcMar>
            <w:vAlign w:val="center"/>
          </w:tcPr>
          <w:p w14:paraId="65ED8836">
            <w:pPr>
              <w:adjustRightInd w:val="0"/>
              <w:snapToGrid w:val="0"/>
              <w:jc w:val="center"/>
              <w:rPr>
                <w:color w:val="auto"/>
                <w:szCs w:val="21"/>
              </w:rPr>
            </w:pPr>
          </w:p>
        </w:tc>
        <w:tc>
          <w:tcPr>
            <w:tcW w:w="954" w:type="pct"/>
            <w:gridSpan w:val="2"/>
            <w:noWrap w:val="0"/>
            <w:tcMar>
              <w:top w:w="0" w:type="dxa"/>
              <w:left w:w="0" w:type="dxa"/>
              <w:bottom w:w="0" w:type="dxa"/>
              <w:right w:w="0" w:type="dxa"/>
            </w:tcMar>
            <w:vAlign w:val="center"/>
          </w:tcPr>
          <w:p w14:paraId="3F95F074">
            <w:pPr>
              <w:jc w:val="center"/>
              <w:rPr>
                <w:rFonts w:hint="eastAsia"/>
                <w:color w:val="auto"/>
                <w:szCs w:val="21"/>
              </w:rPr>
            </w:pPr>
            <w:r>
              <w:rPr>
                <w:bCs/>
                <w:color w:val="auto"/>
                <w:szCs w:val="21"/>
              </w:rPr>
              <w:t>厂区内</w:t>
            </w:r>
          </w:p>
        </w:tc>
        <w:tc>
          <w:tcPr>
            <w:tcW w:w="802" w:type="pct"/>
            <w:noWrap w:val="0"/>
            <w:tcMar>
              <w:top w:w="0" w:type="dxa"/>
              <w:left w:w="0" w:type="dxa"/>
              <w:bottom w:w="0" w:type="dxa"/>
              <w:right w:w="0" w:type="dxa"/>
            </w:tcMar>
            <w:vAlign w:val="center"/>
          </w:tcPr>
          <w:p w14:paraId="7FBB54EC">
            <w:pPr>
              <w:jc w:val="center"/>
              <w:rPr>
                <w:rFonts w:hint="eastAsia"/>
                <w:color w:val="auto"/>
                <w:szCs w:val="21"/>
              </w:rPr>
            </w:pPr>
            <w:r>
              <w:rPr>
                <w:color w:val="auto"/>
                <w:szCs w:val="21"/>
              </w:rPr>
              <w:t>非甲烷总烃</w:t>
            </w:r>
          </w:p>
        </w:tc>
        <w:tc>
          <w:tcPr>
            <w:tcW w:w="848" w:type="pct"/>
            <w:noWrap w:val="0"/>
            <w:tcMar>
              <w:top w:w="0" w:type="dxa"/>
              <w:left w:w="0" w:type="dxa"/>
              <w:bottom w:w="0" w:type="dxa"/>
              <w:right w:w="0" w:type="dxa"/>
            </w:tcMar>
            <w:vAlign w:val="center"/>
          </w:tcPr>
          <w:p w14:paraId="16861DEF">
            <w:pPr>
              <w:adjustRightInd w:val="0"/>
              <w:snapToGrid w:val="0"/>
              <w:jc w:val="center"/>
              <w:rPr>
                <w:rFonts w:hint="eastAsia"/>
                <w:color w:val="auto"/>
                <w:szCs w:val="21"/>
              </w:rPr>
            </w:pPr>
            <w:r>
              <w:rPr>
                <w:rFonts w:hint="eastAsia"/>
                <w:color w:val="auto"/>
                <w:szCs w:val="21"/>
              </w:rPr>
              <w:t>/</w:t>
            </w:r>
          </w:p>
        </w:tc>
        <w:tc>
          <w:tcPr>
            <w:tcW w:w="1874" w:type="pct"/>
            <w:noWrap w:val="0"/>
            <w:tcMar>
              <w:top w:w="0" w:type="dxa"/>
              <w:left w:w="0" w:type="dxa"/>
              <w:bottom w:w="0" w:type="dxa"/>
              <w:right w:w="0" w:type="dxa"/>
            </w:tcMar>
            <w:vAlign w:val="center"/>
          </w:tcPr>
          <w:p w14:paraId="7CCA0DBD">
            <w:pPr>
              <w:adjustRightInd w:val="0"/>
              <w:snapToGrid w:val="0"/>
              <w:jc w:val="center"/>
              <w:rPr>
                <w:rFonts w:hint="eastAsia"/>
                <w:color w:val="auto"/>
                <w:kern w:val="2"/>
                <w:sz w:val="21"/>
                <w:szCs w:val="21"/>
                <w:lang w:val="en-US" w:eastAsia="zh-CN" w:bidi="ar-SA"/>
              </w:rPr>
            </w:pPr>
            <w:r>
              <w:rPr>
                <w:color w:val="auto"/>
              </w:rPr>
              <w:t>《大气污染物综合排放标准》（DB32/4041-2021）表</w:t>
            </w:r>
            <w:r>
              <w:rPr>
                <w:rFonts w:hint="eastAsia"/>
                <w:color w:val="auto"/>
                <w:lang w:val="en-US" w:eastAsia="zh-CN"/>
              </w:rPr>
              <w:t>2</w:t>
            </w:r>
            <w:r>
              <w:rPr>
                <w:color w:val="auto"/>
              </w:rPr>
              <w:t>标准</w:t>
            </w:r>
          </w:p>
        </w:tc>
      </w:tr>
      <w:tr w14:paraId="55C0E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73C2DA0D">
            <w:pPr>
              <w:adjustRightInd w:val="0"/>
              <w:snapToGrid w:val="0"/>
              <w:jc w:val="center"/>
              <w:rPr>
                <w:color w:val="auto"/>
                <w:szCs w:val="21"/>
              </w:rPr>
            </w:pPr>
            <w:r>
              <w:rPr>
                <w:color w:val="auto"/>
                <w:szCs w:val="21"/>
              </w:rPr>
              <w:t>地表水环境</w:t>
            </w:r>
          </w:p>
        </w:tc>
        <w:tc>
          <w:tcPr>
            <w:tcW w:w="954" w:type="pct"/>
            <w:gridSpan w:val="2"/>
            <w:noWrap w:val="0"/>
            <w:tcMar>
              <w:top w:w="0" w:type="dxa"/>
              <w:left w:w="0" w:type="dxa"/>
              <w:bottom w:w="0" w:type="dxa"/>
              <w:right w:w="0" w:type="dxa"/>
            </w:tcMar>
            <w:vAlign w:val="center"/>
          </w:tcPr>
          <w:p w14:paraId="00812219">
            <w:pPr>
              <w:adjustRightInd w:val="0"/>
              <w:snapToGrid w:val="0"/>
              <w:jc w:val="center"/>
              <w:rPr>
                <w:color w:val="auto"/>
                <w:szCs w:val="21"/>
              </w:rPr>
            </w:pPr>
            <w:r>
              <w:rPr>
                <w:color w:val="auto"/>
                <w:szCs w:val="21"/>
              </w:rPr>
              <w:t>污水排放口</w:t>
            </w:r>
          </w:p>
        </w:tc>
        <w:tc>
          <w:tcPr>
            <w:tcW w:w="802" w:type="pct"/>
            <w:noWrap w:val="0"/>
            <w:tcMar>
              <w:top w:w="0" w:type="dxa"/>
              <w:left w:w="0" w:type="dxa"/>
              <w:bottom w:w="0" w:type="dxa"/>
              <w:right w:w="0" w:type="dxa"/>
            </w:tcMar>
            <w:vAlign w:val="center"/>
          </w:tcPr>
          <w:p w14:paraId="39640134">
            <w:pPr>
              <w:spacing w:line="320" w:lineRule="exact"/>
              <w:jc w:val="center"/>
              <w:rPr>
                <w:rFonts w:hint="eastAsia" w:eastAsia="宋体"/>
                <w:color w:val="auto"/>
                <w:szCs w:val="21"/>
                <w:lang w:eastAsia="zh-CN"/>
              </w:rPr>
            </w:pPr>
            <w:r>
              <w:rPr>
                <w:color w:val="auto"/>
                <w:szCs w:val="21"/>
              </w:rPr>
              <w:t>COD</w:t>
            </w:r>
            <w:r>
              <w:rPr>
                <w:rFonts w:hint="eastAsia"/>
                <w:color w:val="auto"/>
                <w:szCs w:val="21"/>
                <w:lang w:eastAsia="zh-CN"/>
              </w:rPr>
              <w:t>、</w:t>
            </w:r>
            <w:r>
              <w:rPr>
                <w:color w:val="auto"/>
                <w:szCs w:val="21"/>
              </w:rPr>
              <w:t>SS</w:t>
            </w:r>
            <w:r>
              <w:rPr>
                <w:rFonts w:hint="eastAsia"/>
                <w:color w:val="auto"/>
                <w:szCs w:val="21"/>
                <w:lang w:eastAsia="zh-CN"/>
              </w:rPr>
              <w:t>、</w:t>
            </w:r>
            <w:r>
              <w:rPr>
                <w:color w:val="auto"/>
                <w:szCs w:val="21"/>
              </w:rPr>
              <w:t>氨氮</w:t>
            </w:r>
            <w:r>
              <w:rPr>
                <w:rFonts w:hint="eastAsia"/>
                <w:color w:val="auto"/>
                <w:szCs w:val="21"/>
                <w:lang w:eastAsia="zh-CN"/>
              </w:rPr>
              <w:t>、</w:t>
            </w:r>
            <w:r>
              <w:rPr>
                <w:color w:val="auto"/>
                <w:szCs w:val="21"/>
              </w:rPr>
              <w:t>TP</w:t>
            </w:r>
            <w:r>
              <w:rPr>
                <w:rFonts w:hint="eastAsia"/>
                <w:color w:val="auto"/>
                <w:szCs w:val="21"/>
                <w:lang w:eastAsia="zh-CN"/>
              </w:rPr>
              <w:t>、</w:t>
            </w:r>
            <w:r>
              <w:rPr>
                <w:color w:val="auto"/>
                <w:szCs w:val="21"/>
              </w:rPr>
              <w:t>TN</w:t>
            </w:r>
          </w:p>
        </w:tc>
        <w:tc>
          <w:tcPr>
            <w:tcW w:w="848" w:type="pct"/>
            <w:noWrap w:val="0"/>
            <w:tcMar>
              <w:top w:w="0" w:type="dxa"/>
              <w:left w:w="0" w:type="dxa"/>
              <w:bottom w:w="0" w:type="dxa"/>
              <w:right w:w="0" w:type="dxa"/>
            </w:tcMar>
            <w:vAlign w:val="center"/>
          </w:tcPr>
          <w:p w14:paraId="737ABEB2">
            <w:pPr>
              <w:adjustRightInd w:val="0"/>
              <w:snapToGrid w:val="0"/>
              <w:jc w:val="center"/>
              <w:rPr>
                <w:color w:val="auto"/>
                <w:szCs w:val="21"/>
              </w:rPr>
            </w:pPr>
            <w:r>
              <w:rPr>
                <w:rFonts w:hint="eastAsia"/>
                <w:color w:val="auto"/>
                <w:szCs w:val="21"/>
                <w:highlight w:val="none"/>
                <w:lang w:val="en-US" w:eastAsia="zh-CN"/>
              </w:rPr>
              <w:t>接管</w:t>
            </w:r>
            <w:r>
              <w:rPr>
                <w:color w:val="auto"/>
                <w:szCs w:val="21"/>
                <w:highlight w:val="none"/>
              </w:rPr>
              <w:t>至</w:t>
            </w:r>
            <w:r>
              <w:rPr>
                <w:color w:val="auto"/>
                <w:szCs w:val="21"/>
              </w:rPr>
              <w:t>常州金坛区第二污水处理有限公司</w:t>
            </w:r>
          </w:p>
        </w:tc>
        <w:tc>
          <w:tcPr>
            <w:tcW w:w="1874" w:type="pct"/>
            <w:noWrap w:val="0"/>
            <w:tcMar>
              <w:top w:w="0" w:type="dxa"/>
              <w:left w:w="0" w:type="dxa"/>
              <w:bottom w:w="0" w:type="dxa"/>
              <w:right w:w="0" w:type="dxa"/>
            </w:tcMar>
            <w:vAlign w:val="center"/>
          </w:tcPr>
          <w:p w14:paraId="5A45578D">
            <w:pPr>
              <w:adjustRightInd w:val="0"/>
              <w:snapToGrid w:val="0"/>
              <w:jc w:val="center"/>
              <w:rPr>
                <w:rFonts w:hint="eastAsia"/>
                <w:color w:val="auto"/>
                <w:szCs w:val="21"/>
              </w:rPr>
            </w:pPr>
            <w:r>
              <w:rPr>
                <w:color w:val="auto"/>
                <w:szCs w:val="21"/>
              </w:rPr>
              <w:t>常州金坛区第二污水处理有限公司接管限值和《污水排入城镇下水道水质标准》（</w:t>
            </w:r>
            <w:r>
              <w:rPr>
                <w:color w:val="auto"/>
                <w:szCs w:val="21"/>
                <w:shd w:val="clear" w:color="auto" w:fill="FFFFFF"/>
              </w:rPr>
              <w:t>GB/T31962-2015</w:t>
            </w:r>
            <w:r>
              <w:rPr>
                <w:color w:val="auto"/>
                <w:szCs w:val="21"/>
              </w:rPr>
              <w:t>）表1中B等级标准</w:t>
            </w:r>
            <w:r>
              <w:rPr>
                <w:rFonts w:hint="eastAsia"/>
                <w:color w:val="auto"/>
                <w:szCs w:val="21"/>
              </w:rPr>
              <w:t>。</w:t>
            </w:r>
          </w:p>
        </w:tc>
      </w:tr>
      <w:tr w14:paraId="4E660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2205FDEF">
            <w:pPr>
              <w:adjustRightInd w:val="0"/>
              <w:snapToGrid w:val="0"/>
              <w:jc w:val="center"/>
              <w:rPr>
                <w:color w:val="auto"/>
                <w:szCs w:val="21"/>
              </w:rPr>
            </w:pPr>
            <w:r>
              <w:rPr>
                <w:color w:val="auto"/>
                <w:szCs w:val="21"/>
              </w:rPr>
              <w:t>声环境</w:t>
            </w:r>
          </w:p>
        </w:tc>
        <w:tc>
          <w:tcPr>
            <w:tcW w:w="954" w:type="pct"/>
            <w:gridSpan w:val="2"/>
            <w:noWrap w:val="0"/>
            <w:tcMar>
              <w:top w:w="0" w:type="dxa"/>
              <w:left w:w="0" w:type="dxa"/>
              <w:bottom w:w="0" w:type="dxa"/>
              <w:right w:w="0" w:type="dxa"/>
            </w:tcMar>
            <w:vAlign w:val="center"/>
          </w:tcPr>
          <w:p w14:paraId="3BAEFE74">
            <w:pPr>
              <w:adjustRightInd w:val="0"/>
              <w:snapToGrid w:val="0"/>
              <w:jc w:val="center"/>
              <w:rPr>
                <w:color w:val="auto"/>
                <w:szCs w:val="21"/>
              </w:rPr>
            </w:pPr>
            <w:r>
              <w:rPr>
                <w:color w:val="auto"/>
                <w:szCs w:val="21"/>
              </w:rPr>
              <w:t>车间</w:t>
            </w:r>
          </w:p>
        </w:tc>
        <w:tc>
          <w:tcPr>
            <w:tcW w:w="802" w:type="pct"/>
            <w:noWrap w:val="0"/>
            <w:tcMar>
              <w:top w:w="0" w:type="dxa"/>
              <w:left w:w="0" w:type="dxa"/>
              <w:bottom w:w="0" w:type="dxa"/>
              <w:right w:w="0" w:type="dxa"/>
            </w:tcMar>
            <w:vAlign w:val="center"/>
          </w:tcPr>
          <w:p w14:paraId="2CE90058">
            <w:pPr>
              <w:adjustRightInd w:val="0"/>
              <w:snapToGrid w:val="0"/>
              <w:jc w:val="center"/>
              <w:rPr>
                <w:color w:val="auto"/>
                <w:szCs w:val="21"/>
              </w:rPr>
            </w:pPr>
            <w:r>
              <w:rPr>
                <w:color w:val="auto"/>
                <w:szCs w:val="21"/>
              </w:rPr>
              <w:t>噪声</w:t>
            </w:r>
          </w:p>
        </w:tc>
        <w:tc>
          <w:tcPr>
            <w:tcW w:w="848" w:type="pct"/>
            <w:noWrap w:val="0"/>
            <w:tcMar>
              <w:top w:w="0" w:type="dxa"/>
              <w:left w:w="0" w:type="dxa"/>
              <w:bottom w:w="0" w:type="dxa"/>
              <w:right w:w="0" w:type="dxa"/>
            </w:tcMar>
            <w:vAlign w:val="center"/>
          </w:tcPr>
          <w:p w14:paraId="49EBDE1F">
            <w:pPr>
              <w:adjustRightInd w:val="0"/>
              <w:snapToGrid w:val="0"/>
              <w:jc w:val="center"/>
              <w:rPr>
                <w:rFonts w:hint="eastAsia"/>
                <w:color w:val="auto"/>
                <w:szCs w:val="21"/>
              </w:rPr>
            </w:pPr>
            <w:r>
              <w:rPr>
                <w:color w:val="auto"/>
                <w:szCs w:val="21"/>
              </w:rPr>
              <w:t>厂房隔声、</w:t>
            </w:r>
            <w:r>
              <w:rPr>
                <w:rFonts w:hint="eastAsia"/>
                <w:color w:val="auto"/>
                <w:szCs w:val="21"/>
              </w:rPr>
              <w:t>减震</w:t>
            </w:r>
            <w:r>
              <w:rPr>
                <w:color w:val="auto"/>
                <w:szCs w:val="21"/>
              </w:rPr>
              <w:t>等</w:t>
            </w:r>
            <w:r>
              <w:rPr>
                <w:rFonts w:hint="eastAsia"/>
                <w:color w:val="auto"/>
                <w:szCs w:val="21"/>
              </w:rPr>
              <w:t>。</w:t>
            </w:r>
          </w:p>
        </w:tc>
        <w:tc>
          <w:tcPr>
            <w:tcW w:w="1874" w:type="pct"/>
            <w:noWrap w:val="0"/>
            <w:tcMar>
              <w:top w:w="0" w:type="dxa"/>
              <w:left w:w="0" w:type="dxa"/>
              <w:bottom w:w="0" w:type="dxa"/>
              <w:right w:w="0" w:type="dxa"/>
            </w:tcMar>
            <w:vAlign w:val="center"/>
          </w:tcPr>
          <w:p w14:paraId="19E7C58D">
            <w:pPr>
              <w:adjustRightInd w:val="0"/>
              <w:snapToGrid w:val="0"/>
              <w:jc w:val="center"/>
              <w:rPr>
                <w:rFonts w:hint="eastAsia"/>
                <w:color w:val="auto"/>
                <w:szCs w:val="21"/>
              </w:rPr>
            </w:pPr>
            <w:r>
              <w:rPr>
                <w:color w:val="auto"/>
                <w:szCs w:val="21"/>
              </w:rPr>
              <w:t>《工业企业厂界环境噪声排放标准》（GB12348-2008）表1中</w:t>
            </w:r>
            <w:r>
              <w:rPr>
                <w:rFonts w:hint="eastAsia"/>
                <w:color w:val="auto"/>
                <w:szCs w:val="21"/>
                <w:lang w:val="en-US" w:eastAsia="zh-CN"/>
              </w:rPr>
              <w:t>2</w:t>
            </w:r>
            <w:r>
              <w:rPr>
                <w:color w:val="auto"/>
                <w:szCs w:val="21"/>
              </w:rPr>
              <w:t>类限值</w:t>
            </w:r>
            <w:r>
              <w:rPr>
                <w:rFonts w:hint="eastAsia"/>
                <w:color w:val="auto"/>
                <w:szCs w:val="21"/>
              </w:rPr>
              <w:t>。</w:t>
            </w:r>
          </w:p>
        </w:tc>
      </w:tr>
      <w:tr w14:paraId="6C215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01E334E2">
            <w:pPr>
              <w:adjustRightInd w:val="0"/>
              <w:snapToGrid w:val="0"/>
              <w:jc w:val="center"/>
              <w:rPr>
                <w:color w:val="auto"/>
                <w:szCs w:val="21"/>
              </w:rPr>
            </w:pPr>
            <w:r>
              <w:rPr>
                <w:rFonts w:hint="eastAsia"/>
                <w:color w:val="auto"/>
                <w:szCs w:val="21"/>
              </w:rPr>
              <w:t>固体废物</w:t>
            </w:r>
          </w:p>
        </w:tc>
        <w:tc>
          <w:tcPr>
            <w:tcW w:w="4480" w:type="pct"/>
            <w:gridSpan w:val="5"/>
            <w:noWrap w:val="0"/>
            <w:tcMar>
              <w:top w:w="0" w:type="dxa"/>
              <w:left w:w="0" w:type="dxa"/>
              <w:bottom w:w="0" w:type="dxa"/>
              <w:right w:w="0" w:type="dxa"/>
            </w:tcMar>
            <w:vAlign w:val="center"/>
          </w:tcPr>
          <w:p w14:paraId="63D92CE7">
            <w:pPr>
              <w:adjustRightInd w:val="0"/>
              <w:snapToGrid w:val="0"/>
              <w:jc w:val="center"/>
              <w:rPr>
                <w:color w:val="auto"/>
                <w:szCs w:val="21"/>
              </w:rPr>
            </w:pPr>
            <w:r>
              <w:rPr>
                <w:rFonts w:hint="eastAsia"/>
                <w:color w:val="auto"/>
                <w:szCs w:val="21"/>
              </w:rPr>
              <w:t>本项目一般固废收集后外售综合利用，危险废物收集后交由有资质单位处理，生活垃圾交由环卫处理。</w:t>
            </w:r>
          </w:p>
        </w:tc>
      </w:tr>
      <w:tr w14:paraId="0D02B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32A8302F">
            <w:pPr>
              <w:adjustRightInd w:val="0"/>
              <w:snapToGrid w:val="0"/>
              <w:jc w:val="center"/>
              <w:rPr>
                <w:color w:val="auto"/>
                <w:szCs w:val="21"/>
              </w:rPr>
            </w:pPr>
            <w:r>
              <w:rPr>
                <w:color w:val="auto"/>
                <w:szCs w:val="21"/>
              </w:rPr>
              <w:t>电磁辐射</w:t>
            </w:r>
          </w:p>
        </w:tc>
        <w:tc>
          <w:tcPr>
            <w:tcW w:w="954" w:type="pct"/>
            <w:gridSpan w:val="2"/>
            <w:noWrap w:val="0"/>
            <w:tcMar>
              <w:top w:w="0" w:type="dxa"/>
              <w:left w:w="0" w:type="dxa"/>
              <w:bottom w:w="0" w:type="dxa"/>
              <w:right w:w="0" w:type="dxa"/>
            </w:tcMar>
            <w:vAlign w:val="center"/>
          </w:tcPr>
          <w:p w14:paraId="4C5AF83A">
            <w:pPr>
              <w:adjustRightInd w:val="0"/>
              <w:snapToGrid w:val="0"/>
              <w:jc w:val="center"/>
              <w:rPr>
                <w:color w:val="auto"/>
                <w:szCs w:val="21"/>
              </w:rPr>
            </w:pPr>
            <w:r>
              <w:rPr>
                <w:color w:val="auto"/>
                <w:szCs w:val="21"/>
              </w:rPr>
              <w:t>/</w:t>
            </w:r>
          </w:p>
        </w:tc>
        <w:tc>
          <w:tcPr>
            <w:tcW w:w="802" w:type="pct"/>
            <w:noWrap w:val="0"/>
            <w:tcMar>
              <w:top w:w="0" w:type="dxa"/>
              <w:left w:w="0" w:type="dxa"/>
              <w:bottom w:w="0" w:type="dxa"/>
              <w:right w:w="0" w:type="dxa"/>
            </w:tcMar>
            <w:vAlign w:val="center"/>
          </w:tcPr>
          <w:p w14:paraId="7739B201">
            <w:pPr>
              <w:adjustRightInd w:val="0"/>
              <w:snapToGrid w:val="0"/>
              <w:jc w:val="center"/>
              <w:rPr>
                <w:color w:val="auto"/>
                <w:szCs w:val="21"/>
              </w:rPr>
            </w:pPr>
            <w:r>
              <w:rPr>
                <w:color w:val="auto"/>
                <w:szCs w:val="21"/>
              </w:rPr>
              <w:t>/</w:t>
            </w:r>
          </w:p>
        </w:tc>
        <w:tc>
          <w:tcPr>
            <w:tcW w:w="848" w:type="pct"/>
            <w:noWrap w:val="0"/>
            <w:tcMar>
              <w:top w:w="0" w:type="dxa"/>
              <w:left w:w="0" w:type="dxa"/>
              <w:bottom w:w="0" w:type="dxa"/>
              <w:right w:w="0" w:type="dxa"/>
            </w:tcMar>
            <w:vAlign w:val="center"/>
          </w:tcPr>
          <w:p w14:paraId="1BDB8F9B">
            <w:pPr>
              <w:adjustRightInd w:val="0"/>
              <w:snapToGrid w:val="0"/>
              <w:jc w:val="center"/>
              <w:rPr>
                <w:color w:val="auto"/>
                <w:szCs w:val="21"/>
              </w:rPr>
            </w:pPr>
            <w:r>
              <w:rPr>
                <w:color w:val="auto"/>
                <w:szCs w:val="21"/>
              </w:rPr>
              <w:t>/</w:t>
            </w:r>
          </w:p>
        </w:tc>
        <w:tc>
          <w:tcPr>
            <w:tcW w:w="1874" w:type="pct"/>
            <w:noWrap w:val="0"/>
            <w:tcMar>
              <w:top w:w="0" w:type="dxa"/>
              <w:left w:w="0" w:type="dxa"/>
              <w:bottom w:w="0" w:type="dxa"/>
              <w:right w:w="0" w:type="dxa"/>
            </w:tcMar>
            <w:vAlign w:val="center"/>
          </w:tcPr>
          <w:p w14:paraId="43D5A2E8">
            <w:pPr>
              <w:adjustRightInd w:val="0"/>
              <w:snapToGrid w:val="0"/>
              <w:jc w:val="center"/>
              <w:rPr>
                <w:color w:val="auto"/>
                <w:szCs w:val="21"/>
              </w:rPr>
            </w:pPr>
            <w:r>
              <w:rPr>
                <w:color w:val="auto"/>
                <w:szCs w:val="21"/>
              </w:rPr>
              <w:t>/</w:t>
            </w:r>
          </w:p>
        </w:tc>
      </w:tr>
      <w:tr w14:paraId="0F4EF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41ED7004">
            <w:pPr>
              <w:wordWrap w:val="0"/>
              <w:adjustRightInd w:val="0"/>
              <w:snapToGrid w:val="0"/>
              <w:jc w:val="center"/>
              <w:rPr>
                <w:color w:val="auto"/>
                <w:szCs w:val="21"/>
              </w:rPr>
            </w:pPr>
            <w:r>
              <w:rPr>
                <w:color w:val="auto"/>
                <w:szCs w:val="21"/>
              </w:rPr>
              <w:t>土壤及地下水污染防治措施</w:t>
            </w:r>
          </w:p>
        </w:tc>
        <w:tc>
          <w:tcPr>
            <w:tcW w:w="4480" w:type="pct"/>
            <w:gridSpan w:val="5"/>
            <w:noWrap w:val="0"/>
            <w:tcMar>
              <w:top w:w="0" w:type="dxa"/>
              <w:left w:w="0" w:type="dxa"/>
              <w:bottom w:w="0" w:type="dxa"/>
              <w:right w:w="0" w:type="dxa"/>
            </w:tcMar>
            <w:vAlign w:val="center"/>
          </w:tcPr>
          <w:p w14:paraId="741BAFFE">
            <w:pPr>
              <w:adjustRightInd w:val="0"/>
              <w:snapToGrid w:val="0"/>
              <w:jc w:val="center"/>
              <w:rPr>
                <w:rFonts w:hint="eastAsia" w:eastAsia="宋体"/>
                <w:color w:val="auto"/>
                <w:szCs w:val="21"/>
                <w:lang w:eastAsia="zh-CN"/>
              </w:rPr>
            </w:pPr>
            <w:r>
              <w:rPr>
                <w:color w:val="auto"/>
                <w:szCs w:val="21"/>
              </w:rPr>
              <w:t>源头控制、分区防控、加强管理</w:t>
            </w:r>
            <w:r>
              <w:rPr>
                <w:rFonts w:hint="eastAsia"/>
                <w:color w:val="auto"/>
                <w:szCs w:val="21"/>
                <w:lang w:eastAsia="zh-CN"/>
              </w:rPr>
              <w:t>。</w:t>
            </w:r>
          </w:p>
        </w:tc>
      </w:tr>
      <w:tr w14:paraId="30B5C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4541D11C">
            <w:pPr>
              <w:wordWrap w:val="0"/>
              <w:adjustRightInd w:val="0"/>
              <w:snapToGrid w:val="0"/>
              <w:jc w:val="center"/>
              <w:rPr>
                <w:color w:val="auto"/>
                <w:szCs w:val="21"/>
              </w:rPr>
            </w:pPr>
            <w:r>
              <w:rPr>
                <w:color w:val="auto"/>
                <w:szCs w:val="21"/>
              </w:rPr>
              <w:t>生态保护措施</w:t>
            </w:r>
          </w:p>
        </w:tc>
        <w:tc>
          <w:tcPr>
            <w:tcW w:w="4480" w:type="pct"/>
            <w:gridSpan w:val="5"/>
            <w:noWrap w:val="0"/>
            <w:tcMar>
              <w:top w:w="0" w:type="dxa"/>
              <w:left w:w="0" w:type="dxa"/>
              <w:bottom w:w="0" w:type="dxa"/>
              <w:right w:w="0" w:type="dxa"/>
            </w:tcMar>
            <w:vAlign w:val="center"/>
          </w:tcPr>
          <w:p w14:paraId="7A869265">
            <w:pPr>
              <w:adjustRightInd w:val="0"/>
              <w:snapToGrid w:val="0"/>
              <w:jc w:val="center"/>
              <w:rPr>
                <w:rFonts w:hint="eastAsia" w:eastAsia="宋体"/>
                <w:color w:val="auto"/>
                <w:szCs w:val="21"/>
                <w:lang w:eastAsia="zh-CN"/>
              </w:rPr>
            </w:pPr>
            <w:r>
              <w:rPr>
                <w:color w:val="auto"/>
                <w:szCs w:val="21"/>
              </w:rPr>
              <w:t>无</w:t>
            </w:r>
            <w:r>
              <w:rPr>
                <w:rFonts w:hint="eastAsia"/>
                <w:color w:val="auto"/>
                <w:szCs w:val="21"/>
                <w:lang w:eastAsia="zh-CN"/>
              </w:rPr>
              <w:t>。</w:t>
            </w:r>
          </w:p>
        </w:tc>
      </w:tr>
      <w:tr w14:paraId="5ADA0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39091A71">
            <w:pPr>
              <w:pStyle w:val="87"/>
              <w:snapToGrid w:val="0"/>
              <w:jc w:val="center"/>
              <w:rPr>
                <w:rFonts w:eastAsia="宋体"/>
                <w:bCs/>
                <w:color w:val="auto"/>
                <w:sz w:val="21"/>
                <w:szCs w:val="21"/>
              </w:rPr>
            </w:pPr>
            <w:r>
              <w:rPr>
                <w:rFonts w:eastAsia="宋体"/>
                <w:bCs/>
                <w:color w:val="auto"/>
                <w:sz w:val="21"/>
                <w:szCs w:val="21"/>
              </w:rPr>
              <w:t>环境管理</w:t>
            </w:r>
          </w:p>
        </w:tc>
        <w:tc>
          <w:tcPr>
            <w:tcW w:w="4480" w:type="pct"/>
            <w:gridSpan w:val="5"/>
            <w:noWrap w:val="0"/>
            <w:tcMar>
              <w:top w:w="0" w:type="dxa"/>
              <w:left w:w="0" w:type="dxa"/>
              <w:bottom w:w="0" w:type="dxa"/>
              <w:right w:w="0" w:type="dxa"/>
            </w:tcMar>
            <w:vAlign w:val="center"/>
          </w:tcPr>
          <w:p w14:paraId="4DCA2C50">
            <w:pPr>
              <w:pStyle w:val="87"/>
              <w:snapToGrid w:val="0"/>
              <w:jc w:val="left"/>
              <w:rPr>
                <w:rFonts w:hint="eastAsia" w:eastAsia="宋体"/>
                <w:bCs/>
                <w:color w:val="auto"/>
                <w:sz w:val="21"/>
                <w:szCs w:val="21"/>
              </w:rPr>
            </w:pPr>
            <w:r>
              <w:rPr>
                <w:rFonts w:hint="eastAsia" w:eastAsia="宋体"/>
                <w:bCs/>
                <w:color w:val="auto"/>
                <w:sz w:val="21"/>
                <w:szCs w:val="21"/>
              </w:rPr>
              <w:t>建设单位</w:t>
            </w:r>
            <w:r>
              <w:rPr>
                <w:rFonts w:eastAsia="宋体"/>
                <w:bCs/>
                <w:color w:val="auto"/>
                <w:sz w:val="21"/>
                <w:szCs w:val="21"/>
              </w:rPr>
              <w:t>应定期清理车间，保持车间整洁；定期检查机械设备，以防设备老化，</w:t>
            </w:r>
            <w:r>
              <w:rPr>
                <w:rFonts w:hint="eastAsia" w:eastAsia="宋体"/>
                <w:bCs/>
                <w:color w:val="auto"/>
                <w:sz w:val="21"/>
                <w:szCs w:val="21"/>
              </w:rPr>
              <w:t>建设单位</w:t>
            </w:r>
            <w:r>
              <w:rPr>
                <w:rFonts w:eastAsia="宋体"/>
                <w:bCs/>
                <w:color w:val="auto"/>
                <w:sz w:val="21"/>
                <w:szCs w:val="21"/>
              </w:rPr>
              <w:t>应定期对各厂界进行噪声检测，一旦发现噪声超标，</w:t>
            </w:r>
            <w:r>
              <w:rPr>
                <w:rFonts w:hint="eastAsia" w:eastAsia="宋体"/>
                <w:bCs/>
                <w:color w:val="auto"/>
                <w:sz w:val="21"/>
                <w:szCs w:val="21"/>
              </w:rPr>
              <w:t>建设单位</w:t>
            </w:r>
            <w:r>
              <w:rPr>
                <w:rFonts w:eastAsia="宋体"/>
                <w:bCs/>
                <w:color w:val="auto"/>
                <w:sz w:val="21"/>
                <w:szCs w:val="21"/>
              </w:rPr>
              <w:t>应立即停产整改，待各厂界噪声检测数据恢复正常后即可恢复生产。公司还应开展常规监测，以了解污染物达标排放情况，每年对各废气（非甲烷总烃</w:t>
            </w:r>
            <w:r>
              <w:rPr>
                <w:rFonts w:hint="eastAsia" w:eastAsia="宋体"/>
                <w:bCs/>
                <w:color w:val="auto"/>
                <w:sz w:val="21"/>
                <w:szCs w:val="21"/>
                <w:lang w:eastAsia="zh-CN"/>
              </w:rPr>
              <w:t>、</w:t>
            </w:r>
            <w:r>
              <w:rPr>
                <w:rFonts w:hint="eastAsia" w:eastAsia="宋体"/>
                <w:bCs/>
                <w:color w:val="auto"/>
                <w:sz w:val="21"/>
                <w:szCs w:val="21"/>
                <w:lang w:val="en-US" w:eastAsia="zh-CN"/>
              </w:rPr>
              <w:t>颗粒物等</w:t>
            </w:r>
            <w:r>
              <w:rPr>
                <w:rFonts w:eastAsia="宋体"/>
                <w:bCs/>
                <w:color w:val="auto"/>
                <w:sz w:val="21"/>
                <w:szCs w:val="21"/>
              </w:rPr>
              <w:t>）、废水</w:t>
            </w:r>
            <w:r>
              <w:rPr>
                <w:rFonts w:hint="eastAsia" w:eastAsia="宋体"/>
                <w:bCs/>
                <w:color w:val="auto"/>
                <w:sz w:val="21"/>
                <w:szCs w:val="21"/>
              </w:rPr>
              <w:t>、</w:t>
            </w:r>
            <w:r>
              <w:rPr>
                <w:rFonts w:eastAsia="宋体"/>
                <w:bCs/>
                <w:color w:val="auto"/>
                <w:sz w:val="21"/>
                <w:szCs w:val="21"/>
              </w:rPr>
              <w:t>各厂界噪声、接管口各污染物浓度进行检测</w:t>
            </w:r>
            <w:r>
              <w:rPr>
                <w:rFonts w:hint="eastAsia" w:eastAsia="宋体"/>
                <w:bCs/>
                <w:color w:val="auto"/>
                <w:sz w:val="21"/>
                <w:szCs w:val="21"/>
              </w:rPr>
              <w:t>。</w:t>
            </w:r>
          </w:p>
        </w:tc>
      </w:tr>
      <w:tr w14:paraId="0C622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10143D70">
            <w:pPr>
              <w:pStyle w:val="87"/>
              <w:snapToGrid w:val="0"/>
              <w:jc w:val="center"/>
              <w:rPr>
                <w:rFonts w:eastAsia="宋体"/>
                <w:bCs/>
                <w:color w:val="auto"/>
                <w:sz w:val="21"/>
                <w:szCs w:val="21"/>
              </w:rPr>
            </w:pPr>
            <w:r>
              <w:rPr>
                <w:rFonts w:eastAsia="宋体"/>
                <w:bCs/>
                <w:color w:val="auto"/>
                <w:sz w:val="21"/>
                <w:szCs w:val="21"/>
              </w:rPr>
              <w:t>总量平衡途径</w:t>
            </w:r>
          </w:p>
        </w:tc>
        <w:tc>
          <w:tcPr>
            <w:tcW w:w="4480" w:type="pct"/>
            <w:gridSpan w:val="5"/>
            <w:noWrap w:val="0"/>
            <w:tcMar>
              <w:top w:w="0" w:type="dxa"/>
              <w:left w:w="0" w:type="dxa"/>
              <w:bottom w:w="0" w:type="dxa"/>
              <w:right w:w="0" w:type="dxa"/>
            </w:tcMar>
            <w:vAlign w:val="center"/>
          </w:tcPr>
          <w:p w14:paraId="29C7D9BA">
            <w:pPr>
              <w:pStyle w:val="87"/>
              <w:snapToGrid w:val="0"/>
              <w:jc w:val="left"/>
              <w:rPr>
                <w:rFonts w:eastAsia="宋体"/>
                <w:bCs/>
                <w:color w:val="auto"/>
                <w:sz w:val="21"/>
                <w:szCs w:val="21"/>
              </w:rPr>
            </w:pPr>
            <w:r>
              <w:rPr>
                <w:rFonts w:eastAsia="宋体"/>
                <w:bCs/>
                <w:color w:val="auto"/>
                <w:sz w:val="21"/>
                <w:szCs w:val="21"/>
              </w:rPr>
              <w:t>①污水：本项目</w:t>
            </w:r>
            <w:r>
              <w:rPr>
                <w:rFonts w:hint="eastAsia" w:eastAsia="宋体"/>
                <w:bCs/>
                <w:color w:val="auto"/>
                <w:sz w:val="21"/>
                <w:szCs w:val="21"/>
              </w:rPr>
              <w:t>生活污水接管至常州金坛区第二污水处理有限公司处理</w:t>
            </w:r>
            <w:r>
              <w:rPr>
                <w:rFonts w:eastAsia="宋体"/>
                <w:bCs/>
                <w:color w:val="auto"/>
                <w:sz w:val="21"/>
                <w:szCs w:val="21"/>
              </w:rPr>
              <w:t>，污染物排放指标在</w:t>
            </w:r>
            <w:r>
              <w:rPr>
                <w:rFonts w:hint="eastAsia" w:eastAsia="宋体"/>
                <w:bCs/>
                <w:color w:val="auto"/>
                <w:sz w:val="21"/>
                <w:szCs w:val="21"/>
              </w:rPr>
              <w:t>常州金坛区第二污水处理有限公司</w:t>
            </w:r>
            <w:r>
              <w:rPr>
                <w:rFonts w:eastAsia="宋体"/>
                <w:bCs/>
                <w:color w:val="auto"/>
                <w:sz w:val="21"/>
                <w:szCs w:val="21"/>
              </w:rPr>
              <w:t>内平衡。②大气：本项目</w:t>
            </w:r>
            <w:r>
              <w:rPr>
                <w:rFonts w:hint="eastAsia" w:eastAsia="宋体"/>
                <w:bCs/>
                <w:color w:val="auto"/>
                <w:sz w:val="21"/>
                <w:szCs w:val="21"/>
              </w:rPr>
              <w:t>非甲烷总烃</w:t>
            </w:r>
            <w:r>
              <w:rPr>
                <w:rFonts w:hint="eastAsia" w:eastAsia="宋体"/>
                <w:bCs/>
                <w:color w:val="auto"/>
                <w:sz w:val="21"/>
                <w:szCs w:val="21"/>
                <w:lang w:eastAsia="zh-CN"/>
              </w:rPr>
              <w:t>、</w:t>
            </w:r>
            <w:r>
              <w:rPr>
                <w:rFonts w:hint="eastAsia" w:eastAsia="宋体"/>
                <w:bCs/>
                <w:color w:val="auto"/>
                <w:sz w:val="21"/>
                <w:szCs w:val="21"/>
                <w:lang w:val="en-US" w:eastAsia="zh-CN"/>
              </w:rPr>
              <w:t>颗粒物</w:t>
            </w:r>
            <w:r>
              <w:rPr>
                <w:rFonts w:eastAsia="宋体"/>
                <w:bCs/>
                <w:color w:val="auto"/>
                <w:sz w:val="21"/>
                <w:szCs w:val="21"/>
              </w:rPr>
              <w:t>需申请总量，在金坛区域内进行平衡</w:t>
            </w:r>
            <w:r>
              <w:rPr>
                <w:rFonts w:hint="eastAsia" w:eastAsia="宋体"/>
                <w:bCs/>
                <w:color w:val="auto"/>
                <w:sz w:val="21"/>
                <w:szCs w:val="21"/>
              </w:rPr>
              <w:t>。</w:t>
            </w:r>
            <w:r>
              <w:rPr>
                <w:rFonts w:eastAsia="宋体"/>
                <w:bCs/>
                <w:color w:val="auto"/>
                <w:sz w:val="21"/>
                <w:szCs w:val="21"/>
              </w:rPr>
              <w:t>③固废：固废均得到妥善处置，处置率100%，不排放，无需申请总量指标。</w:t>
            </w:r>
          </w:p>
        </w:tc>
      </w:tr>
      <w:tr w14:paraId="0F9CC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423216A4">
            <w:pPr>
              <w:pStyle w:val="87"/>
              <w:snapToGrid w:val="0"/>
              <w:jc w:val="center"/>
              <w:rPr>
                <w:rFonts w:eastAsia="宋体"/>
                <w:bCs/>
                <w:color w:val="auto"/>
                <w:sz w:val="21"/>
                <w:szCs w:val="21"/>
              </w:rPr>
            </w:pPr>
            <w:r>
              <w:rPr>
                <w:rFonts w:eastAsia="宋体"/>
                <w:bCs/>
                <w:color w:val="auto"/>
                <w:sz w:val="21"/>
                <w:szCs w:val="21"/>
              </w:rPr>
              <w:t>区域解决问题</w:t>
            </w:r>
          </w:p>
        </w:tc>
        <w:tc>
          <w:tcPr>
            <w:tcW w:w="4480" w:type="pct"/>
            <w:gridSpan w:val="5"/>
            <w:noWrap w:val="0"/>
            <w:tcMar>
              <w:top w:w="0" w:type="dxa"/>
              <w:left w:w="0" w:type="dxa"/>
              <w:bottom w:w="0" w:type="dxa"/>
              <w:right w:w="0" w:type="dxa"/>
            </w:tcMar>
            <w:vAlign w:val="center"/>
          </w:tcPr>
          <w:p w14:paraId="1F899AA0">
            <w:pPr>
              <w:pStyle w:val="87"/>
              <w:snapToGrid w:val="0"/>
              <w:jc w:val="center"/>
              <w:rPr>
                <w:rFonts w:eastAsia="宋体"/>
                <w:bCs/>
                <w:color w:val="auto"/>
                <w:sz w:val="21"/>
                <w:szCs w:val="21"/>
              </w:rPr>
            </w:pPr>
            <w:r>
              <w:rPr>
                <w:rFonts w:eastAsia="宋体"/>
                <w:bCs/>
                <w:color w:val="auto"/>
                <w:sz w:val="21"/>
                <w:szCs w:val="21"/>
              </w:rPr>
              <w:t>—</w:t>
            </w:r>
          </w:p>
        </w:tc>
      </w:tr>
      <w:tr w14:paraId="3FD83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4D50F0F1">
            <w:pPr>
              <w:pStyle w:val="87"/>
              <w:snapToGrid w:val="0"/>
              <w:jc w:val="center"/>
              <w:rPr>
                <w:rFonts w:eastAsia="宋体"/>
                <w:bCs/>
                <w:color w:val="auto"/>
                <w:sz w:val="21"/>
                <w:szCs w:val="21"/>
              </w:rPr>
            </w:pPr>
            <w:r>
              <w:rPr>
                <w:rFonts w:eastAsia="宋体"/>
                <w:bCs/>
                <w:color w:val="auto"/>
                <w:sz w:val="21"/>
                <w:szCs w:val="21"/>
              </w:rPr>
              <w:t>大气防护距离设置</w:t>
            </w:r>
          </w:p>
        </w:tc>
        <w:tc>
          <w:tcPr>
            <w:tcW w:w="4480" w:type="pct"/>
            <w:gridSpan w:val="5"/>
            <w:noWrap w:val="0"/>
            <w:tcMar>
              <w:top w:w="0" w:type="dxa"/>
              <w:left w:w="0" w:type="dxa"/>
              <w:bottom w:w="0" w:type="dxa"/>
              <w:right w:w="0" w:type="dxa"/>
            </w:tcMar>
            <w:vAlign w:val="center"/>
          </w:tcPr>
          <w:p w14:paraId="6D703A66">
            <w:pPr>
              <w:pStyle w:val="87"/>
              <w:snapToGrid w:val="0"/>
              <w:jc w:val="center"/>
              <w:rPr>
                <w:rFonts w:hint="eastAsia" w:eastAsia="宋体"/>
                <w:bCs/>
                <w:color w:val="auto"/>
                <w:sz w:val="21"/>
                <w:szCs w:val="21"/>
                <w:lang w:eastAsia="zh-CN"/>
              </w:rPr>
            </w:pPr>
            <w:r>
              <w:rPr>
                <w:rFonts w:eastAsia="宋体"/>
                <w:bCs/>
                <w:color w:val="auto"/>
                <w:sz w:val="21"/>
                <w:szCs w:val="21"/>
              </w:rPr>
              <w:t>无需设大气环境防护距离</w:t>
            </w:r>
            <w:r>
              <w:rPr>
                <w:rFonts w:hint="eastAsia" w:eastAsia="宋体"/>
                <w:bCs/>
                <w:color w:val="auto"/>
                <w:sz w:val="21"/>
                <w:szCs w:val="21"/>
                <w:lang w:eastAsia="zh-CN"/>
              </w:rPr>
              <w:t>。</w:t>
            </w:r>
          </w:p>
        </w:tc>
      </w:tr>
      <w:tr w14:paraId="0025A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6B34869D">
            <w:pPr>
              <w:pStyle w:val="87"/>
              <w:snapToGrid w:val="0"/>
              <w:jc w:val="center"/>
              <w:rPr>
                <w:rFonts w:eastAsia="宋体"/>
                <w:bCs/>
                <w:color w:val="auto"/>
                <w:sz w:val="21"/>
                <w:szCs w:val="21"/>
              </w:rPr>
            </w:pPr>
            <w:r>
              <w:rPr>
                <w:rFonts w:eastAsia="宋体"/>
                <w:bCs/>
                <w:color w:val="auto"/>
                <w:sz w:val="21"/>
                <w:szCs w:val="21"/>
              </w:rPr>
              <w:t>卫生防护距离设置</w:t>
            </w:r>
          </w:p>
        </w:tc>
        <w:tc>
          <w:tcPr>
            <w:tcW w:w="4480" w:type="pct"/>
            <w:gridSpan w:val="5"/>
            <w:noWrap w:val="0"/>
            <w:tcMar>
              <w:top w:w="0" w:type="dxa"/>
              <w:left w:w="0" w:type="dxa"/>
              <w:bottom w:w="0" w:type="dxa"/>
              <w:right w:w="0" w:type="dxa"/>
            </w:tcMar>
            <w:vAlign w:val="center"/>
          </w:tcPr>
          <w:p w14:paraId="5637F236">
            <w:pPr>
              <w:pStyle w:val="87"/>
              <w:snapToGrid w:val="0"/>
              <w:jc w:val="center"/>
              <w:rPr>
                <w:rFonts w:hint="eastAsia" w:eastAsia="宋体"/>
                <w:bCs/>
                <w:color w:val="auto"/>
                <w:sz w:val="21"/>
                <w:szCs w:val="21"/>
                <w:lang w:eastAsia="zh-CN"/>
              </w:rPr>
            </w:pPr>
            <w:r>
              <w:rPr>
                <w:rFonts w:hint="eastAsia" w:eastAsia="宋体"/>
                <w:bCs/>
                <w:color w:val="auto"/>
                <w:sz w:val="21"/>
                <w:szCs w:val="21"/>
                <w:lang w:val="en-US" w:eastAsia="zh-CN"/>
              </w:rPr>
              <w:t>生产车间无组织面源</w:t>
            </w:r>
            <w:r>
              <w:rPr>
                <w:rFonts w:eastAsia="宋体"/>
                <w:bCs/>
                <w:color w:val="auto"/>
                <w:sz w:val="21"/>
                <w:szCs w:val="21"/>
              </w:rPr>
              <w:t>外</w:t>
            </w:r>
            <w:r>
              <w:rPr>
                <w:rFonts w:hint="eastAsia" w:eastAsia="宋体"/>
                <w:bCs/>
                <w:color w:val="auto"/>
                <w:sz w:val="21"/>
                <w:szCs w:val="21"/>
                <w:lang w:val="en-US" w:eastAsia="zh-CN"/>
              </w:rPr>
              <w:t>100</w:t>
            </w:r>
            <w:r>
              <w:rPr>
                <w:rFonts w:eastAsia="宋体"/>
                <w:bCs/>
                <w:color w:val="auto"/>
                <w:sz w:val="21"/>
                <w:szCs w:val="21"/>
              </w:rPr>
              <w:t>m形成的包络线设置卫生防护距离</w:t>
            </w:r>
            <w:r>
              <w:rPr>
                <w:rFonts w:hint="eastAsia" w:eastAsia="宋体"/>
                <w:bCs/>
                <w:color w:val="auto"/>
                <w:sz w:val="21"/>
                <w:szCs w:val="21"/>
                <w:lang w:eastAsia="zh-CN"/>
              </w:rPr>
              <w:t>。</w:t>
            </w:r>
          </w:p>
        </w:tc>
      </w:tr>
      <w:tr w14:paraId="6015F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5B0D6AF9">
            <w:pPr>
              <w:pStyle w:val="87"/>
              <w:snapToGrid w:val="0"/>
              <w:jc w:val="center"/>
              <w:rPr>
                <w:rFonts w:eastAsia="宋体"/>
                <w:bCs/>
                <w:color w:val="auto"/>
                <w:sz w:val="21"/>
                <w:szCs w:val="21"/>
              </w:rPr>
            </w:pPr>
            <w:r>
              <w:rPr>
                <w:rFonts w:hint="eastAsia" w:eastAsia="宋体"/>
                <w:bCs/>
                <w:color w:val="auto"/>
                <w:sz w:val="21"/>
                <w:szCs w:val="21"/>
              </w:rPr>
              <w:t>环境风险</w:t>
            </w:r>
          </w:p>
        </w:tc>
        <w:tc>
          <w:tcPr>
            <w:tcW w:w="4480" w:type="pct"/>
            <w:gridSpan w:val="5"/>
            <w:noWrap w:val="0"/>
            <w:tcMar>
              <w:top w:w="0" w:type="dxa"/>
              <w:left w:w="0" w:type="dxa"/>
              <w:bottom w:w="0" w:type="dxa"/>
              <w:right w:w="0" w:type="dxa"/>
            </w:tcMar>
            <w:vAlign w:val="center"/>
          </w:tcPr>
          <w:p w14:paraId="39208F4C">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①物料储运安全防范措施</w:t>
            </w:r>
          </w:p>
          <w:p w14:paraId="26AC703E">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包装过程要求包装材料与危险物相适应、包装封口与危险物相适应；包装标志执行《危险货物包装标志》（GB190-2009）和《危险货物运输图示标志》（GB191-2008）。运输过程应执行《危险货物运输包装通用技术条件》（GB12465-2009）和各种运输方式的《危险货物运输规则》。装卸过程要求防震、防撞、防倾斜；断火源、禁火种；通风和降温。</w:t>
            </w:r>
          </w:p>
          <w:p w14:paraId="604DDA7E">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②物料储存、泄漏事故的防范措施</w:t>
            </w:r>
          </w:p>
          <w:p w14:paraId="4B709220">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仓库设置防止物料泄漏流失和扩散到环境的设施，以及收集系统，严禁吸烟，并按规定设置安全警示标志。原料包装必须严密，保持库房内干燥通风、密封避光，安装通风设施，夏季高温时应采取如喷淋降温、遮阳和防高温隔绝涂料等措施。装卸、搬运时应做到轻装、轻卸，严禁摔、碰、撞、击、拖拉、倾倒和滚动。操作人员应根据物品危险性，穿戴相应的防护用品。作业中不得饮食，不得用手擦嘴、脸、眼睛。每次作业完毕，应及时用肥皂（或专用洗涤剂）洗净面部、手部，用清水漱口，防护用具应及时清洗，集中存放。装卸作业结束后，应当对库区进行检查，确认安全后，方可离开。通过加强管理，提高员工的安全意识，可降低发生泄漏的概率。</w:t>
            </w:r>
          </w:p>
          <w:p w14:paraId="11608E66">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③火灾爆炸事故的防范措施</w:t>
            </w:r>
          </w:p>
          <w:p w14:paraId="64DC754A">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按照《建筑设计防火规范》（GB50016-2014，2018年版）等标准的要求建设生产厂房，设置防火间距、平面布置等。定期对设备进行安全检测，检测内容、时间、人员应有记录保存。安全检测根据设备的安全性、危险性设定检测频次。设备检修过程中，要严格按照操作规程进行，防止火灾事故的发生。加强火源的管理，严禁烟火带入，对设备需进行维修焊接，经安全部门确认、准许，并有记录。机动车在厂内行驶，须安装阻火器，必要设备安装防火装置。要有完善的安全消防措施。各重点部位需设置灭火器，并且对其作定期检查。</w:t>
            </w:r>
          </w:p>
          <w:p w14:paraId="0CBF04B0">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④危废仓库风险防范措施</w:t>
            </w:r>
          </w:p>
          <w:p w14:paraId="26D5A0DE">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危险废物分类存放到危废仓库，做好进出库管理，及时登记，账物相符，并做好贮存场所和危废包装的标识工作。危废堆场要做到“六防”，即：防风、防晒、防雨、防漏、防渗、防腐；地面与裙脚要用坚固、防渗的材料建造，建筑材料必须与危险废物相容。通道、出入口和通向消防设施的道路保持畅通，同时配置合格的消防器材，并确保其处于完好状态。</w:t>
            </w:r>
          </w:p>
        </w:tc>
      </w:tr>
      <w:tr w14:paraId="17F91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2A0B7F4D">
            <w:pPr>
              <w:pStyle w:val="87"/>
              <w:snapToGrid w:val="0"/>
              <w:jc w:val="center"/>
              <w:rPr>
                <w:rFonts w:hint="eastAsia" w:eastAsia="宋体"/>
                <w:bCs/>
                <w:color w:val="auto"/>
                <w:sz w:val="21"/>
                <w:szCs w:val="21"/>
                <w:lang w:val="en-US" w:eastAsia="zh-CN"/>
              </w:rPr>
            </w:pPr>
            <w:r>
              <w:rPr>
                <w:rFonts w:hint="eastAsia" w:eastAsia="宋体"/>
                <w:bCs/>
                <w:color w:val="auto"/>
                <w:sz w:val="21"/>
                <w:szCs w:val="21"/>
                <w:lang w:val="en-US" w:eastAsia="zh-CN"/>
              </w:rPr>
              <w:t>其他</w:t>
            </w:r>
          </w:p>
        </w:tc>
        <w:tc>
          <w:tcPr>
            <w:tcW w:w="4480" w:type="pct"/>
            <w:gridSpan w:val="5"/>
            <w:noWrap w:val="0"/>
            <w:tcMar>
              <w:top w:w="0" w:type="dxa"/>
              <w:left w:w="0" w:type="dxa"/>
              <w:bottom w:w="0" w:type="dxa"/>
              <w:right w:w="0" w:type="dxa"/>
            </w:tcMar>
            <w:vAlign w:val="center"/>
          </w:tcPr>
          <w:p w14:paraId="79A9F75A">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一、要求</w:t>
            </w:r>
          </w:p>
          <w:p w14:paraId="6E0E00B4">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1、上述评价结论是根据建设方提供的规模、原辅材料用量及与此对应的排污情况基础上进行的，如果规模和排污情况发生重大变动，建设单位应按环保部门的要求另行申报。</w:t>
            </w:r>
          </w:p>
          <w:p w14:paraId="798F43CE">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2、建设单位在项目实施过程中，务必认真落实各项治理措施，加强对环保设施的运行管理制定有效的管理规章制度，落实到人。公司应十分重视引进和建立先进的环保管理模式，完善管理机制，强化职工自身的环保意识。</w:t>
            </w:r>
          </w:p>
          <w:p w14:paraId="4A0D1ECB">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3、项目涉及的各类环境污染治理设施将同步及时按规划、消防、安全等相关部门的管理要求办理相关手续，严格依据标准规范建设环境治理设施，确保环境治理设施安全、稳定、有效运行。</w:t>
            </w:r>
          </w:p>
          <w:p w14:paraId="7F9733D4">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二、建议</w:t>
            </w:r>
          </w:p>
          <w:p w14:paraId="680B070A">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①建设项目应加强环境管理。</w:t>
            </w:r>
          </w:p>
          <w:p w14:paraId="21E7DACA">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②尽量选择低噪声设备，并对部分高噪声设备采取减振降噪措施，以改善项目周围的声环境质量。</w:t>
            </w:r>
          </w:p>
          <w:p w14:paraId="21F5E8D3">
            <w:pPr>
              <w:pStyle w:val="87"/>
              <w:snapToGrid w:val="0"/>
              <w:jc w:val="left"/>
              <w:rPr>
                <w:rFonts w:hint="eastAsia" w:eastAsia="宋体"/>
                <w:bCs/>
                <w:color w:val="auto"/>
                <w:sz w:val="21"/>
                <w:szCs w:val="21"/>
                <w:lang w:val="en-US" w:eastAsia="zh-CN"/>
              </w:rPr>
            </w:pPr>
            <w:r>
              <w:rPr>
                <w:rFonts w:hint="eastAsia" w:eastAsia="宋体"/>
                <w:bCs/>
                <w:color w:val="auto"/>
                <w:sz w:val="21"/>
                <w:szCs w:val="21"/>
                <w:lang w:val="en-US" w:eastAsia="zh-CN"/>
              </w:rPr>
              <w:t>③加强业务培训和宣传教育工作，使每个职工树立节能意识、环保意识，保障清洁生产的顺利实施。</w:t>
            </w:r>
          </w:p>
        </w:tc>
      </w:tr>
    </w:tbl>
    <w:p w14:paraId="7FE654CC">
      <w:pPr>
        <w:pStyle w:val="25"/>
        <w:adjustRightInd w:val="0"/>
        <w:snapToGrid w:val="0"/>
        <w:spacing w:before="0" w:beforeAutospacing="0" w:after="0" w:afterAutospacing="0"/>
        <w:outlineLvl w:val="0"/>
        <w:rPr>
          <w:rFonts w:ascii="Times New Roman" w:hAnsi="Times New Roman"/>
          <w:b/>
          <w:bCs/>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73D5B2B">
      <w:pPr>
        <w:pStyle w:val="25"/>
        <w:adjustRightInd w:val="0"/>
        <w:snapToGrid w:val="0"/>
        <w:spacing w:before="0" w:beforeAutospacing="0" w:after="0" w:afterAutospacing="0"/>
        <w:outlineLvl w:val="0"/>
        <w:rPr>
          <w:rFonts w:ascii="Times New Roman" w:hAnsi="Times New Roman"/>
          <w:b/>
          <w:bCs/>
          <w:snapToGrid w:val="0"/>
          <w:color w:val="auto"/>
          <w:sz w:val="30"/>
          <w:szCs w:val="30"/>
        </w:rPr>
      </w:pPr>
      <w:bookmarkStart w:id="33" w:name="_Toc6712"/>
      <w:r>
        <w:rPr>
          <w:rFonts w:ascii="Times New Roman" w:hAnsi="Times New Roman"/>
          <w:b/>
          <w:bCs/>
          <w:snapToGrid w:val="0"/>
          <w:color w:val="auto"/>
          <w:sz w:val="30"/>
          <w:szCs w:val="30"/>
        </w:rPr>
        <w:t>六、结论</w:t>
      </w:r>
      <w:bookmarkEnd w:id="33"/>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4" w:space="0"/>
          <w:insideV w:val="none" w:color="auto" w:sz="0" w:space="0"/>
        </w:tblBorders>
        <w:tblLayout w:type="fixed"/>
        <w:tblCellMar>
          <w:top w:w="0" w:type="dxa"/>
          <w:left w:w="108" w:type="dxa"/>
          <w:bottom w:w="0" w:type="dxa"/>
          <w:right w:w="108" w:type="dxa"/>
        </w:tblCellMar>
      </w:tblPr>
      <w:tblGrid>
        <w:gridCol w:w="8865"/>
      </w:tblGrid>
      <w:tr w14:paraId="63663802">
        <w:tblPrEx>
          <w:tblBorders>
            <w:top w:val="single" w:color="auto" w:sz="6" w:space="0"/>
            <w:left w:val="single" w:color="auto" w:sz="6" w:space="0"/>
            <w:bottom w:val="single" w:color="auto" w:sz="6" w:space="0"/>
            <w:right w:val="single" w:color="auto" w:sz="6" w:space="0"/>
            <w:insideH w:val="single" w:color="auto" w:sz="4" w:space="0"/>
            <w:insideV w:val="none" w:color="auto" w:sz="0" w:space="0"/>
          </w:tblBorders>
          <w:tblCellMar>
            <w:top w:w="0" w:type="dxa"/>
            <w:left w:w="108" w:type="dxa"/>
            <w:bottom w:w="0" w:type="dxa"/>
            <w:right w:w="108" w:type="dxa"/>
          </w:tblCellMar>
        </w:tblPrEx>
        <w:trPr>
          <w:trHeight w:val="340" w:hRule="atLeast"/>
          <w:jc w:val="center"/>
        </w:trPr>
        <w:tc>
          <w:tcPr>
            <w:tcW w:w="8865" w:type="dxa"/>
            <w:noWrap w:val="0"/>
            <w:vAlign w:val="center"/>
          </w:tcPr>
          <w:p w14:paraId="094462D0">
            <w:pPr>
              <w:spacing w:before="120" w:beforeLines="50" w:line="360" w:lineRule="auto"/>
              <w:ind w:firstLine="420" w:firstLineChars="200"/>
              <w:rPr>
                <w:bCs/>
                <w:color w:val="auto"/>
                <w:szCs w:val="21"/>
              </w:rPr>
            </w:pPr>
            <w:r>
              <w:rPr>
                <w:bCs/>
                <w:color w:val="auto"/>
                <w:szCs w:val="21"/>
              </w:rPr>
              <w:t>本项目的建设符合国家产业政策，选址与当地规划相符，各项污染物能够实现达标排放，对环境的影响较小，不会造成区域环境功能的改变，因此从环境保护的角度来讲，本评价认为该项目在坚持“三同时”原则并采取一定的环保措施后，在拟建地建设是可行的。</w:t>
            </w:r>
          </w:p>
          <w:p w14:paraId="4369622E">
            <w:pPr>
              <w:pStyle w:val="2"/>
              <w:spacing w:after="0" w:line="360" w:lineRule="auto"/>
              <w:ind w:firstLine="420" w:firstLineChars="200"/>
              <w:rPr>
                <w:rFonts w:hint="eastAsia"/>
                <w:bCs/>
                <w:color w:val="auto"/>
                <w:szCs w:val="21"/>
              </w:rPr>
            </w:pPr>
          </w:p>
          <w:p w14:paraId="3B045B63">
            <w:pPr>
              <w:rPr>
                <w:bCs/>
                <w:color w:val="auto"/>
                <w:szCs w:val="21"/>
              </w:rPr>
            </w:pPr>
          </w:p>
          <w:p w14:paraId="46250823">
            <w:pPr>
              <w:pStyle w:val="2"/>
              <w:rPr>
                <w:bCs/>
                <w:color w:val="auto"/>
                <w:szCs w:val="21"/>
              </w:rPr>
            </w:pPr>
          </w:p>
          <w:p w14:paraId="08E479F5">
            <w:pPr>
              <w:pStyle w:val="17"/>
              <w:widowControl w:val="0"/>
              <w:numPr>
                <w:ilvl w:val="0"/>
                <w:numId w:val="0"/>
              </w:numPr>
              <w:jc w:val="both"/>
              <w:rPr>
                <w:bCs/>
                <w:color w:val="auto"/>
                <w:szCs w:val="21"/>
              </w:rPr>
            </w:pPr>
          </w:p>
          <w:p w14:paraId="446CED15">
            <w:pPr>
              <w:pStyle w:val="17"/>
              <w:widowControl w:val="0"/>
              <w:numPr>
                <w:ilvl w:val="0"/>
                <w:numId w:val="0"/>
              </w:numPr>
              <w:jc w:val="both"/>
              <w:rPr>
                <w:bCs/>
                <w:color w:val="auto"/>
                <w:szCs w:val="21"/>
              </w:rPr>
            </w:pPr>
          </w:p>
          <w:p w14:paraId="01D0E132">
            <w:pPr>
              <w:pStyle w:val="17"/>
              <w:widowControl w:val="0"/>
              <w:numPr>
                <w:ilvl w:val="0"/>
                <w:numId w:val="0"/>
              </w:numPr>
              <w:jc w:val="both"/>
              <w:rPr>
                <w:bCs/>
                <w:color w:val="auto"/>
                <w:szCs w:val="21"/>
              </w:rPr>
            </w:pPr>
          </w:p>
          <w:p w14:paraId="05702893">
            <w:pPr>
              <w:pStyle w:val="17"/>
              <w:widowControl w:val="0"/>
              <w:numPr>
                <w:ilvl w:val="0"/>
                <w:numId w:val="0"/>
              </w:numPr>
              <w:jc w:val="both"/>
              <w:rPr>
                <w:bCs/>
                <w:color w:val="auto"/>
                <w:szCs w:val="21"/>
              </w:rPr>
            </w:pPr>
          </w:p>
          <w:p w14:paraId="62229213">
            <w:pPr>
              <w:pStyle w:val="17"/>
              <w:widowControl w:val="0"/>
              <w:numPr>
                <w:ilvl w:val="0"/>
                <w:numId w:val="0"/>
              </w:numPr>
              <w:jc w:val="both"/>
              <w:rPr>
                <w:bCs/>
                <w:color w:val="auto"/>
                <w:szCs w:val="21"/>
              </w:rPr>
            </w:pPr>
          </w:p>
          <w:p w14:paraId="531972C3">
            <w:pPr>
              <w:pStyle w:val="17"/>
              <w:widowControl w:val="0"/>
              <w:numPr>
                <w:ilvl w:val="0"/>
                <w:numId w:val="0"/>
              </w:numPr>
              <w:jc w:val="both"/>
              <w:rPr>
                <w:bCs/>
                <w:color w:val="auto"/>
                <w:szCs w:val="21"/>
              </w:rPr>
            </w:pPr>
          </w:p>
          <w:p w14:paraId="399835FB">
            <w:pPr>
              <w:pStyle w:val="17"/>
              <w:widowControl w:val="0"/>
              <w:numPr>
                <w:ilvl w:val="0"/>
                <w:numId w:val="0"/>
              </w:numPr>
              <w:jc w:val="both"/>
              <w:rPr>
                <w:bCs/>
                <w:color w:val="auto"/>
                <w:szCs w:val="21"/>
              </w:rPr>
            </w:pPr>
          </w:p>
          <w:p w14:paraId="00785BED">
            <w:pPr>
              <w:pStyle w:val="17"/>
              <w:widowControl w:val="0"/>
              <w:numPr>
                <w:ilvl w:val="0"/>
                <w:numId w:val="0"/>
              </w:numPr>
              <w:jc w:val="both"/>
              <w:rPr>
                <w:bCs/>
                <w:color w:val="auto"/>
                <w:szCs w:val="21"/>
              </w:rPr>
            </w:pPr>
          </w:p>
          <w:p w14:paraId="0494131C">
            <w:pPr>
              <w:pStyle w:val="17"/>
              <w:widowControl w:val="0"/>
              <w:numPr>
                <w:ilvl w:val="0"/>
                <w:numId w:val="0"/>
              </w:numPr>
              <w:jc w:val="both"/>
              <w:rPr>
                <w:bCs/>
                <w:color w:val="auto"/>
                <w:szCs w:val="21"/>
              </w:rPr>
            </w:pPr>
          </w:p>
          <w:p w14:paraId="2F78139D">
            <w:pPr>
              <w:pStyle w:val="17"/>
              <w:widowControl w:val="0"/>
              <w:numPr>
                <w:ilvl w:val="0"/>
                <w:numId w:val="0"/>
              </w:numPr>
              <w:jc w:val="both"/>
              <w:rPr>
                <w:bCs/>
                <w:color w:val="auto"/>
                <w:szCs w:val="21"/>
              </w:rPr>
            </w:pPr>
          </w:p>
          <w:p w14:paraId="6B6E3ACB">
            <w:pPr>
              <w:pStyle w:val="17"/>
              <w:widowControl w:val="0"/>
              <w:numPr>
                <w:ilvl w:val="0"/>
                <w:numId w:val="0"/>
              </w:numPr>
              <w:jc w:val="both"/>
              <w:rPr>
                <w:bCs/>
                <w:color w:val="auto"/>
                <w:szCs w:val="21"/>
              </w:rPr>
            </w:pPr>
          </w:p>
          <w:p w14:paraId="00D4E6A2">
            <w:pPr>
              <w:pStyle w:val="17"/>
              <w:widowControl w:val="0"/>
              <w:numPr>
                <w:ilvl w:val="0"/>
                <w:numId w:val="0"/>
              </w:numPr>
              <w:jc w:val="both"/>
              <w:rPr>
                <w:bCs/>
                <w:color w:val="auto"/>
                <w:szCs w:val="21"/>
              </w:rPr>
            </w:pPr>
          </w:p>
          <w:p w14:paraId="6512CAD4">
            <w:pPr>
              <w:pStyle w:val="17"/>
              <w:widowControl w:val="0"/>
              <w:numPr>
                <w:ilvl w:val="0"/>
                <w:numId w:val="0"/>
              </w:numPr>
              <w:jc w:val="both"/>
              <w:rPr>
                <w:bCs/>
                <w:color w:val="auto"/>
                <w:szCs w:val="21"/>
              </w:rPr>
            </w:pPr>
          </w:p>
          <w:p w14:paraId="46B0E6CE">
            <w:pPr>
              <w:pStyle w:val="17"/>
              <w:widowControl w:val="0"/>
              <w:numPr>
                <w:ilvl w:val="0"/>
                <w:numId w:val="0"/>
              </w:numPr>
              <w:jc w:val="both"/>
              <w:rPr>
                <w:bCs/>
                <w:color w:val="auto"/>
                <w:szCs w:val="21"/>
              </w:rPr>
            </w:pPr>
          </w:p>
          <w:p w14:paraId="44500686">
            <w:pPr>
              <w:pStyle w:val="17"/>
              <w:widowControl w:val="0"/>
              <w:numPr>
                <w:ilvl w:val="0"/>
                <w:numId w:val="0"/>
              </w:numPr>
              <w:jc w:val="both"/>
              <w:rPr>
                <w:bCs/>
                <w:color w:val="auto"/>
                <w:szCs w:val="21"/>
              </w:rPr>
            </w:pPr>
          </w:p>
          <w:p w14:paraId="1C1D93CA">
            <w:pPr>
              <w:pStyle w:val="17"/>
              <w:widowControl w:val="0"/>
              <w:numPr>
                <w:ilvl w:val="0"/>
                <w:numId w:val="0"/>
              </w:numPr>
              <w:jc w:val="both"/>
              <w:rPr>
                <w:bCs/>
                <w:color w:val="auto"/>
                <w:szCs w:val="21"/>
              </w:rPr>
            </w:pPr>
          </w:p>
          <w:p w14:paraId="16D1CD28">
            <w:pPr>
              <w:pStyle w:val="17"/>
              <w:widowControl w:val="0"/>
              <w:numPr>
                <w:ilvl w:val="0"/>
                <w:numId w:val="0"/>
              </w:numPr>
              <w:jc w:val="both"/>
              <w:rPr>
                <w:bCs/>
                <w:color w:val="auto"/>
                <w:szCs w:val="21"/>
              </w:rPr>
            </w:pPr>
          </w:p>
          <w:p w14:paraId="4D1F7D87">
            <w:pPr>
              <w:pStyle w:val="17"/>
              <w:widowControl w:val="0"/>
              <w:numPr>
                <w:ilvl w:val="0"/>
                <w:numId w:val="0"/>
              </w:numPr>
              <w:jc w:val="both"/>
              <w:rPr>
                <w:bCs/>
                <w:color w:val="auto"/>
                <w:szCs w:val="21"/>
              </w:rPr>
            </w:pPr>
          </w:p>
          <w:p w14:paraId="03DF3344">
            <w:pPr>
              <w:pStyle w:val="17"/>
              <w:widowControl w:val="0"/>
              <w:numPr>
                <w:ilvl w:val="0"/>
                <w:numId w:val="0"/>
              </w:numPr>
              <w:jc w:val="both"/>
              <w:rPr>
                <w:bCs/>
                <w:color w:val="auto"/>
                <w:szCs w:val="21"/>
              </w:rPr>
            </w:pPr>
          </w:p>
          <w:p w14:paraId="2C29EBA9">
            <w:pPr>
              <w:pStyle w:val="17"/>
              <w:widowControl w:val="0"/>
              <w:numPr>
                <w:ilvl w:val="0"/>
                <w:numId w:val="0"/>
              </w:numPr>
              <w:jc w:val="both"/>
              <w:rPr>
                <w:bCs/>
                <w:color w:val="auto"/>
                <w:szCs w:val="21"/>
              </w:rPr>
            </w:pPr>
          </w:p>
          <w:p w14:paraId="7198FA92">
            <w:pPr>
              <w:pStyle w:val="17"/>
              <w:widowControl w:val="0"/>
              <w:numPr>
                <w:ilvl w:val="0"/>
                <w:numId w:val="0"/>
              </w:numPr>
              <w:jc w:val="both"/>
              <w:rPr>
                <w:bCs/>
                <w:color w:val="auto"/>
                <w:szCs w:val="21"/>
              </w:rPr>
            </w:pPr>
          </w:p>
          <w:p w14:paraId="4C73FF4C">
            <w:pPr>
              <w:pStyle w:val="17"/>
              <w:widowControl w:val="0"/>
              <w:numPr>
                <w:ilvl w:val="0"/>
                <w:numId w:val="0"/>
              </w:numPr>
              <w:jc w:val="both"/>
              <w:rPr>
                <w:bCs/>
                <w:color w:val="auto"/>
                <w:szCs w:val="21"/>
              </w:rPr>
            </w:pPr>
          </w:p>
          <w:p w14:paraId="57C4EE64">
            <w:pPr>
              <w:pStyle w:val="17"/>
              <w:widowControl w:val="0"/>
              <w:numPr>
                <w:ilvl w:val="0"/>
                <w:numId w:val="0"/>
              </w:numPr>
              <w:jc w:val="both"/>
              <w:rPr>
                <w:bCs/>
                <w:color w:val="auto"/>
                <w:szCs w:val="21"/>
              </w:rPr>
            </w:pPr>
          </w:p>
          <w:p w14:paraId="4DDFE47A">
            <w:pPr>
              <w:rPr>
                <w:bCs/>
                <w:color w:val="auto"/>
                <w:szCs w:val="21"/>
              </w:rPr>
            </w:pPr>
          </w:p>
          <w:p w14:paraId="05C66101">
            <w:pPr>
              <w:pStyle w:val="2"/>
              <w:rPr>
                <w:bCs/>
                <w:color w:val="auto"/>
                <w:szCs w:val="21"/>
              </w:rPr>
            </w:pPr>
          </w:p>
          <w:p w14:paraId="15888FC9">
            <w:pPr>
              <w:rPr>
                <w:bCs/>
                <w:color w:val="auto"/>
                <w:szCs w:val="21"/>
              </w:rPr>
            </w:pPr>
          </w:p>
          <w:p w14:paraId="32AC0EAD">
            <w:pPr>
              <w:pStyle w:val="2"/>
              <w:rPr>
                <w:bCs/>
                <w:color w:val="auto"/>
                <w:szCs w:val="21"/>
              </w:rPr>
            </w:pPr>
          </w:p>
          <w:p w14:paraId="6284E99C">
            <w:pPr>
              <w:rPr>
                <w:bCs/>
                <w:color w:val="auto"/>
                <w:szCs w:val="21"/>
              </w:rPr>
            </w:pPr>
          </w:p>
          <w:p w14:paraId="2CD0A76E">
            <w:pPr>
              <w:pStyle w:val="2"/>
              <w:rPr>
                <w:bCs/>
                <w:color w:val="auto"/>
                <w:szCs w:val="21"/>
              </w:rPr>
            </w:pPr>
          </w:p>
          <w:p w14:paraId="76C310CA">
            <w:pPr>
              <w:rPr>
                <w:bCs/>
                <w:color w:val="auto"/>
                <w:szCs w:val="21"/>
              </w:rPr>
            </w:pPr>
          </w:p>
          <w:p w14:paraId="58BB6DE4">
            <w:pPr>
              <w:pStyle w:val="2"/>
              <w:rPr>
                <w:bCs/>
                <w:color w:val="auto"/>
                <w:szCs w:val="21"/>
              </w:rPr>
            </w:pPr>
          </w:p>
          <w:p w14:paraId="250000B6">
            <w:pPr>
              <w:rPr>
                <w:bCs/>
                <w:color w:val="auto"/>
                <w:szCs w:val="21"/>
              </w:rPr>
            </w:pPr>
          </w:p>
          <w:p w14:paraId="23BACF09">
            <w:pPr>
              <w:pStyle w:val="2"/>
              <w:rPr>
                <w:bCs/>
                <w:color w:val="auto"/>
                <w:szCs w:val="21"/>
              </w:rPr>
            </w:pPr>
          </w:p>
          <w:p w14:paraId="5E9404BE">
            <w:pPr>
              <w:rPr>
                <w:bCs/>
                <w:color w:val="auto"/>
                <w:szCs w:val="21"/>
              </w:rPr>
            </w:pPr>
          </w:p>
          <w:p w14:paraId="4FFAC745">
            <w:pPr>
              <w:pStyle w:val="2"/>
              <w:rPr>
                <w:bCs/>
                <w:color w:val="auto"/>
                <w:szCs w:val="21"/>
              </w:rPr>
            </w:pPr>
          </w:p>
          <w:p w14:paraId="04388E2C">
            <w:pPr>
              <w:rPr>
                <w:bCs/>
                <w:color w:val="auto"/>
                <w:szCs w:val="21"/>
              </w:rPr>
            </w:pPr>
          </w:p>
          <w:p w14:paraId="6DA3D347">
            <w:pPr>
              <w:pStyle w:val="2"/>
              <w:rPr>
                <w:bCs/>
                <w:color w:val="auto"/>
                <w:szCs w:val="21"/>
              </w:rPr>
            </w:pPr>
          </w:p>
          <w:p w14:paraId="5271DD8B">
            <w:pPr>
              <w:rPr>
                <w:bCs/>
                <w:color w:val="auto"/>
                <w:szCs w:val="21"/>
              </w:rPr>
            </w:pPr>
          </w:p>
          <w:p w14:paraId="7388BC8A">
            <w:pPr>
              <w:spacing w:line="360" w:lineRule="auto"/>
              <w:rPr>
                <w:color w:val="auto"/>
                <w:szCs w:val="21"/>
              </w:rPr>
            </w:pPr>
          </w:p>
        </w:tc>
      </w:tr>
    </w:tbl>
    <w:p w14:paraId="5C123F28">
      <w:pPr>
        <w:rPr>
          <w:color w:val="auto"/>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78"/>
          <w:cols w:space="720" w:num="1"/>
          <w:docGrid w:linePitch="312" w:charSpace="0"/>
        </w:sectPr>
      </w:pPr>
    </w:p>
    <w:p w14:paraId="666FA536">
      <w:pPr>
        <w:pStyle w:val="25"/>
        <w:adjustRightInd w:val="0"/>
        <w:snapToGrid w:val="0"/>
        <w:spacing w:before="0" w:beforeAutospacing="0" w:after="0" w:afterAutospacing="0"/>
        <w:outlineLvl w:val="0"/>
        <w:rPr>
          <w:rFonts w:ascii="Times New Roman" w:hAnsi="Times New Roman"/>
          <w:b/>
          <w:bCs/>
          <w:snapToGrid w:val="0"/>
          <w:color w:val="auto"/>
          <w:sz w:val="28"/>
          <w:szCs w:val="28"/>
        </w:rPr>
      </w:pPr>
      <w:bookmarkStart w:id="34" w:name="_Toc24980"/>
      <w:r>
        <w:rPr>
          <w:rFonts w:ascii="Times New Roman" w:hAnsi="Times New Roman"/>
          <w:b/>
          <w:bCs/>
          <w:snapToGrid w:val="0"/>
          <w:color w:val="auto"/>
          <w:sz w:val="28"/>
          <w:szCs w:val="28"/>
        </w:rPr>
        <w:t>附表</w:t>
      </w:r>
      <w:bookmarkEnd w:id="34"/>
    </w:p>
    <w:p w14:paraId="55E2AF6A">
      <w:pPr>
        <w:pStyle w:val="25"/>
        <w:adjustRightInd w:val="0"/>
        <w:snapToGrid w:val="0"/>
        <w:spacing w:before="0" w:beforeAutospacing="0" w:after="0" w:afterAutospacing="0"/>
        <w:jc w:val="center"/>
        <w:outlineLvl w:val="0"/>
        <w:rPr>
          <w:rFonts w:ascii="Times New Roman" w:hAnsi="Times New Roman"/>
          <w:snapToGrid w:val="0"/>
          <w:color w:val="auto"/>
          <w:szCs w:val="24"/>
        </w:rPr>
      </w:pPr>
      <w:bookmarkStart w:id="35" w:name="_Toc1460"/>
      <w:r>
        <w:rPr>
          <w:rFonts w:ascii="Times New Roman" w:hAnsi="Times New Roman"/>
          <w:b/>
          <w:bCs/>
          <w:snapToGrid w:val="0"/>
          <w:color w:val="auto"/>
          <w:szCs w:val="24"/>
        </w:rPr>
        <w:t>建设项目污染物排放量汇总表</w:t>
      </w:r>
      <w:bookmarkEnd w:id="35"/>
    </w:p>
    <w:tbl>
      <w:tblPr>
        <w:tblStyle w:val="28"/>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665"/>
        <w:gridCol w:w="854"/>
        <w:gridCol w:w="1794"/>
        <w:gridCol w:w="1220"/>
        <w:gridCol w:w="1840"/>
        <w:gridCol w:w="1813"/>
        <w:gridCol w:w="1401"/>
        <w:gridCol w:w="1616"/>
        <w:gridCol w:w="1352"/>
      </w:tblGrid>
      <w:tr w14:paraId="6E922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tcBorders>
              <w:tl2br w:val="single" w:color="auto" w:sz="4" w:space="0"/>
            </w:tcBorders>
            <w:noWrap w:val="0"/>
            <w:tcMar>
              <w:top w:w="0" w:type="dxa"/>
              <w:left w:w="0" w:type="dxa"/>
              <w:bottom w:w="0" w:type="dxa"/>
              <w:right w:w="0" w:type="dxa"/>
            </w:tcMar>
            <w:vAlign w:val="center"/>
          </w:tcPr>
          <w:p w14:paraId="6A6B0990">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398"/>
              <w:jc w:val="right"/>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项目</w:t>
            </w:r>
          </w:p>
          <w:p w14:paraId="2DD3B7DC">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jc w:val="left"/>
              <w:rPr>
                <w:rFonts w:ascii="Times New Roman" w:hAnsi="Times New Roman" w:eastAsia="宋体"/>
                <w:snapToGrid w:val="0"/>
                <w:color w:val="auto"/>
                <w:spacing w:val="-6"/>
                <w:kern w:val="21"/>
                <w:sz w:val="21"/>
                <w:szCs w:val="21"/>
              </w:rPr>
            </w:pPr>
            <w:r>
              <w:rPr>
                <w:rFonts w:ascii="Times New Roman" w:hAnsi="Times New Roman" w:eastAsia="宋体"/>
                <w:snapToGrid w:val="0"/>
                <w:color w:val="auto"/>
                <w:spacing w:val="-6"/>
                <w:kern w:val="21"/>
                <w:sz w:val="21"/>
                <w:szCs w:val="21"/>
              </w:rPr>
              <w:t>分类</w:t>
            </w:r>
          </w:p>
        </w:tc>
        <w:tc>
          <w:tcPr>
            <w:tcW w:w="564" w:type="pct"/>
            <w:gridSpan w:val="2"/>
            <w:noWrap w:val="0"/>
            <w:tcMar>
              <w:top w:w="0" w:type="dxa"/>
              <w:left w:w="0" w:type="dxa"/>
              <w:bottom w:w="0" w:type="dxa"/>
              <w:right w:w="0" w:type="dxa"/>
            </w:tcMar>
            <w:vAlign w:val="center"/>
          </w:tcPr>
          <w:p w14:paraId="1AAF05BF">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污染物名称</w:t>
            </w:r>
          </w:p>
        </w:tc>
        <w:tc>
          <w:tcPr>
            <w:tcW w:w="666" w:type="pct"/>
            <w:noWrap w:val="0"/>
            <w:tcMar>
              <w:top w:w="0" w:type="dxa"/>
              <w:left w:w="0" w:type="dxa"/>
              <w:bottom w:w="0" w:type="dxa"/>
              <w:right w:w="0" w:type="dxa"/>
            </w:tcMar>
            <w:vAlign w:val="center"/>
          </w:tcPr>
          <w:p w14:paraId="1DA9DD49">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现有工程排放量（固体废物产生量）</w:t>
            </w:r>
            <w:r>
              <w:rPr>
                <w:rFonts w:ascii="Times New Roman" w:hAnsi="Times New Roman" w:eastAsia="宋体"/>
                <w:snapToGrid w:val="0"/>
                <w:color w:val="auto"/>
                <w:kern w:val="21"/>
                <w:sz w:val="21"/>
                <w:szCs w:val="21"/>
              </w:rPr>
              <w:fldChar w:fldCharType="begin"/>
            </w:r>
            <w:r>
              <w:rPr>
                <w:rFonts w:ascii="Times New Roman" w:hAnsi="Times New Roman" w:eastAsia="宋体"/>
                <w:snapToGrid w:val="0"/>
                <w:color w:val="auto"/>
                <w:kern w:val="21"/>
                <w:sz w:val="21"/>
                <w:szCs w:val="21"/>
              </w:rPr>
              <w:instrText xml:space="preserve"> = 1 \* GB3 \* MERGEFORMAT </w:instrText>
            </w:r>
            <w:r>
              <w:rPr>
                <w:rFonts w:ascii="Times New Roman" w:hAnsi="Times New Roman" w:eastAsia="宋体"/>
                <w:snapToGrid w:val="0"/>
                <w:color w:val="auto"/>
                <w:kern w:val="21"/>
                <w:sz w:val="21"/>
                <w:szCs w:val="21"/>
              </w:rPr>
              <w:fldChar w:fldCharType="separate"/>
            </w:r>
            <w:r>
              <w:rPr>
                <w:rFonts w:ascii="Times New Roman" w:hAnsi="Times New Roman" w:eastAsia="宋体"/>
                <w:snapToGrid w:val="0"/>
                <w:color w:val="auto"/>
                <w:kern w:val="21"/>
                <w:sz w:val="21"/>
                <w:szCs w:val="21"/>
              </w:rPr>
              <w:t>①</w:t>
            </w:r>
            <w:r>
              <w:rPr>
                <w:rFonts w:ascii="Times New Roman" w:hAnsi="Times New Roman" w:eastAsia="宋体"/>
                <w:snapToGrid w:val="0"/>
                <w:color w:val="auto"/>
                <w:kern w:val="21"/>
                <w:sz w:val="21"/>
                <w:szCs w:val="21"/>
              </w:rPr>
              <w:fldChar w:fldCharType="end"/>
            </w:r>
          </w:p>
        </w:tc>
        <w:tc>
          <w:tcPr>
            <w:tcW w:w="453" w:type="pct"/>
            <w:noWrap w:val="0"/>
            <w:tcMar>
              <w:top w:w="0" w:type="dxa"/>
              <w:left w:w="0" w:type="dxa"/>
              <w:bottom w:w="0" w:type="dxa"/>
              <w:right w:w="0" w:type="dxa"/>
            </w:tcMar>
            <w:vAlign w:val="center"/>
          </w:tcPr>
          <w:p w14:paraId="5D4B8FF5">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现有工程许可排放量</w:t>
            </w:r>
            <w:r>
              <w:rPr>
                <w:rFonts w:ascii="Times New Roman" w:hAnsi="Times New Roman" w:eastAsia="宋体"/>
                <w:snapToGrid w:val="0"/>
                <w:color w:val="auto"/>
                <w:kern w:val="21"/>
                <w:sz w:val="21"/>
                <w:szCs w:val="21"/>
              </w:rPr>
              <w:fldChar w:fldCharType="begin"/>
            </w:r>
            <w:r>
              <w:rPr>
                <w:rFonts w:ascii="Times New Roman" w:hAnsi="Times New Roman" w:eastAsia="宋体"/>
                <w:snapToGrid w:val="0"/>
                <w:color w:val="auto"/>
                <w:kern w:val="21"/>
                <w:sz w:val="21"/>
                <w:szCs w:val="21"/>
              </w:rPr>
              <w:instrText xml:space="preserve"> = 2 \* GB3 \* MERGEFORMAT </w:instrText>
            </w:r>
            <w:r>
              <w:rPr>
                <w:rFonts w:ascii="Times New Roman" w:hAnsi="Times New Roman" w:eastAsia="宋体"/>
                <w:snapToGrid w:val="0"/>
                <w:color w:val="auto"/>
                <w:kern w:val="21"/>
                <w:sz w:val="21"/>
                <w:szCs w:val="21"/>
              </w:rPr>
              <w:fldChar w:fldCharType="separate"/>
            </w:r>
            <w:r>
              <w:rPr>
                <w:rFonts w:ascii="Times New Roman" w:hAnsi="Times New Roman" w:eastAsia="宋体"/>
                <w:snapToGrid w:val="0"/>
                <w:color w:val="auto"/>
                <w:kern w:val="21"/>
                <w:sz w:val="21"/>
                <w:szCs w:val="21"/>
              </w:rPr>
              <w:t>②</w:t>
            </w:r>
            <w:r>
              <w:rPr>
                <w:rFonts w:ascii="Times New Roman" w:hAnsi="Times New Roman" w:eastAsia="宋体"/>
                <w:snapToGrid w:val="0"/>
                <w:color w:val="auto"/>
                <w:kern w:val="21"/>
                <w:sz w:val="21"/>
                <w:szCs w:val="21"/>
              </w:rPr>
              <w:fldChar w:fldCharType="end"/>
            </w:r>
          </w:p>
        </w:tc>
        <w:tc>
          <w:tcPr>
            <w:tcW w:w="683" w:type="pct"/>
            <w:noWrap w:val="0"/>
            <w:tcMar>
              <w:top w:w="0" w:type="dxa"/>
              <w:left w:w="0" w:type="dxa"/>
              <w:bottom w:w="0" w:type="dxa"/>
              <w:right w:w="0" w:type="dxa"/>
            </w:tcMar>
            <w:vAlign w:val="center"/>
          </w:tcPr>
          <w:p w14:paraId="5EEF753D">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在建工程排放量（固体废物产生量）</w:t>
            </w:r>
            <w:r>
              <w:rPr>
                <w:rFonts w:ascii="Times New Roman" w:hAnsi="Times New Roman" w:eastAsia="宋体"/>
                <w:snapToGrid w:val="0"/>
                <w:color w:val="auto"/>
                <w:kern w:val="21"/>
                <w:sz w:val="21"/>
                <w:szCs w:val="21"/>
              </w:rPr>
              <w:fldChar w:fldCharType="begin"/>
            </w:r>
            <w:r>
              <w:rPr>
                <w:rFonts w:ascii="Times New Roman" w:hAnsi="Times New Roman" w:eastAsia="宋体"/>
                <w:snapToGrid w:val="0"/>
                <w:color w:val="auto"/>
                <w:kern w:val="21"/>
                <w:sz w:val="21"/>
                <w:szCs w:val="21"/>
              </w:rPr>
              <w:instrText xml:space="preserve"> = 3 \* GB3 \* MERGEFORMAT </w:instrText>
            </w:r>
            <w:r>
              <w:rPr>
                <w:rFonts w:ascii="Times New Roman" w:hAnsi="Times New Roman" w:eastAsia="宋体"/>
                <w:snapToGrid w:val="0"/>
                <w:color w:val="auto"/>
                <w:kern w:val="21"/>
                <w:sz w:val="21"/>
                <w:szCs w:val="21"/>
              </w:rPr>
              <w:fldChar w:fldCharType="separate"/>
            </w:r>
            <w:r>
              <w:rPr>
                <w:rFonts w:ascii="Times New Roman" w:hAnsi="Times New Roman" w:eastAsia="宋体"/>
                <w:snapToGrid w:val="0"/>
                <w:color w:val="auto"/>
                <w:kern w:val="21"/>
                <w:sz w:val="21"/>
                <w:szCs w:val="21"/>
              </w:rPr>
              <w:t>③</w:t>
            </w:r>
            <w:r>
              <w:rPr>
                <w:rFonts w:ascii="Times New Roman" w:hAnsi="Times New Roman" w:eastAsia="宋体"/>
                <w:snapToGrid w:val="0"/>
                <w:color w:val="auto"/>
                <w:kern w:val="21"/>
                <w:sz w:val="21"/>
                <w:szCs w:val="21"/>
              </w:rPr>
              <w:fldChar w:fldCharType="end"/>
            </w:r>
          </w:p>
        </w:tc>
        <w:tc>
          <w:tcPr>
            <w:tcW w:w="673" w:type="pct"/>
            <w:noWrap w:val="0"/>
            <w:tcMar>
              <w:top w:w="0" w:type="dxa"/>
              <w:left w:w="0" w:type="dxa"/>
              <w:bottom w:w="0" w:type="dxa"/>
              <w:right w:w="0" w:type="dxa"/>
            </w:tcMar>
            <w:vAlign w:val="center"/>
          </w:tcPr>
          <w:p w14:paraId="03E941D4">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本项目排放量（固体废物产生量）</w:t>
            </w:r>
            <w:r>
              <w:rPr>
                <w:rFonts w:ascii="Times New Roman" w:hAnsi="Times New Roman" w:eastAsia="宋体"/>
                <w:snapToGrid w:val="0"/>
                <w:color w:val="auto"/>
                <w:kern w:val="21"/>
                <w:sz w:val="21"/>
                <w:szCs w:val="21"/>
              </w:rPr>
              <w:fldChar w:fldCharType="begin"/>
            </w:r>
            <w:r>
              <w:rPr>
                <w:rFonts w:ascii="Times New Roman" w:hAnsi="Times New Roman" w:eastAsia="宋体"/>
                <w:snapToGrid w:val="0"/>
                <w:color w:val="auto"/>
                <w:kern w:val="21"/>
                <w:sz w:val="21"/>
                <w:szCs w:val="21"/>
              </w:rPr>
              <w:instrText xml:space="preserve"> = 4 \* GB3 \* MERGEFORMAT </w:instrText>
            </w:r>
            <w:r>
              <w:rPr>
                <w:rFonts w:ascii="Times New Roman" w:hAnsi="Times New Roman" w:eastAsia="宋体"/>
                <w:snapToGrid w:val="0"/>
                <w:color w:val="auto"/>
                <w:kern w:val="21"/>
                <w:sz w:val="21"/>
                <w:szCs w:val="21"/>
              </w:rPr>
              <w:fldChar w:fldCharType="separate"/>
            </w:r>
            <w:r>
              <w:rPr>
                <w:rFonts w:ascii="Times New Roman" w:hAnsi="Times New Roman" w:eastAsia="宋体"/>
                <w:snapToGrid w:val="0"/>
                <w:color w:val="auto"/>
                <w:kern w:val="21"/>
                <w:sz w:val="21"/>
                <w:szCs w:val="21"/>
              </w:rPr>
              <w:t>④</w:t>
            </w:r>
            <w:r>
              <w:rPr>
                <w:rFonts w:ascii="Times New Roman" w:hAnsi="Times New Roman" w:eastAsia="宋体"/>
                <w:snapToGrid w:val="0"/>
                <w:color w:val="auto"/>
                <w:kern w:val="21"/>
                <w:sz w:val="21"/>
                <w:szCs w:val="21"/>
              </w:rPr>
              <w:fldChar w:fldCharType="end"/>
            </w:r>
          </w:p>
        </w:tc>
        <w:tc>
          <w:tcPr>
            <w:tcW w:w="520" w:type="pct"/>
            <w:noWrap w:val="0"/>
            <w:tcMar>
              <w:top w:w="0" w:type="dxa"/>
              <w:left w:w="0" w:type="dxa"/>
              <w:bottom w:w="0" w:type="dxa"/>
              <w:right w:w="0" w:type="dxa"/>
            </w:tcMar>
            <w:vAlign w:val="center"/>
          </w:tcPr>
          <w:p w14:paraId="17F223A8">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以新带老削减量（新建项目不填）</w:t>
            </w:r>
            <w:r>
              <w:rPr>
                <w:rFonts w:ascii="Times New Roman" w:hAnsi="Times New Roman" w:eastAsia="宋体"/>
                <w:snapToGrid w:val="0"/>
                <w:color w:val="auto"/>
                <w:kern w:val="21"/>
                <w:sz w:val="21"/>
                <w:szCs w:val="21"/>
              </w:rPr>
              <w:fldChar w:fldCharType="begin"/>
            </w:r>
            <w:r>
              <w:rPr>
                <w:rFonts w:ascii="Times New Roman" w:hAnsi="Times New Roman" w:eastAsia="宋体"/>
                <w:snapToGrid w:val="0"/>
                <w:color w:val="auto"/>
                <w:kern w:val="21"/>
                <w:sz w:val="21"/>
                <w:szCs w:val="21"/>
              </w:rPr>
              <w:instrText xml:space="preserve"> = 5 \* GB3 \* MERGEFORMAT </w:instrText>
            </w:r>
            <w:r>
              <w:rPr>
                <w:rFonts w:ascii="Times New Roman" w:hAnsi="Times New Roman" w:eastAsia="宋体"/>
                <w:snapToGrid w:val="0"/>
                <w:color w:val="auto"/>
                <w:kern w:val="21"/>
                <w:sz w:val="21"/>
                <w:szCs w:val="21"/>
              </w:rPr>
              <w:fldChar w:fldCharType="separate"/>
            </w:r>
            <w:r>
              <w:rPr>
                <w:rFonts w:ascii="Times New Roman" w:hAnsi="Times New Roman" w:eastAsia="宋体"/>
                <w:snapToGrid w:val="0"/>
                <w:color w:val="auto"/>
                <w:kern w:val="21"/>
                <w:sz w:val="21"/>
                <w:szCs w:val="21"/>
              </w:rPr>
              <w:t>⑤</w:t>
            </w:r>
            <w:r>
              <w:rPr>
                <w:rFonts w:ascii="Times New Roman" w:hAnsi="Times New Roman" w:eastAsia="宋体"/>
                <w:snapToGrid w:val="0"/>
                <w:color w:val="auto"/>
                <w:kern w:val="21"/>
                <w:sz w:val="21"/>
                <w:szCs w:val="21"/>
              </w:rPr>
              <w:fldChar w:fldCharType="end"/>
            </w:r>
          </w:p>
        </w:tc>
        <w:tc>
          <w:tcPr>
            <w:tcW w:w="600" w:type="pct"/>
            <w:noWrap w:val="0"/>
            <w:tcMar>
              <w:top w:w="0" w:type="dxa"/>
              <w:left w:w="0" w:type="dxa"/>
              <w:bottom w:w="0" w:type="dxa"/>
              <w:right w:w="0" w:type="dxa"/>
            </w:tcMar>
            <w:vAlign w:val="center"/>
          </w:tcPr>
          <w:p w14:paraId="0AE91614">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本项目建成后全厂排放量（固体废物产生量）</w:t>
            </w:r>
            <w:r>
              <w:rPr>
                <w:rFonts w:ascii="Times New Roman" w:hAnsi="Times New Roman" w:eastAsia="宋体"/>
                <w:snapToGrid w:val="0"/>
                <w:color w:val="auto"/>
                <w:kern w:val="21"/>
                <w:sz w:val="21"/>
                <w:szCs w:val="21"/>
              </w:rPr>
              <w:fldChar w:fldCharType="begin"/>
            </w:r>
            <w:r>
              <w:rPr>
                <w:rFonts w:ascii="Times New Roman" w:hAnsi="Times New Roman" w:eastAsia="宋体"/>
                <w:snapToGrid w:val="0"/>
                <w:color w:val="auto"/>
                <w:kern w:val="21"/>
                <w:sz w:val="21"/>
                <w:szCs w:val="21"/>
              </w:rPr>
              <w:instrText xml:space="preserve"> = 6 \* GB3 \* MERGEFORMAT </w:instrText>
            </w:r>
            <w:r>
              <w:rPr>
                <w:rFonts w:ascii="Times New Roman" w:hAnsi="Times New Roman" w:eastAsia="宋体"/>
                <w:snapToGrid w:val="0"/>
                <w:color w:val="auto"/>
                <w:kern w:val="21"/>
                <w:sz w:val="21"/>
                <w:szCs w:val="21"/>
              </w:rPr>
              <w:fldChar w:fldCharType="separate"/>
            </w:r>
            <w:r>
              <w:rPr>
                <w:rFonts w:ascii="Times New Roman" w:hAnsi="Times New Roman" w:eastAsia="宋体"/>
                <w:snapToGrid w:val="0"/>
                <w:color w:val="auto"/>
                <w:kern w:val="21"/>
                <w:sz w:val="21"/>
                <w:szCs w:val="21"/>
              </w:rPr>
              <w:t>⑥</w:t>
            </w:r>
            <w:r>
              <w:rPr>
                <w:rFonts w:ascii="Times New Roman" w:hAnsi="Times New Roman" w:eastAsia="宋体"/>
                <w:snapToGrid w:val="0"/>
                <w:color w:val="auto"/>
                <w:kern w:val="21"/>
                <w:sz w:val="21"/>
                <w:szCs w:val="21"/>
              </w:rPr>
              <w:fldChar w:fldCharType="end"/>
            </w:r>
          </w:p>
        </w:tc>
        <w:tc>
          <w:tcPr>
            <w:tcW w:w="502" w:type="pct"/>
            <w:noWrap w:val="0"/>
            <w:tcMar>
              <w:top w:w="0" w:type="dxa"/>
              <w:left w:w="0" w:type="dxa"/>
              <w:bottom w:w="0" w:type="dxa"/>
              <w:right w:w="0" w:type="dxa"/>
            </w:tcMar>
            <w:vAlign w:val="center"/>
          </w:tcPr>
          <w:p w14:paraId="583DD8F3">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snapToGrid w:val="0"/>
                <w:color w:val="auto"/>
                <w:kern w:val="21"/>
                <w:sz w:val="21"/>
                <w:szCs w:val="21"/>
              </w:rPr>
            </w:pPr>
            <w:r>
              <w:rPr>
                <w:rFonts w:ascii="Times New Roman" w:hAnsi="Times New Roman" w:eastAsia="宋体"/>
                <w:snapToGrid w:val="0"/>
                <w:color w:val="auto"/>
                <w:kern w:val="21"/>
                <w:sz w:val="21"/>
                <w:szCs w:val="21"/>
              </w:rPr>
              <w:t>变化量</w:t>
            </w:r>
            <w:r>
              <w:rPr>
                <w:rFonts w:ascii="Times New Roman" w:hAnsi="Times New Roman" w:eastAsia="宋体"/>
                <w:snapToGrid w:val="0"/>
                <w:color w:val="auto"/>
                <w:kern w:val="21"/>
                <w:sz w:val="21"/>
                <w:szCs w:val="21"/>
              </w:rPr>
              <w:fldChar w:fldCharType="begin"/>
            </w:r>
            <w:r>
              <w:rPr>
                <w:rFonts w:ascii="Times New Roman" w:hAnsi="Times New Roman" w:eastAsia="宋体"/>
                <w:snapToGrid w:val="0"/>
                <w:color w:val="auto"/>
                <w:kern w:val="21"/>
                <w:sz w:val="21"/>
                <w:szCs w:val="21"/>
              </w:rPr>
              <w:instrText xml:space="preserve"> = 7 \* GB3 \* MERGEFORMAT </w:instrText>
            </w:r>
            <w:r>
              <w:rPr>
                <w:rFonts w:ascii="Times New Roman" w:hAnsi="Times New Roman" w:eastAsia="宋体"/>
                <w:snapToGrid w:val="0"/>
                <w:color w:val="auto"/>
                <w:kern w:val="21"/>
                <w:sz w:val="21"/>
                <w:szCs w:val="21"/>
              </w:rPr>
              <w:fldChar w:fldCharType="separate"/>
            </w:r>
            <w:r>
              <w:rPr>
                <w:rFonts w:ascii="Times New Roman" w:hAnsi="Times New Roman" w:eastAsia="宋体"/>
                <w:snapToGrid w:val="0"/>
                <w:color w:val="auto"/>
                <w:kern w:val="21"/>
                <w:sz w:val="21"/>
                <w:szCs w:val="21"/>
              </w:rPr>
              <w:t>⑦</w:t>
            </w:r>
            <w:r>
              <w:rPr>
                <w:rFonts w:ascii="Times New Roman" w:hAnsi="Times New Roman" w:eastAsia="宋体"/>
                <w:snapToGrid w:val="0"/>
                <w:color w:val="auto"/>
                <w:kern w:val="21"/>
                <w:sz w:val="21"/>
                <w:szCs w:val="21"/>
              </w:rPr>
              <w:fldChar w:fldCharType="end"/>
            </w:r>
          </w:p>
        </w:tc>
      </w:tr>
      <w:tr w14:paraId="4BDA1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restart"/>
            <w:noWrap w:val="0"/>
            <w:tcMar>
              <w:top w:w="0" w:type="dxa"/>
              <w:left w:w="0" w:type="dxa"/>
              <w:bottom w:w="0" w:type="dxa"/>
              <w:right w:w="0" w:type="dxa"/>
            </w:tcMar>
            <w:vAlign w:val="center"/>
          </w:tcPr>
          <w:p w14:paraId="3D8E597A">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r>
              <w:rPr>
                <w:rFonts w:ascii="Times New Roman" w:hAnsi="Times New Roman" w:eastAsia="宋体"/>
                <w:b w:val="0"/>
                <w:bCs/>
                <w:snapToGrid w:val="0"/>
                <w:color w:val="auto"/>
                <w:kern w:val="21"/>
                <w:sz w:val="21"/>
                <w:szCs w:val="21"/>
              </w:rPr>
              <w:t>废气</w:t>
            </w:r>
          </w:p>
        </w:tc>
        <w:tc>
          <w:tcPr>
            <w:tcW w:w="247" w:type="pct"/>
            <w:vMerge w:val="restart"/>
            <w:shd w:val="clear" w:color="auto" w:fill="auto"/>
            <w:noWrap w:val="0"/>
            <w:tcMar>
              <w:top w:w="0" w:type="dxa"/>
              <w:left w:w="0" w:type="dxa"/>
              <w:bottom w:w="0" w:type="dxa"/>
              <w:right w:w="0" w:type="dxa"/>
            </w:tcMar>
            <w:vAlign w:val="center"/>
          </w:tcPr>
          <w:p w14:paraId="45545C05">
            <w:pPr>
              <w:keepNext w:val="0"/>
              <w:keepLines w:val="0"/>
              <w:pageBreakBefore w:val="0"/>
              <w:kinsoku/>
              <w:wordWrap/>
              <w:overflowPunct/>
              <w:topLinePunct w:val="0"/>
              <w:autoSpaceDE/>
              <w:autoSpaceDN/>
              <w:bidi w:val="0"/>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rPr>
              <w:t>非甲烷总烃</w:t>
            </w:r>
          </w:p>
        </w:tc>
        <w:tc>
          <w:tcPr>
            <w:tcW w:w="317" w:type="pct"/>
            <w:shd w:val="clear" w:color="auto" w:fill="auto"/>
            <w:noWrap w:val="0"/>
            <w:tcMar>
              <w:top w:w="0" w:type="dxa"/>
              <w:left w:w="0" w:type="dxa"/>
              <w:bottom w:w="0" w:type="dxa"/>
              <w:right w:w="0" w:type="dxa"/>
            </w:tcMar>
            <w:vAlign w:val="center"/>
          </w:tcPr>
          <w:p w14:paraId="0AAEFDE1">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有组织</w:t>
            </w:r>
          </w:p>
        </w:tc>
        <w:tc>
          <w:tcPr>
            <w:tcW w:w="666" w:type="pct"/>
            <w:shd w:val="clear" w:color="auto" w:fill="auto"/>
            <w:noWrap w:val="0"/>
            <w:tcMar>
              <w:top w:w="0" w:type="dxa"/>
              <w:left w:w="0" w:type="dxa"/>
              <w:bottom w:w="0" w:type="dxa"/>
              <w:right w:w="0" w:type="dxa"/>
            </w:tcMar>
            <w:vAlign w:val="center"/>
          </w:tcPr>
          <w:p w14:paraId="7BFE4292">
            <w:pPr>
              <w:jc w:val="center"/>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color w:val="auto"/>
                <w:szCs w:val="21"/>
              </w:rPr>
              <w:t>0.054</w:t>
            </w:r>
          </w:p>
        </w:tc>
        <w:tc>
          <w:tcPr>
            <w:tcW w:w="453" w:type="pct"/>
            <w:noWrap w:val="0"/>
            <w:tcMar>
              <w:top w:w="0" w:type="dxa"/>
              <w:left w:w="0" w:type="dxa"/>
              <w:bottom w:w="0" w:type="dxa"/>
              <w:right w:w="0" w:type="dxa"/>
            </w:tcMar>
            <w:vAlign w:val="center"/>
          </w:tcPr>
          <w:p w14:paraId="778638FB">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83" w:type="pct"/>
            <w:noWrap w:val="0"/>
            <w:tcMar>
              <w:top w:w="0" w:type="dxa"/>
              <w:left w:w="0" w:type="dxa"/>
              <w:bottom w:w="0" w:type="dxa"/>
              <w:right w:w="0" w:type="dxa"/>
            </w:tcMar>
            <w:vAlign w:val="center"/>
          </w:tcPr>
          <w:p w14:paraId="4120BC24">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53D4892B">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color w:val="0000FF"/>
                <w:szCs w:val="21"/>
                <w:lang w:val="en-US" w:eastAsia="zh-CN"/>
              </w:rPr>
              <w:t>0.0389</w:t>
            </w:r>
          </w:p>
        </w:tc>
        <w:tc>
          <w:tcPr>
            <w:tcW w:w="520" w:type="pct"/>
            <w:shd w:val="clear" w:color="auto" w:fill="auto"/>
            <w:noWrap w:val="0"/>
            <w:tcMar>
              <w:top w:w="0" w:type="dxa"/>
              <w:left w:w="0" w:type="dxa"/>
              <w:bottom w:w="0" w:type="dxa"/>
              <w:right w:w="0" w:type="dxa"/>
            </w:tcMar>
            <w:vAlign w:val="center"/>
          </w:tcPr>
          <w:p w14:paraId="03E4608E">
            <w:pPr>
              <w:jc w:val="center"/>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color w:val="auto"/>
                <w:szCs w:val="21"/>
              </w:rPr>
              <w:t>0.054</w:t>
            </w:r>
          </w:p>
        </w:tc>
        <w:tc>
          <w:tcPr>
            <w:tcW w:w="600" w:type="pct"/>
            <w:shd w:val="clear" w:color="auto" w:fill="auto"/>
            <w:noWrap w:val="0"/>
            <w:tcMar>
              <w:top w:w="0" w:type="dxa"/>
              <w:left w:w="0" w:type="dxa"/>
              <w:bottom w:w="0" w:type="dxa"/>
              <w:right w:w="0" w:type="dxa"/>
            </w:tcMar>
            <w:vAlign w:val="center"/>
          </w:tcPr>
          <w:p w14:paraId="086CEFAB">
            <w:pPr>
              <w:keepNext w:val="0"/>
              <w:keepLines w:val="0"/>
              <w:suppressLineNumbers w:val="0"/>
              <w:spacing w:before="0" w:beforeAutospacing="0" w:after="0" w:afterAutospacing="0"/>
              <w:ind w:left="0" w:leftChars="0" w:right="0" w:rightChars="0"/>
              <w:contextualSpacing/>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color w:val="0000FF"/>
                <w:szCs w:val="21"/>
                <w:lang w:val="en-US" w:eastAsia="zh-CN"/>
              </w:rPr>
              <w:t>0.0389</w:t>
            </w:r>
          </w:p>
        </w:tc>
        <w:tc>
          <w:tcPr>
            <w:tcW w:w="502" w:type="pct"/>
            <w:noWrap w:val="0"/>
            <w:tcMar>
              <w:top w:w="0" w:type="dxa"/>
              <w:left w:w="0" w:type="dxa"/>
              <w:bottom w:w="0" w:type="dxa"/>
              <w:right w:w="0" w:type="dxa"/>
            </w:tcMar>
            <w:vAlign w:val="center"/>
          </w:tcPr>
          <w:p w14:paraId="794C1A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-0.01</w:t>
            </w:r>
            <w:r>
              <w:rPr>
                <w:rFonts w:hint="eastAsia" w:cs="Times New Roman"/>
                <w:color w:val="0000FF"/>
                <w:szCs w:val="21"/>
                <w:lang w:val="en-US" w:eastAsia="zh-CN"/>
              </w:rPr>
              <w:t>51</w:t>
            </w:r>
          </w:p>
        </w:tc>
      </w:tr>
      <w:tr w14:paraId="6E4C8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4AC0B30D">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247" w:type="pct"/>
            <w:vMerge w:val="continue"/>
            <w:noWrap w:val="0"/>
            <w:tcMar>
              <w:top w:w="0" w:type="dxa"/>
              <w:left w:w="0" w:type="dxa"/>
              <w:bottom w:w="0" w:type="dxa"/>
              <w:right w:w="0" w:type="dxa"/>
            </w:tcMar>
            <w:vAlign w:val="center"/>
          </w:tcPr>
          <w:p w14:paraId="49B2AF54">
            <w:pPr>
              <w:keepNext w:val="0"/>
              <w:keepLines w:val="0"/>
              <w:pageBreakBefore w:val="0"/>
              <w:kinsoku/>
              <w:wordWrap/>
              <w:overflowPunct/>
              <w:topLinePunct w:val="0"/>
              <w:autoSpaceDE/>
              <w:autoSpaceDN/>
              <w:bidi w:val="0"/>
              <w:adjustRightInd w:val="0"/>
              <w:snapToGrid w:val="0"/>
              <w:jc w:val="center"/>
              <w:rPr>
                <w:color w:val="auto"/>
                <w:szCs w:val="21"/>
              </w:rPr>
            </w:pPr>
          </w:p>
        </w:tc>
        <w:tc>
          <w:tcPr>
            <w:tcW w:w="317" w:type="pct"/>
            <w:noWrap w:val="0"/>
            <w:tcMar>
              <w:top w:w="0" w:type="dxa"/>
              <w:left w:w="0" w:type="dxa"/>
              <w:bottom w:w="0" w:type="dxa"/>
              <w:right w:w="0" w:type="dxa"/>
            </w:tcMar>
            <w:vAlign w:val="center"/>
          </w:tcPr>
          <w:p w14:paraId="2A7BE4FB">
            <w:pPr>
              <w:keepNext w:val="0"/>
              <w:keepLines w:val="0"/>
              <w:pageBreakBefore w:val="0"/>
              <w:kinsoku/>
              <w:wordWrap/>
              <w:overflowPunct/>
              <w:topLinePunct w:val="0"/>
              <w:autoSpaceDE/>
              <w:autoSpaceDN/>
              <w:bidi w:val="0"/>
              <w:adjustRightInd w:val="0"/>
              <w:snapToGrid w:val="0"/>
              <w:jc w:val="center"/>
              <w:rPr>
                <w:rFonts w:hint="eastAsia" w:eastAsia="宋体"/>
                <w:color w:val="auto"/>
                <w:szCs w:val="21"/>
                <w:lang w:val="en-US" w:eastAsia="zh-CN"/>
              </w:rPr>
            </w:pPr>
            <w:r>
              <w:rPr>
                <w:rFonts w:hint="eastAsia"/>
                <w:color w:val="auto"/>
                <w:szCs w:val="21"/>
                <w:lang w:val="en-US" w:eastAsia="zh-CN"/>
              </w:rPr>
              <w:t>无组织</w:t>
            </w:r>
          </w:p>
        </w:tc>
        <w:tc>
          <w:tcPr>
            <w:tcW w:w="666" w:type="pct"/>
            <w:shd w:val="clear" w:color="auto" w:fill="auto"/>
            <w:noWrap w:val="0"/>
            <w:tcMar>
              <w:top w:w="0" w:type="dxa"/>
              <w:left w:w="0" w:type="dxa"/>
              <w:bottom w:w="0" w:type="dxa"/>
              <w:right w:w="0" w:type="dxa"/>
            </w:tcMar>
            <w:vAlign w:val="center"/>
          </w:tcPr>
          <w:p w14:paraId="53E0A409">
            <w:pPr>
              <w:pStyle w:val="49"/>
              <w:ind w:firstLine="0" w:firstLineChars="0"/>
              <w:jc w:val="center"/>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rPr>
              <w:t>0.064</w:t>
            </w:r>
          </w:p>
        </w:tc>
        <w:tc>
          <w:tcPr>
            <w:tcW w:w="453" w:type="pct"/>
            <w:noWrap w:val="0"/>
            <w:tcMar>
              <w:top w:w="0" w:type="dxa"/>
              <w:left w:w="0" w:type="dxa"/>
              <w:bottom w:w="0" w:type="dxa"/>
              <w:right w:w="0" w:type="dxa"/>
            </w:tcMar>
            <w:vAlign w:val="center"/>
          </w:tcPr>
          <w:p w14:paraId="02CE3D70">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83" w:type="pct"/>
            <w:noWrap w:val="0"/>
            <w:tcMar>
              <w:top w:w="0" w:type="dxa"/>
              <w:left w:w="0" w:type="dxa"/>
              <w:bottom w:w="0" w:type="dxa"/>
              <w:right w:w="0" w:type="dxa"/>
            </w:tcMar>
            <w:vAlign w:val="center"/>
          </w:tcPr>
          <w:p w14:paraId="7BAD96F6">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533316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olor w:val="0000FF"/>
                <w:szCs w:val="21"/>
                <w:lang w:val="en-US" w:eastAsia="zh-CN"/>
              </w:rPr>
              <w:t>0.0432</w:t>
            </w:r>
          </w:p>
        </w:tc>
        <w:tc>
          <w:tcPr>
            <w:tcW w:w="520" w:type="pct"/>
            <w:shd w:val="clear" w:color="auto" w:fill="auto"/>
            <w:noWrap w:val="0"/>
            <w:tcMar>
              <w:top w:w="0" w:type="dxa"/>
              <w:left w:w="0" w:type="dxa"/>
              <w:bottom w:w="0" w:type="dxa"/>
              <w:right w:w="0" w:type="dxa"/>
            </w:tcMar>
            <w:vAlign w:val="center"/>
          </w:tcPr>
          <w:p w14:paraId="7DF6AE5E">
            <w:pPr>
              <w:pStyle w:val="49"/>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rPr>
              <w:t>0.064</w:t>
            </w:r>
          </w:p>
        </w:tc>
        <w:tc>
          <w:tcPr>
            <w:tcW w:w="600" w:type="pct"/>
            <w:shd w:val="clear" w:color="auto" w:fill="auto"/>
            <w:noWrap w:val="0"/>
            <w:tcMar>
              <w:top w:w="0" w:type="dxa"/>
              <w:left w:w="0" w:type="dxa"/>
              <w:bottom w:w="0" w:type="dxa"/>
              <w:right w:w="0" w:type="dxa"/>
            </w:tcMar>
            <w:vAlign w:val="center"/>
          </w:tcPr>
          <w:p w14:paraId="724F9C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olor w:val="0000FF"/>
                <w:szCs w:val="21"/>
                <w:lang w:val="en-US" w:eastAsia="zh-CN"/>
              </w:rPr>
              <w:t>0.0432</w:t>
            </w:r>
          </w:p>
        </w:tc>
        <w:tc>
          <w:tcPr>
            <w:tcW w:w="502" w:type="pct"/>
            <w:noWrap w:val="0"/>
            <w:tcMar>
              <w:top w:w="0" w:type="dxa"/>
              <w:left w:w="0" w:type="dxa"/>
              <w:bottom w:w="0" w:type="dxa"/>
              <w:right w:w="0" w:type="dxa"/>
            </w:tcMar>
            <w:vAlign w:val="center"/>
          </w:tcPr>
          <w:p w14:paraId="026A72B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-0.020</w:t>
            </w:r>
            <w:r>
              <w:rPr>
                <w:rFonts w:hint="eastAsia" w:cs="Times New Roman"/>
                <w:color w:val="0000FF"/>
                <w:szCs w:val="21"/>
                <w:lang w:val="en-US" w:eastAsia="zh-CN"/>
              </w:rPr>
              <w:t>8</w:t>
            </w:r>
          </w:p>
        </w:tc>
      </w:tr>
      <w:tr w14:paraId="5F082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33" w:type="pct"/>
            <w:vMerge w:val="continue"/>
            <w:noWrap w:val="0"/>
            <w:tcMar>
              <w:top w:w="0" w:type="dxa"/>
              <w:left w:w="0" w:type="dxa"/>
              <w:bottom w:w="0" w:type="dxa"/>
              <w:right w:w="0" w:type="dxa"/>
            </w:tcMar>
            <w:vAlign w:val="center"/>
          </w:tcPr>
          <w:p w14:paraId="693BB670">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247" w:type="pct"/>
            <w:vMerge w:val="restart"/>
            <w:shd w:val="clear" w:color="auto" w:fill="auto"/>
            <w:noWrap w:val="0"/>
            <w:tcMar>
              <w:top w:w="0" w:type="dxa"/>
              <w:left w:w="0" w:type="dxa"/>
              <w:bottom w:w="0" w:type="dxa"/>
              <w:right w:w="0" w:type="dxa"/>
            </w:tcMar>
            <w:vAlign w:val="center"/>
          </w:tcPr>
          <w:p w14:paraId="6BA1B802">
            <w:pPr>
              <w:keepNext w:val="0"/>
              <w:keepLines w:val="0"/>
              <w:pageBreakBefore w:val="0"/>
              <w:kinsoku/>
              <w:wordWrap/>
              <w:overflowPunct/>
              <w:topLinePunct w:val="0"/>
              <w:autoSpaceDE/>
              <w:autoSpaceDN/>
              <w:bidi w:val="0"/>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颗粒物</w:t>
            </w:r>
          </w:p>
        </w:tc>
        <w:tc>
          <w:tcPr>
            <w:tcW w:w="317" w:type="pct"/>
            <w:noWrap w:val="0"/>
            <w:tcMar>
              <w:top w:w="0" w:type="dxa"/>
              <w:left w:w="0" w:type="dxa"/>
              <w:bottom w:w="0" w:type="dxa"/>
              <w:right w:w="0" w:type="dxa"/>
            </w:tcMar>
            <w:vAlign w:val="center"/>
          </w:tcPr>
          <w:p w14:paraId="030685B1">
            <w:pPr>
              <w:keepNext w:val="0"/>
              <w:keepLines w:val="0"/>
              <w:pageBreakBefore w:val="0"/>
              <w:kinsoku/>
              <w:wordWrap/>
              <w:overflowPunct/>
              <w:topLinePunct w:val="0"/>
              <w:autoSpaceDE/>
              <w:autoSpaceDN/>
              <w:bidi w:val="0"/>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有组织</w:t>
            </w:r>
          </w:p>
        </w:tc>
        <w:tc>
          <w:tcPr>
            <w:tcW w:w="666" w:type="pct"/>
            <w:shd w:val="clear" w:color="auto" w:fill="auto"/>
            <w:noWrap w:val="0"/>
            <w:tcMar>
              <w:top w:w="0" w:type="dxa"/>
              <w:left w:w="0" w:type="dxa"/>
              <w:bottom w:w="0" w:type="dxa"/>
              <w:right w:w="0" w:type="dxa"/>
            </w:tcMar>
            <w:vAlign w:val="center"/>
          </w:tcPr>
          <w:p w14:paraId="196FAEB9">
            <w:pPr>
              <w:pStyle w:val="49"/>
              <w:ind w:firstLine="0" w:firstLineChars="0"/>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0.0619</w:t>
            </w:r>
          </w:p>
        </w:tc>
        <w:tc>
          <w:tcPr>
            <w:tcW w:w="453" w:type="pct"/>
            <w:noWrap w:val="0"/>
            <w:tcMar>
              <w:top w:w="0" w:type="dxa"/>
              <w:left w:w="0" w:type="dxa"/>
              <w:bottom w:w="0" w:type="dxa"/>
              <w:right w:w="0" w:type="dxa"/>
            </w:tcMar>
            <w:vAlign w:val="center"/>
          </w:tcPr>
          <w:p w14:paraId="2A915423">
            <w:pPr>
              <w:keepNext w:val="0"/>
              <w:keepLines w:val="0"/>
              <w:pageBreakBefore w:val="0"/>
              <w:kinsoku/>
              <w:wordWrap/>
              <w:overflowPunct/>
              <w:topLinePunct w:val="0"/>
              <w:autoSpaceDE/>
              <w:autoSpaceDN/>
              <w:bidi w:val="0"/>
              <w:adjustRightInd w:val="0"/>
              <w:snapToGrid w:val="0"/>
              <w:jc w:val="center"/>
              <w:rPr>
                <w:color w:val="auto"/>
                <w:szCs w:val="21"/>
              </w:rPr>
            </w:pPr>
            <w:r>
              <w:rPr>
                <w:rFonts w:hint="eastAsia"/>
                <w:color w:val="auto"/>
                <w:szCs w:val="21"/>
              </w:rPr>
              <w:t>/</w:t>
            </w:r>
          </w:p>
        </w:tc>
        <w:tc>
          <w:tcPr>
            <w:tcW w:w="683" w:type="pct"/>
            <w:noWrap w:val="0"/>
            <w:tcMar>
              <w:top w:w="0" w:type="dxa"/>
              <w:left w:w="0" w:type="dxa"/>
              <w:bottom w:w="0" w:type="dxa"/>
              <w:right w:w="0" w:type="dxa"/>
            </w:tcMar>
            <w:vAlign w:val="center"/>
          </w:tcPr>
          <w:p w14:paraId="04E95676">
            <w:pPr>
              <w:keepNext w:val="0"/>
              <w:keepLines w:val="0"/>
              <w:pageBreakBefore w:val="0"/>
              <w:kinsoku/>
              <w:wordWrap/>
              <w:overflowPunct/>
              <w:topLinePunct w:val="0"/>
              <w:autoSpaceDE/>
              <w:autoSpaceDN/>
              <w:bidi w:val="0"/>
              <w:adjustRightInd w:val="0"/>
              <w:snapToGrid w:val="0"/>
              <w:jc w:val="center"/>
              <w:rPr>
                <w:color w:val="auto"/>
                <w:szCs w:val="21"/>
              </w:rPr>
            </w:pPr>
            <w:r>
              <w:rPr>
                <w:rFonts w:hint="eastAsia"/>
                <w:color w:val="auto"/>
                <w:szCs w:val="21"/>
              </w:rPr>
              <w:t>/</w:t>
            </w:r>
          </w:p>
        </w:tc>
        <w:tc>
          <w:tcPr>
            <w:tcW w:w="673" w:type="pct"/>
            <w:shd w:val="clear" w:color="auto" w:fill="auto"/>
            <w:noWrap w:val="0"/>
            <w:tcMar>
              <w:top w:w="0" w:type="dxa"/>
              <w:left w:w="0" w:type="dxa"/>
              <w:bottom w:w="0" w:type="dxa"/>
              <w:right w:w="0" w:type="dxa"/>
            </w:tcMar>
            <w:vAlign w:val="center"/>
          </w:tcPr>
          <w:p w14:paraId="3DD5C83C">
            <w:pPr>
              <w:pStyle w:val="49"/>
              <w:ind w:firstLine="0" w:firstLineChars="0"/>
              <w:jc w:val="center"/>
              <w:rPr>
                <w:rFonts w:hint="default" w:ascii="Times New Roman" w:hAnsi="Times New Roman" w:eastAsia="宋体" w:cs="Times New Roman"/>
                <w:color w:val="0000FF"/>
                <w:kern w:val="2"/>
                <w:sz w:val="21"/>
                <w:szCs w:val="22"/>
                <w:lang w:val="en-US" w:eastAsia="zh-CN" w:bidi="ar-SA"/>
              </w:rPr>
            </w:pPr>
            <w:r>
              <w:rPr>
                <w:rFonts w:hint="eastAsia" w:cs="Times New Roman"/>
                <w:color w:val="0000FF"/>
                <w:kern w:val="2"/>
                <w:sz w:val="21"/>
                <w:szCs w:val="22"/>
                <w:lang w:val="en-US" w:eastAsia="zh-CN" w:bidi="ar-SA"/>
              </w:rPr>
              <w:t>0.0087</w:t>
            </w:r>
          </w:p>
        </w:tc>
        <w:tc>
          <w:tcPr>
            <w:tcW w:w="520" w:type="pct"/>
            <w:shd w:val="clear" w:color="auto" w:fill="auto"/>
            <w:noWrap w:val="0"/>
            <w:tcMar>
              <w:top w:w="0" w:type="dxa"/>
              <w:left w:w="0" w:type="dxa"/>
              <w:bottom w:w="0" w:type="dxa"/>
              <w:right w:w="0" w:type="dxa"/>
            </w:tcMar>
            <w:vAlign w:val="center"/>
          </w:tcPr>
          <w:p w14:paraId="3C469A7F">
            <w:pPr>
              <w:pStyle w:val="49"/>
              <w:ind w:firstLine="0" w:firstLineChars="0"/>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0.0619</w:t>
            </w:r>
          </w:p>
        </w:tc>
        <w:tc>
          <w:tcPr>
            <w:tcW w:w="600" w:type="pct"/>
            <w:shd w:val="clear" w:color="auto" w:fill="auto"/>
            <w:noWrap w:val="0"/>
            <w:tcMar>
              <w:top w:w="0" w:type="dxa"/>
              <w:left w:w="0" w:type="dxa"/>
              <w:bottom w:w="0" w:type="dxa"/>
              <w:right w:w="0" w:type="dxa"/>
            </w:tcMar>
            <w:vAlign w:val="center"/>
          </w:tcPr>
          <w:p w14:paraId="6C81244E">
            <w:pPr>
              <w:pStyle w:val="49"/>
              <w:ind w:firstLine="0" w:firstLineChars="0"/>
              <w:jc w:val="center"/>
              <w:rPr>
                <w:rFonts w:hint="eastAsia" w:ascii="Times New Roman" w:hAnsi="Times New Roman" w:eastAsia="宋体" w:cs="Times New Roman"/>
                <w:color w:val="0000FF"/>
                <w:kern w:val="2"/>
                <w:sz w:val="21"/>
                <w:szCs w:val="22"/>
                <w:lang w:val="en-US" w:eastAsia="zh-CN" w:bidi="ar-SA"/>
              </w:rPr>
            </w:pPr>
            <w:r>
              <w:rPr>
                <w:rFonts w:hint="eastAsia" w:cs="Times New Roman"/>
                <w:color w:val="0000FF"/>
                <w:kern w:val="2"/>
                <w:sz w:val="21"/>
                <w:szCs w:val="22"/>
                <w:lang w:val="en-US" w:eastAsia="zh-CN" w:bidi="ar-SA"/>
              </w:rPr>
              <w:t>0.0087</w:t>
            </w:r>
          </w:p>
        </w:tc>
        <w:tc>
          <w:tcPr>
            <w:tcW w:w="502" w:type="pct"/>
            <w:noWrap w:val="0"/>
            <w:tcMar>
              <w:top w:w="0" w:type="dxa"/>
              <w:left w:w="0" w:type="dxa"/>
              <w:bottom w:w="0" w:type="dxa"/>
              <w:right w:w="0" w:type="dxa"/>
            </w:tcMar>
            <w:vAlign w:val="center"/>
          </w:tcPr>
          <w:p w14:paraId="461350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-0.053</w:t>
            </w:r>
            <w:r>
              <w:rPr>
                <w:rFonts w:hint="eastAsia" w:cs="Times New Roman"/>
                <w:i w:val="0"/>
                <w:iCs w:val="0"/>
                <w:color w:val="0000FF"/>
                <w:kern w:val="0"/>
                <w:sz w:val="21"/>
                <w:szCs w:val="21"/>
                <w:u w:val="none"/>
                <w:lang w:val="en-US" w:eastAsia="zh-CN" w:bidi="ar"/>
              </w:rPr>
              <w:t>2</w:t>
            </w:r>
          </w:p>
        </w:tc>
      </w:tr>
      <w:tr w14:paraId="52067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6F14FF86">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247" w:type="pct"/>
            <w:vMerge w:val="continue"/>
            <w:noWrap w:val="0"/>
            <w:tcMar>
              <w:top w:w="0" w:type="dxa"/>
              <w:left w:w="0" w:type="dxa"/>
              <w:bottom w:w="0" w:type="dxa"/>
              <w:right w:w="0" w:type="dxa"/>
            </w:tcMar>
            <w:vAlign w:val="center"/>
          </w:tcPr>
          <w:p w14:paraId="0A574B8C">
            <w:pPr>
              <w:keepNext w:val="0"/>
              <w:keepLines w:val="0"/>
              <w:pageBreakBefore w:val="0"/>
              <w:kinsoku/>
              <w:wordWrap/>
              <w:overflowPunct/>
              <w:topLinePunct w:val="0"/>
              <w:autoSpaceDE/>
              <w:autoSpaceDN/>
              <w:bidi w:val="0"/>
              <w:adjustRightInd w:val="0"/>
              <w:snapToGrid w:val="0"/>
              <w:jc w:val="center"/>
              <w:rPr>
                <w:rFonts w:hint="eastAsia"/>
                <w:color w:val="auto"/>
                <w:szCs w:val="21"/>
              </w:rPr>
            </w:pPr>
          </w:p>
        </w:tc>
        <w:tc>
          <w:tcPr>
            <w:tcW w:w="317" w:type="pct"/>
            <w:noWrap w:val="0"/>
            <w:tcMar>
              <w:top w:w="0" w:type="dxa"/>
              <w:left w:w="0" w:type="dxa"/>
              <w:bottom w:w="0" w:type="dxa"/>
              <w:right w:w="0" w:type="dxa"/>
            </w:tcMar>
            <w:vAlign w:val="center"/>
          </w:tcPr>
          <w:p w14:paraId="77664932">
            <w:pPr>
              <w:keepNext w:val="0"/>
              <w:keepLines w:val="0"/>
              <w:pageBreakBefore w:val="0"/>
              <w:kinsoku/>
              <w:wordWrap/>
              <w:overflowPunct/>
              <w:topLinePunct w:val="0"/>
              <w:autoSpaceDE/>
              <w:autoSpaceDN/>
              <w:bidi w:val="0"/>
              <w:adjustRightInd w:val="0"/>
              <w:snapToGrid w:val="0"/>
              <w:jc w:val="center"/>
              <w:rPr>
                <w:rFonts w:hint="eastAsia" w:eastAsia="宋体"/>
                <w:color w:val="auto"/>
                <w:kern w:val="2"/>
                <w:sz w:val="21"/>
                <w:szCs w:val="21"/>
                <w:lang w:val="en-US" w:eastAsia="zh-CN" w:bidi="ar-SA"/>
              </w:rPr>
            </w:pPr>
            <w:r>
              <w:rPr>
                <w:rFonts w:hint="eastAsia"/>
                <w:color w:val="auto"/>
                <w:szCs w:val="21"/>
                <w:lang w:val="en-US" w:eastAsia="zh-CN"/>
              </w:rPr>
              <w:t>无组织</w:t>
            </w:r>
          </w:p>
        </w:tc>
        <w:tc>
          <w:tcPr>
            <w:tcW w:w="666" w:type="pct"/>
            <w:shd w:val="clear" w:color="auto" w:fill="auto"/>
            <w:noWrap w:val="0"/>
            <w:tcMar>
              <w:top w:w="0" w:type="dxa"/>
              <w:left w:w="0" w:type="dxa"/>
              <w:bottom w:w="0" w:type="dxa"/>
              <w:right w:w="0" w:type="dxa"/>
            </w:tcMar>
            <w:vAlign w:val="center"/>
          </w:tcPr>
          <w:p w14:paraId="5F432EC1">
            <w:pPr>
              <w:pStyle w:val="49"/>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rPr>
              <w:t>0.0966</w:t>
            </w:r>
          </w:p>
        </w:tc>
        <w:tc>
          <w:tcPr>
            <w:tcW w:w="453" w:type="pct"/>
            <w:noWrap w:val="0"/>
            <w:tcMar>
              <w:top w:w="0" w:type="dxa"/>
              <w:left w:w="0" w:type="dxa"/>
              <w:bottom w:w="0" w:type="dxa"/>
              <w:right w:w="0" w:type="dxa"/>
            </w:tcMar>
            <w:vAlign w:val="center"/>
          </w:tcPr>
          <w:p w14:paraId="3FD2BCD1">
            <w:pPr>
              <w:keepNext w:val="0"/>
              <w:keepLines w:val="0"/>
              <w:pageBreakBefore w:val="0"/>
              <w:kinsoku/>
              <w:wordWrap/>
              <w:overflowPunct/>
              <w:topLinePunct w:val="0"/>
              <w:autoSpaceDE/>
              <w:autoSpaceDN/>
              <w:bidi w:val="0"/>
              <w:adjustRightInd w:val="0"/>
              <w:snapToGrid w:val="0"/>
              <w:jc w:val="center"/>
              <w:rPr>
                <w:color w:val="auto"/>
                <w:szCs w:val="21"/>
              </w:rPr>
            </w:pPr>
            <w:r>
              <w:rPr>
                <w:rFonts w:hint="eastAsia"/>
                <w:color w:val="auto"/>
                <w:szCs w:val="21"/>
              </w:rPr>
              <w:t>/</w:t>
            </w:r>
          </w:p>
        </w:tc>
        <w:tc>
          <w:tcPr>
            <w:tcW w:w="683" w:type="pct"/>
            <w:noWrap w:val="0"/>
            <w:tcMar>
              <w:top w:w="0" w:type="dxa"/>
              <w:left w:w="0" w:type="dxa"/>
              <w:bottom w:w="0" w:type="dxa"/>
              <w:right w:w="0" w:type="dxa"/>
            </w:tcMar>
            <w:vAlign w:val="center"/>
          </w:tcPr>
          <w:p w14:paraId="421DD939">
            <w:pPr>
              <w:keepNext w:val="0"/>
              <w:keepLines w:val="0"/>
              <w:pageBreakBefore w:val="0"/>
              <w:kinsoku/>
              <w:wordWrap/>
              <w:overflowPunct/>
              <w:topLinePunct w:val="0"/>
              <w:autoSpaceDE/>
              <w:autoSpaceDN/>
              <w:bidi w:val="0"/>
              <w:adjustRightInd w:val="0"/>
              <w:snapToGrid w:val="0"/>
              <w:jc w:val="center"/>
              <w:rPr>
                <w:color w:val="auto"/>
                <w:szCs w:val="21"/>
              </w:rPr>
            </w:pPr>
            <w:r>
              <w:rPr>
                <w:rFonts w:hint="eastAsia"/>
                <w:color w:val="auto"/>
                <w:szCs w:val="21"/>
              </w:rPr>
              <w:t>/</w:t>
            </w:r>
          </w:p>
        </w:tc>
        <w:tc>
          <w:tcPr>
            <w:tcW w:w="673" w:type="pct"/>
            <w:shd w:val="clear" w:color="auto" w:fill="auto"/>
            <w:noWrap w:val="0"/>
            <w:tcMar>
              <w:top w:w="0" w:type="dxa"/>
              <w:left w:w="0" w:type="dxa"/>
              <w:bottom w:w="0" w:type="dxa"/>
              <w:right w:w="0" w:type="dxa"/>
            </w:tcMar>
            <w:vAlign w:val="center"/>
          </w:tcPr>
          <w:p w14:paraId="21AC39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0.0194</w:t>
            </w:r>
          </w:p>
        </w:tc>
        <w:tc>
          <w:tcPr>
            <w:tcW w:w="520" w:type="pct"/>
            <w:shd w:val="clear" w:color="auto" w:fill="auto"/>
            <w:noWrap w:val="0"/>
            <w:tcMar>
              <w:top w:w="0" w:type="dxa"/>
              <w:left w:w="0" w:type="dxa"/>
              <w:bottom w:w="0" w:type="dxa"/>
              <w:right w:w="0" w:type="dxa"/>
            </w:tcMar>
            <w:vAlign w:val="center"/>
          </w:tcPr>
          <w:p w14:paraId="2EBAD1CA">
            <w:pPr>
              <w:pStyle w:val="49"/>
              <w:ind w:firstLine="0" w:firstLineChars="0"/>
              <w:jc w:val="center"/>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rPr>
              <w:t>0.0966</w:t>
            </w:r>
          </w:p>
        </w:tc>
        <w:tc>
          <w:tcPr>
            <w:tcW w:w="600" w:type="pct"/>
            <w:shd w:val="clear" w:color="auto" w:fill="auto"/>
            <w:noWrap w:val="0"/>
            <w:tcMar>
              <w:top w:w="0" w:type="dxa"/>
              <w:left w:w="0" w:type="dxa"/>
              <w:bottom w:w="0" w:type="dxa"/>
              <w:right w:w="0" w:type="dxa"/>
            </w:tcMar>
            <w:vAlign w:val="center"/>
          </w:tcPr>
          <w:p w14:paraId="6419BD1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0.0194</w:t>
            </w:r>
          </w:p>
        </w:tc>
        <w:tc>
          <w:tcPr>
            <w:tcW w:w="502" w:type="pct"/>
            <w:noWrap w:val="0"/>
            <w:tcMar>
              <w:top w:w="0" w:type="dxa"/>
              <w:left w:w="0" w:type="dxa"/>
              <w:bottom w:w="0" w:type="dxa"/>
              <w:right w:w="0" w:type="dxa"/>
            </w:tcMar>
            <w:vAlign w:val="center"/>
          </w:tcPr>
          <w:p w14:paraId="7895F68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-0.07</w:t>
            </w:r>
            <w:r>
              <w:rPr>
                <w:rFonts w:hint="eastAsia" w:cs="Times New Roman"/>
                <w:i w:val="0"/>
                <w:iCs w:val="0"/>
                <w:color w:val="0000FF"/>
                <w:kern w:val="0"/>
                <w:sz w:val="21"/>
                <w:szCs w:val="21"/>
                <w:u w:val="none"/>
                <w:lang w:val="en-US" w:eastAsia="zh-CN" w:bidi="ar"/>
              </w:rPr>
              <w:t>72</w:t>
            </w:r>
          </w:p>
        </w:tc>
      </w:tr>
      <w:tr w14:paraId="7386C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restart"/>
            <w:noWrap w:val="0"/>
            <w:tcMar>
              <w:top w:w="0" w:type="dxa"/>
              <w:left w:w="0" w:type="dxa"/>
              <w:bottom w:w="0" w:type="dxa"/>
              <w:right w:w="0" w:type="dxa"/>
            </w:tcMar>
            <w:vAlign w:val="center"/>
          </w:tcPr>
          <w:p w14:paraId="62A219D3">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r>
              <w:rPr>
                <w:rFonts w:ascii="Times New Roman" w:hAnsi="Times New Roman" w:eastAsia="宋体"/>
                <w:b w:val="0"/>
                <w:bCs/>
                <w:snapToGrid w:val="0"/>
                <w:color w:val="auto"/>
                <w:kern w:val="21"/>
                <w:sz w:val="21"/>
                <w:szCs w:val="21"/>
              </w:rPr>
              <w:t>废水</w:t>
            </w:r>
          </w:p>
        </w:tc>
        <w:tc>
          <w:tcPr>
            <w:tcW w:w="564" w:type="pct"/>
            <w:gridSpan w:val="2"/>
            <w:noWrap w:val="0"/>
            <w:tcMar>
              <w:top w:w="0" w:type="dxa"/>
              <w:left w:w="0" w:type="dxa"/>
              <w:bottom w:w="0" w:type="dxa"/>
              <w:right w:w="0" w:type="dxa"/>
            </w:tcMar>
            <w:vAlign w:val="center"/>
          </w:tcPr>
          <w:p w14:paraId="79D69350">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废水量</w:t>
            </w:r>
          </w:p>
        </w:tc>
        <w:tc>
          <w:tcPr>
            <w:tcW w:w="666" w:type="pct"/>
            <w:noWrap w:val="0"/>
            <w:tcMar>
              <w:top w:w="0" w:type="dxa"/>
              <w:left w:w="0" w:type="dxa"/>
              <w:bottom w:w="0" w:type="dxa"/>
              <w:right w:w="0" w:type="dxa"/>
            </w:tcMar>
            <w:vAlign w:val="center"/>
          </w:tcPr>
          <w:p w14:paraId="34DDE8ED">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107.52</w:t>
            </w:r>
          </w:p>
        </w:tc>
        <w:tc>
          <w:tcPr>
            <w:tcW w:w="453" w:type="pct"/>
            <w:noWrap w:val="0"/>
            <w:tcMar>
              <w:top w:w="0" w:type="dxa"/>
              <w:left w:w="0" w:type="dxa"/>
              <w:bottom w:w="0" w:type="dxa"/>
              <w:right w:w="0" w:type="dxa"/>
            </w:tcMar>
            <w:vAlign w:val="center"/>
          </w:tcPr>
          <w:p w14:paraId="07006DC2">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83" w:type="pct"/>
            <w:noWrap w:val="0"/>
            <w:tcMar>
              <w:top w:w="0" w:type="dxa"/>
              <w:left w:w="0" w:type="dxa"/>
              <w:bottom w:w="0" w:type="dxa"/>
              <w:right w:w="0" w:type="dxa"/>
            </w:tcMar>
            <w:vAlign w:val="center"/>
          </w:tcPr>
          <w:p w14:paraId="3A480E2C">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0953EBA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144</w:t>
            </w:r>
          </w:p>
        </w:tc>
        <w:tc>
          <w:tcPr>
            <w:tcW w:w="520" w:type="pct"/>
            <w:shd w:val="clear" w:color="auto" w:fill="auto"/>
            <w:noWrap w:val="0"/>
            <w:tcMar>
              <w:top w:w="0" w:type="dxa"/>
              <w:left w:w="0" w:type="dxa"/>
              <w:bottom w:w="0" w:type="dxa"/>
              <w:right w:w="0" w:type="dxa"/>
            </w:tcMar>
            <w:vAlign w:val="center"/>
          </w:tcPr>
          <w:p w14:paraId="49FED590">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107.52</w:t>
            </w:r>
          </w:p>
        </w:tc>
        <w:tc>
          <w:tcPr>
            <w:tcW w:w="600" w:type="pct"/>
            <w:shd w:val="clear" w:color="auto" w:fill="auto"/>
            <w:noWrap w:val="0"/>
            <w:tcMar>
              <w:top w:w="0" w:type="dxa"/>
              <w:left w:w="0" w:type="dxa"/>
              <w:bottom w:w="0" w:type="dxa"/>
              <w:right w:w="0" w:type="dxa"/>
            </w:tcMar>
            <w:vAlign w:val="center"/>
          </w:tcPr>
          <w:p w14:paraId="2166640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144</w:t>
            </w:r>
          </w:p>
        </w:tc>
        <w:tc>
          <w:tcPr>
            <w:tcW w:w="502" w:type="pct"/>
            <w:shd w:val="clear" w:color="auto" w:fill="auto"/>
            <w:noWrap w:val="0"/>
            <w:tcMar>
              <w:top w:w="0" w:type="dxa"/>
              <w:left w:w="0" w:type="dxa"/>
              <w:bottom w:w="0" w:type="dxa"/>
              <w:right w:w="0" w:type="dxa"/>
            </w:tcMar>
            <w:vAlign w:val="center"/>
          </w:tcPr>
          <w:p w14:paraId="3041770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+36.48</w:t>
            </w:r>
          </w:p>
        </w:tc>
      </w:tr>
      <w:tr w14:paraId="2D47D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2ACEEA26">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noWrap w:val="0"/>
            <w:tcMar>
              <w:top w:w="0" w:type="dxa"/>
              <w:left w:w="0" w:type="dxa"/>
              <w:bottom w:w="0" w:type="dxa"/>
              <w:right w:w="0" w:type="dxa"/>
            </w:tcMar>
            <w:vAlign w:val="center"/>
          </w:tcPr>
          <w:p w14:paraId="58A49143">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COD</w:t>
            </w:r>
          </w:p>
        </w:tc>
        <w:tc>
          <w:tcPr>
            <w:tcW w:w="666" w:type="pct"/>
            <w:noWrap w:val="0"/>
            <w:tcMar>
              <w:top w:w="0" w:type="dxa"/>
              <w:left w:w="0" w:type="dxa"/>
              <w:bottom w:w="0" w:type="dxa"/>
              <w:right w:w="0" w:type="dxa"/>
            </w:tcMar>
            <w:vAlign w:val="center"/>
          </w:tcPr>
          <w:p w14:paraId="06450AD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0.043</w:t>
            </w:r>
          </w:p>
        </w:tc>
        <w:tc>
          <w:tcPr>
            <w:tcW w:w="453" w:type="pct"/>
            <w:noWrap w:val="0"/>
            <w:tcMar>
              <w:top w:w="0" w:type="dxa"/>
              <w:left w:w="0" w:type="dxa"/>
              <w:bottom w:w="0" w:type="dxa"/>
              <w:right w:w="0" w:type="dxa"/>
            </w:tcMar>
            <w:vAlign w:val="center"/>
          </w:tcPr>
          <w:p w14:paraId="7647EE34">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83" w:type="pct"/>
            <w:noWrap w:val="0"/>
            <w:tcMar>
              <w:top w:w="0" w:type="dxa"/>
              <w:left w:w="0" w:type="dxa"/>
              <w:bottom w:w="0" w:type="dxa"/>
              <w:right w:w="0" w:type="dxa"/>
            </w:tcMar>
            <w:vAlign w:val="center"/>
          </w:tcPr>
          <w:p w14:paraId="6122AF94">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0FF8BC5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0.0576</w:t>
            </w:r>
          </w:p>
        </w:tc>
        <w:tc>
          <w:tcPr>
            <w:tcW w:w="520" w:type="pct"/>
            <w:shd w:val="clear" w:color="auto" w:fill="auto"/>
            <w:noWrap w:val="0"/>
            <w:tcMar>
              <w:top w:w="0" w:type="dxa"/>
              <w:left w:w="0" w:type="dxa"/>
              <w:bottom w:w="0" w:type="dxa"/>
              <w:right w:w="0" w:type="dxa"/>
            </w:tcMar>
            <w:vAlign w:val="center"/>
          </w:tcPr>
          <w:p w14:paraId="3FDF4E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0.043</w:t>
            </w:r>
          </w:p>
        </w:tc>
        <w:tc>
          <w:tcPr>
            <w:tcW w:w="600" w:type="pct"/>
            <w:shd w:val="clear" w:color="auto" w:fill="auto"/>
            <w:noWrap w:val="0"/>
            <w:tcMar>
              <w:top w:w="0" w:type="dxa"/>
              <w:left w:w="0" w:type="dxa"/>
              <w:bottom w:w="0" w:type="dxa"/>
              <w:right w:w="0" w:type="dxa"/>
            </w:tcMar>
            <w:vAlign w:val="center"/>
          </w:tcPr>
          <w:p w14:paraId="5DF10EB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0.0576</w:t>
            </w:r>
          </w:p>
        </w:tc>
        <w:tc>
          <w:tcPr>
            <w:tcW w:w="502" w:type="pct"/>
            <w:shd w:val="clear" w:color="auto" w:fill="auto"/>
            <w:noWrap w:val="0"/>
            <w:tcMar>
              <w:top w:w="0" w:type="dxa"/>
              <w:left w:w="0" w:type="dxa"/>
              <w:bottom w:w="0" w:type="dxa"/>
              <w:right w:w="0" w:type="dxa"/>
            </w:tcMar>
            <w:vAlign w:val="center"/>
          </w:tcPr>
          <w:p w14:paraId="08521D1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+0.0146</w:t>
            </w:r>
          </w:p>
        </w:tc>
      </w:tr>
      <w:tr w14:paraId="685A6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317D8C60">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noWrap w:val="0"/>
            <w:tcMar>
              <w:top w:w="0" w:type="dxa"/>
              <w:left w:w="0" w:type="dxa"/>
              <w:bottom w:w="0" w:type="dxa"/>
              <w:right w:w="0" w:type="dxa"/>
            </w:tcMar>
            <w:vAlign w:val="center"/>
          </w:tcPr>
          <w:p w14:paraId="6F60732D">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SS</w:t>
            </w:r>
          </w:p>
        </w:tc>
        <w:tc>
          <w:tcPr>
            <w:tcW w:w="666" w:type="pct"/>
            <w:noWrap w:val="0"/>
            <w:tcMar>
              <w:top w:w="0" w:type="dxa"/>
              <w:left w:w="0" w:type="dxa"/>
              <w:bottom w:w="0" w:type="dxa"/>
              <w:right w:w="0" w:type="dxa"/>
            </w:tcMar>
            <w:vAlign w:val="center"/>
          </w:tcPr>
          <w:p w14:paraId="7380BEB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0.0215</w:t>
            </w:r>
          </w:p>
        </w:tc>
        <w:tc>
          <w:tcPr>
            <w:tcW w:w="453" w:type="pct"/>
            <w:noWrap w:val="0"/>
            <w:tcMar>
              <w:top w:w="0" w:type="dxa"/>
              <w:left w:w="0" w:type="dxa"/>
              <w:bottom w:w="0" w:type="dxa"/>
              <w:right w:w="0" w:type="dxa"/>
            </w:tcMar>
            <w:vAlign w:val="center"/>
          </w:tcPr>
          <w:p w14:paraId="64DA6268">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83" w:type="pct"/>
            <w:noWrap w:val="0"/>
            <w:tcMar>
              <w:top w:w="0" w:type="dxa"/>
              <w:left w:w="0" w:type="dxa"/>
              <w:bottom w:w="0" w:type="dxa"/>
              <w:right w:w="0" w:type="dxa"/>
            </w:tcMar>
            <w:vAlign w:val="center"/>
          </w:tcPr>
          <w:p w14:paraId="0EC0ACF9">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5A9AC49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0.0288</w:t>
            </w:r>
          </w:p>
        </w:tc>
        <w:tc>
          <w:tcPr>
            <w:tcW w:w="520" w:type="pct"/>
            <w:shd w:val="clear" w:color="auto" w:fill="auto"/>
            <w:noWrap w:val="0"/>
            <w:tcMar>
              <w:top w:w="0" w:type="dxa"/>
              <w:left w:w="0" w:type="dxa"/>
              <w:bottom w:w="0" w:type="dxa"/>
              <w:right w:w="0" w:type="dxa"/>
            </w:tcMar>
            <w:vAlign w:val="center"/>
          </w:tcPr>
          <w:p w14:paraId="7E1CEE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0.0215</w:t>
            </w:r>
          </w:p>
        </w:tc>
        <w:tc>
          <w:tcPr>
            <w:tcW w:w="600" w:type="pct"/>
            <w:shd w:val="clear" w:color="auto" w:fill="auto"/>
            <w:noWrap w:val="0"/>
            <w:tcMar>
              <w:top w:w="0" w:type="dxa"/>
              <w:left w:w="0" w:type="dxa"/>
              <w:bottom w:w="0" w:type="dxa"/>
              <w:right w:w="0" w:type="dxa"/>
            </w:tcMar>
            <w:vAlign w:val="center"/>
          </w:tcPr>
          <w:p w14:paraId="78D4C2A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0.0288</w:t>
            </w:r>
          </w:p>
        </w:tc>
        <w:tc>
          <w:tcPr>
            <w:tcW w:w="502" w:type="pct"/>
            <w:shd w:val="clear" w:color="auto" w:fill="auto"/>
            <w:noWrap w:val="0"/>
            <w:tcMar>
              <w:top w:w="0" w:type="dxa"/>
              <w:left w:w="0" w:type="dxa"/>
              <w:bottom w:w="0" w:type="dxa"/>
              <w:right w:w="0" w:type="dxa"/>
            </w:tcMar>
            <w:vAlign w:val="center"/>
          </w:tcPr>
          <w:p w14:paraId="2D9011A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+0.0073</w:t>
            </w:r>
          </w:p>
        </w:tc>
      </w:tr>
      <w:tr w14:paraId="164A41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19DF4A5F">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noWrap w:val="0"/>
            <w:tcMar>
              <w:top w:w="0" w:type="dxa"/>
              <w:left w:w="0" w:type="dxa"/>
              <w:bottom w:w="0" w:type="dxa"/>
              <w:right w:w="0" w:type="dxa"/>
            </w:tcMar>
            <w:vAlign w:val="center"/>
          </w:tcPr>
          <w:p w14:paraId="4FE30C2B">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666" w:type="pct"/>
            <w:noWrap w:val="0"/>
            <w:tcMar>
              <w:top w:w="0" w:type="dxa"/>
              <w:left w:w="0" w:type="dxa"/>
              <w:bottom w:w="0" w:type="dxa"/>
              <w:right w:w="0" w:type="dxa"/>
            </w:tcMar>
            <w:vAlign w:val="center"/>
          </w:tcPr>
          <w:p w14:paraId="4779DC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0.0038</w:t>
            </w:r>
          </w:p>
        </w:tc>
        <w:tc>
          <w:tcPr>
            <w:tcW w:w="453" w:type="pct"/>
            <w:noWrap w:val="0"/>
            <w:tcMar>
              <w:top w:w="0" w:type="dxa"/>
              <w:left w:w="0" w:type="dxa"/>
              <w:bottom w:w="0" w:type="dxa"/>
              <w:right w:w="0" w:type="dxa"/>
            </w:tcMar>
            <w:vAlign w:val="center"/>
          </w:tcPr>
          <w:p w14:paraId="518A535C">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83" w:type="pct"/>
            <w:noWrap w:val="0"/>
            <w:tcMar>
              <w:top w:w="0" w:type="dxa"/>
              <w:left w:w="0" w:type="dxa"/>
              <w:bottom w:w="0" w:type="dxa"/>
              <w:right w:w="0" w:type="dxa"/>
            </w:tcMar>
            <w:vAlign w:val="center"/>
          </w:tcPr>
          <w:p w14:paraId="04867F19">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701555E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0.0043</w:t>
            </w:r>
          </w:p>
        </w:tc>
        <w:tc>
          <w:tcPr>
            <w:tcW w:w="520" w:type="pct"/>
            <w:shd w:val="clear" w:color="auto" w:fill="auto"/>
            <w:noWrap w:val="0"/>
            <w:tcMar>
              <w:top w:w="0" w:type="dxa"/>
              <w:left w:w="0" w:type="dxa"/>
              <w:bottom w:w="0" w:type="dxa"/>
              <w:right w:w="0" w:type="dxa"/>
            </w:tcMar>
            <w:vAlign w:val="center"/>
          </w:tcPr>
          <w:p w14:paraId="4DFCDE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0.0038</w:t>
            </w:r>
          </w:p>
        </w:tc>
        <w:tc>
          <w:tcPr>
            <w:tcW w:w="600" w:type="pct"/>
            <w:shd w:val="clear" w:color="auto" w:fill="auto"/>
            <w:noWrap w:val="0"/>
            <w:tcMar>
              <w:top w:w="0" w:type="dxa"/>
              <w:left w:w="0" w:type="dxa"/>
              <w:bottom w:w="0" w:type="dxa"/>
              <w:right w:w="0" w:type="dxa"/>
            </w:tcMar>
            <w:vAlign w:val="center"/>
          </w:tcPr>
          <w:p w14:paraId="3562B42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0.0043</w:t>
            </w:r>
          </w:p>
        </w:tc>
        <w:tc>
          <w:tcPr>
            <w:tcW w:w="502" w:type="pct"/>
            <w:shd w:val="clear" w:color="auto" w:fill="auto"/>
            <w:noWrap w:val="0"/>
            <w:tcMar>
              <w:top w:w="0" w:type="dxa"/>
              <w:left w:w="0" w:type="dxa"/>
              <w:bottom w:w="0" w:type="dxa"/>
              <w:right w:w="0" w:type="dxa"/>
            </w:tcMar>
            <w:vAlign w:val="center"/>
          </w:tcPr>
          <w:p w14:paraId="5CF94D2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+0.0005</w:t>
            </w:r>
          </w:p>
        </w:tc>
      </w:tr>
      <w:tr w14:paraId="6CCED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7C5895F8">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noWrap w:val="0"/>
            <w:tcMar>
              <w:top w:w="0" w:type="dxa"/>
              <w:left w:w="0" w:type="dxa"/>
              <w:bottom w:w="0" w:type="dxa"/>
              <w:right w:w="0" w:type="dxa"/>
            </w:tcMar>
            <w:vAlign w:val="center"/>
          </w:tcPr>
          <w:p w14:paraId="06108332">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TN</w:t>
            </w:r>
          </w:p>
        </w:tc>
        <w:tc>
          <w:tcPr>
            <w:tcW w:w="666" w:type="pct"/>
            <w:noWrap w:val="0"/>
            <w:tcMar>
              <w:top w:w="0" w:type="dxa"/>
              <w:left w:w="0" w:type="dxa"/>
              <w:bottom w:w="0" w:type="dxa"/>
              <w:right w:w="0" w:type="dxa"/>
            </w:tcMar>
            <w:vAlign w:val="center"/>
          </w:tcPr>
          <w:p w14:paraId="6C4675C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0.0054</w:t>
            </w:r>
          </w:p>
        </w:tc>
        <w:tc>
          <w:tcPr>
            <w:tcW w:w="453" w:type="pct"/>
            <w:noWrap w:val="0"/>
            <w:tcMar>
              <w:top w:w="0" w:type="dxa"/>
              <w:left w:w="0" w:type="dxa"/>
              <w:bottom w:w="0" w:type="dxa"/>
              <w:right w:w="0" w:type="dxa"/>
            </w:tcMar>
            <w:vAlign w:val="center"/>
          </w:tcPr>
          <w:p w14:paraId="0D9D637E">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83" w:type="pct"/>
            <w:noWrap w:val="0"/>
            <w:tcMar>
              <w:top w:w="0" w:type="dxa"/>
              <w:left w:w="0" w:type="dxa"/>
              <w:bottom w:w="0" w:type="dxa"/>
              <w:right w:w="0" w:type="dxa"/>
            </w:tcMar>
            <w:vAlign w:val="center"/>
          </w:tcPr>
          <w:p w14:paraId="1406ED92">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11277CA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0.0058</w:t>
            </w:r>
          </w:p>
        </w:tc>
        <w:tc>
          <w:tcPr>
            <w:tcW w:w="520" w:type="pct"/>
            <w:shd w:val="clear" w:color="auto" w:fill="auto"/>
            <w:noWrap w:val="0"/>
            <w:tcMar>
              <w:top w:w="0" w:type="dxa"/>
              <w:left w:w="0" w:type="dxa"/>
              <w:bottom w:w="0" w:type="dxa"/>
              <w:right w:w="0" w:type="dxa"/>
            </w:tcMar>
            <w:vAlign w:val="center"/>
          </w:tcPr>
          <w:p w14:paraId="2DD9FD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0.0054</w:t>
            </w:r>
          </w:p>
        </w:tc>
        <w:tc>
          <w:tcPr>
            <w:tcW w:w="600" w:type="pct"/>
            <w:shd w:val="clear" w:color="auto" w:fill="auto"/>
            <w:noWrap w:val="0"/>
            <w:tcMar>
              <w:top w:w="0" w:type="dxa"/>
              <w:left w:w="0" w:type="dxa"/>
              <w:bottom w:w="0" w:type="dxa"/>
              <w:right w:w="0" w:type="dxa"/>
            </w:tcMar>
            <w:vAlign w:val="center"/>
          </w:tcPr>
          <w:p w14:paraId="19009B8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0.0058</w:t>
            </w:r>
          </w:p>
        </w:tc>
        <w:tc>
          <w:tcPr>
            <w:tcW w:w="502" w:type="pct"/>
            <w:shd w:val="clear" w:color="auto" w:fill="auto"/>
            <w:noWrap w:val="0"/>
            <w:tcMar>
              <w:top w:w="0" w:type="dxa"/>
              <w:left w:w="0" w:type="dxa"/>
              <w:bottom w:w="0" w:type="dxa"/>
              <w:right w:w="0" w:type="dxa"/>
            </w:tcMar>
            <w:vAlign w:val="center"/>
          </w:tcPr>
          <w:p w14:paraId="4438303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p>
        </w:tc>
      </w:tr>
      <w:tr w14:paraId="1E42E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tcBorders>
              <w:bottom w:val="single" w:color="auto" w:sz="4" w:space="0"/>
            </w:tcBorders>
            <w:noWrap w:val="0"/>
            <w:tcMar>
              <w:top w:w="0" w:type="dxa"/>
              <w:left w:w="0" w:type="dxa"/>
              <w:bottom w:w="0" w:type="dxa"/>
              <w:right w:w="0" w:type="dxa"/>
            </w:tcMar>
            <w:vAlign w:val="center"/>
          </w:tcPr>
          <w:p w14:paraId="0204B7B3">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tcBorders>
              <w:bottom w:val="single" w:color="auto" w:sz="4" w:space="0"/>
            </w:tcBorders>
            <w:noWrap w:val="0"/>
            <w:tcMar>
              <w:top w:w="0" w:type="dxa"/>
              <w:left w:w="0" w:type="dxa"/>
              <w:bottom w:w="0" w:type="dxa"/>
              <w:right w:w="0" w:type="dxa"/>
            </w:tcMar>
            <w:vAlign w:val="center"/>
          </w:tcPr>
          <w:p w14:paraId="102A1494">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TP</w:t>
            </w:r>
          </w:p>
        </w:tc>
        <w:tc>
          <w:tcPr>
            <w:tcW w:w="666" w:type="pct"/>
            <w:noWrap w:val="0"/>
            <w:tcMar>
              <w:top w:w="0" w:type="dxa"/>
              <w:left w:w="0" w:type="dxa"/>
              <w:bottom w:w="0" w:type="dxa"/>
              <w:right w:w="0" w:type="dxa"/>
            </w:tcMar>
            <w:vAlign w:val="center"/>
          </w:tcPr>
          <w:p w14:paraId="0F9639D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c>
          <w:tcPr>
            <w:tcW w:w="453" w:type="pct"/>
            <w:noWrap w:val="0"/>
            <w:tcMar>
              <w:top w:w="0" w:type="dxa"/>
              <w:left w:w="0" w:type="dxa"/>
              <w:bottom w:w="0" w:type="dxa"/>
              <w:right w:w="0" w:type="dxa"/>
            </w:tcMar>
            <w:vAlign w:val="center"/>
          </w:tcPr>
          <w:p w14:paraId="0A707872">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83" w:type="pct"/>
            <w:noWrap w:val="0"/>
            <w:tcMar>
              <w:top w:w="0" w:type="dxa"/>
              <w:left w:w="0" w:type="dxa"/>
              <w:bottom w:w="0" w:type="dxa"/>
              <w:right w:w="0" w:type="dxa"/>
            </w:tcMar>
            <w:vAlign w:val="center"/>
          </w:tcPr>
          <w:p w14:paraId="7D7E6A0B">
            <w:pPr>
              <w:keepNext w:val="0"/>
              <w:keepLines w:val="0"/>
              <w:pageBreakBefore w:val="0"/>
              <w:kinsoku/>
              <w:wordWrap/>
              <w:overflowPunct/>
              <w:topLinePunct w:val="0"/>
              <w:autoSpaceDE/>
              <w:autoSpaceDN/>
              <w:bidi w:val="0"/>
              <w:adjustRightInd w:val="0"/>
              <w:snapToGrid w:val="0"/>
              <w:jc w:val="center"/>
              <w:rPr>
                <w:color w:val="auto"/>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72F1F74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p>
        </w:tc>
        <w:tc>
          <w:tcPr>
            <w:tcW w:w="520" w:type="pct"/>
            <w:shd w:val="clear" w:color="auto" w:fill="auto"/>
            <w:noWrap w:val="0"/>
            <w:tcMar>
              <w:top w:w="0" w:type="dxa"/>
              <w:left w:w="0" w:type="dxa"/>
              <w:bottom w:w="0" w:type="dxa"/>
              <w:right w:w="0" w:type="dxa"/>
            </w:tcMar>
            <w:vAlign w:val="center"/>
          </w:tcPr>
          <w:p w14:paraId="1C0608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c>
          <w:tcPr>
            <w:tcW w:w="600" w:type="pct"/>
            <w:shd w:val="clear" w:color="auto" w:fill="auto"/>
            <w:noWrap w:val="0"/>
            <w:tcMar>
              <w:top w:w="0" w:type="dxa"/>
              <w:left w:w="0" w:type="dxa"/>
              <w:bottom w:w="0" w:type="dxa"/>
              <w:right w:w="0" w:type="dxa"/>
            </w:tcMar>
            <w:vAlign w:val="center"/>
          </w:tcPr>
          <w:p w14:paraId="6A61736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0.0004</w:t>
            </w:r>
          </w:p>
        </w:tc>
        <w:tc>
          <w:tcPr>
            <w:tcW w:w="502" w:type="pct"/>
            <w:shd w:val="clear" w:color="auto" w:fill="auto"/>
            <w:noWrap w:val="0"/>
            <w:tcMar>
              <w:top w:w="0" w:type="dxa"/>
              <w:left w:w="0" w:type="dxa"/>
              <w:bottom w:w="0" w:type="dxa"/>
              <w:right w:w="0" w:type="dxa"/>
            </w:tcMar>
            <w:vAlign w:val="center"/>
          </w:tcPr>
          <w:p w14:paraId="3F1A51D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+0.0001</w:t>
            </w:r>
          </w:p>
        </w:tc>
      </w:tr>
      <w:tr w14:paraId="227EF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restart"/>
            <w:noWrap w:val="0"/>
            <w:tcMar>
              <w:top w:w="0" w:type="dxa"/>
              <w:left w:w="0" w:type="dxa"/>
              <w:bottom w:w="0" w:type="dxa"/>
              <w:right w:w="0" w:type="dxa"/>
            </w:tcMar>
            <w:vAlign w:val="center"/>
          </w:tcPr>
          <w:p w14:paraId="07861247">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r>
              <w:rPr>
                <w:rFonts w:ascii="Times New Roman" w:hAnsi="Times New Roman" w:eastAsia="宋体"/>
                <w:b w:val="0"/>
                <w:bCs/>
                <w:snapToGrid w:val="0"/>
                <w:color w:val="auto"/>
                <w:kern w:val="21"/>
                <w:sz w:val="21"/>
                <w:szCs w:val="21"/>
              </w:rPr>
              <w:t>一般工业</w:t>
            </w:r>
          </w:p>
          <w:p w14:paraId="45D4B241">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r>
              <w:rPr>
                <w:rFonts w:ascii="Times New Roman" w:hAnsi="Times New Roman" w:eastAsia="宋体"/>
                <w:b w:val="0"/>
                <w:bCs/>
                <w:snapToGrid w:val="0"/>
                <w:color w:val="auto"/>
                <w:kern w:val="21"/>
                <w:sz w:val="21"/>
                <w:szCs w:val="21"/>
              </w:rPr>
              <w:t>固体废物</w:t>
            </w:r>
          </w:p>
        </w:tc>
        <w:tc>
          <w:tcPr>
            <w:tcW w:w="564" w:type="pct"/>
            <w:gridSpan w:val="2"/>
            <w:tcBorders>
              <w:bottom w:val="single" w:color="auto" w:sz="4" w:space="0"/>
            </w:tcBorders>
            <w:shd w:val="clear" w:color="auto" w:fill="auto"/>
            <w:noWrap w:val="0"/>
            <w:tcMar>
              <w:top w:w="0" w:type="dxa"/>
              <w:left w:w="0" w:type="dxa"/>
              <w:bottom w:w="0" w:type="dxa"/>
              <w:right w:w="0" w:type="dxa"/>
            </w:tcMar>
            <w:vAlign w:val="center"/>
          </w:tcPr>
          <w:p w14:paraId="6B3D1FE9">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废包装袋</w:t>
            </w:r>
          </w:p>
        </w:tc>
        <w:tc>
          <w:tcPr>
            <w:tcW w:w="666" w:type="pct"/>
            <w:noWrap w:val="0"/>
            <w:tcMar>
              <w:top w:w="0" w:type="dxa"/>
              <w:left w:w="0" w:type="dxa"/>
              <w:bottom w:w="0" w:type="dxa"/>
              <w:right w:w="0" w:type="dxa"/>
            </w:tcMar>
            <w:vAlign w:val="center"/>
          </w:tcPr>
          <w:p w14:paraId="13BC2E76">
            <w:pPr>
              <w:pStyle w:val="55"/>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15.7</w:t>
            </w:r>
          </w:p>
        </w:tc>
        <w:tc>
          <w:tcPr>
            <w:tcW w:w="453" w:type="pct"/>
            <w:noWrap w:val="0"/>
            <w:tcMar>
              <w:top w:w="0" w:type="dxa"/>
              <w:left w:w="0" w:type="dxa"/>
              <w:bottom w:w="0" w:type="dxa"/>
              <w:right w:w="0" w:type="dxa"/>
            </w:tcMar>
            <w:vAlign w:val="center"/>
          </w:tcPr>
          <w:p w14:paraId="35D256C9">
            <w:pPr>
              <w:keepNext w:val="0"/>
              <w:keepLines w:val="0"/>
              <w:pageBreakBefore w:val="0"/>
              <w:kinsoku/>
              <w:wordWrap/>
              <w:overflowPunct/>
              <w:topLinePunct w:val="0"/>
              <w:autoSpaceDE/>
              <w:autoSpaceDN/>
              <w:bidi w:val="0"/>
              <w:adjustRightInd w:val="0"/>
              <w:snapToGrid w:val="0"/>
              <w:jc w:val="center"/>
              <w:rPr>
                <w:bCs/>
                <w:snapToGrid w:val="0"/>
                <w:color w:val="auto"/>
                <w:kern w:val="21"/>
                <w:szCs w:val="21"/>
              </w:rPr>
            </w:pPr>
            <w:r>
              <w:rPr>
                <w:bCs/>
                <w:snapToGrid w:val="0"/>
                <w:color w:val="auto"/>
                <w:kern w:val="21"/>
                <w:szCs w:val="21"/>
              </w:rPr>
              <w:t>/</w:t>
            </w:r>
          </w:p>
        </w:tc>
        <w:tc>
          <w:tcPr>
            <w:tcW w:w="683" w:type="pct"/>
            <w:noWrap w:val="0"/>
            <w:tcMar>
              <w:top w:w="0" w:type="dxa"/>
              <w:left w:w="0" w:type="dxa"/>
              <w:bottom w:w="0" w:type="dxa"/>
              <w:right w:w="0" w:type="dxa"/>
            </w:tcMar>
            <w:vAlign w:val="center"/>
          </w:tcPr>
          <w:p w14:paraId="7F2F9086">
            <w:pPr>
              <w:keepNext w:val="0"/>
              <w:keepLines w:val="0"/>
              <w:pageBreakBefore w:val="0"/>
              <w:kinsoku/>
              <w:wordWrap/>
              <w:overflowPunct/>
              <w:topLinePunct w:val="0"/>
              <w:autoSpaceDE/>
              <w:autoSpaceDN/>
              <w:bidi w:val="0"/>
              <w:adjustRightInd w:val="0"/>
              <w:snapToGrid w:val="0"/>
              <w:jc w:val="center"/>
              <w:rPr>
                <w:bCs/>
                <w:snapToGrid w:val="0"/>
                <w:color w:val="auto"/>
                <w:kern w:val="21"/>
                <w:szCs w:val="21"/>
              </w:rPr>
            </w:pPr>
            <w:r>
              <w:rPr>
                <w:bCs/>
                <w:snapToGrid w:val="0"/>
                <w:color w:val="auto"/>
                <w:kern w:val="21"/>
                <w:szCs w:val="21"/>
              </w:rPr>
              <w:t>/</w:t>
            </w:r>
          </w:p>
        </w:tc>
        <w:tc>
          <w:tcPr>
            <w:tcW w:w="673" w:type="pct"/>
            <w:shd w:val="clear" w:color="auto" w:fill="auto"/>
            <w:noWrap w:val="0"/>
            <w:tcMar>
              <w:top w:w="0" w:type="dxa"/>
              <w:left w:w="0" w:type="dxa"/>
              <w:bottom w:w="0" w:type="dxa"/>
              <w:right w:w="0" w:type="dxa"/>
            </w:tcMar>
            <w:vAlign w:val="center"/>
          </w:tcPr>
          <w:p w14:paraId="58545E02">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bCs/>
                <w:color w:val="0000FF"/>
                <w:kern w:val="2"/>
                <w:sz w:val="21"/>
                <w:szCs w:val="21"/>
                <w:lang w:val="en-US" w:eastAsia="zh-CN" w:bidi="ar-SA"/>
              </w:rPr>
              <w:t>3.6</w:t>
            </w:r>
          </w:p>
        </w:tc>
        <w:tc>
          <w:tcPr>
            <w:tcW w:w="520" w:type="pct"/>
            <w:shd w:val="clear" w:color="auto" w:fill="auto"/>
            <w:noWrap w:val="0"/>
            <w:tcMar>
              <w:top w:w="0" w:type="dxa"/>
              <w:left w:w="0" w:type="dxa"/>
              <w:bottom w:w="0" w:type="dxa"/>
              <w:right w:w="0" w:type="dxa"/>
            </w:tcMar>
            <w:vAlign w:val="center"/>
          </w:tcPr>
          <w:p w14:paraId="1D4C1046">
            <w:pPr>
              <w:pStyle w:val="55"/>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15.7</w:t>
            </w:r>
          </w:p>
        </w:tc>
        <w:tc>
          <w:tcPr>
            <w:tcW w:w="600" w:type="pct"/>
            <w:shd w:val="clear" w:color="auto" w:fill="auto"/>
            <w:noWrap w:val="0"/>
            <w:tcMar>
              <w:top w:w="0" w:type="dxa"/>
              <w:left w:w="0" w:type="dxa"/>
              <w:bottom w:w="0" w:type="dxa"/>
              <w:right w:w="0" w:type="dxa"/>
            </w:tcMar>
            <w:vAlign w:val="center"/>
          </w:tcPr>
          <w:p w14:paraId="1572E3A7">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bCs/>
                <w:color w:val="0000FF"/>
                <w:kern w:val="2"/>
                <w:sz w:val="21"/>
                <w:szCs w:val="21"/>
                <w:lang w:val="en-US" w:eastAsia="zh-CN" w:bidi="ar-SA"/>
              </w:rPr>
              <w:t>3.6</w:t>
            </w:r>
          </w:p>
        </w:tc>
        <w:tc>
          <w:tcPr>
            <w:tcW w:w="502" w:type="pct"/>
            <w:noWrap w:val="0"/>
            <w:tcMar>
              <w:top w:w="0" w:type="dxa"/>
              <w:left w:w="0" w:type="dxa"/>
              <w:bottom w:w="0" w:type="dxa"/>
              <w:right w:w="0" w:type="dxa"/>
            </w:tcMar>
            <w:vAlign w:val="center"/>
          </w:tcPr>
          <w:p w14:paraId="5B140D3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-12.1</w:t>
            </w:r>
          </w:p>
        </w:tc>
      </w:tr>
      <w:tr w14:paraId="28DFC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33" w:type="pct"/>
            <w:vMerge w:val="continue"/>
            <w:noWrap w:val="0"/>
            <w:tcMar>
              <w:top w:w="0" w:type="dxa"/>
              <w:left w:w="0" w:type="dxa"/>
              <w:bottom w:w="0" w:type="dxa"/>
              <w:right w:w="0" w:type="dxa"/>
            </w:tcMar>
            <w:vAlign w:val="center"/>
          </w:tcPr>
          <w:p w14:paraId="45B8BEA8">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shd w:val="clear" w:color="auto" w:fill="auto"/>
            <w:noWrap w:val="0"/>
            <w:tcMar>
              <w:top w:w="0" w:type="dxa"/>
              <w:left w:w="0" w:type="dxa"/>
              <w:bottom w:w="0" w:type="dxa"/>
              <w:right w:w="0" w:type="dxa"/>
            </w:tcMar>
            <w:vAlign w:val="center"/>
          </w:tcPr>
          <w:p w14:paraId="7891F7B9">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sz w:val="21"/>
                <w:szCs w:val="21"/>
                <w:lang w:val="en-US" w:eastAsia="zh-CN"/>
              </w:rPr>
              <w:t>布袋捕集物、沉渣</w:t>
            </w:r>
          </w:p>
        </w:tc>
        <w:tc>
          <w:tcPr>
            <w:tcW w:w="666" w:type="pct"/>
            <w:noWrap w:val="0"/>
            <w:tcMar>
              <w:top w:w="0" w:type="dxa"/>
              <w:left w:w="0" w:type="dxa"/>
              <w:bottom w:w="0" w:type="dxa"/>
              <w:right w:w="0" w:type="dxa"/>
            </w:tcMar>
            <w:vAlign w:val="center"/>
          </w:tcPr>
          <w:p w14:paraId="3F580A19">
            <w:pPr>
              <w:pStyle w:val="55"/>
              <w:keepNext w:val="0"/>
              <w:keepLines w:val="0"/>
              <w:pageBreakBefore w:val="0"/>
              <w:kinsoku/>
              <w:wordWrap/>
              <w:overflowPunct/>
              <w:topLinePunct w:val="0"/>
              <w:autoSpaceDE/>
              <w:autoSpaceDN/>
              <w:bidi w:val="0"/>
              <w:adjustRightInd w:val="0"/>
              <w:snapToGrid w:val="0"/>
              <w:spacing w:line="240" w:lineRule="auto"/>
              <w:rPr>
                <w:rFonts w:hint="eastAsia"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0.</w:t>
            </w:r>
            <w:r>
              <w:rPr>
                <w:rFonts w:hint="default" w:ascii="Times New Roman" w:hAnsi="Times New Roman" w:eastAsia="宋体" w:cs="Times New Roman"/>
                <w:color w:val="auto"/>
                <w:kern w:val="0"/>
                <w:sz w:val="21"/>
                <w:szCs w:val="21"/>
                <w:lang w:val="en-US" w:eastAsia="zh-CN"/>
              </w:rPr>
              <w:t>36</w:t>
            </w:r>
          </w:p>
        </w:tc>
        <w:tc>
          <w:tcPr>
            <w:tcW w:w="453" w:type="pct"/>
            <w:noWrap w:val="0"/>
            <w:tcMar>
              <w:top w:w="0" w:type="dxa"/>
              <w:left w:w="0" w:type="dxa"/>
              <w:bottom w:w="0" w:type="dxa"/>
              <w:right w:w="0" w:type="dxa"/>
            </w:tcMar>
            <w:vAlign w:val="center"/>
          </w:tcPr>
          <w:p w14:paraId="36AA3A3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b/>
                <w:bCs/>
                <w:snapToGrid w:val="0"/>
                <w:color w:val="auto"/>
                <w:kern w:val="21"/>
                <w:sz w:val="21"/>
                <w:szCs w:val="21"/>
              </w:rPr>
            </w:pPr>
            <w:r>
              <w:rPr>
                <w:color w:val="auto"/>
                <w:szCs w:val="21"/>
              </w:rPr>
              <w:t>/</w:t>
            </w:r>
          </w:p>
        </w:tc>
        <w:tc>
          <w:tcPr>
            <w:tcW w:w="683" w:type="pct"/>
            <w:noWrap w:val="0"/>
            <w:tcMar>
              <w:top w:w="0" w:type="dxa"/>
              <w:left w:w="0" w:type="dxa"/>
              <w:bottom w:w="0" w:type="dxa"/>
              <w:right w:w="0" w:type="dxa"/>
            </w:tcMar>
            <w:vAlign w:val="center"/>
          </w:tcPr>
          <w:p w14:paraId="13CB8B7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b/>
                <w:bCs/>
                <w:snapToGrid w:val="0"/>
                <w:color w:val="auto"/>
                <w:kern w:val="21"/>
                <w:sz w:val="21"/>
                <w:szCs w:val="21"/>
              </w:rPr>
            </w:pPr>
            <w:r>
              <w:rPr>
                <w:color w:val="auto"/>
                <w:szCs w:val="21"/>
              </w:rPr>
              <w:t>/</w:t>
            </w:r>
          </w:p>
        </w:tc>
        <w:tc>
          <w:tcPr>
            <w:tcW w:w="673" w:type="pct"/>
            <w:shd w:val="clear" w:color="auto" w:fill="auto"/>
            <w:noWrap w:val="0"/>
            <w:tcMar>
              <w:top w:w="0" w:type="dxa"/>
              <w:left w:w="0" w:type="dxa"/>
              <w:bottom w:w="0" w:type="dxa"/>
              <w:right w:w="0" w:type="dxa"/>
            </w:tcMar>
            <w:vAlign w:val="center"/>
          </w:tcPr>
          <w:p w14:paraId="2DDB7677">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sz w:val="21"/>
                <w:szCs w:val="21"/>
                <w:lang w:val="en-US" w:eastAsia="zh-CN"/>
              </w:rPr>
              <w:t>0.32</w:t>
            </w:r>
          </w:p>
        </w:tc>
        <w:tc>
          <w:tcPr>
            <w:tcW w:w="520" w:type="pct"/>
            <w:shd w:val="clear" w:color="auto" w:fill="auto"/>
            <w:noWrap w:val="0"/>
            <w:tcMar>
              <w:top w:w="0" w:type="dxa"/>
              <w:left w:w="0" w:type="dxa"/>
              <w:bottom w:w="0" w:type="dxa"/>
              <w:right w:w="0" w:type="dxa"/>
            </w:tcMar>
            <w:vAlign w:val="center"/>
          </w:tcPr>
          <w:p w14:paraId="154A3127">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0.</w:t>
            </w:r>
            <w:r>
              <w:rPr>
                <w:rFonts w:hint="default" w:ascii="Times New Roman" w:hAnsi="Times New Roman" w:eastAsia="宋体" w:cs="Times New Roman"/>
                <w:color w:val="auto"/>
                <w:kern w:val="0"/>
                <w:sz w:val="21"/>
                <w:szCs w:val="21"/>
                <w:lang w:val="en-US" w:eastAsia="zh-CN"/>
              </w:rPr>
              <w:t>36</w:t>
            </w:r>
          </w:p>
        </w:tc>
        <w:tc>
          <w:tcPr>
            <w:tcW w:w="600" w:type="pct"/>
            <w:shd w:val="clear" w:color="auto" w:fill="auto"/>
            <w:noWrap w:val="0"/>
            <w:tcMar>
              <w:top w:w="0" w:type="dxa"/>
              <w:left w:w="0" w:type="dxa"/>
              <w:bottom w:w="0" w:type="dxa"/>
              <w:right w:w="0" w:type="dxa"/>
            </w:tcMar>
            <w:vAlign w:val="center"/>
          </w:tcPr>
          <w:p w14:paraId="03CC9AED">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sz w:val="21"/>
                <w:szCs w:val="21"/>
                <w:lang w:val="en-US" w:eastAsia="zh-CN"/>
              </w:rPr>
              <w:t>0.32</w:t>
            </w:r>
          </w:p>
        </w:tc>
        <w:tc>
          <w:tcPr>
            <w:tcW w:w="502" w:type="pct"/>
            <w:noWrap w:val="0"/>
            <w:tcMar>
              <w:top w:w="0" w:type="dxa"/>
              <w:left w:w="0" w:type="dxa"/>
              <w:bottom w:w="0" w:type="dxa"/>
              <w:right w:w="0" w:type="dxa"/>
            </w:tcMar>
            <w:vAlign w:val="center"/>
          </w:tcPr>
          <w:p w14:paraId="734795F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-0.04</w:t>
            </w:r>
          </w:p>
        </w:tc>
      </w:tr>
      <w:tr w14:paraId="6527E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restart"/>
            <w:noWrap w:val="0"/>
            <w:tcMar>
              <w:top w:w="0" w:type="dxa"/>
              <w:left w:w="0" w:type="dxa"/>
              <w:bottom w:w="0" w:type="dxa"/>
              <w:right w:w="0" w:type="dxa"/>
            </w:tcMar>
            <w:vAlign w:val="center"/>
          </w:tcPr>
          <w:p w14:paraId="2C33EFEB">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r>
              <w:rPr>
                <w:rFonts w:ascii="Times New Roman" w:hAnsi="Times New Roman" w:eastAsia="宋体"/>
                <w:b w:val="0"/>
                <w:bCs/>
                <w:snapToGrid w:val="0"/>
                <w:color w:val="auto"/>
                <w:kern w:val="21"/>
                <w:sz w:val="21"/>
                <w:szCs w:val="21"/>
              </w:rPr>
              <w:t>危险废物</w:t>
            </w:r>
          </w:p>
        </w:tc>
        <w:tc>
          <w:tcPr>
            <w:tcW w:w="564" w:type="pct"/>
            <w:gridSpan w:val="2"/>
            <w:shd w:val="clear" w:color="auto" w:fill="auto"/>
            <w:noWrap w:val="0"/>
            <w:tcMar>
              <w:top w:w="0" w:type="dxa"/>
              <w:left w:w="0" w:type="dxa"/>
              <w:bottom w:w="0" w:type="dxa"/>
              <w:right w:w="0" w:type="dxa"/>
            </w:tcMar>
            <w:vAlign w:val="center"/>
          </w:tcPr>
          <w:p w14:paraId="05665C2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喷淋塔废液</w:t>
            </w:r>
          </w:p>
        </w:tc>
        <w:tc>
          <w:tcPr>
            <w:tcW w:w="666" w:type="pct"/>
            <w:noWrap w:val="0"/>
            <w:tcMar>
              <w:top w:w="0" w:type="dxa"/>
              <w:left w:w="0" w:type="dxa"/>
              <w:bottom w:w="0" w:type="dxa"/>
              <w:right w:w="0" w:type="dxa"/>
            </w:tcMar>
            <w:vAlign w:val="center"/>
          </w:tcPr>
          <w:p w14:paraId="3D9AD4C3">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lang w:val="en-US" w:eastAsia="zh-CN"/>
              </w:rPr>
              <w:t>0.627</w:t>
            </w:r>
          </w:p>
        </w:tc>
        <w:tc>
          <w:tcPr>
            <w:tcW w:w="453" w:type="pct"/>
            <w:noWrap w:val="0"/>
            <w:tcMar>
              <w:top w:w="0" w:type="dxa"/>
              <w:left w:w="0" w:type="dxa"/>
              <w:bottom w:w="0" w:type="dxa"/>
              <w:right w:w="0" w:type="dxa"/>
            </w:tcMar>
            <w:vAlign w:val="center"/>
          </w:tcPr>
          <w:p w14:paraId="26375C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b/>
                <w:bCs/>
                <w:snapToGrid w:val="0"/>
                <w:color w:val="auto"/>
                <w:kern w:val="21"/>
                <w:sz w:val="21"/>
                <w:szCs w:val="21"/>
                <w:lang w:val="en-US" w:eastAsia="zh-CN" w:bidi="ar-SA"/>
              </w:rPr>
            </w:pPr>
            <w:r>
              <w:rPr>
                <w:color w:val="auto"/>
                <w:szCs w:val="21"/>
              </w:rPr>
              <w:t>/</w:t>
            </w:r>
          </w:p>
        </w:tc>
        <w:tc>
          <w:tcPr>
            <w:tcW w:w="683" w:type="pct"/>
            <w:noWrap w:val="0"/>
            <w:tcMar>
              <w:top w:w="0" w:type="dxa"/>
              <w:left w:w="0" w:type="dxa"/>
              <w:bottom w:w="0" w:type="dxa"/>
              <w:right w:w="0" w:type="dxa"/>
            </w:tcMar>
            <w:vAlign w:val="center"/>
          </w:tcPr>
          <w:p w14:paraId="1C5790C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b/>
                <w:bCs/>
                <w:snapToGrid w:val="0"/>
                <w:color w:val="auto"/>
                <w:kern w:val="21"/>
                <w:sz w:val="21"/>
                <w:szCs w:val="21"/>
                <w:lang w:val="en-US" w:eastAsia="zh-CN" w:bidi="ar-SA"/>
              </w:rPr>
            </w:pPr>
            <w:r>
              <w:rPr>
                <w:color w:val="auto"/>
                <w:szCs w:val="21"/>
              </w:rPr>
              <w:t>/</w:t>
            </w:r>
          </w:p>
        </w:tc>
        <w:tc>
          <w:tcPr>
            <w:tcW w:w="673" w:type="pct"/>
            <w:shd w:val="clear" w:color="auto" w:fill="auto"/>
            <w:noWrap w:val="0"/>
            <w:tcMar>
              <w:top w:w="0" w:type="dxa"/>
              <w:left w:w="0" w:type="dxa"/>
              <w:bottom w:w="0" w:type="dxa"/>
              <w:right w:w="0" w:type="dxa"/>
            </w:tcMar>
            <w:vAlign w:val="center"/>
          </w:tcPr>
          <w:p w14:paraId="7216C18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1</w:t>
            </w:r>
          </w:p>
        </w:tc>
        <w:tc>
          <w:tcPr>
            <w:tcW w:w="520" w:type="pct"/>
            <w:shd w:val="clear" w:color="auto" w:fill="auto"/>
            <w:noWrap w:val="0"/>
            <w:tcMar>
              <w:top w:w="0" w:type="dxa"/>
              <w:left w:w="0" w:type="dxa"/>
              <w:bottom w:w="0" w:type="dxa"/>
              <w:right w:w="0" w:type="dxa"/>
            </w:tcMar>
            <w:vAlign w:val="center"/>
          </w:tcPr>
          <w:p w14:paraId="2E6512AC">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lang w:val="en-US" w:eastAsia="zh-CN"/>
              </w:rPr>
              <w:t>0.627</w:t>
            </w:r>
          </w:p>
        </w:tc>
        <w:tc>
          <w:tcPr>
            <w:tcW w:w="600" w:type="pct"/>
            <w:shd w:val="clear" w:color="auto" w:fill="auto"/>
            <w:noWrap w:val="0"/>
            <w:tcMar>
              <w:top w:w="0" w:type="dxa"/>
              <w:left w:w="0" w:type="dxa"/>
              <w:bottom w:w="0" w:type="dxa"/>
              <w:right w:w="0" w:type="dxa"/>
            </w:tcMar>
            <w:vAlign w:val="center"/>
          </w:tcPr>
          <w:p w14:paraId="61FCBE8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1</w:t>
            </w:r>
          </w:p>
        </w:tc>
        <w:tc>
          <w:tcPr>
            <w:tcW w:w="502" w:type="pct"/>
            <w:noWrap w:val="0"/>
            <w:tcMar>
              <w:top w:w="0" w:type="dxa"/>
              <w:left w:w="0" w:type="dxa"/>
              <w:bottom w:w="0" w:type="dxa"/>
              <w:right w:w="0" w:type="dxa"/>
            </w:tcMar>
            <w:vAlign w:val="center"/>
          </w:tcPr>
          <w:p w14:paraId="798ADD9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+0.373</w:t>
            </w:r>
          </w:p>
        </w:tc>
      </w:tr>
      <w:tr w14:paraId="6F79D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3CC589E7">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shd w:val="clear" w:color="auto" w:fill="auto"/>
            <w:noWrap w:val="0"/>
            <w:tcMar>
              <w:top w:w="0" w:type="dxa"/>
              <w:left w:w="0" w:type="dxa"/>
              <w:bottom w:w="0" w:type="dxa"/>
              <w:right w:w="0" w:type="dxa"/>
            </w:tcMar>
            <w:vAlign w:val="center"/>
          </w:tcPr>
          <w:p w14:paraId="2E911CB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val="en-US" w:eastAsia="zh-CN"/>
              </w:rPr>
              <w:t>废润滑油</w:t>
            </w:r>
          </w:p>
        </w:tc>
        <w:tc>
          <w:tcPr>
            <w:tcW w:w="666" w:type="pct"/>
            <w:noWrap w:val="0"/>
            <w:tcMar>
              <w:top w:w="0" w:type="dxa"/>
              <w:left w:w="0" w:type="dxa"/>
              <w:bottom w:w="0" w:type="dxa"/>
              <w:right w:w="0" w:type="dxa"/>
            </w:tcMar>
            <w:vAlign w:val="center"/>
          </w:tcPr>
          <w:p w14:paraId="3C677A2A">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0.4</w:t>
            </w:r>
          </w:p>
        </w:tc>
        <w:tc>
          <w:tcPr>
            <w:tcW w:w="453" w:type="pct"/>
            <w:noWrap w:val="0"/>
            <w:tcMar>
              <w:top w:w="0" w:type="dxa"/>
              <w:left w:w="0" w:type="dxa"/>
              <w:bottom w:w="0" w:type="dxa"/>
              <w:right w:w="0" w:type="dxa"/>
            </w:tcMar>
            <w:vAlign w:val="center"/>
          </w:tcPr>
          <w:p w14:paraId="1D238039">
            <w:pPr>
              <w:keepNext w:val="0"/>
              <w:keepLines w:val="0"/>
              <w:pageBreakBefore w:val="0"/>
              <w:kinsoku/>
              <w:wordWrap/>
              <w:overflowPunct/>
              <w:topLinePunct w:val="0"/>
              <w:autoSpaceDE/>
              <w:autoSpaceDN/>
              <w:bidi w:val="0"/>
              <w:adjustRightInd w:val="0"/>
              <w:snapToGrid w:val="0"/>
              <w:jc w:val="center"/>
              <w:rPr>
                <w:bCs/>
                <w:snapToGrid w:val="0"/>
                <w:color w:val="auto"/>
                <w:kern w:val="21"/>
                <w:szCs w:val="21"/>
              </w:rPr>
            </w:pPr>
            <w:r>
              <w:rPr>
                <w:bCs/>
                <w:snapToGrid w:val="0"/>
                <w:color w:val="auto"/>
                <w:kern w:val="21"/>
                <w:szCs w:val="21"/>
              </w:rPr>
              <w:t>/</w:t>
            </w:r>
          </w:p>
        </w:tc>
        <w:tc>
          <w:tcPr>
            <w:tcW w:w="683" w:type="pct"/>
            <w:noWrap w:val="0"/>
            <w:tcMar>
              <w:top w:w="0" w:type="dxa"/>
              <w:left w:w="0" w:type="dxa"/>
              <w:bottom w:w="0" w:type="dxa"/>
              <w:right w:w="0" w:type="dxa"/>
            </w:tcMar>
            <w:vAlign w:val="center"/>
          </w:tcPr>
          <w:p w14:paraId="7F807276">
            <w:pPr>
              <w:keepNext w:val="0"/>
              <w:keepLines w:val="0"/>
              <w:pageBreakBefore w:val="0"/>
              <w:kinsoku/>
              <w:wordWrap/>
              <w:overflowPunct/>
              <w:topLinePunct w:val="0"/>
              <w:autoSpaceDE/>
              <w:autoSpaceDN/>
              <w:bidi w:val="0"/>
              <w:adjustRightInd w:val="0"/>
              <w:snapToGrid w:val="0"/>
              <w:jc w:val="center"/>
              <w:rPr>
                <w:bCs/>
                <w:snapToGrid w:val="0"/>
                <w:color w:val="auto"/>
                <w:kern w:val="21"/>
                <w:szCs w:val="21"/>
              </w:rPr>
            </w:pPr>
            <w:r>
              <w:rPr>
                <w:bCs/>
                <w:snapToGrid w:val="0"/>
                <w:color w:val="auto"/>
                <w:kern w:val="21"/>
                <w:szCs w:val="21"/>
              </w:rPr>
              <w:t>/</w:t>
            </w:r>
          </w:p>
        </w:tc>
        <w:tc>
          <w:tcPr>
            <w:tcW w:w="673" w:type="pct"/>
            <w:shd w:val="clear" w:color="auto" w:fill="auto"/>
            <w:noWrap w:val="0"/>
            <w:tcMar>
              <w:top w:w="0" w:type="dxa"/>
              <w:left w:w="0" w:type="dxa"/>
              <w:bottom w:w="0" w:type="dxa"/>
              <w:right w:w="0" w:type="dxa"/>
            </w:tcMar>
            <w:vAlign w:val="center"/>
          </w:tcPr>
          <w:p w14:paraId="6B10DEA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0.4</w:t>
            </w:r>
          </w:p>
        </w:tc>
        <w:tc>
          <w:tcPr>
            <w:tcW w:w="520" w:type="pct"/>
            <w:shd w:val="clear" w:color="auto" w:fill="auto"/>
            <w:noWrap w:val="0"/>
            <w:tcMar>
              <w:top w:w="0" w:type="dxa"/>
              <w:left w:w="0" w:type="dxa"/>
              <w:bottom w:w="0" w:type="dxa"/>
              <w:right w:w="0" w:type="dxa"/>
            </w:tcMar>
            <w:vAlign w:val="center"/>
          </w:tcPr>
          <w:p w14:paraId="63027463">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0.4</w:t>
            </w:r>
          </w:p>
        </w:tc>
        <w:tc>
          <w:tcPr>
            <w:tcW w:w="600" w:type="pct"/>
            <w:shd w:val="clear" w:color="auto" w:fill="auto"/>
            <w:noWrap w:val="0"/>
            <w:tcMar>
              <w:top w:w="0" w:type="dxa"/>
              <w:left w:w="0" w:type="dxa"/>
              <w:bottom w:w="0" w:type="dxa"/>
              <w:right w:w="0" w:type="dxa"/>
            </w:tcMar>
            <w:vAlign w:val="center"/>
          </w:tcPr>
          <w:p w14:paraId="392DA28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0.4</w:t>
            </w:r>
          </w:p>
        </w:tc>
        <w:tc>
          <w:tcPr>
            <w:tcW w:w="502" w:type="pct"/>
            <w:noWrap w:val="0"/>
            <w:tcMar>
              <w:top w:w="0" w:type="dxa"/>
              <w:left w:w="0" w:type="dxa"/>
              <w:bottom w:w="0" w:type="dxa"/>
              <w:right w:w="0" w:type="dxa"/>
            </w:tcMar>
            <w:vAlign w:val="center"/>
          </w:tcPr>
          <w:p w14:paraId="711F824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14:paraId="3E67E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229813E2">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shd w:val="clear" w:color="auto" w:fill="auto"/>
            <w:noWrap w:val="0"/>
            <w:tcMar>
              <w:top w:w="0" w:type="dxa"/>
              <w:left w:w="0" w:type="dxa"/>
              <w:bottom w:w="0" w:type="dxa"/>
              <w:right w:w="0" w:type="dxa"/>
            </w:tcMar>
            <w:vAlign w:val="center"/>
          </w:tcPr>
          <w:p w14:paraId="43BE410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废油桶</w:t>
            </w:r>
          </w:p>
        </w:tc>
        <w:tc>
          <w:tcPr>
            <w:tcW w:w="666" w:type="pct"/>
            <w:noWrap w:val="0"/>
            <w:tcMar>
              <w:top w:w="0" w:type="dxa"/>
              <w:left w:w="0" w:type="dxa"/>
              <w:bottom w:w="0" w:type="dxa"/>
              <w:right w:w="0" w:type="dxa"/>
            </w:tcMar>
            <w:vAlign w:val="center"/>
          </w:tcPr>
          <w:p w14:paraId="2B700CC4">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0.12</w:t>
            </w:r>
          </w:p>
        </w:tc>
        <w:tc>
          <w:tcPr>
            <w:tcW w:w="453" w:type="pct"/>
            <w:noWrap w:val="0"/>
            <w:tcMar>
              <w:top w:w="0" w:type="dxa"/>
              <w:left w:w="0" w:type="dxa"/>
              <w:bottom w:w="0" w:type="dxa"/>
              <w:right w:w="0" w:type="dxa"/>
            </w:tcMar>
            <w:vAlign w:val="center"/>
          </w:tcPr>
          <w:p w14:paraId="32399BBA">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r>
              <w:rPr>
                <w:rFonts w:ascii="Times New Roman" w:hAnsi="Times New Roman" w:eastAsia="宋体"/>
                <w:b w:val="0"/>
                <w:bCs/>
                <w:snapToGrid w:val="0"/>
                <w:color w:val="auto"/>
                <w:kern w:val="21"/>
                <w:sz w:val="21"/>
                <w:szCs w:val="21"/>
              </w:rPr>
              <w:t>/</w:t>
            </w:r>
          </w:p>
        </w:tc>
        <w:tc>
          <w:tcPr>
            <w:tcW w:w="683" w:type="pct"/>
            <w:noWrap w:val="0"/>
            <w:tcMar>
              <w:top w:w="0" w:type="dxa"/>
              <w:left w:w="0" w:type="dxa"/>
              <w:bottom w:w="0" w:type="dxa"/>
              <w:right w:w="0" w:type="dxa"/>
            </w:tcMar>
            <w:vAlign w:val="center"/>
          </w:tcPr>
          <w:p w14:paraId="58A50FFF">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r>
              <w:rPr>
                <w:rFonts w:ascii="Times New Roman" w:hAnsi="Times New Roman" w:eastAsia="宋体"/>
                <w:b w:val="0"/>
                <w:bCs/>
                <w:snapToGrid w:val="0"/>
                <w:color w:val="auto"/>
                <w:kern w:val="21"/>
                <w:sz w:val="21"/>
                <w:szCs w:val="21"/>
              </w:rPr>
              <w:t>/</w:t>
            </w:r>
          </w:p>
        </w:tc>
        <w:tc>
          <w:tcPr>
            <w:tcW w:w="673" w:type="pct"/>
            <w:shd w:val="clear" w:color="auto" w:fill="auto"/>
            <w:noWrap w:val="0"/>
            <w:tcMar>
              <w:top w:w="0" w:type="dxa"/>
              <w:left w:w="0" w:type="dxa"/>
              <w:bottom w:w="0" w:type="dxa"/>
              <w:right w:w="0" w:type="dxa"/>
            </w:tcMar>
            <w:vAlign w:val="center"/>
          </w:tcPr>
          <w:p w14:paraId="444DBE9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FF"/>
                <w:szCs w:val="21"/>
                <w:highlight w:val="none"/>
                <w:lang w:val="en-US" w:eastAsia="zh-CN"/>
              </w:rPr>
              <w:t>11.36</w:t>
            </w:r>
          </w:p>
        </w:tc>
        <w:tc>
          <w:tcPr>
            <w:tcW w:w="520" w:type="pct"/>
            <w:shd w:val="clear" w:color="auto" w:fill="auto"/>
            <w:noWrap w:val="0"/>
            <w:tcMar>
              <w:top w:w="0" w:type="dxa"/>
              <w:left w:w="0" w:type="dxa"/>
              <w:bottom w:w="0" w:type="dxa"/>
              <w:right w:w="0" w:type="dxa"/>
            </w:tcMar>
            <w:vAlign w:val="center"/>
          </w:tcPr>
          <w:p w14:paraId="31E6068C">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0.12</w:t>
            </w:r>
          </w:p>
        </w:tc>
        <w:tc>
          <w:tcPr>
            <w:tcW w:w="600" w:type="pct"/>
            <w:shd w:val="clear" w:color="auto" w:fill="auto"/>
            <w:noWrap w:val="0"/>
            <w:tcMar>
              <w:top w:w="0" w:type="dxa"/>
              <w:left w:w="0" w:type="dxa"/>
              <w:bottom w:w="0" w:type="dxa"/>
              <w:right w:w="0" w:type="dxa"/>
            </w:tcMar>
            <w:vAlign w:val="center"/>
          </w:tcPr>
          <w:p w14:paraId="5F65CA1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FF"/>
                <w:szCs w:val="21"/>
                <w:highlight w:val="none"/>
                <w:lang w:val="en-US" w:eastAsia="zh-CN"/>
              </w:rPr>
              <w:t>11.36</w:t>
            </w:r>
          </w:p>
        </w:tc>
        <w:tc>
          <w:tcPr>
            <w:tcW w:w="502" w:type="pct"/>
            <w:noWrap w:val="0"/>
            <w:tcMar>
              <w:top w:w="0" w:type="dxa"/>
              <w:left w:w="0" w:type="dxa"/>
              <w:bottom w:w="0" w:type="dxa"/>
              <w:right w:w="0" w:type="dxa"/>
            </w:tcMar>
            <w:vAlign w:val="center"/>
          </w:tcPr>
          <w:p w14:paraId="066678B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+11.</w:t>
            </w:r>
            <w:r>
              <w:rPr>
                <w:rFonts w:hint="eastAsia" w:cs="Times New Roman"/>
                <w:color w:val="0000FF"/>
                <w:szCs w:val="21"/>
                <w:lang w:val="en-US" w:eastAsia="zh-CN"/>
              </w:rPr>
              <w:t>24</w:t>
            </w:r>
          </w:p>
        </w:tc>
      </w:tr>
      <w:tr w14:paraId="6BFE5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618437C0">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shd w:val="clear" w:color="auto" w:fill="auto"/>
            <w:noWrap w:val="0"/>
            <w:tcMar>
              <w:top w:w="0" w:type="dxa"/>
              <w:left w:w="0" w:type="dxa"/>
              <w:bottom w:w="0" w:type="dxa"/>
              <w:right w:w="0" w:type="dxa"/>
            </w:tcMar>
            <w:vAlign w:val="center"/>
          </w:tcPr>
          <w:p w14:paraId="702F043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废包装桶</w:t>
            </w:r>
          </w:p>
        </w:tc>
        <w:tc>
          <w:tcPr>
            <w:tcW w:w="666" w:type="pct"/>
            <w:noWrap w:val="0"/>
            <w:tcMar>
              <w:top w:w="0" w:type="dxa"/>
              <w:left w:w="0" w:type="dxa"/>
              <w:bottom w:w="0" w:type="dxa"/>
              <w:right w:w="0" w:type="dxa"/>
            </w:tcMar>
            <w:vAlign w:val="center"/>
          </w:tcPr>
          <w:p w14:paraId="375570BA">
            <w:pPr>
              <w:pStyle w:val="55"/>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18"/>
                <w:sz w:val="21"/>
                <w:szCs w:val="21"/>
                <w:lang w:val="en-US" w:eastAsia="zh-CN" w:bidi="ar-SA"/>
              </w:rPr>
            </w:pPr>
            <w:r>
              <w:rPr>
                <w:rFonts w:hint="eastAsia" w:cs="Times New Roman"/>
                <w:color w:val="auto"/>
                <w:kern w:val="18"/>
                <w:sz w:val="21"/>
                <w:szCs w:val="21"/>
                <w:lang w:val="en-US" w:eastAsia="zh-CN" w:bidi="ar-SA"/>
              </w:rPr>
              <w:t>0</w:t>
            </w:r>
          </w:p>
        </w:tc>
        <w:tc>
          <w:tcPr>
            <w:tcW w:w="453" w:type="pct"/>
            <w:noWrap w:val="0"/>
            <w:tcMar>
              <w:top w:w="0" w:type="dxa"/>
              <w:left w:w="0" w:type="dxa"/>
              <w:bottom w:w="0" w:type="dxa"/>
              <w:right w:w="0" w:type="dxa"/>
            </w:tcMar>
            <w:vAlign w:val="center"/>
          </w:tcPr>
          <w:p w14:paraId="77D8A450">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cs="Times New Roman"/>
                <w:b w:val="0"/>
                <w:bCs/>
                <w:snapToGrid w:val="0"/>
                <w:color w:val="auto"/>
                <w:kern w:val="21"/>
                <w:sz w:val="21"/>
                <w:szCs w:val="21"/>
              </w:rPr>
            </w:pPr>
            <w:r>
              <w:rPr>
                <w:rFonts w:ascii="Times New Roman" w:hAnsi="Times New Roman" w:eastAsia="宋体" w:cs="Times New Roman"/>
                <w:b w:val="0"/>
                <w:bCs/>
                <w:snapToGrid w:val="0"/>
                <w:color w:val="auto"/>
                <w:kern w:val="21"/>
                <w:sz w:val="21"/>
                <w:szCs w:val="21"/>
              </w:rPr>
              <w:t>/</w:t>
            </w:r>
          </w:p>
        </w:tc>
        <w:tc>
          <w:tcPr>
            <w:tcW w:w="683" w:type="pct"/>
            <w:noWrap w:val="0"/>
            <w:tcMar>
              <w:top w:w="0" w:type="dxa"/>
              <w:left w:w="0" w:type="dxa"/>
              <w:bottom w:w="0" w:type="dxa"/>
              <w:right w:w="0" w:type="dxa"/>
            </w:tcMar>
            <w:vAlign w:val="center"/>
          </w:tcPr>
          <w:p w14:paraId="53BEB368">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cs="Times New Roman"/>
                <w:b w:val="0"/>
                <w:bCs/>
                <w:snapToGrid w:val="0"/>
                <w:color w:val="auto"/>
                <w:kern w:val="21"/>
                <w:sz w:val="21"/>
                <w:szCs w:val="21"/>
              </w:rPr>
            </w:pPr>
            <w:r>
              <w:rPr>
                <w:rFonts w:ascii="Times New Roman" w:hAnsi="Times New Roman" w:eastAsia="宋体" w:cs="Times New Roman"/>
                <w:b w:val="0"/>
                <w:bCs/>
                <w:snapToGrid w:val="0"/>
                <w:color w:val="auto"/>
                <w:kern w:val="21"/>
                <w:sz w:val="21"/>
                <w:szCs w:val="21"/>
              </w:rPr>
              <w:t>/</w:t>
            </w:r>
          </w:p>
        </w:tc>
        <w:tc>
          <w:tcPr>
            <w:tcW w:w="673" w:type="pct"/>
            <w:shd w:val="clear" w:color="auto" w:fill="auto"/>
            <w:noWrap w:val="0"/>
            <w:tcMar>
              <w:top w:w="0" w:type="dxa"/>
              <w:left w:w="0" w:type="dxa"/>
              <w:bottom w:w="0" w:type="dxa"/>
              <w:right w:w="0" w:type="dxa"/>
            </w:tcMar>
            <w:vAlign w:val="center"/>
          </w:tcPr>
          <w:p w14:paraId="5F79D1B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0.08</w:t>
            </w:r>
          </w:p>
        </w:tc>
        <w:tc>
          <w:tcPr>
            <w:tcW w:w="520" w:type="pct"/>
            <w:shd w:val="clear" w:color="auto" w:fill="auto"/>
            <w:noWrap w:val="0"/>
            <w:tcMar>
              <w:top w:w="0" w:type="dxa"/>
              <w:left w:w="0" w:type="dxa"/>
              <w:bottom w:w="0" w:type="dxa"/>
              <w:right w:w="0" w:type="dxa"/>
            </w:tcMar>
            <w:vAlign w:val="center"/>
          </w:tcPr>
          <w:p w14:paraId="24E58801">
            <w:pPr>
              <w:pStyle w:val="55"/>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18"/>
                <w:sz w:val="21"/>
                <w:szCs w:val="21"/>
                <w:lang w:val="en-US" w:eastAsia="zh-CN" w:bidi="ar-SA"/>
              </w:rPr>
            </w:pPr>
            <w:r>
              <w:rPr>
                <w:rFonts w:hint="eastAsia" w:cs="Times New Roman"/>
                <w:color w:val="auto"/>
                <w:kern w:val="18"/>
                <w:sz w:val="21"/>
                <w:szCs w:val="21"/>
                <w:lang w:val="en-US" w:eastAsia="zh-CN" w:bidi="ar-SA"/>
              </w:rPr>
              <w:t>0</w:t>
            </w:r>
          </w:p>
        </w:tc>
        <w:tc>
          <w:tcPr>
            <w:tcW w:w="600" w:type="pct"/>
            <w:shd w:val="clear" w:color="auto" w:fill="auto"/>
            <w:noWrap w:val="0"/>
            <w:tcMar>
              <w:top w:w="0" w:type="dxa"/>
              <w:left w:w="0" w:type="dxa"/>
              <w:bottom w:w="0" w:type="dxa"/>
              <w:right w:w="0" w:type="dxa"/>
            </w:tcMar>
            <w:vAlign w:val="center"/>
          </w:tcPr>
          <w:p w14:paraId="3721777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0.08</w:t>
            </w:r>
          </w:p>
        </w:tc>
        <w:tc>
          <w:tcPr>
            <w:tcW w:w="502" w:type="pct"/>
            <w:noWrap w:val="0"/>
            <w:tcMar>
              <w:top w:w="0" w:type="dxa"/>
              <w:left w:w="0" w:type="dxa"/>
              <w:bottom w:w="0" w:type="dxa"/>
              <w:right w:w="0" w:type="dxa"/>
            </w:tcMar>
            <w:vAlign w:val="center"/>
          </w:tcPr>
          <w:p w14:paraId="5211C36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+0.08</w:t>
            </w:r>
          </w:p>
        </w:tc>
      </w:tr>
      <w:tr w14:paraId="0D2A1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vMerge w:val="continue"/>
            <w:noWrap w:val="0"/>
            <w:tcMar>
              <w:top w:w="0" w:type="dxa"/>
              <w:left w:w="0" w:type="dxa"/>
              <w:bottom w:w="0" w:type="dxa"/>
              <w:right w:w="0" w:type="dxa"/>
            </w:tcMar>
            <w:vAlign w:val="center"/>
          </w:tcPr>
          <w:p w14:paraId="4C723C85">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shd w:val="clear" w:color="auto" w:fill="auto"/>
            <w:noWrap w:val="0"/>
            <w:tcMar>
              <w:top w:w="0" w:type="dxa"/>
              <w:left w:w="0" w:type="dxa"/>
              <w:bottom w:w="0" w:type="dxa"/>
              <w:right w:w="0" w:type="dxa"/>
            </w:tcMar>
            <w:vAlign w:val="center"/>
          </w:tcPr>
          <w:p w14:paraId="21C74C0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废含油抹布</w:t>
            </w:r>
          </w:p>
        </w:tc>
        <w:tc>
          <w:tcPr>
            <w:tcW w:w="666" w:type="pct"/>
            <w:noWrap w:val="0"/>
            <w:tcMar>
              <w:top w:w="0" w:type="dxa"/>
              <w:left w:w="0" w:type="dxa"/>
              <w:bottom w:w="0" w:type="dxa"/>
              <w:right w:w="0" w:type="dxa"/>
            </w:tcMar>
            <w:vAlign w:val="center"/>
          </w:tcPr>
          <w:p w14:paraId="2157F4ED">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0.01</w:t>
            </w:r>
          </w:p>
        </w:tc>
        <w:tc>
          <w:tcPr>
            <w:tcW w:w="453" w:type="pct"/>
            <w:noWrap w:val="0"/>
            <w:tcMar>
              <w:top w:w="0" w:type="dxa"/>
              <w:left w:w="0" w:type="dxa"/>
              <w:bottom w:w="0" w:type="dxa"/>
              <w:right w:w="0" w:type="dxa"/>
            </w:tcMar>
            <w:vAlign w:val="center"/>
          </w:tcPr>
          <w:p w14:paraId="4F75D87F">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cs="Times New Roman"/>
                <w:b w:val="0"/>
                <w:bCs/>
                <w:snapToGrid w:val="0"/>
                <w:color w:val="auto"/>
                <w:kern w:val="21"/>
                <w:sz w:val="21"/>
                <w:szCs w:val="21"/>
              </w:rPr>
            </w:pPr>
            <w:r>
              <w:rPr>
                <w:rFonts w:ascii="Times New Roman" w:hAnsi="Times New Roman" w:eastAsia="宋体" w:cs="Times New Roman"/>
                <w:b w:val="0"/>
                <w:bCs/>
                <w:snapToGrid w:val="0"/>
                <w:color w:val="auto"/>
                <w:kern w:val="21"/>
                <w:sz w:val="21"/>
                <w:szCs w:val="21"/>
              </w:rPr>
              <w:t>/</w:t>
            </w:r>
          </w:p>
        </w:tc>
        <w:tc>
          <w:tcPr>
            <w:tcW w:w="683" w:type="pct"/>
            <w:noWrap w:val="0"/>
            <w:tcMar>
              <w:top w:w="0" w:type="dxa"/>
              <w:left w:w="0" w:type="dxa"/>
              <w:bottom w:w="0" w:type="dxa"/>
              <w:right w:w="0" w:type="dxa"/>
            </w:tcMar>
            <w:vAlign w:val="center"/>
          </w:tcPr>
          <w:p w14:paraId="0F936FA4">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cs="Times New Roman"/>
                <w:b w:val="0"/>
                <w:bCs/>
                <w:snapToGrid w:val="0"/>
                <w:color w:val="auto"/>
                <w:kern w:val="21"/>
                <w:sz w:val="21"/>
                <w:szCs w:val="21"/>
              </w:rPr>
            </w:pPr>
            <w:r>
              <w:rPr>
                <w:rFonts w:ascii="Times New Roman" w:hAnsi="Times New Roman" w:eastAsia="宋体" w:cs="Times New Roman"/>
                <w:b w:val="0"/>
                <w:bCs/>
                <w:snapToGrid w:val="0"/>
                <w:color w:val="auto"/>
                <w:kern w:val="21"/>
                <w:sz w:val="21"/>
                <w:szCs w:val="21"/>
              </w:rPr>
              <w:t>/</w:t>
            </w:r>
          </w:p>
        </w:tc>
        <w:tc>
          <w:tcPr>
            <w:tcW w:w="673" w:type="pct"/>
            <w:shd w:val="clear" w:color="auto" w:fill="auto"/>
            <w:noWrap w:val="0"/>
            <w:tcMar>
              <w:top w:w="0" w:type="dxa"/>
              <w:left w:w="0" w:type="dxa"/>
              <w:bottom w:w="0" w:type="dxa"/>
              <w:right w:w="0" w:type="dxa"/>
            </w:tcMar>
            <w:vAlign w:val="center"/>
          </w:tcPr>
          <w:p w14:paraId="435138F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0.01</w:t>
            </w:r>
          </w:p>
        </w:tc>
        <w:tc>
          <w:tcPr>
            <w:tcW w:w="520" w:type="pct"/>
            <w:shd w:val="clear" w:color="auto" w:fill="auto"/>
            <w:noWrap w:val="0"/>
            <w:tcMar>
              <w:top w:w="0" w:type="dxa"/>
              <w:left w:w="0" w:type="dxa"/>
              <w:bottom w:w="0" w:type="dxa"/>
              <w:right w:w="0" w:type="dxa"/>
            </w:tcMar>
            <w:vAlign w:val="center"/>
          </w:tcPr>
          <w:p w14:paraId="3A056ABA">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0.01</w:t>
            </w:r>
          </w:p>
        </w:tc>
        <w:tc>
          <w:tcPr>
            <w:tcW w:w="600" w:type="pct"/>
            <w:shd w:val="clear" w:color="auto" w:fill="auto"/>
            <w:noWrap w:val="0"/>
            <w:tcMar>
              <w:top w:w="0" w:type="dxa"/>
              <w:left w:w="0" w:type="dxa"/>
              <w:bottom w:w="0" w:type="dxa"/>
              <w:right w:w="0" w:type="dxa"/>
            </w:tcMar>
            <w:vAlign w:val="center"/>
          </w:tcPr>
          <w:p w14:paraId="394F536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0.01</w:t>
            </w:r>
          </w:p>
        </w:tc>
        <w:tc>
          <w:tcPr>
            <w:tcW w:w="502" w:type="pct"/>
            <w:noWrap w:val="0"/>
            <w:tcMar>
              <w:top w:w="0" w:type="dxa"/>
              <w:left w:w="0" w:type="dxa"/>
              <w:bottom w:w="0" w:type="dxa"/>
              <w:right w:w="0" w:type="dxa"/>
            </w:tcMar>
            <w:vAlign w:val="center"/>
          </w:tcPr>
          <w:p w14:paraId="0244901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r>
      <w:tr w14:paraId="3D0C4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333" w:type="pct"/>
            <w:vMerge w:val="continue"/>
            <w:noWrap w:val="0"/>
            <w:tcMar>
              <w:top w:w="0" w:type="dxa"/>
              <w:left w:w="0" w:type="dxa"/>
              <w:bottom w:w="0" w:type="dxa"/>
              <w:right w:w="0" w:type="dxa"/>
            </w:tcMar>
            <w:vAlign w:val="center"/>
          </w:tcPr>
          <w:p w14:paraId="4D8F55FD">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p>
        </w:tc>
        <w:tc>
          <w:tcPr>
            <w:tcW w:w="564" w:type="pct"/>
            <w:gridSpan w:val="2"/>
            <w:shd w:val="clear" w:color="auto" w:fill="auto"/>
            <w:noWrap w:val="0"/>
            <w:tcMar>
              <w:top w:w="0" w:type="dxa"/>
              <w:left w:w="0" w:type="dxa"/>
              <w:bottom w:w="0" w:type="dxa"/>
              <w:right w:w="0" w:type="dxa"/>
            </w:tcMar>
            <w:vAlign w:val="center"/>
          </w:tcPr>
          <w:p w14:paraId="1CBA6A6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废活性炭</w:t>
            </w:r>
          </w:p>
        </w:tc>
        <w:tc>
          <w:tcPr>
            <w:tcW w:w="666" w:type="pct"/>
            <w:noWrap w:val="0"/>
            <w:tcMar>
              <w:top w:w="0" w:type="dxa"/>
              <w:left w:w="0" w:type="dxa"/>
              <w:bottom w:w="0" w:type="dxa"/>
              <w:right w:w="0" w:type="dxa"/>
            </w:tcMar>
            <w:vAlign w:val="center"/>
          </w:tcPr>
          <w:p w14:paraId="0B54473A">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1.347</w:t>
            </w:r>
          </w:p>
        </w:tc>
        <w:tc>
          <w:tcPr>
            <w:tcW w:w="453" w:type="pct"/>
            <w:noWrap w:val="0"/>
            <w:tcMar>
              <w:top w:w="0" w:type="dxa"/>
              <w:left w:w="0" w:type="dxa"/>
              <w:bottom w:w="0" w:type="dxa"/>
              <w:right w:w="0" w:type="dxa"/>
            </w:tcMar>
            <w:vAlign w:val="center"/>
          </w:tcPr>
          <w:p w14:paraId="6C444015">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cs="Times New Roman"/>
                <w:b w:val="0"/>
                <w:bCs/>
                <w:snapToGrid w:val="0"/>
                <w:color w:val="auto"/>
                <w:kern w:val="21"/>
                <w:sz w:val="21"/>
                <w:szCs w:val="21"/>
              </w:rPr>
            </w:pPr>
            <w:r>
              <w:rPr>
                <w:rFonts w:ascii="Times New Roman" w:hAnsi="Times New Roman" w:eastAsia="宋体" w:cs="Times New Roman"/>
                <w:b w:val="0"/>
                <w:bCs/>
                <w:snapToGrid w:val="0"/>
                <w:color w:val="auto"/>
                <w:kern w:val="21"/>
                <w:sz w:val="21"/>
                <w:szCs w:val="21"/>
              </w:rPr>
              <w:t>/</w:t>
            </w:r>
          </w:p>
        </w:tc>
        <w:tc>
          <w:tcPr>
            <w:tcW w:w="683" w:type="pct"/>
            <w:noWrap w:val="0"/>
            <w:tcMar>
              <w:top w:w="0" w:type="dxa"/>
              <w:left w:w="0" w:type="dxa"/>
              <w:bottom w:w="0" w:type="dxa"/>
              <w:right w:w="0" w:type="dxa"/>
            </w:tcMar>
            <w:vAlign w:val="center"/>
          </w:tcPr>
          <w:p w14:paraId="0977BE60">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cs="Times New Roman"/>
                <w:b w:val="0"/>
                <w:bCs/>
                <w:snapToGrid w:val="0"/>
                <w:color w:val="auto"/>
                <w:kern w:val="21"/>
                <w:sz w:val="21"/>
                <w:szCs w:val="21"/>
              </w:rPr>
            </w:pPr>
            <w:r>
              <w:rPr>
                <w:rFonts w:ascii="Times New Roman" w:hAnsi="Times New Roman" w:eastAsia="宋体" w:cs="Times New Roman"/>
                <w:b w:val="0"/>
                <w:bCs/>
                <w:snapToGrid w:val="0"/>
                <w:color w:val="auto"/>
                <w:kern w:val="21"/>
                <w:sz w:val="21"/>
                <w:szCs w:val="21"/>
              </w:rPr>
              <w:t>/</w:t>
            </w:r>
          </w:p>
        </w:tc>
        <w:tc>
          <w:tcPr>
            <w:tcW w:w="673" w:type="pct"/>
            <w:shd w:val="clear" w:color="auto" w:fill="auto"/>
            <w:noWrap w:val="0"/>
            <w:tcMar>
              <w:top w:w="0" w:type="dxa"/>
              <w:left w:w="0" w:type="dxa"/>
              <w:bottom w:w="0" w:type="dxa"/>
              <w:right w:w="0" w:type="dxa"/>
            </w:tcMar>
            <w:vAlign w:val="center"/>
          </w:tcPr>
          <w:p w14:paraId="57255E6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0000FF"/>
                <w:szCs w:val="21"/>
                <w:lang w:val="en-US" w:eastAsia="zh-CN"/>
              </w:rPr>
              <w:t>3.95</w:t>
            </w:r>
          </w:p>
        </w:tc>
        <w:tc>
          <w:tcPr>
            <w:tcW w:w="520" w:type="pct"/>
            <w:shd w:val="clear" w:color="auto" w:fill="auto"/>
            <w:noWrap w:val="0"/>
            <w:tcMar>
              <w:top w:w="0" w:type="dxa"/>
              <w:left w:w="0" w:type="dxa"/>
              <w:bottom w:w="0" w:type="dxa"/>
              <w:right w:w="0" w:type="dxa"/>
            </w:tcMar>
            <w:vAlign w:val="center"/>
          </w:tcPr>
          <w:p w14:paraId="0F7A3AB7">
            <w:pPr>
              <w:pStyle w:val="55"/>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0"/>
                <w:sz w:val="21"/>
                <w:szCs w:val="21"/>
              </w:rPr>
              <w:t>1.347</w:t>
            </w:r>
          </w:p>
        </w:tc>
        <w:tc>
          <w:tcPr>
            <w:tcW w:w="600" w:type="pct"/>
            <w:shd w:val="clear" w:color="auto" w:fill="auto"/>
            <w:noWrap w:val="0"/>
            <w:tcMar>
              <w:top w:w="0" w:type="dxa"/>
              <w:left w:w="0" w:type="dxa"/>
              <w:bottom w:w="0" w:type="dxa"/>
              <w:right w:w="0" w:type="dxa"/>
            </w:tcMar>
            <w:vAlign w:val="center"/>
          </w:tcPr>
          <w:p w14:paraId="41D5E97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0000FF"/>
                <w:szCs w:val="21"/>
                <w:lang w:val="en-US" w:eastAsia="zh-CN"/>
              </w:rPr>
              <w:t>3.95</w:t>
            </w:r>
          </w:p>
        </w:tc>
        <w:tc>
          <w:tcPr>
            <w:tcW w:w="502" w:type="pct"/>
            <w:noWrap w:val="0"/>
            <w:tcMar>
              <w:top w:w="0" w:type="dxa"/>
              <w:left w:w="0" w:type="dxa"/>
              <w:bottom w:w="0" w:type="dxa"/>
              <w:right w:w="0" w:type="dxa"/>
            </w:tcMar>
            <w:vAlign w:val="center"/>
          </w:tcPr>
          <w:p w14:paraId="37AA962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+2.6</w:t>
            </w:r>
            <w:r>
              <w:rPr>
                <w:rFonts w:hint="eastAsia" w:cs="Times New Roman"/>
                <w:color w:val="0000FF"/>
                <w:szCs w:val="21"/>
                <w:lang w:val="en-US" w:eastAsia="zh-CN"/>
              </w:rPr>
              <w:t>03</w:t>
            </w:r>
          </w:p>
        </w:tc>
      </w:tr>
      <w:tr w14:paraId="00E74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33" w:type="pct"/>
            <w:noWrap w:val="0"/>
            <w:tcMar>
              <w:top w:w="0" w:type="dxa"/>
              <w:left w:w="0" w:type="dxa"/>
              <w:bottom w:w="0" w:type="dxa"/>
              <w:right w:w="0" w:type="dxa"/>
            </w:tcMar>
            <w:vAlign w:val="center"/>
          </w:tcPr>
          <w:p w14:paraId="43573518">
            <w:pPr>
              <w:pStyle w:val="47"/>
              <w:keepNext w:val="0"/>
              <w:keepLines w:val="0"/>
              <w:pageBreakBefore w:val="0"/>
              <w:kinsoku/>
              <w:wordWrap/>
              <w:overflowPunct/>
              <w:topLinePunct w:val="0"/>
              <w:autoSpaceDE/>
              <w:autoSpaceDN/>
              <w:bidi w:val="0"/>
              <w:adjustRightInd w:val="0"/>
              <w:snapToGrid w:val="0"/>
              <w:spacing w:before="0" w:beforeLines="0" w:afterLines="0" w:line="240" w:lineRule="auto"/>
              <w:ind w:firstLine="0" w:firstLineChars="0"/>
              <w:rPr>
                <w:rFonts w:ascii="Times New Roman" w:hAnsi="Times New Roman" w:eastAsia="宋体"/>
                <w:b w:val="0"/>
                <w:bCs/>
                <w:snapToGrid w:val="0"/>
                <w:color w:val="auto"/>
                <w:kern w:val="21"/>
                <w:sz w:val="21"/>
                <w:szCs w:val="21"/>
              </w:rPr>
            </w:pPr>
            <w:r>
              <w:rPr>
                <w:rFonts w:hint="eastAsia" w:ascii="Times New Roman" w:hAnsi="Times New Roman" w:eastAsia="宋体"/>
                <w:b w:val="0"/>
                <w:bCs/>
                <w:snapToGrid w:val="0"/>
                <w:color w:val="auto"/>
                <w:kern w:val="21"/>
                <w:sz w:val="21"/>
                <w:szCs w:val="21"/>
              </w:rPr>
              <w:t>生活垃圾</w:t>
            </w:r>
          </w:p>
        </w:tc>
        <w:tc>
          <w:tcPr>
            <w:tcW w:w="564" w:type="pct"/>
            <w:gridSpan w:val="2"/>
            <w:shd w:val="clear" w:color="auto" w:fill="auto"/>
            <w:noWrap w:val="0"/>
            <w:tcMar>
              <w:top w:w="0" w:type="dxa"/>
              <w:left w:w="0" w:type="dxa"/>
              <w:bottom w:w="0" w:type="dxa"/>
              <w:right w:w="0" w:type="dxa"/>
            </w:tcMar>
            <w:vAlign w:val="center"/>
          </w:tcPr>
          <w:p w14:paraId="3A97B7E4">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18"/>
                <w:sz w:val="21"/>
                <w:szCs w:val="21"/>
                <w:lang w:val="en-US" w:eastAsia="zh-CN" w:bidi="ar-SA"/>
              </w:rPr>
            </w:pPr>
            <w:r>
              <w:rPr>
                <w:color w:val="auto"/>
              </w:rPr>
              <w:t>生活垃圾</w:t>
            </w:r>
          </w:p>
        </w:tc>
        <w:tc>
          <w:tcPr>
            <w:tcW w:w="666" w:type="pct"/>
            <w:noWrap w:val="0"/>
            <w:tcMar>
              <w:top w:w="0" w:type="dxa"/>
              <w:left w:w="0" w:type="dxa"/>
              <w:bottom w:w="0" w:type="dxa"/>
              <w:right w:w="0" w:type="dxa"/>
            </w:tcMar>
            <w:vAlign w:val="center"/>
          </w:tcPr>
          <w:p w14:paraId="5C469ADB">
            <w:pPr>
              <w:pStyle w:val="55"/>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18"/>
                <w:sz w:val="21"/>
                <w:szCs w:val="21"/>
                <w:lang w:val="en-US" w:eastAsia="zh-CN" w:bidi="ar-SA"/>
              </w:rPr>
            </w:pPr>
            <w:r>
              <w:rPr>
                <w:rFonts w:hint="eastAsia" w:cs="Times New Roman"/>
                <w:color w:val="auto"/>
                <w:kern w:val="18"/>
                <w:sz w:val="21"/>
                <w:szCs w:val="21"/>
                <w:lang w:val="en-US" w:eastAsia="zh-CN" w:bidi="ar-SA"/>
              </w:rPr>
              <w:t>3.3</w:t>
            </w:r>
          </w:p>
        </w:tc>
        <w:tc>
          <w:tcPr>
            <w:tcW w:w="453" w:type="pct"/>
            <w:noWrap w:val="0"/>
            <w:tcMar>
              <w:top w:w="0" w:type="dxa"/>
              <w:left w:w="0" w:type="dxa"/>
              <w:bottom w:w="0" w:type="dxa"/>
              <w:right w:w="0" w:type="dxa"/>
            </w:tcMar>
            <w:vAlign w:val="center"/>
          </w:tcPr>
          <w:p w14:paraId="2DEE9C04">
            <w:pPr>
              <w:keepNext w:val="0"/>
              <w:keepLines w:val="0"/>
              <w:pageBreakBefore w:val="0"/>
              <w:kinsoku/>
              <w:wordWrap/>
              <w:overflowPunct/>
              <w:topLinePunct w:val="0"/>
              <w:autoSpaceDE/>
              <w:autoSpaceDN/>
              <w:bidi w:val="0"/>
              <w:adjustRightInd w:val="0"/>
              <w:snapToGrid w:val="0"/>
              <w:jc w:val="center"/>
              <w:rPr>
                <w:bCs/>
                <w:snapToGrid w:val="0"/>
                <w:color w:val="auto"/>
                <w:kern w:val="21"/>
                <w:szCs w:val="21"/>
              </w:rPr>
            </w:pPr>
            <w:r>
              <w:rPr>
                <w:bCs/>
                <w:snapToGrid w:val="0"/>
                <w:color w:val="auto"/>
                <w:kern w:val="21"/>
                <w:szCs w:val="21"/>
              </w:rPr>
              <w:t>/</w:t>
            </w:r>
          </w:p>
        </w:tc>
        <w:tc>
          <w:tcPr>
            <w:tcW w:w="683" w:type="pct"/>
            <w:noWrap w:val="0"/>
            <w:tcMar>
              <w:top w:w="0" w:type="dxa"/>
              <w:left w:w="0" w:type="dxa"/>
              <w:bottom w:w="0" w:type="dxa"/>
              <w:right w:w="0" w:type="dxa"/>
            </w:tcMar>
            <w:vAlign w:val="center"/>
          </w:tcPr>
          <w:p w14:paraId="7152137D">
            <w:pPr>
              <w:keepNext w:val="0"/>
              <w:keepLines w:val="0"/>
              <w:pageBreakBefore w:val="0"/>
              <w:kinsoku/>
              <w:wordWrap/>
              <w:overflowPunct/>
              <w:topLinePunct w:val="0"/>
              <w:autoSpaceDE/>
              <w:autoSpaceDN/>
              <w:bidi w:val="0"/>
              <w:adjustRightInd w:val="0"/>
              <w:snapToGrid w:val="0"/>
              <w:jc w:val="center"/>
              <w:rPr>
                <w:bCs/>
                <w:snapToGrid w:val="0"/>
                <w:color w:val="auto"/>
                <w:kern w:val="21"/>
                <w:szCs w:val="21"/>
              </w:rPr>
            </w:pPr>
            <w:r>
              <w:rPr>
                <w:bCs/>
                <w:snapToGrid w:val="0"/>
                <w:color w:val="auto"/>
                <w:kern w:val="21"/>
                <w:szCs w:val="21"/>
              </w:rPr>
              <w:t>/</w:t>
            </w:r>
          </w:p>
        </w:tc>
        <w:tc>
          <w:tcPr>
            <w:tcW w:w="673" w:type="pct"/>
            <w:shd w:val="clear" w:color="auto" w:fill="auto"/>
            <w:noWrap w:val="0"/>
            <w:tcMar>
              <w:top w:w="0" w:type="dxa"/>
              <w:left w:w="0" w:type="dxa"/>
              <w:bottom w:w="0" w:type="dxa"/>
              <w:right w:w="0" w:type="dxa"/>
            </w:tcMar>
            <w:vAlign w:val="center"/>
          </w:tcPr>
          <w:p w14:paraId="48B7E8D4">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0.9</w:t>
            </w:r>
          </w:p>
        </w:tc>
        <w:tc>
          <w:tcPr>
            <w:tcW w:w="520" w:type="pct"/>
            <w:shd w:val="clear" w:color="auto" w:fill="auto"/>
            <w:noWrap w:val="0"/>
            <w:tcMar>
              <w:top w:w="0" w:type="dxa"/>
              <w:left w:w="0" w:type="dxa"/>
              <w:bottom w:w="0" w:type="dxa"/>
              <w:right w:w="0" w:type="dxa"/>
            </w:tcMar>
            <w:vAlign w:val="center"/>
          </w:tcPr>
          <w:p w14:paraId="0BA01437">
            <w:pPr>
              <w:pStyle w:val="55"/>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18"/>
                <w:sz w:val="21"/>
                <w:szCs w:val="21"/>
                <w:lang w:val="en-US" w:eastAsia="zh-CN" w:bidi="ar-SA"/>
              </w:rPr>
            </w:pPr>
            <w:r>
              <w:rPr>
                <w:rFonts w:hint="eastAsia" w:cs="Times New Roman"/>
                <w:color w:val="auto"/>
                <w:kern w:val="18"/>
                <w:sz w:val="21"/>
                <w:szCs w:val="21"/>
                <w:lang w:val="en-US" w:eastAsia="zh-CN" w:bidi="ar-SA"/>
              </w:rPr>
              <w:t>3.3</w:t>
            </w:r>
          </w:p>
        </w:tc>
        <w:tc>
          <w:tcPr>
            <w:tcW w:w="600" w:type="pct"/>
            <w:shd w:val="clear" w:color="auto" w:fill="auto"/>
            <w:noWrap w:val="0"/>
            <w:tcMar>
              <w:top w:w="0" w:type="dxa"/>
              <w:left w:w="0" w:type="dxa"/>
              <w:bottom w:w="0" w:type="dxa"/>
              <w:right w:w="0" w:type="dxa"/>
            </w:tcMar>
            <w:vAlign w:val="center"/>
          </w:tcPr>
          <w:p w14:paraId="71AE3CEA">
            <w:pPr>
              <w:pStyle w:val="5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eastAsia" w:ascii="Times New Roman" w:hAnsi="Times New Roman" w:eastAsia="宋体" w:cs="Times New Roman"/>
                <w:color w:val="auto"/>
                <w:kern w:val="18"/>
                <w:sz w:val="21"/>
                <w:szCs w:val="21"/>
                <w:lang w:val="en-US" w:eastAsia="zh-CN" w:bidi="ar-SA"/>
              </w:rPr>
            </w:pPr>
            <w:r>
              <w:rPr>
                <w:rFonts w:hint="eastAsia"/>
                <w:color w:val="auto"/>
                <w:lang w:val="en-US" w:eastAsia="zh-CN"/>
              </w:rPr>
              <w:t>0.9</w:t>
            </w:r>
          </w:p>
        </w:tc>
        <w:tc>
          <w:tcPr>
            <w:tcW w:w="502" w:type="pct"/>
            <w:noWrap w:val="0"/>
            <w:tcMar>
              <w:top w:w="0" w:type="dxa"/>
              <w:left w:w="0" w:type="dxa"/>
              <w:bottom w:w="0" w:type="dxa"/>
              <w:right w:w="0" w:type="dxa"/>
            </w:tcMar>
            <w:vAlign w:val="center"/>
          </w:tcPr>
          <w:p w14:paraId="2B72B92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r>
    </w:tbl>
    <w:p w14:paraId="7F318D51">
      <w:pPr>
        <w:pStyle w:val="47"/>
        <w:spacing w:before="0" w:beforeLines="0" w:afterLines="0" w:line="260" w:lineRule="auto"/>
        <w:ind w:firstLine="420"/>
        <w:jc w:val="left"/>
        <w:rPr>
          <w:rFonts w:ascii="Times New Roman" w:hAnsi="Times New Roman" w:eastAsia="宋体"/>
          <w:b w:val="0"/>
          <w:bCs/>
          <w:snapToGrid w:val="0"/>
          <w:color w:val="auto"/>
          <w:spacing w:val="-6"/>
          <w:kern w:val="21"/>
          <w:sz w:val="21"/>
          <w:szCs w:val="18"/>
        </w:rPr>
      </w:pPr>
      <w:r>
        <w:rPr>
          <w:rFonts w:ascii="Times New Roman" w:hAnsi="Times New Roman" w:eastAsia="宋体"/>
          <w:b w:val="0"/>
          <w:bCs/>
          <w:snapToGrid w:val="0"/>
          <w:color w:val="auto"/>
          <w:kern w:val="21"/>
          <w:sz w:val="21"/>
          <w:szCs w:val="18"/>
        </w:rPr>
        <w:t>注：</w:t>
      </w:r>
      <w:r>
        <w:rPr>
          <w:rFonts w:ascii="Times New Roman" w:hAnsi="Times New Roman" w:eastAsia="宋体"/>
          <w:b w:val="0"/>
          <w:bCs/>
          <w:snapToGrid w:val="0"/>
          <w:color w:val="auto"/>
          <w:spacing w:val="-16"/>
          <w:kern w:val="21"/>
          <w:sz w:val="21"/>
          <w:szCs w:val="18"/>
        </w:rPr>
        <w:fldChar w:fldCharType="begin"/>
      </w:r>
      <w:r>
        <w:rPr>
          <w:rFonts w:ascii="Times New Roman" w:hAnsi="Times New Roman" w:eastAsia="宋体"/>
          <w:b w:val="0"/>
          <w:bCs/>
          <w:snapToGrid w:val="0"/>
          <w:color w:val="auto"/>
          <w:spacing w:val="-16"/>
          <w:kern w:val="21"/>
          <w:sz w:val="21"/>
          <w:szCs w:val="18"/>
        </w:rPr>
        <w:instrText xml:space="preserve"> = 6 \* GB3 \* MERGEFORMAT </w:instrText>
      </w:r>
      <w:r>
        <w:rPr>
          <w:rFonts w:ascii="Times New Roman" w:hAnsi="Times New Roman" w:eastAsia="宋体"/>
          <w:b w:val="0"/>
          <w:bCs/>
          <w:snapToGrid w:val="0"/>
          <w:color w:val="auto"/>
          <w:spacing w:val="-16"/>
          <w:kern w:val="21"/>
          <w:sz w:val="21"/>
          <w:szCs w:val="18"/>
        </w:rPr>
        <w:fldChar w:fldCharType="separate"/>
      </w:r>
      <w:r>
        <w:rPr>
          <w:rFonts w:ascii="Times New Roman" w:hAnsi="Times New Roman" w:eastAsia="宋体"/>
          <w:b w:val="0"/>
          <w:bCs/>
          <w:color w:val="auto"/>
          <w:sz w:val="21"/>
          <w:szCs w:val="18"/>
        </w:rPr>
        <w:t>⑥</w:t>
      </w:r>
      <w:r>
        <w:rPr>
          <w:rFonts w:ascii="Times New Roman" w:hAnsi="Times New Roman" w:eastAsia="宋体"/>
          <w:b w:val="0"/>
          <w:bCs/>
          <w:snapToGrid w:val="0"/>
          <w:color w:val="auto"/>
          <w:spacing w:val="-16"/>
          <w:kern w:val="21"/>
          <w:sz w:val="21"/>
          <w:szCs w:val="18"/>
        </w:rPr>
        <w:fldChar w:fldCharType="end"/>
      </w:r>
      <w:r>
        <w:rPr>
          <w:rFonts w:ascii="Times New Roman" w:hAnsi="Times New Roman" w:eastAsia="宋体"/>
          <w:b w:val="0"/>
          <w:bCs/>
          <w:snapToGrid w:val="0"/>
          <w:color w:val="auto"/>
          <w:spacing w:val="-16"/>
          <w:kern w:val="21"/>
          <w:sz w:val="21"/>
          <w:szCs w:val="18"/>
        </w:rPr>
        <w:t>=</w:t>
      </w:r>
      <w:r>
        <w:rPr>
          <w:rFonts w:ascii="Times New Roman" w:hAnsi="Times New Roman" w:eastAsia="宋体"/>
          <w:b w:val="0"/>
          <w:bCs/>
          <w:snapToGrid w:val="0"/>
          <w:color w:val="auto"/>
          <w:spacing w:val="-6"/>
          <w:kern w:val="21"/>
          <w:sz w:val="21"/>
          <w:szCs w:val="18"/>
        </w:rPr>
        <w:fldChar w:fldCharType="begin"/>
      </w:r>
      <w:r>
        <w:rPr>
          <w:rFonts w:ascii="Times New Roman" w:hAnsi="Times New Roman" w:eastAsia="宋体"/>
          <w:b w:val="0"/>
          <w:bCs/>
          <w:snapToGrid w:val="0"/>
          <w:color w:val="auto"/>
          <w:spacing w:val="-6"/>
          <w:kern w:val="21"/>
          <w:sz w:val="21"/>
          <w:szCs w:val="18"/>
        </w:rPr>
        <w:instrText xml:space="preserve"> = 1 \* GB3 \* MERGEFORMAT </w:instrText>
      </w:r>
      <w:r>
        <w:rPr>
          <w:rFonts w:ascii="Times New Roman" w:hAnsi="Times New Roman" w:eastAsia="宋体"/>
          <w:b w:val="0"/>
          <w:bCs/>
          <w:snapToGrid w:val="0"/>
          <w:color w:val="auto"/>
          <w:spacing w:val="-6"/>
          <w:kern w:val="21"/>
          <w:sz w:val="21"/>
          <w:szCs w:val="18"/>
        </w:rPr>
        <w:fldChar w:fldCharType="separate"/>
      </w:r>
      <w:r>
        <w:rPr>
          <w:rFonts w:ascii="Times New Roman" w:hAnsi="Times New Roman" w:eastAsia="宋体"/>
          <w:b w:val="0"/>
          <w:bCs/>
          <w:color w:val="auto"/>
          <w:sz w:val="21"/>
          <w:szCs w:val="18"/>
        </w:rPr>
        <w:t>①</w:t>
      </w:r>
      <w:r>
        <w:rPr>
          <w:rFonts w:ascii="Times New Roman" w:hAnsi="Times New Roman" w:eastAsia="宋体"/>
          <w:b w:val="0"/>
          <w:bCs/>
          <w:snapToGrid w:val="0"/>
          <w:color w:val="auto"/>
          <w:spacing w:val="-6"/>
          <w:kern w:val="21"/>
          <w:sz w:val="21"/>
          <w:szCs w:val="18"/>
        </w:rPr>
        <w:fldChar w:fldCharType="end"/>
      </w:r>
      <w:r>
        <w:rPr>
          <w:rFonts w:ascii="Times New Roman" w:hAnsi="Times New Roman" w:eastAsia="宋体"/>
          <w:b w:val="0"/>
          <w:bCs/>
          <w:snapToGrid w:val="0"/>
          <w:color w:val="auto"/>
          <w:spacing w:val="-6"/>
          <w:kern w:val="21"/>
          <w:sz w:val="21"/>
          <w:szCs w:val="18"/>
        </w:rPr>
        <w:t>+</w:t>
      </w:r>
      <w:r>
        <w:rPr>
          <w:rFonts w:ascii="Times New Roman" w:hAnsi="Times New Roman" w:eastAsia="宋体"/>
          <w:b w:val="0"/>
          <w:bCs/>
          <w:snapToGrid w:val="0"/>
          <w:color w:val="auto"/>
          <w:spacing w:val="-6"/>
          <w:kern w:val="21"/>
          <w:sz w:val="21"/>
          <w:szCs w:val="18"/>
        </w:rPr>
        <w:fldChar w:fldCharType="begin"/>
      </w:r>
      <w:r>
        <w:rPr>
          <w:rFonts w:ascii="Times New Roman" w:hAnsi="Times New Roman" w:eastAsia="宋体"/>
          <w:b w:val="0"/>
          <w:bCs/>
          <w:snapToGrid w:val="0"/>
          <w:color w:val="auto"/>
          <w:spacing w:val="-6"/>
          <w:kern w:val="21"/>
          <w:sz w:val="21"/>
          <w:szCs w:val="18"/>
        </w:rPr>
        <w:instrText xml:space="preserve"> = 3 \* GB3 \* MERGEFORMAT </w:instrText>
      </w:r>
      <w:r>
        <w:rPr>
          <w:rFonts w:ascii="Times New Roman" w:hAnsi="Times New Roman" w:eastAsia="宋体"/>
          <w:b w:val="0"/>
          <w:bCs/>
          <w:snapToGrid w:val="0"/>
          <w:color w:val="auto"/>
          <w:spacing w:val="-6"/>
          <w:kern w:val="21"/>
          <w:sz w:val="21"/>
          <w:szCs w:val="18"/>
        </w:rPr>
        <w:fldChar w:fldCharType="separate"/>
      </w:r>
      <w:r>
        <w:rPr>
          <w:rFonts w:ascii="Times New Roman" w:hAnsi="Times New Roman" w:eastAsia="宋体"/>
          <w:b w:val="0"/>
          <w:bCs/>
          <w:color w:val="auto"/>
          <w:sz w:val="21"/>
          <w:szCs w:val="18"/>
        </w:rPr>
        <w:t>③</w:t>
      </w:r>
      <w:r>
        <w:rPr>
          <w:rFonts w:ascii="Times New Roman" w:hAnsi="Times New Roman" w:eastAsia="宋体"/>
          <w:b w:val="0"/>
          <w:bCs/>
          <w:snapToGrid w:val="0"/>
          <w:color w:val="auto"/>
          <w:spacing w:val="-6"/>
          <w:kern w:val="21"/>
          <w:sz w:val="21"/>
          <w:szCs w:val="18"/>
        </w:rPr>
        <w:fldChar w:fldCharType="end"/>
      </w:r>
      <w:r>
        <w:rPr>
          <w:rFonts w:ascii="Times New Roman" w:hAnsi="Times New Roman" w:eastAsia="宋体"/>
          <w:b w:val="0"/>
          <w:bCs/>
          <w:snapToGrid w:val="0"/>
          <w:color w:val="auto"/>
          <w:spacing w:val="-6"/>
          <w:kern w:val="21"/>
          <w:sz w:val="21"/>
          <w:szCs w:val="18"/>
        </w:rPr>
        <w:t>+</w:t>
      </w:r>
      <w:r>
        <w:rPr>
          <w:rFonts w:ascii="Times New Roman" w:hAnsi="Times New Roman" w:eastAsia="宋体"/>
          <w:b w:val="0"/>
          <w:bCs/>
          <w:snapToGrid w:val="0"/>
          <w:color w:val="auto"/>
          <w:spacing w:val="-6"/>
          <w:kern w:val="21"/>
          <w:sz w:val="21"/>
          <w:szCs w:val="18"/>
        </w:rPr>
        <w:fldChar w:fldCharType="begin"/>
      </w:r>
      <w:r>
        <w:rPr>
          <w:rFonts w:ascii="Times New Roman" w:hAnsi="Times New Roman" w:eastAsia="宋体"/>
          <w:b w:val="0"/>
          <w:bCs/>
          <w:snapToGrid w:val="0"/>
          <w:color w:val="auto"/>
          <w:spacing w:val="-6"/>
          <w:kern w:val="21"/>
          <w:sz w:val="21"/>
          <w:szCs w:val="18"/>
        </w:rPr>
        <w:instrText xml:space="preserve"> = 4 \* GB3 \* MERGEFORMAT </w:instrText>
      </w:r>
      <w:r>
        <w:rPr>
          <w:rFonts w:ascii="Times New Roman" w:hAnsi="Times New Roman" w:eastAsia="宋体"/>
          <w:b w:val="0"/>
          <w:bCs/>
          <w:snapToGrid w:val="0"/>
          <w:color w:val="auto"/>
          <w:spacing w:val="-6"/>
          <w:kern w:val="21"/>
          <w:sz w:val="21"/>
          <w:szCs w:val="18"/>
        </w:rPr>
        <w:fldChar w:fldCharType="separate"/>
      </w:r>
      <w:r>
        <w:rPr>
          <w:rFonts w:ascii="Times New Roman" w:hAnsi="Times New Roman" w:eastAsia="宋体"/>
          <w:b w:val="0"/>
          <w:bCs/>
          <w:color w:val="auto"/>
          <w:sz w:val="21"/>
          <w:szCs w:val="18"/>
        </w:rPr>
        <w:t>④</w:t>
      </w:r>
      <w:r>
        <w:rPr>
          <w:rFonts w:ascii="Times New Roman" w:hAnsi="Times New Roman" w:eastAsia="宋体"/>
          <w:b w:val="0"/>
          <w:bCs/>
          <w:snapToGrid w:val="0"/>
          <w:color w:val="auto"/>
          <w:spacing w:val="-6"/>
          <w:kern w:val="21"/>
          <w:sz w:val="21"/>
          <w:szCs w:val="18"/>
        </w:rPr>
        <w:fldChar w:fldCharType="end"/>
      </w:r>
      <w:r>
        <w:rPr>
          <w:rFonts w:ascii="Times New Roman" w:hAnsi="Times New Roman" w:eastAsia="宋体"/>
          <w:b w:val="0"/>
          <w:bCs/>
          <w:snapToGrid w:val="0"/>
          <w:color w:val="auto"/>
          <w:spacing w:val="-6"/>
          <w:kern w:val="21"/>
          <w:sz w:val="21"/>
          <w:szCs w:val="18"/>
        </w:rPr>
        <w:t>-</w:t>
      </w:r>
      <w:r>
        <w:rPr>
          <w:rFonts w:ascii="Times New Roman" w:hAnsi="Times New Roman" w:eastAsia="宋体"/>
          <w:b w:val="0"/>
          <w:bCs/>
          <w:snapToGrid w:val="0"/>
          <w:color w:val="auto"/>
          <w:spacing w:val="-16"/>
          <w:kern w:val="21"/>
          <w:sz w:val="21"/>
          <w:szCs w:val="18"/>
        </w:rPr>
        <w:fldChar w:fldCharType="begin"/>
      </w:r>
      <w:r>
        <w:rPr>
          <w:rFonts w:ascii="Times New Roman" w:hAnsi="Times New Roman" w:eastAsia="宋体"/>
          <w:b w:val="0"/>
          <w:bCs/>
          <w:snapToGrid w:val="0"/>
          <w:color w:val="auto"/>
          <w:spacing w:val="-16"/>
          <w:kern w:val="21"/>
          <w:sz w:val="21"/>
          <w:szCs w:val="18"/>
        </w:rPr>
        <w:instrText xml:space="preserve"> = 5 \* GB3 \* MERGEFORMAT </w:instrText>
      </w:r>
      <w:r>
        <w:rPr>
          <w:rFonts w:ascii="Times New Roman" w:hAnsi="Times New Roman" w:eastAsia="宋体"/>
          <w:b w:val="0"/>
          <w:bCs/>
          <w:snapToGrid w:val="0"/>
          <w:color w:val="auto"/>
          <w:spacing w:val="-16"/>
          <w:kern w:val="21"/>
          <w:sz w:val="21"/>
          <w:szCs w:val="18"/>
        </w:rPr>
        <w:fldChar w:fldCharType="separate"/>
      </w:r>
      <w:r>
        <w:rPr>
          <w:rFonts w:ascii="Times New Roman" w:hAnsi="Times New Roman" w:eastAsia="宋体"/>
          <w:b w:val="0"/>
          <w:bCs/>
          <w:color w:val="auto"/>
          <w:sz w:val="21"/>
          <w:szCs w:val="18"/>
        </w:rPr>
        <w:t>⑤</w:t>
      </w:r>
      <w:r>
        <w:rPr>
          <w:rFonts w:ascii="Times New Roman" w:hAnsi="Times New Roman" w:eastAsia="宋体"/>
          <w:b w:val="0"/>
          <w:bCs/>
          <w:snapToGrid w:val="0"/>
          <w:color w:val="auto"/>
          <w:spacing w:val="-16"/>
          <w:kern w:val="21"/>
          <w:sz w:val="21"/>
          <w:szCs w:val="18"/>
        </w:rPr>
        <w:fldChar w:fldCharType="end"/>
      </w:r>
      <w:r>
        <w:rPr>
          <w:rFonts w:ascii="Times New Roman" w:hAnsi="Times New Roman" w:eastAsia="宋体"/>
          <w:b w:val="0"/>
          <w:bCs/>
          <w:snapToGrid w:val="0"/>
          <w:color w:val="auto"/>
          <w:spacing w:val="-16"/>
          <w:kern w:val="21"/>
          <w:sz w:val="21"/>
          <w:szCs w:val="18"/>
        </w:rPr>
        <w:t>；</w:t>
      </w:r>
      <w:r>
        <w:rPr>
          <w:rFonts w:ascii="Times New Roman" w:hAnsi="Times New Roman" w:eastAsia="宋体"/>
          <w:b w:val="0"/>
          <w:bCs/>
          <w:snapToGrid w:val="0"/>
          <w:color w:val="auto"/>
          <w:spacing w:val="-6"/>
          <w:kern w:val="21"/>
          <w:sz w:val="21"/>
          <w:szCs w:val="18"/>
        </w:rPr>
        <w:fldChar w:fldCharType="begin"/>
      </w:r>
      <w:r>
        <w:rPr>
          <w:rFonts w:ascii="Times New Roman" w:hAnsi="Times New Roman" w:eastAsia="宋体"/>
          <w:b w:val="0"/>
          <w:bCs/>
          <w:snapToGrid w:val="0"/>
          <w:color w:val="auto"/>
          <w:spacing w:val="-6"/>
          <w:kern w:val="21"/>
          <w:sz w:val="21"/>
          <w:szCs w:val="18"/>
        </w:rPr>
        <w:instrText xml:space="preserve"> = 7 \* GB3 \* MERGEFORMAT </w:instrText>
      </w:r>
      <w:r>
        <w:rPr>
          <w:rFonts w:ascii="Times New Roman" w:hAnsi="Times New Roman" w:eastAsia="宋体"/>
          <w:b w:val="0"/>
          <w:bCs/>
          <w:snapToGrid w:val="0"/>
          <w:color w:val="auto"/>
          <w:spacing w:val="-6"/>
          <w:kern w:val="21"/>
          <w:sz w:val="21"/>
          <w:szCs w:val="18"/>
        </w:rPr>
        <w:fldChar w:fldCharType="separate"/>
      </w:r>
      <w:r>
        <w:rPr>
          <w:rFonts w:ascii="Times New Roman" w:hAnsi="Times New Roman" w:eastAsia="宋体"/>
          <w:b w:val="0"/>
          <w:bCs/>
          <w:color w:val="auto"/>
          <w:sz w:val="21"/>
          <w:szCs w:val="18"/>
        </w:rPr>
        <w:t>⑦</w:t>
      </w:r>
      <w:r>
        <w:rPr>
          <w:rFonts w:ascii="Times New Roman" w:hAnsi="Times New Roman" w:eastAsia="宋体"/>
          <w:b w:val="0"/>
          <w:bCs/>
          <w:snapToGrid w:val="0"/>
          <w:color w:val="auto"/>
          <w:spacing w:val="-6"/>
          <w:kern w:val="21"/>
          <w:sz w:val="21"/>
          <w:szCs w:val="18"/>
        </w:rPr>
        <w:fldChar w:fldCharType="end"/>
      </w:r>
      <w:r>
        <w:rPr>
          <w:rFonts w:ascii="Times New Roman" w:hAnsi="Times New Roman" w:eastAsia="宋体"/>
          <w:b w:val="0"/>
          <w:bCs/>
          <w:snapToGrid w:val="0"/>
          <w:color w:val="auto"/>
          <w:spacing w:val="-6"/>
          <w:kern w:val="21"/>
          <w:sz w:val="21"/>
          <w:szCs w:val="18"/>
        </w:rPr>
        <w:t>=</w:t>
      </w:r>
      <w:r>
        <w:rPr>
          <w:rFonts w:ascii="Times New Roman" w:hAnsi="Times New Roman" w:eastAsia="宋体"/>
          <w:b w:val="0"/>
          <w:bCs/>
          <w:snapToGrid w:val="0"/>
          <w:color w:val="auto"/>
          <w:spacing w:val="-16"/>
          <w:kern w:val="21"/>
          <w:sz w:val="21"/>
          <w:szCs w:val="18"/>
        </w:rPr>
        <w:fldChar w:fldCharType="begin"/>
      </w:r>
      <w:r>
        <w:rPr>
          <w:rFonts w:ascii="Times New Roman" w:hAnsi="Times New Roman" w:eastAsia="宋体"/>
          <w:b w:val="0"/>
          <w:bCs/>
          <w:snapToGrid w:val="0"/>
          <w:color w:val="auto"/>
          <w:spacing w:val="-16"/>
          <w:kern w:val="21"/>
          <w:sz w:val="21"/>
          <w:szCs w:val="18"/>
        </w:rPr>
        <w:instrText xml:space="preserve"> = 6 \* GB3 \* MERGEFORMAT </w:instrText>
      </w:r>
      <w:r>
        <w:rPr>
          <w:rFonts w:ascii="Times New Roman" w:hAnsi="Times New Roman" w:eastAsia="宋体"/>
          <w:b w:val="0"/>
          <w:bCs/>
          <w:snapToGrid w:val="0"/>
          <w:color w:val="auto"/>
          <w:spacing w:val="-16"/>
          <w:kern w:val="21"/>
          <w:sz w:val="21"/>
          <w:szCs w:val="18"/>
        </w:rPr>
        <w:fldChar w:fldCharType="separate"/>
      </w:r>
      <w:r>
        <w:rPr>
          <w:rFonts w:ascii="Times New Roman" w:hAnsi="Times New Roman" w:eastAsia="宋体"/>
          <w:b w:val="0"/>
          <w:bCs/>
          <w:color w:val="auto"/>
          <w:sz w:val="21"/>
          <w:szCs w:val="18"/>
        </w:rPr>
        <w:t>⑥</w:t>
      </w:r>
      <w:r>
        <w:rPr>
          <w:rFonts w:ascii="Times New Roman" w:hAnsi="Times New Roman" w:eastAsia="宋体"/>
          <w:b w:val="0"/>
          <w:bCs/>
          <w:snapToGrid w:val="0"/>
          <w:color w:val="auto"/>
          <w:spacing w:val="-16"/>
          <w:kern w:val="21"/>
          <w:sz w:val="21"/>
          <w:szCs w:val="18"/>
        </w:rPr>
        <w:fldChar w:fldCharType="end"/>
      </w:r>
      <w:r>
        <w:rPr>
          <w:rFonts w:ascii="Times New Roman" w:hAnsi="Times New Roman" w:eastAsia="宋体"/>
          <w:b w:val="0"/>
          <w:bCs/>
          <w:snapToGrid w:val="0"/>
          <w:color w:val="auto"/>
          <w:spacing w:val="-16"/>
          <w:kern w:val="21"/>
          <w:sz w:val="21"/>
          <w:szCs w:val="18"/>
        </w:rPr>
        <w:t>-</w:t>
      </w:r>
      <w:r>
        <w:rPr>
          <w:rFonts w:ascii="Times New Roman" w:hAnsi="Times New Roman" w:eastAsia="宋体"/>
          <w:b w:val="0"/>
          <w:bCs/>
          <w:snapToGrid w:val="0"/>
          <w:color w:val="auto"/>
          <w:spacing w:val="-6"/>
          <w:kern w:val="21"/>
          <w:sz w:val="21"/>
          <w:szCs w:val="18"/>
        </w:rPr>
        <w:fldChar w:fldCharType="begin"/>
      </w:r>
      <w:r>
        <w:rPr>
          <w:rFonts w:ascii="Times New Roman" w:hAnsi="Times New Roman" w:eastAsia="宋体"/>
          <w:b w:val="0"/>
          <w:bCs/>
          <w:snapToGrid w:val="0"/>
          <w:color w:val="auto"/>
          <w:spacing w:val="-6"/>
          <w:kern w:val="21"/>
          <w:sz w:val="21"/>
          <w:szCs w:val="18"/>
        </w:rPr>
        <w:instrText xml:space="preserve"> = 1 \* GB3 \* MERGEFORMAT </w:instrText>
      </w:r>
      <w:r>
        <w:rPr>
          <w:rFonts w:ascii="Times New Roman" w:hAnsi="Times New Roman" w:eastAsia="宋体"/>
          <w:b w:val="0"/>
          <w:bCs/>
          <w:snapToGrid w:val="0"/>
          <w:color w:val="auto"/>
          <w:spacing w:val="-6"/>
          <w:kern w:val="21"/>
          <w:sz w:val="21"/>
          <w:szCs w:val="18"/>
        </w:rPr>
        <w:fldChar w:fldCharType="separate"/>
      </w:r>
      <w:r>
        <w:rPr>
          <w:rFonts w:ascii="Times New Roman" w:hAnsi="Times New Roman" w:eastAsia="宋体"/>
          <w:b w:val="0"/>
          <w:bCs/>
          <w:color w:val="auto"/>
          <w:sz w:val="21"/>
          <w:szCs w:val="18"/>
        </w:rPr>
        <w:t>①</w:t>
      </w:r>
      <w:r>
        <w:rPr>
          <w:rFonts w:ascii="Times New Roman" w:hAnsi="Times New Roman" w:eastAsia="宋体"/>
          <w:b w:val="0"/>
          <w:bCs/>
          <w:snapToGrid w:val="0"/>
          <w:color w:val="auto"/>
          <w:spacing w:val="-6"/>
          <w:kern w:val="21"/>
          <w:sz w:val="21"/>
          <w:szCs w:val="18"/>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体">
    <w:altName w:val="仿宋"/>
    <w:panose1 w:val="00000000000000000000"/>
    <w:charset w:val="86"/>
    <w:family w:val="roma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19E04">
    <w:pPr>
      <w:pStyle w:val="19"/>
      <w:framePr w:wrap="around" w:vAnchor="text" w:hAnchor="margin" w:xAlign="center" w:y="1"/>
      <w:rPr>
        <w:rStyle w:val="32"/>
      </w:rPr>
    </w:pPr>
    <w:r>
      <w:fldChar w:fldCharType="begin"/>
    </w:r>
    <w:r>
      <w:rPr>
        <w:rStyle w:val="32"/>
      </w:rPr>
      <w:instrText xml:space="preserve">PAGE  </w:instrText>
    </w:r>
    <w:r>
      <w:fldChar w:fldCharType="end"/>
    </w:r>
  </w:p>
  <w:p w14:paraId="792FB7B5">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F8E97">
    <w:pPr>
      <w:pStyle w:val="19"/>
      <w:ind w:firstLine="42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rPr>
      <w:fldChar w:fldCharType="end"/>
    </w:r>
  </w:p>
  <w:p w14:paraId="7C3136E8">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74517">
    <w:pPr>
      <w:pStyle w:val="19"/>
      <w:ind w:right="360" w:firstLine="360"/>
      <w:jc w:val="center"/>
      <w:rPr>
        <w:rFonts w:hint="default" w:eastAsia="等线"/>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B671FB">
                          <w:pPr>
                            <w:pStyle w:val="19"/>
                          </w:pPr>
                          <w:r>
                            <w:fldChar w:fldCharType="begin"/>
                          </w:r>
                          <w:r>
                            <w:instrText xml:space="preserve"> PAGE  \* MERGEFORMAT </w:instrText>
                          </w:r>
                          <w:r>
                            <w:fldChar w:fldCharType="separate"/>
                          </w:r>
                          <w:r>
                            <w:t>81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FZoo9HdAQAAvwMAAA4AAAAAAAAA&#10;AQAgAAAAHgEAAGRycy9lMm9Eb2MueG1sUEsFBgAAAAAGAAYAWQEAAG0FAAAAAA==&#10;">
              <v:fill on="f" focussize="0,0"/>
              <v:stroke on="f"/>
              <v:imagedata o:title=""/>
              <o:lock v:ext="edit" aspectratio="f"/>
              <v:textbox inset="0mm,0mm,0mm,0mm" style="mso-fit-shape-to-text:t;">
                <w:txbxContent>
                  <w:p w14:paraId="4EB671FB">
                    <w:pPr>
                      <w:pStyle w:val="1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783EB">
    <w:pPr>
      <w:pStyle w:val="19"/>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00D895">
                          <w:pPr>
                            <w:pStyle w:val="19"/>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5Ic3h3gEAAL8DAAAOAAAAAAAA&#10;AAEAIAAAAB4BAABkcnMvZTJvRG9jLnhtbFBLBQYAAAAABgAGAFkBAABuBQAAAAA=&#10;">
              <v:fill on="f" focussize="0,0"/>
              <v:stroke on="f"/>
              <v:imagedata o:title=""/>
              <o:lock v:ext="edit" aspectratio="f"/>
              <v:textbox inset="0mm,0mm,0mm,0mm" style="mso-fit-shape-to-text:t;">
                <w:txbxContent>
                  <w:p w14:paraId="0B00D895">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479F3"/>
    <w:multiLevelType w:val="singleLevel"/>
    <w:tmpl w:val="8E8479F3"/>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
    <w:nsid w:val="B4A48816"/>
    <w:multiLevelType w:val="singleLevel"/>
    <w:tmpl w:val="B4A48816"/>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2">
    <w:nsid w:val="762E176F"/>
    <w:multiLevelType w:val="multilevel"/>
    <w:tmpl w:val="762E176F"/>
    <w:lvl w:ilvl="0" w:tentative="0">
      <w:start w:val="1"/>
      <w:numFmt w:val="decimal"/>
      <w:lvlText w:val="%1"/>
      <w:lvlJc w:val="left"/>
      <w:pPr>
        <w:tabs>
          <w:tab w:val="left" w:pos="432"/>
        </w:tabs>
        <w:ind w:left="432" w:hanging="432"/>
      </w:pPr>
      <w:rPr>
        <w:rFonts w:hint="eastAsia"/>
      </w:rPr>
    </w:lvl>
    <w:lvl w:ilvl="1" w:tentative="0">
      <w:start w:val="1"/>
      <w:numFmt w:val="decimal"/>
      <w:pStyle w:val="13"/>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jNDViOTNmMTI2MDA5Yzc1OTgwZmM1M2U1MDg4M2IifQ=="/>
  </w:docVars>
  <w:rsids>
    <w:rsidRoot w:val="00172A27"/>
    <w:rsid w:val="00000273"/>
    <w:rsid w:val="00001185"/>
    <w:rsid w:val="00002367"/>
    <w:rsid w:val="00004900"/>
    <w:rsid w:val="00005810"/>
    <w:rsid w:val="00006B19"/>
    <w:rsid w:val="00007641"/>
    <w:rsid w:val="00011EF0"/>
    <w:rsid w:val="0001384F"/>
    <w:rsid w:val="000142B3"/>
    <w:rsid w:val="000156E4"/>
    <w:rsid w:val="00015F9A"/>
    <w:rsid w:val="000170FE"/>
    <w:rsid w:val="00021F6B"/>
    <w:rsid w:val="000235E2"/>
    <w:rsid w:val="0002732E"/>
    <w:rsid w:val="0002754D"/>
    <w:rsid w:val="00031A7B"/>
    <w:rsid w:val="00031B2F"/>
    <w:rsid w:val="0003288B"/>
    <w:rsid w:val="000344F7"/>
    <w:rsid w:val="00035993"/>
    <w:rsid w:val="00035B5A"/>
    <w:rsid w:val="000462CD"/>
    <w:rsid w:val="000532E6"/>
    <w:rsid w:val="00053BC2"/>
    <w:rsid w:val="00054071"/>
    <w:rsid w:val="00054FBD"/>
    <w:rsid w:val="00057457"/>
    <w:rsid w:val="000639D5"/>
    <w:rsid w:val="000663F3"/>
    <w:rsid w:val="00066D85"/>
    <w:rsid w:val="00071DB7"/>
    <w:rsid w:val="000730E3"/>
    <w:rsid w:val="0007521A"/>
    <w:rsid w:val="000778A5"/>
    <w:rsid w:val="00080BBB"/>
    <w:rsid w:val="00081527"/>
    <w:rsid w:val="00082655"/>
    <w:rsid w:val="0008314D"/>
    <w:rsid w:val="00083925"/>
    <w:rsid w:val="00093410"/>
    <w:rsid w:val="0009618D"/>
    <w:rsid w:val="00097C50"/>
    <w:rsid w:val="00097CC4"/>
    <w:rsid w:val="000A0F35"/>
    <w:rsid w:val="000A1C70"/>
    <w:rsid w:val="000B2945"/>
    <w:rsid w:val="000B2BEB"/>
    <w:rsid w:val="000B4091"/>
    <w:rsid w:val="000B53C4"/>
    <w:rsid w:val="000B6095"/>
    <w:rsid w:val="000C1EC9"/>
    <w:rsid w:val="000C300A"/>
    <w:rsid w:val="000C3CC9"/>
    <w:rsid w:val="000C3F4E"/>
    <w:rsid w:val="000C7A3A"/>
    <w:rsid w:val="000D29C1"/>
    <w:rsid w:val="000D3E4F"/>
    <w:rsid w:val="000D4AD8"/>
    <w:rsid w:val="000D52CA"/>
    <w:rsid w:val="000D57B4"/>
    <w:rsid w:val="000E2C31"/>
    <w:rsid w:val="000E56E9"/>
    <w:rsid w:val="000E7B9C"/>
    <w:rsid w:val="000F12F2"/>
    <w:rsid w:val="000F2552"/>
    <w:rsid w:val="000F31C5"/>
    <w:rsid w:val="000F3ECF"/>
    <w:rsid w:val="000F74BC"/>
    <w:rsid w:val="0010167D"/>
    <w:rsid w:val="00104051"/>
    <w:rsid w:val="00106CBB"/>
    <w:rsid w:val="00106FD2"/>
    <w:rsid w:val="0011017B"/>
    <w:rsid w:val="001154C6"/>
    <w:rsid w:val="00122C60"/>
    <w:rsid w:val="00126846"/>
    <w:rsid w:val="00127713"/>
    <w:rsid w:val="00134461"/>
    <w:rsid w:val="00137C35"/>
    <w:rsid w:val="00137D45"/>
    <w:rsid w:val="00141ADB"/>
    <w:rsid w:val="00146FFC"/>
    <w:rsid w:val="00152D7E"/>
    <w:rsid w:val="001547F8"/>
    <w:rsid w:val="0015519D"/>
    <w:rsid w:val="00157628"/>
    <w:rsid w:val="0015768A"/>
    <w:rsid w:val="00164C26"/>
    <w:rsid w:val="001650B8"/>
    <w:rsid w:val="001678A7"/>
    <w:rsid w:val="00170BB0"/>
    <w:rsid w:val="00171282"/>
    <w:rsid w:val="00173631"/>
    <w:rsid w:val="00173DB9"/>
    <w:rsid w:val="0018179D"/>
    <w:rsid w:val="00181938"/>
    <w:rsid w:val="00185267"/>
    <w:rsid w:val="001861F8"/>
    <w:rsid w:val="001874F3"/>
    <w:rsid w:val="001912AF"/>
    <w:rsid w:val="001925BA"/>
    <w:rsid w:val="001935D9"/>
    <w:rsid w:val="001A2B6E"/>
    <w:rsid w:val="001A2CF7"/>
    <w:rsid w:val="001A5FFD"/>
    <w:rsid w:val="001B1148"/>
    <w:rsid w:val="001B1C1A"/>
    <w:rsid w:val="001B223C"/>
    <w:rsid w:val="001B2C59"/>
    <w:rsid w:val="001B415D"/>
    <w:rsid w:val="001C1BB5"/>
    <w:rsid w:val="001C28E0"/>
    <w:rsid w:val="001D7AD4"/>
    <w:rsid w:val="001E636F"/>
    <w:rsid w:val="001F2DCD"/>
    <w:rsid w:val="001F53C0"/>
    <w:rsid w:val="001F632B"/>
    <w:rsid w:val="00203598"/>
    <w:rsid w:val="0021451F"/>
    <w:rsid w:val="002156FA"/>
    <w:rsid w:val="00215730"/>
    <w:rsid w:val="00215A3F"/>
    <w:rsid w:val="00223674"/>
    <w:rsid w:val="00224A65"/>
    <w:rsid w:val="002306FF"/>
    <w:rsid w:val="002308D2"/>
    <w:rsid w:val="00235BE4"/>
    <w:rsid w:val="00237A6F"/>
    <w:rsid w:val="00240BCD"/>
    <w:rsid w:val="002413C8"/>
    <w:rsid w:val="00244488"/>
    <w:rsid w:val="002448A8"/>
    <w:rsid w:val="00246E95"/>
    <w:rsid w:val="00247391"/>
    <w:rsid w:val="002508F5"/>
    <w:rsid w:val="00252BA8"/>
    <w:rsid w:val="0025588F"/>
    <w:rsid w:val="00256DD6"/>
    <w:rsid w:val="0025708A"/>
    <w:rsid w:val="00257B9F"/>
    <w:rsid w:val="00263DD5"/>
    <w:rsid w:val="00271687"/>
    <w:rsid w:val="00275E0B"/>
    <w:rsid w:val="0027664F"/>
    <w:rsid w:val="0028207D"/>
    <w:rsid w:val="00282425"/>
    <w:rsid w:val="0028564B"/>
    <w:rsid w:val="002865A5"/>
    <w:rsid w:val="00297B8B"/>
    <w:rsid w:val="002A01C6"/>
    <w:rsid w:val="002A258D"/>
    <w:rsid w:val="002A453E"/>
    <w:rsid w:val="002B1A23"/>
    <w:rsid w:val="002B2241"/>
    <w:rsid w:val="002B3EB7"/>
    <w:rsid w:val="002B4BE2"/>
    <w:rsid w:val="002B4F8E"/>
    <w:rsid w:val="002B5A7C"/>
    <w:rsid w:val="002B674A"/>
    <w:rsid w:val="002B7360"/>
    <w:rsid w:val="002C2535"/>
    <w:rsid w:val="002D5FEB"/>
    <w:rsid w:val="002D686E"/>
    <w:rsid w:val="002E0829"/>
    <w:rsid w:val="002E1587"/>
    <w:rsid w:val="002E5A7C"/>
    <w:rsid w:val="002E66B1"/>
    <w:rsid w:val="002E787A"/>
    <w:rsid w:val="002F38B2"/>
    <w:rsid w:val="002F4EDC"/>
    <w:rsid w:val="002F727B"/>
    <w:rsid w:val="00304130"/>
    <w:rsid w:val="0030446D"/>
    <w:rsid w:val="0030784D"/>
    <w:rsid w:val="00311836"/>
    <w:rsid w:val="00312A6E"/>
    <w:rsid w:val="0031465F"/>
    <w:rsid w:val="00315A2B"/>
    <w:rsid w:val="00315A56"/>
    <w:rsid w:val="003203A1"/>
    <w:rsid w:val="0032441D"/>
    <w:rsid w:val="00325D14"/>
    <w:rsid w:val="00326676"/>
    <w:rsid w:val="00331402"/>
    <w:rsid w:val="00332D57"/>
    <w:rsid w:val="00336942"/>
    <w:rsid w:val="0034052B"/>
    <w:rsid w:val="003416B9"/>
    <w:rsid w:val="00350692"/>
    <w:rsid w:val="003545A1"/>
    <w:rsid w:val="0035520D"/>
    <w:rsid w:val="00360DB9"/>
    <w:rsid w:val="00361E88"/>
    <w:rsid w:val="00361EE7"/>
    <w:rsid w:val="0036259A"/>
    <w:rsid w:val="00362AE9"/>
    <w:rsid w:val="00362C74"/>
    <w:rsid w:val="003664C9"/>
    <w:rsid w:val="0036794F"/>
    <w:rsid w:val="00367FDC"/>
    <w:rsid w:val="003715FA"/>
    <w:rsid w:val="00371AAA"/>
    <w:rsid w:val="0037323A"/>
    <w:rsid w:val="00376923"/>
    <w:rsid w:val="00380422"/>
    <w:rsid w:val="003822B3"/>
    <w:rsid w:val="00382D91"/>
    <w:rsid w:val="0038475E"/>
    <w:rsid w:val="00390FB4"/>
    <w:rsid w:val="00394C34"/>
    <w:rsid w:val="003952C5"/>
    <w:rsid w:val="003952F7"/>
    <w:rsid w:val="00396F54"/>
    <w:rsid w:val="00397872"/>
    <w:rsid w:val="003A1B47"/>
    <w:rsid w:val="003A53A9"/>
    <w:rsid w:val="003A560D"/>
    <w:rsid w:val="003B018C"/>
    <w:rsid w:val="003B0971"/>
    <w:rsid w:val="003B2E10"/>
    <w:rsid w:val="003B7F08"/>
    <w:rsid w:val="003C0269"/>
    <w:rsid w:val="003C28DE"/>
    <w:rsid w:val="003C4181"/>
    <w:rsid w:val="003C4B5B"/>
    <w:rsid w:val="003C4EBA"/>
    <w:rsid w:val="003C7585"/>
    <w:rsid w:val="003E0C8F"/>
    <w:rsid w:val="003E2A7B"/>
    <w:rsid w:val="003E6140"/>
    <w:rsid w:val="003E7DB8"/>
    <w:rsid w:val="003F24ED"/>
    <w:rsid w:val="003F2661"/>
    <w:rsid w:val="003F284C"/>
    <w:rsid w:val="003F4B1B"/>
    <w:rsid w:val="003F5056"/>
    <w:rsid w:val="004008F4"/>
    <w:rsid w:val="00402017"/>
    <w:rsid w:val="00402795"/>
    <w:rsid w:val="00405868"/>
    <w:rsid w:val="00406742"/>
    <w:rsid w:val="0041017A"/>
    <w:rsid w:val="0041358F"/>
    <w:rsid w:val="0041373C"/>
    <w:rsid w:val="00414804"/>
    <w:rsid w:val="00417682"/>
    <w:rsid w:val="00421730"/>
    <w:rsid w:val="00423C6D"/>
    <w:rsid w:val="00436367"/>
    <w:rsid w:val="00440E59"/>
    <w:rsid w:val="004523CF"/>
    <w:rsid w:val="004568D3"/>
    <w:rsid w:val="00460533"/>
    <w:rsid w:val="00462C78"/>
    <w:rsid w:val="004674A0"/>
    <w:rsid w:val="00473445"/>
    <w:rsid w:val="00473880"/>
    <w:rsid w:val="004776C6"/>
    <w:rsid w:val="00477D1E"/>
    <w:rsid w:val="00480D0A"/>
    <w:rsid w:val="00486088"/>
    <w:rsid w:val="00490059"/>
    <w:rsid w:val="0049262C"/>
    <w:rsid w:val="00492DD3"/>
    <w:rsid w:val="00492EA0"/>
    <w:rsid w:val="00493282"/>
    <w:rsid w:val="00494D02"/>
    <w:rsid w:val="004A0724"/>
    <w:rsid w:val="004A2B46"/>
    <w:rsid w:val="004A470F"/>
    <w:rsid w:val="004A663E"/>
    <w:rsid w:val="004A69FD"/>
    <w:rsid w:val="004A7585"/>
    <w:rsid w:val="004A7B29"/>
    <w:rsid w:val="004B04F1"/>
    <w:rsid w:val="004B127B"/>
    <w:rsid w:val="004B16F1"/>
    <w:rsid w:val="004B4819"/>
    <w:rsid w:val="004C18D8"/>
    <w:rsid w:val="004D7A03"/>
    <w:rsid w:val="004F015F"/>
    <w:rsid w:val="004F36E5"/>
    <w:rsid w:val="004F6C36"/>
    <w:rsid w:val="005029C9"/>
    <w:rsid w:val="00504D6C"/>
    <w:rsid w:val="00512816"/>
    <w:rsid w:val="00513FBE"/>
    <w:rsid w:val="00521260"/>
    <w:rsid w:val="0052127F"/>
    <w:rsid w:val="005225A7"/>
    <w:rsid w:val="00524C5C"/>
    <w:rsid w:val="0053319B"/>
    <w:rsid w:val="00535D0B"/>
    <w:rsid w:val="00537EB0"/>
    <w:rsid w:val="00542490"/>
    <w:rsid w:val="00542F00"/>
    <w:rsid w:val="005503AC"/>
    <w:rsid w:val="00552558"/>
    <w:rsid w:val="005532FE"/>
    <w:rsid w:val="00556CA9"/>
    <w:rsid w:val="00561D77"/>
    <w:rsid w:val="00565597"/>
    <w:rsid w:val="0056734D"/>
    <w:rsid w:val="00567FC4"/>
    <w:rsid w:val="00570C13"/>
    <w:rsid w:val="00573B1C"/>
    <w:rsid w:val="005746E5"/>
    <w:rsid w:val="00576B2B"/>
    <w:rsid w:val="00577662"/>
    <w:rsid w:val="00580876"/>
    <w:rsid w:val="005808E1"/>
    <w:rsid w:val="00580C2C"/>
    <w:rsid w:val="005826AC"/>
    <w:rsid w:val="005873BA"/>
    <w:rsid w:val="00587828"/>
    <w:rsid w:val="00590222"/>
    <w:rsid w:val="00591898"/>
    <w:rsid w:val="00595298"/>
    <w:rsid w:val="005A1B1E"/>
    <w:rsid w:val="005A298B"/>
    <w:rsid w:val="005A449B"/>
    <w:rsid w:val="005A5EC8"/>
    <w:rsid w:val="005A7141"/>
    <w:rsid w:val="005B1461"/>
    <w:rsid w:val="005B44EF"/>
    <w:rsid w:val="005B6746"/>
    <w:rsid w:val="005C3763"/>
    <w:rsid w:val="005C428F"/>
    <w:rsid w:val="005C65F8"/>
    <w:rsid w:val="005D10ED"/>
    <w:rsid w:val="005D278A"/>
    <w:rsid w:val="005D5266"/>
    <w:rsid w:val="005E0871"/>
    <w:rsid w:val="005E0BA7"/>
    <w:rsid w:val="005E10AF"/>
    <w:rsid w:val="005E2063"/>
    <w:rsid w:val="005E2612"/>
    <w:rsid w:val="005E2A1C"/>
    <w:rsid w:val="005E453C"/>
    <w:rsid w:val="005E6143"/>
    <w:rsid w:val="005E69C4"/>
    <w:rsid w:val="005F027E"/>
    <w:rsid w:val="005F23ED"/>
    <w:rsid w:val="005F5050"/>
    <w:rsid w:val="00601BA1"/>
    <w:rsid w:val="00604CEE"/>
    <w:rsid w:val="0060546E"/>
    <w:rsid w:val="006104B4"/>
    <w:rsid w:val="006158C2"/>
    <w:rsid w:val="00617BDD"/>
    <w:rsid w:val="00623E5F"/>
    <w:rsid w:val="00624110"/>
    <w:rsid w:val="0063340B"/>
    <w:rsid w:val="0063447B"/>
    <w:rsid w:val="00637A8F"/>
    <w:rsid w:val="00640064"/>
    <w:rsid w:val="0064108D"/>
    <w:rsid w:val="006418F8"/>
    <w:rsid w:val="00642408"/>
    <w:rsid w:val="00643BB6"/>
    <w:rsid w:val="00647FB9"/>
    <w:rsid w:val="00654616"/>
    <w:rsid w:val="006569FC"/>
    <w:rsid w:val="006637A5"/>
    <w:rsid w:val="006651F3"/>
    <w:rsid w:val="00666263"/>
    <w:rsid w:val="00667410"/>
    <w:rsid w:val="00672F5D"/>
    <w:rsid w:val="006741FD"/>
    <w:rsid w:val="00674BEB"/>
    <w:rsid w:val="00674F1D"/>
    <w:rsid w:val="00675481"/>
    <w:rsid w:val="00675930"/>
    <w:rsid w:val="00675CDD"/>
    <w:rsid w:val="00676CF4"/>
    <w:rsid w:val="00676D84"/>
    <w:rsid w:val="0068224E"/>
    <w:rsid w:val="006824CE"/>
    <w:rsid w:val="0068598A"/>
    <w:rsid w:val="00687158"/>
    <w:rsid w:val="006874B0"/>
    <w:rsid w:val="00687794"/>
    <w:rsid w:val="006908C1"/>
    <w:rsid w:val="0069407B"/>
    <w:rsid w:val="00695827"/>
    <w:rsid w:val="006A1047"/>
    <w:rsid w:val="006A3431"/>
    <w:rsid w:val="006A56B9"/>
    <w:rsid w:val="006A6B93"/>
    <w:rsid w:val="006A7254"/>
    <w:rsid w:val="006A7F8F"/>
    <w:rsid w:val="006B1C15"/>
    <w:rsid w:val="006B710B"/>
    <w:rsid w:val="006C015B"/>
    <w:rsid w:val="006C419C"/>
    <w:rsid w:val="006C5283"/>
    <w:rsid w:val="006D406A"/>
    <w:rsid w:val="006E4AE4"/>
    <w:rsid w:val="006E7CC5"/>
    <w:rsid w:val="006F09C1"/>
    <w:rsid w:val="006F1361"/>
    <w:rsid w:val="006F1F62"/>
    <w:rsid w:val="006F22CE"/>
    <w:rsid w:val="006F2303"/>
    <w:rsid w:val="006F2990"/>
    <w:rsid w:val="006F41EF"/>
    <w:rsid w:val="006F44FD"/>
    <w:rsid w:val="006F63ED"/>
    <w:rsid w:val="0070008C"/>
    <w:rsid w:val="00706E49"/>
    <w:rsid w:val="0071473B"/>
    <w:rsid w:val="0071518C"/>
    <w:rsid w:val="00721E57"/>
    <w:rsid w:val="00723229"/>
    <w:rsid w:val="00724F7A"/>
    <w:rsid w:val="00733699"/>
    <w:rsid w:val="00740251"/>
    <w:rsid w:val="00742593"/>
    <w:rsid w:val="00742F27"/>
    <w:rsid w:val="00743735"/>
    <w:rsid w:val="00744F19"/>
    <w:rsid w:val="0074699B"/>
    <w:rsid w:val="00750161"/>
    <w:rsid w:val="00754226"/>
    <w:rsid w:val="007563DA"/>
    <w:rsid w:val="00756542"/>
    <w:rsid w:val="00757573"/>
    <w:rsid w:val="00761873"/>
    <w:rsid w:val="00762B18"/>
    <w:rsid w:val="00763D7D"/>
    <w:rsid w:val="00765635"/>
    <w:rsid w:val="0077346F"/>
    <w:rsid w:val="00775403"/>
    <w:rsid w:val="00776541"/>
    <w:rsid w:val="00777F73"/>
    <w:rsid w:val="00780058"/>
    <w:rsid w:val="007829A4"/>
    <w:rsid w:val="00782FD8"/>
    <w:rsid w:val="00786EA8"/>
    <w:rsid w:val="00791D93"/>
    <w:rsid w:val="00795517"/>
    <w:rsid w:val="00795975"/>
    <w:rsid w:val="0079667B"/>
    <w:rsid w:val="007A2962"/>
    <w:rsid w:val="007A3889"/>
    <w:rsid w:val="007A5B57"/>
    <w:rsid w:val="007A7A53"/>
    <w:rsid w:val="007A7B4F"/>
    <w:rsid w:val="007A7E4F"/>
    <w:rsid w:val="007B28EB"/>
    <w:rsid w:val="007B2F58"/>
    <w:rsid w:val="007B64D2"/>
    <w:rsid w:val="007C035D"/>
    <w:rsid w:val="007C20CB"/>
    <w:rsid w:val="007C2474"/>
    <w:rsid w:val="007C3E2F"/>
    <w:rsid w:val="007C4CBE"/>
    <w:rsid w:val="007C54F4"/>
    <w:rsid w:val="007C5C66"/>
    <w:rsid w:val="007D3764"/>
    <w:rsid w:val="007D7EB7"/>
    <w:rsid w:val="007E47B7"/>
    <w:rsid w:val="007E5E93"/>
    <w:rsid w:val="007E6451"/>
    <w:rsid w:val="007E6A17"/>
    <w:rsid w:val="007F0539"/>
    <w:rsid w:val="007F0F2D"/>
    <w:rsid w:val="007F6D20"/>
    <w:rsid w:val="007F7E2F"/>
    <w:rsid w:val="0080439B"/>
    <w:rsid w:val="00804C13"/>
    <w:rsid w:val="00806F0B"/>
    <w:rsid w:val="00810190"/>
    <w:rsid w:val="00814298"/>
    <w:rsid w:val="00815A30"/>
    <w:rsid w:val="00817494"/>
    <w:rsid w:val="00831328"/>
    <w:rsid w:val="00832035"/>
    <w:rsid w:val="00833193"/>
    <w:rsid w:val="00840942"/>
    <w:rsid w:val="008421A4"/>
    <w:rsid w:val="00844458"/>
    <w:rsid w:val="00852B20"/>
    <w:rsid w:val="00861352"/>
    <w:rsid w:val="00861978"/>
    <w:rsid w:val="00861F08"/>
    <w:rsid w:val="00862C83"/>
    <w:rsid w:val="00864C31"/>
    <w:rsid w:val="00865F84"/>
    <w:rsid w:val="00866B42"/>
    <w:rsid w:val="008704B0"/>
    <w:rsid w:val="008707F7"/>
    <w:rsid w:val="008762AA"/>
    <w:rsid w:val="00877E3D"/>
    <w:rsid w:val="0089383B"/>
    <w:rsid w:val="00894F50"/>
    <w:rsid w:val="008970F0"/>
    <w:rsid w:val="00897D56"/>
    <w:rsid w:val="008A066E"/>
    <w:rsid w:val="008A071E"/>
    <w:rsid w:val="008A1EC1"/>
    <w:rsid w:val="008A2A3A"/>
    <w:rsid w:val="008A2BE3"/>
    <w:rsid w:val="008A3D48"/>
    <w:rsid w:val="008B1290"/>
    <w:rsid w:val="008B44F6"/>
    <w:rsid w:val="008B57C2"/>
    <w:rsid w:val="008C4DC0"/>
    <w:rsid w:val="008C5904"/>
    <w:rsid w:val="008C6484"/>
    <w:rsid w:val="008C754C"/>
    <w:rsid w:val="008C7B0E"/>
    <w:rsid w:val="008D7F08"/>
    <w:rsid w:val="008E581B"/>
    <w:rsid w:val="008E6640"/>
    <w:rsid w:val="008E736E"/>
    <w:rsid w:val="008F1A42"/>
    <w:rsid w:val="008F26E0"/>
    <w:rsid w:val="008F2D03"/>
    <w:rsid w:val="008F367E"/>
    <w:rsid w:val="008F3B50"/>
    <w:rsid w:val="008F4B77"/>
    <w:rsid w:val="009015E6"/>
    <w:rsid w:val="00903746"/>
    <w:rsid w:val="0090412E"/>
    <w:rsid w:val="0091211A"/>
    <w:rsid w:val="00912E03"/>
    <w:rsid w:val="0091763C"/>
    <w:rsid w:val="00920E55"/>
    <w:rsid w:val="00921E0B"/>
    <w:rsid w:val="009238E0"/>
    <w:rsid w:val="0092638B"/>
    <w:rsid w:val="00926397"/>
    <w:rsid w:val="00927706"/>
    <w:rsid w:val="00927D0E"/>
    <w:rsid w:val="009301C9"/>
    <w:rsid w:val="009311D3"/>
    <w:rsid w:val="00933C67"/>
    <w:rsid w:val="00935EF6"/>
    <w:rsid w:val="00940F06"/>
    <w:rsid w:val="009414EF"/>
    <w:rsid w:val="0094321F"/>
    <w:rsid w:val="00946C5C"/>
    <w:rsid w:val="00947941"/>
    <w:rsid w:val="009504CD"/>
    <w:rsid w:val="00950AB0"/>
    <w:rsid w:val="00951DA4"/>
    <w:rsid w:val="00953531"/>
    <w:rsid w:val="0095377F"/>
    <w:rsid w:val="009545F4"/>
    <w:rsid w:val="00955B09"/>
    <w:rsid w:val="00960751"/>
    <w:rsid w:val="00965EFF"/>
    <w:rsid w:val="00967156"/>
    <w:rsid w:val="00967703"/>
    <w:rsid w:val="009700B4"/>
    <w:rsid w:val="009724E8"/>
    <w:rsid w:val="00974548"/>
    <w:rsid w:val="00981B17"/>
    <w:rsid w:val="009826DE"/>
    <w:rsid w:val="0098338E"/>
    <w:rsid w:val="0098579A"/>
    <w:rsid w:val="009870E6"/>
    <w:rsid w:val="0099124C"/>
    <w:rsid w:val="009935B0"/>
    <w:rsid w:val="009965D4"/>
    <w:rsid w:val="009A0232"/>
    <w:rsid w:val="009A04B5"/>
    <w:rsid w:val="009A10DF"/>
    <w:rsid w:val="009A2AC1"/>
    <w:rsid w:val="009A36FE"/>
    <w:rsid w:val="009A54EB"/>
    <w:rsid w:val="009B2A8A"/>
    <w:rsid w:val="009B4ADC"/>
    <w:rsid w:val="009B6E4F"/>
    <w:rsid w:val="009C1F9A"/>
    <w:rsid w:val="009C6A10"/>
    <w:rsid w:val="009D249B"/>
    <w:rsid w:val="009D2628"/>
    <w:rsid w:val="009E1A0F"/>
    <w:rsid w:val="009E1BE6"/>
    <w:rsid w:val="009E308B"/>
    <w:rsid w:val="009E5349"/>
    <w:rsid w:val="009F4DC3"/>
    <w:rsid w:val="009F5537"/>
    <w:rsid w:val="009F5BEB"/>
    <w:rsid w:val="009F684A"/>
    <w:rsid w:val="009F7841"/>
    <w:rsid w:val="00A0057A"/>
    <w:rsid w:val="00A023C8"/>
    <w:rsid w:val="00A03DAB"/>
    <w:rsid w:val="00A04267"/>
    <w:rsid w:val="00A11A7D"/>
    <w:rsid w:val="00A12ED7"/>
    <w:rsid w:val="00A13D59"/>
    <w:rsid w:val="00A16DB3"/>
    <w:rsid w:val="00A20AE1"/>
    <w:rsid w:val="00A22B95"/>
    <w:rsid w:val="00A22BE5"/>
    <w:rsid w:val="00A23FD3"/>
    <w:rsid w:val="00A24912"/>
    <w:rsid w:val="00A253F0"/>
    <w:rsid w:val="00A2659C"/>
    <w:rsid w:val="00A2680A"/>
    <w:rsid w:val="00A305EE"/>
    <w:rsid w:val="00A3324A"/>
    <w:rsid w:val="00A34C84"/>
    <w:rsid w:val="00A3586F"/>
    <w:rsid w:val="00A36C67"/>
    <w:rsid w:val="00A37F5B"/>
    <w:rsid w:val="00A401AB"/>
    <w:rsid w:val="00A43DC0"/>
    <w:rsid w:val="00A4442B"/>
    <w:rsid w:val="00A4487B"/>
    <w:rsid w:val="00A44CBD"/>
    <w:rsid w:val="00A538A4"/>
    <w:rsid w:val="00A53F0E"/>
    <w:rsid w:val="00A57EC6"/>
    <w:rsid w:val="00A605B9"/>
    <w:rsid w:val="00A61ABE"/>
    <w:rsid w:val="00A61FC6"/>
    <w:rsid w:val="00A63194"/>
    <w:rsid w:val="00A6337F"/>
    <w:rsid w:val="00A664FD"/>
    <w:rsid w:val="00A676A1"/>
    <w:rsid w:val="00A701AA"/>
    <w:rsid w:val="00A7186C"/>
    <w:rsid w:val="00A71A83"/>
    <w:rsid w:val="00A7213A"/>
    <w:rsid w:val="00A72E3D"/>
    <w:rsid w:val="00A73E2C"/>
    <w:rsid w:val="00A74970"/>
    <w:rsid w:val="00A82995"/>
    <w:rsid w:val="00A82EFF"/>
    <w:rsid w:val="00A9250B"/>
    <w:rsid w:val="00A95C87"/>
    <w:rsid w:val="00A97520"/>
    <w:rsid w:val="00A97B78"/>
    <w:rsid w:val="00AA0122"/>
    <w:rsid w:val="00AA2221"/>
    <w:rsid w:val="00AA267D"/>
    <w:rsid w:val="00AA3D30"/>
    <w:rsid w:val="00AA47C4"/>
    <w:rsid w:val="00AA598D"/>
    <w:rsid w:val="00AB05BF"/>
    <w:rsid w:val="00AB0D9D"/>
    <w:rsid w:val="00AB1D39"/>
    <w:rsid w:val="00AB1D87"/>
    <w:rsid w:val="00AB1FD6"/>
    <w:rsid w:val="00AB2EA5"/>
    <w:rsid w:val="00AB4CA6"/>
    <w:rsid w:val="00AB551D"/>
    <w:rsid w:val="00AB6DD6"/>
    <w:rsid w:val="00AC1DAD"/>
    <w:rsid w:val="00AC2143"/>
    <w:rsid w:val="00AC33B5"/>
    <w:rsid w:val="00AC449E"/>
    <w:rsid w:val="00AC543D"/>
    <w:rsid w:val="00AC7015"/>
    <w:rsid w:val="00AD7596"/>
    <w:rsid w:val="00AE0A75"/>
    <w:rsid w:val="00AE18CC"/>
    <w:rsid w:val="00AE40DB"/>
    <w:rsid w:val="00AE75ED"/>
    <w:rsid w:val="00AF249D"/>
    <w:rsid w:val="00B022B8"/>
    <w:rsid w:val="00B02C6B"/>
    <w:rsid w:val="00B06AE3"/>
    <w:rsid w:val="00B0710E"/>
    <w:rsid w:val="00B07392"/>
    <w:rsid w:val="00B110CF"/>
    <w:rsid w:val="00B121D4"/>
    <w:rsid w:val="00B12DAD"/>
    <w:rsid w:val="00B13AC0"/>
    <w:rsid w:val="00B16766"/>
    <w:rsid w:val="00B167E8"/>
    <w:rsid w:val="00B21021"/>
    <w:rsid w:val="00B2442B"/>
    <w:rsid w:val="00B337BC"/>
    <w:rsid w:val="00B33A9A"/>
    <w:rsid w:val="00B374ED"/>
    <w:rsid w:val="00B40ADB"/>
    <w:rsid w:val="00B43B5F"/>
    <w:rsid w:val="00B44AF7"/>
    <w:rsid w:val="00B45A99"/>
    <w:rsid w:val="00B50E5A"/>
    <w:rsid w:val="00B51ED2"/>
    <w:rsid w:val="00B52812"/>
    <w:rsid w:val="00B54A3E"/>
    <w:rsid w:val="00B55F90"/>
    <w:rsid w:val="00B60044"/>
    <w:rsid w:val="00B60B9F"/>
    <w:rsid w:val="00B645AA"/>
    <w:rsid w:val="00B65153"/>
    <w:rsid w:val="00B6784E"/>
    <w:rsid w:val="00B73150"/>
    <w:rsid w:val="00B76823"/>
    <w:rsid w:val="00B809A7"/>
    <w:rsid w:val="00B80C1C"/>
    <w:rsid w:val="00B81E21"/>
    <w:rsid w:val="00B82BC3"/>
    <w:rsid w:val="00B83E1E"/>
    <w:rsid w:val="00B845B6"/>
    <w:rsid w:val="00B8498D"/>
    <w:rsid w:val="00B92441"/>
    <w:rsid w:val="00B94F0D"/>
    <w:rsid w:val="00B9683F"/>
    <w:rsid w:val="00BA3210"/>
    <w:rsid w:val="00BA36E0"/>
    <w:rsid w:val="00BB08D5"/>
    <w:rsid w:val="00BB4DC4"/>
    <w:rsid w:val="00BB6D00"/>
    <w:rsid w:val="00BC7C31"/>
    <w:rsid w:val="00BD0D36"/>
    <w:rsid w:val="00BD5C45"/>
    <w:rsid w:val="00BD5E69"/>
    <w:rsid w:val="00BD7F35"/>
    <w:rsid w:val="00BE14CE"/>
    <w:rsid w:val="00BE4249"/>
    <w:rsid w:val="00BE4C68"/>
    <w:rsid w:val="00BE501B"/>
    <w:rsid w:val="00BE6B09"/>
    <w:rsid w:val="00BF03B9"/>
    <w:rsid w:val="00BF4E2D"/>
    <w:rsid w:val="00BF6C52"/>
    <w:rsid w:val="00BF7856"/>
    <w:rsid w:val="00C03FEF"/>
    <w:rsid w:val="00C053D1"/>
    <w:rsid w:val="00C11BFD"/>
    <w:rsid w:val="00C1396B"/>
    <w:rsid w:val="00C203BA"/>
    <w:rsid w:val="00C20F5A"/>
    <w:rsid w:val="00C21BB6"/>
    <w:rsid w:val="00C227F8"/>
    <w:rsid w:val="00C233AA"/>
    <w:rsid w:val="00C24311"/>
    <w:rsid w:val="00C25617"/>
    <w:rsid w:val="00C34A02"/>
    <w:rsid w:val="00C34F47"/>
    <w:rsid w:val="00C35C20"/>
    <w:rsid w:val="00C402F9"/>
    <w:rsid w:val="00C42E85"/>
    <w:rsid w:val="00C470F6"/>
    <w:rsid w:val="00C545AD"/>
    <w:rsid w:val="00C55791"/>
    <w:rsid w:val="00C55DA3"/>
    <w:rsid w:val="00C55E47"/>
    <w:rsid w:val="00C57C63"/>
    <w:rsid w:val="00C65E45"/>
    <w:rsid w:val="00C67A3E"/>
    <w:rsid w:val="00C67A86"/>
    <w:rsid w:val="00C70748"/>
    <w:rsid w:val="00C71AB6"/>
    <w:rsid w:val="00C77D36"/>
    <w:rsid w:val="00C81156"/>
    <w:rsid w:val="00C8229C"/>
    <w:rsid w:val="00C901F1"/>
    <w:rsid w:val="00C90270"/>
    <w:rsid w:val="00C910EF"/>
    <w:rsid w:val="00C96F18"/>
    <w:rsid w:val="00C97796"/>
    <w:rsid w:val="00CA114A"/>
    <w:rsid w:val="00CA4BA6"/>
    <w:rsid w:val="00CA6470"/>
    <w:rsid w:val="00CB2066"/>
    <w:rsid w:val="00CC27FA"/>
    <w:rsid w:val="00CC44AD"/>
    <w:rsid w:val="00CC5EF3"/>
    <w:rsid w:val="00CC7C86"/>
    <w:rsid w:val="00CD6AD8"/>
    <w:rsid w:val="00CE1BD7"/>
    <w:rsid w:val="00CE3608"/>
    <w:rsid w:val="00CE3717"/>
    <w:rsid w:val="00CE7BB4"/>
    <w:rsid w:val="00CF39D9"/>
    <w:rsid w:val="00CF510E"/>
    <w:rsid w:val="00D004F0"/>
    <w:rsid w:val="00D02E6E"/>
    <w:rsid w:val="00D03DC2"/>
    <w:rsid w:val="00D05028"/>
    <w:rsid w:val="00D0562B"/>
    <w:rsid w:val="00D066D9"/>
    <w:rsid w:val="00D11D3C"/>
    <w:rsid w:val="00D14FDF"/>
    <w:rsid w:val="00D16543"/>
    <w:rsid w:val="00D165E8"/>
    <w:rsid w:val="00D1660C"/>
    <w:rsid w:val="00D16E34"/>
    <w:rsid w:val="00D176AF"/>
    <w:rsid w:val="00D17F21"/>
    <w:rsid w:val="00D2050A"/>
    <w:rsid w:val="00D20F64"/>
    <w:rsid w:val="00D238C2"/>
    <w:rsid w:val="00D25B3E"/>
    <w:rsid w:val="00D26227"/>
    <w:rsid w:val="00D3075A"/>
    <w:rsid w:val="00D35AA4"/>
    <w:rsid w:val="00D42B17"/>
    <w:rsid w:val="00D448B8"/>
    <w:rsid w:val="00D46F9C"/>
    <w:rsid w:val="00D471D8"/>
    <w:rsid w:val="00D47F00"/>
    <w:rsid w:val="00D513EC"/>
    <w:rsid w:val="00D544CD"/>
    <w:rsid w:val="00D55025"/>
    <w:rsid w:val="00D57EFD"/>
    <w:rsid w:val="00D611EE"/>
    <w:rsid w:val="00D61318"/>
    <w:rsid w:val="00D61A85"/>
    <w:rsid w:val="00D641FC"/>
    <w:rsid w:val="00D65BB6"/>
    <w:rsid w:val="00D67821"/>
    <w:rsid w:val="00D70E3F"/>
    <w:rsid w:val="00D7280F"/>
    <w:rsid w:val="00D73470"/>
    <w:rsid w:val="00D73576"/>
    <w:rsid w:val="00D81F50"/>
    <w:rsid w:val="00D84150"/>
    <w:rsid w:val="00D9010D"/>
    <w:rsid w:val="00D90545"/>
    <w:rsid w:val="00D940E7"/>
    <w:rsid w:val="00D968B1"/>
    <w:rsid w:val="00DA0755"/>
    <w:rsid w:val="00DA0B56"/>
    <w:rsid w:val="00DA5B7A"/>
    <w:rsid w:val="00DA7C78"/>
    <w:rsid w:val="00DC4065"/>
    <w:rsid w:val="00DC540F"/>
    <w:rsid w:val="00DD36DB"/>
    <w:rsid w:val="00DD514F"/>
    <w:rsid w:val="00DD54C9"/>
    <w:rsid w:val="00DD5A3E"/>
    <w:rsid w:val="00DD5A77"/>
    <w:rsid w:val="00DE1160"/>
    <w:rsid w:val="00DE280F"/>
    <w:rsid w:val="00DE36A4"/>
    <w:rsid w:val="00DE3A16"/>
    <w:rsid w:val="00DF0B25"/>
    <w:rsid w:val="00DF1050"/>
    <w:rsid w:val="00DF128F"/>
    <w:rsid w:val="00DF5F68"/>
    <w:rsid w:val="00DF7E74"/>
    <w:rsid w:val="00E027A7"/>
    <w:rsid w:val="00E03976"/>
    <w:rsid w:val="00E056A9"/>
    <w:rsid w:val="00E06E2B"/>
    <w:rsid w:val="00E104F1"/>
    <w:rsid w:val="00E12C90"/>
    <w:rsid w:val="00E16C5B"/>
    <w:rsid w:val="00E17844"/>
    <w:rsid w:val="00E213DD"/>
    <w:rsid w:val="00E243E4"/>
    <w:rsid w:val="00E25624"/>
    <w:rsid w:val="00E268BB"/>
    <w:rsid w:val="00E30FC3"/>
    <w:rsid w:val="00E310D7"/>
    <w:rsid w:val="00E32FAD"/>
    <w:rsid w:val="00E36575"/>
    <w:rsid w:val="00E37325"/>
    <w:rsid w:val="00E401B8"/>
    <w:rsid w:val="00E40E15"/>
    <w:rsid w:val="00E41E9E"/>
    <w:rsid w:val="00E431CB"/>
    <w:rsid w:val="00E43C36"/>
    <w:rsid w:val="00E45DCA"/>
    <w:rsid w:val="00E4621F"/>
    <w:rsid w:val="00E510B6"/>
    <w:rsid w:val="00E51759"/>
    <w:rsid w:val="00E53571"/>
    <w:rsid w:val="00E54158"/>
    <w:rsid w:val="00E555BD"/>
    <w:rsid w:val="00E555EB"/>
    <w:rsid w:val="00E619E6"/>
    <w:rsid w:val="00E62F06"/>
    <w:rsid w:val="00E654C8"/>
    <w:rsid w:val="00E67517"/>
    <w:rsid w:val="00E70DC2"/>
    <w:rsid w:val="00E752CD"/>
    <w:rsid w:val="00E76E78"/>
    <w:rsid w:val="00E77278"/>
    <w:rsid w:val="00E77529"/>
    <w:rsid w:val="00E81E6A"/>
    <w:rsid w:val="00E83C96"/>
    <w:rsid w:val="00E86C55"/>
    <w:rsid w:val="00E8730D"/>
    <w:rsid w:val="00E908DC"/>
    <w:rsid w:val="00E91A96"/>
    <w:rsid w:val="00E93F50"/>
    <w:rsid w:val="00E944F9"/>
    <w:rsid w:val="00E94C23"/>
    <w:rsid w:val="00E96436"/>
    <w:rsid w:val="00E97B7B"/>
    <w:rsid w:val="00E97FB0"/>
    <w:rsid w:val="00EA0B8A"/>
    <w:rsid w:val="00EA2553"/>
    <w:rsid w:val="00EA29E6"/>
    <w:rsid w:val="00EB40AC"/>
    <w:rsid w:val="00EB626A"/>
    <w:rsid w:val="00EC0DEA"/>
    <w:rsid w:val="00EC2391"/>
    <w:rsid w:val="00EC2586"/>
    <w:rsid w:val="00EC3F70"/>
    <w:rsid w:val="00EC7B39"/>
    <w:rsid w:val="00ED0250"/>
    <w:rsid w:val="00ED188F"/>
    <w:rsid w:val="00EE0418"/>
    <w:rsid w:val="00EE2277"/>
    <w:rsid w:val="00EE22CC"/>
    <w:rsid w:val="00EE4A7E"/>
    <w:rsid w:val="00EE7FC9"/>
    <w:rsid w:val="00EF0A46"/>
    <w:rsid w:val="00EF13A4"/>
    <w:rsid w:val="00EF3C49"/>
    <w:rsid w:val="00EF55CE"/>
    <w:rsid w:val="00EF74B0"/>
    <w:rsid w:val="00F04981"/>
    <w:rsid w:val="00F04C1E"/>
    <w:rsid w:val="00F06C44"/>
    <w:rsid w:val="00F079D5"/>
    <w:rsid w:val="00F110D4"/>
    <w:rsid w:val="00F12224"/>
    <w:rsid w:val="00F1386C"/>
    <w:rsid w:val="00F166D8"/>
    <w:rsid w:val="00F16F49"/>
    <w:rsid w:val="00F22761"/>
    <w:rsid w:val="00F22A3D"/>
    <w:rsid w:val="00F252AC"/>
    <w:rsid w:val="00F264C4"/>
    <w:rsid w:val="00F26AB3"/>
    <w:rsid w:val="00F26DE0"/>
    <w:rsid w:val="00F26EB2"/>
    <w:rsid w:val="00F3154B"/>
    <w:rsid w:val="00F32D13"/>
    <w:rsid w:val="00F34887"/>
    <w:rsid w:val="00F42125"/>
    <w:rsid w:val="00F43E4C"/>
    <w:rsid w:val="00F51B83"/>
    <w:rsid w:val="00F5423D"/>
    <w:rsid w:val="00F60031"/>
    <w:rsid w:val="00F600DE"/>
    <w:rsid w:val="00F608E7"/>
    <w:rsid w:val="00F623A2"/>
    <w:rsid w:val="00F63BE8"/>
    <w:rsid w:val="00F663C4"/>
    <w:rsid w:val="00F6645D"/>
    <w:rsid w:val="00F67B59"/>
    <w:rsid w:val="00F7421E"/>
    <w:rsid w:val="00F7701A"/>
    <w:rsid w:val="00F84DFE"/>
    <w:rsid w:val="00F87DF3"/>
    <w:rsid w:val="00F925BE"/>
    <w:rsid w:val="00F932F6"/>
    <w:rsid w:val="00FA098E"/>
    <w:rsid w:val="00FA1C98"/>
    <w:rsid w:val="00FA2741"/>
    <w:rsid w:val="00FB1A47"/>
    <w:rsid w:val="00FB32B8"/>
    <w:rsid w:val="00FB36F0"/>
    <w:rsid w:val="00FC2BAA"/>
    <w:rsid w:val="00FC2BD5"/>
    <w:rsid w:val="00FC3288"/>
    <w:rsid w:val="00FC4E57"/>
    <w:rsid w:val="00FC5B88"/>
    <w:rsid w:val="00FC6C93"/>
    <w:rsid w:val="00FD22B2"/>
    <w:rsid w:val="00FD2589"/>
    <w:rsid w:val="00FE6762"/>
    <w:rsid w:val="00FF436D"/>
    <w:rsid w:val="00FF636C"/>
    <w:rsid w:val="010D520E"/>
    <w:rsid w:val="011B6997"/>
    <w:rsid w:val="01290FAF"/>
    <w:rsid w:val="0135185E"/>
    <w:rsid w:val="015123B9"/>
    <w:rsid w:val="015B4FE6"/>
    <w:rsid w:val="015C48BA"/>
    <w:rsid w:val="016A5229"/>
    <w:rsid w:val="018502B5"/>
    <w:rsid w:val="01861726"/>
    <w:rsid w:val="019A3271"/>
    <w:rsid w:val="019C3329"/>
    <w:rsid w:val="01DC76FE"/>
    <w:rsid w:val="01F42D45"/>
    <w:rsid w:val="020C746E"/>
    <w:rsid w:val="020C74BE"/>
    <w:rsid w:val="021A09FD"/>
    <w:rsid w:val="02213A8C"/>
    <w:rsid w:val="024E06A7"/>
    <w:rsid w:val="025263E9"/>
    <w:rsid w:val="025739FF"/>
    <w:rsid w:val="02587777"/>
    <w:rsid w:val="026B3007"/>
    <w:rsid w:val="026F7E90"/>
    <w:rsid w:val="027323B1"/>
    <w:rsid w:val="027D71DE"/>
    <w:rsid w:val="027F1500"/>
    <w:rsid w:val="028B36A9"/>
    <w:rsid w:val="029D518A"/>
    <w:rsid w:val="02AD1871"/>
    <w:rsid w:val="02C924C2"/>
    <w:rsid w:val="02DA4630"/>
    <w:rsid w:val="02E110AF"/>
    <w:rsid w:val="02E5725D"/>
    <w:rsid w:val="02F32FFC"/>
    <w:rsid w:val="02F3589D"/>
    <w:rsid w:val="0313544C"/>
    <w:rsid w:val="03183962"/>
    <w:rsid w:val="0340565D"/>
    <w:rsid w:val="0343163D"/>
    <w:rsid w:val="034A5312"/>
    <w:rsid w:val="035E4919"/>
    <w:rsid w:val="03800D34"/>
    <w:rsid w:val="038F71C9"/>
    <w:rsid w:val="039667A9"/>
    <w:rsid w:val="03A34A22"/>
    <w:rsid w:val="03B629A7"/>
    <w:rsid w:val="04041965"/>
    <w:rsid w:val="04090D29"/>
    <w:rsid w:val="04117261"/>
    <w:rsid w:val="0430275A"/>
    <w:rsid w:val="04333C79"/>
    <w:rsid w:val="04447FB3"/>
    <w:rsid w:val="04503ABF"/>
    <w:rsid w:val="0455426B"/>
    <w:rsid w:val="04673CA2"/>
    <w:rsid w:val="046F5C20"/>
    <w:rsid w:val="04877EA0"/>
    <w:rsid w:val="04BE235F"/>
    <w:rsid w:val="04D70E27"/>
    <w:rsid w:val="04D74983"/>
    <w:rsid w:val="04FD0162"/>
    <w:rsid w:val="05017C52"/>
    <w:rsid w:val="050414F1"/>
    <w:rsid w:val="05085485"/>
    <w:rsid w:val="05290F57"/>
    <w:rsid w:val="05322502"/>
    <w:rsid w:val="05340028"/>
    <w:rsid w:val="053F077B"/>
    <w:rsid w:val="053F32F8"/>
    <w:rsid w:val="05412D52"/>
    <w:rsid w:val="05595CE0"/>
    <w:rsid w:val="05715D6E"/>
    <w:rsid w:val="05736D39"/>
    <w:rsid w:val="05A607FA"/>
    <w:rsid w:val="05A83628"/>
    <w:rsid w:val="05B41169"/>
    <w:rsid w:val="05B64EE1"/>
    <w:rsid w:val="05D15877"/>
    <w:rsid w:val="05FE23E4"/>
    <w:rsid w:val="06020126"/>
    <w:rsid w:val="060317A8"/>
    <w:rsid w:val="060519C4"/>
    <w:rsid w:val="060F2843"/>
    <w:rsid w:val="06147E59"/>
    <w:rsid w:val="061D2296"/>
    <w:rsid w:val="062074D5"/>
    <w:rsid w:val="06303D23"/>
    <w:rsid w:val="06325F60"/>
    <w:rsid w:val="064222D0"/>
    <w:rsid w:val="064F2C3F"/>
    <w:rsid w:val="065B4D2A"/>
    <w:rsid w:val="066E30C6"/>
    <w:rsid w:val="067A7CBC"/>
    <w:rsid w:val="067B3A34"/>
    <w:rsid w:val="068943A3"/>
    <w:rsid w:val="069F3BC7"/>
    <w:rsid w:val="06DB44D3"/>
    <w:rsid w:val="06E15F8D"/>
    <w:rsid w:val="070267DE"/>
    <w:rsid w:val="070677A2"/>
    <w:rsid w:val="0719339D"/>
    <w:rsid w:val="07247C28"/>
    <w:rsid w:val="073836D3"/>
    <w:rsid w:val="073F4A62"/>
    <w:rsid w:val="07465DF0"/>
    <w:rsid w:val="0749768F"/>
    <w:rsid w:val="07936146"/>
    <w:rsid w:val="07A333E6"/>
    <w:rsid w:val="07B0680C"/>
    <w:rsid w:val="07D01B5E"/>
    <w:rsid w:val="07D03CEC"/>
    <w:rsid w:val="07DE071F"/>
    <w:rsid w:val="07EF46DA"/>
    <w:rsid w:val="07F649BF"/>
    <w:rsid w:val="08055CAB"/>
    <w:rsid w:val="0817778D"/>
    <w:rsid w:val="082A74C0"/>
    <w:rsid w:val="082D0D5E"/>
    <w:rsid w:val="08406CE4"/>
    <w:rsid w:val="086329D2"/>
    <w:rsid w:val="086331D8"/>
    <w:rsid w:val="087C5A63"/>
    <w:rsid w:val="088C3CD7"/>
    <w:rsid w:val="089555FD"/>
    <w:rsid w:val="08A65B8C"/>
    <w:rsid w:val="08A7425D"/>
    <w:rsid w:val="08AE633A"/>
    <w:rsid w:val="08C571E9"/>
    <w:rsid w:val="08C6543B"/>
    <w:rsid w:val="08DA1266"/>
    <w:rsid w:val="08E45EE9"/>
    <w:rsid w:val="091066B6"/>
    <w:rsid w:val="091C32AD"/>
    <w:rsid w:val="091E0A77"/>
    <w:rsid w:val="09246605"/>
    <w:rsid w:val="092D5890"/>
    <w:rsid w:val="0935611C"/>
    <w:rsid w:val="093B7794"/>
    <w:rsid w:val="09410F65"/>
    <w:rsid w:val="096506FA"/>
    <w:rsid w:val="096802A0"/>
    <w:rsid w:val="097053A7"/>
    <w:rsid w:val="0975698E"/>
    <w:rsid w:val="097C1F9D"/>
    <w:rsid w:val="0989334E"/>
    <w:rsid w:val="0992356F"/>
    <w:rsid w:val="09A3521C"/>
    <w:rsid w:val="09A432A2"/>
    <w:rsid w:val="09AE4489"/>
    <w:rsid w:val="09B47989"/>
    <w:rsid w:val="09E0077E"/>
    <w:rsid w:val="09E71B0D"/>
    <w:rsid w:val="09F935EE"/>
    <w:rsid w:val="0A2C751F"/>
    <w:rsid w:val="0A2F7010"/>
    <w:rsid w:val="0A652A31"/>
    <w:rsid w:val="0A73514E"/>
    <w:rsid w:val="0A740EC6"/>
    <w:rsid w:val="0A8E73B6"/>
    <w:rsid w:val="0A913826"/>
    <w:rsid w:val="0A93759F"/>
    <w:rsid w:val="0AD16319"/>
    <w:rsid w:val="0AE918B4"/>
    <w:rsid w:val="0AEA2667"/>
    <w:rsid w:val="0B09160F"/>
    <w:rsid w:val="0B0A5387"/>
    <w:rsid w:val="0B183F48"/>
    <w:rsid w:val="0B185CF6"/>
    <w:rsid w:val="0B247576"/>
    <w:rsid w:val="0B4C599F"/>
    <w:rsid w:val="0B4E0D82"/>
    <w:rsid w:val="0B941820"/>
    <w:rsid w:val="0BA167DD"/>
    <w:rsid w:val="0BAE0408"/>
    <w:rsid w:val="0BB05F2E"/>
    <w:rsid w:val="0BBF6171"/>
    <w:rsid w:val="0BC1013B"/>
    <w:rsid w:val="0BEB51B8"/>
    <w:rsid w:val="0BF95B27"/>
    <w:rsid w:val="0BFE0DCD"/>
    <w:rsid w:val="0C0D0A99"/>
    <w:rsid w:val="0C13009B"/>
    <w:rsid w:val="0C1956DF"/>
    <w:rsid w:val="0C6602C8"/>
    <w:rsid w:val="0C7358DA"/>
    <w:rsid w:val="0C7C4EA7"/>
    <w:rsid w:val="0C814046"/>
    <w:rsid w:val="0C8F023A"/>
    <w:rsid w:val="0C9910B8"/>
    <w:rsid w:val="0CA667AF"/>
    <w:rsid w:val="0CBE2352"/>
    <w:rsid w:val="0CCD6A6E"/>
    <w:rsid w:val="0CDE6ACB"/>
    <w:rsid w:val="0CF84031"/>
    <w:rsid w:val="0CF956B3"/>
    <w:rsid w:val="0D086977"/>
    <w:rsid w:val="0D0C53E6"/>
    <w:rsid w:val="0D1349C7"/>
    <w:rsid w:val="0D352B8F"/>
    <w:rsid w:val="0D3748EF"/>
    <w:rsid w:val="0D4508F8"/>
    <w:rsid w:val="0D4B44F4"/>
    <w:rsid w:val="0D6276FC"/>
    <w:rsid w:val="0D63026D"/>
    <w:rsid w:val="0D904269"/>
    <w:rsid w:val="0DA05D59"/>
    <w:rsid w:val="0DA47D15"/>
    <w:rsid w:val="0DA675E9"/>
    <w:rsid w:val="0DAE2941"/>
    <w:rsid w:val="0DB241E0"/>
    <w:rsid w:val="0DB53CD0"/>
    <w:rsid w:val="0DBE2B84"/>
    <w:rsid w:val="0DBF06AB"/>
    <w:rsid w:val="0DCD2DC7"/>
    <w:rsid w:val="0DDF6F9F"/>
    <w:rsid w:val="0DEE2D3E"/>
    <w:rsid w:val="0DFC545B"/>
    <w:rsid w:val="0E042561"/>
    <w:rsid w:val="0E0A401C"/>
    <w:rsid w:val="0E0F33E0"/>
    <w:rsid w:val="0E1C5AFD"/>
    <w:rsid w:val="0E1E3623"/>
    <w:rsid w:val="0E3876B0"/>
    <w:rsid w:val="0E4868F2"/>
    <w:rsid w:val="0E66596F"/>
    <w:rsid w:val="0E796AAB"/>
    <w:rsid w:val="0E8A2A67"/>
    <w:rsid w:val="0E903DF5"/>
    <w:rsid w:val="0E985449"/>
    <w:rsid w:val="0EAE2E4E"/>
    <w:rsid w:val="0EDD34DE"/>
    <w:rsid w:val="0EDD528C"/>
    <w:rsid w:val="0F046CBD"/>
    <w:rsid w:val="0F050C58"/>
    <w:rsid w:val="0F10777B"/>
    <w:rsid w:val="0F19203C"/>
    <w:rsid w:val="0F371914"/>
    <w:rsid w:val="0F386966"/>
    <w:rsid w:val="0F405BCB"/>
    <w:rsid w:val="0F63186A"/>
    <w:rsid w:val="0F6E4136"/>
    <w:rsid w:val="0F784FB5"/>
    <w:rsid w:val="0F7B6853"/>
    <w:rsid w:val="0F824086"/>
    <w:rsid w:val="0F847DFE"/>
    <w:rsid w:val="0F9067A2"/>
    <w:rsid w:val="0F931DEF"/>
    <w:rsid w:val="0F9C6EF5"/>
    <w:rsid w:val="0FC832BC"/>
    <w:rsid w:val="0FE57FCF"/>
    <w:rsid w:val="0FF54A4C"/>
    <w:rsid w:val="100B407B"/>
    <w:rsid w:val="100E1475"/>
    <w:rsid w:val="10156CA8"/>
    <w:rsid w:val="101A2510"/>
    <w:rsid w:val="102D2243"/>
    <w:rsid w:val="10347723"/>
    <w:rsid w:val="10533CEF"/>
    <w:rsid w:val="10635C65"/>
    <w:rsid w:val="106A0CA2"/>
    <w:rsid w:val="107109EF"/>
    <w:rsid w:val="10741F9D"/>
    <w:rsid w:val="10846EA3"/>
    <w:rsid w:val="10A041D1"/>
    <w:rsid w:val="10AF39FC"/>
    <w:rsid w:val="10B244F7"/>
    <w:rsid w:val="10C20BDE"/>
    <w:rsid w:val="10D423B5"/>
    <w:rsid w:val="10F863AD"/>
    <w:rsid w:val="10FE773C"/>
    <w:rsid w:val="11082369"/>
    <w:rsid w:val="111E7CC0"/>
    <w:rsid w:val="11401B02"/>
    <w:rsid w:val="114F7F97"/>
    <w:rsid w:val="11520E64"/>
    <w:rsid w:val="115A374C"/>
    <w:rsid w:val="11603AEB"/>
    <w:rsid w:val="11716160"/>
    <w:rsid w:val="117D2D56"/>
    <w:rsid w:val="11A96ECF"/>
    <w:rsid w:val="11B60016"/>
    <w:rsid w:val="11B81E1C"/>
    <w:rsid w:val="11BB615E"/>
    <w:rsid w:val="11DA1F57"/>
    <w:rsid w:val="11DA5AB3"/>
    <w:rsid w:val="11DD37F5"/>
    <w:rsid w:val="11E3705D"/>
    <w:rsid w:val="11E701D0"/>
    <w:rsid w:val="11E94A65"/>
    <w:rsid w:val="11FF5458"/>
    <w:rsid w:val="12124AB5"/>
    <w:rsid w:val="123D6042"/>
    <w:rsid w:val="125910CE"/>
    <w:rsid w:val="125F2ADB"/>
    <w:rsid w:val="126D2DCB"/>
    <w:rsid w:val="12753A2E"/>
    <w:rsid w:val="128F2D41"/>
    <w:rsid w:val="12934CCE"/>
    <w:rsid w:val="129C0FBA"/>
    <w:rsid w:val="12A367ED"/>
    <w:rsid w:val="12A54266"/>
    <w:rsid w:val="12B24C82"/>
    <w:rsid w:val="12C10A21"/>
    <w:rsid w:val="12C549B5"/>
    <w:rsid w:val="12CC7AF2"/>
    <w:rsid w:val="12E87739"/>
    <w:rsid w:val="12FE1C75"/>
    <w:rsid w:val="130A686C"/>
    <w:rsid w:val="132B1B4E"/>
    <w:rsid w:val="13433B2C"/>
    <w:rsid w:val="135242B3"/>
    <w:rsid w:val="13563DA0"/>
    <w:rsid w:val="137942D3"/>
    <w:rsid w:val="137A57A0"/>
    <w:rsid w:val="13904FC3"/>
    <w:rsid w:val="13906769"/>
    <w:rsid w:val="13963C5C"/>
    <w:rsid w:val="139D2D1B"/>
    <w:rsid w:val="13A179F5"/>
    <w:rsid w:val="13B16CE7"/>
    <w:rsid w:val="13C62793"/>
    <w:rsid w:val="13C67682"/>
    <w:rsid w:val="13CE1647"/>
    <w:rsid w:val="13CF4E34"/>
    <w:rsid w:val="13D84274"/>
    <w:rsid w:val="13E72709"/>
    <w:rsid w:val="13FE29E5"/>
    <w:rsid w:val="14076907"/>
    <w:rsid w:val="14172F0F"/>
    <w:rsid w:val="141B23B3"/>
    <w:rsid w:val="14276FAA"/>
    <w:rsid w:val="14312E7A"/>
    <w:rsid w:val="14415121"/>
    <w:rsid w:val="146D70B2"/>
    <w:rsid w:val="14706BA3"/>
    <w:rsid w:val="14847F58"/>
    <w:rsid w:val="1487549A"/>
    <w:rsid w:val="14983A03"/>
    <w:rsid w:val="14AA10DA"/>
    <w:rsid w:val="14BC5944"/>
    <w:rsid w:val="14C02123"/>
    <w:rsid w:val="14EB6229"/>
    <w:rsid w:val="15190FE8"/>
    <w:rsid w:val="151B42E8"/>
    <w:rsid w:val="152F4368"/>
    <w:rsid w:val="15406575"/>
    <w:rsid w:val="15657D89"/>
    <w:rsid w:val="1568787A"/>
    <w:rsid w:val="157306F8"/>
    <w:rsid w:val="15875F52"/>
    <w:rsid w:val="15897F1C"/>
    <w:rsid w:val="15901985"/>
    <w:rsid w:val="15A9411A"/>
    <w:rsid w:val="15C251DC"/>
    <w:rsid w:val="15C54CCC"/>
    <w:rsid w:val="15E038B4"/>
    <w:rsid w:val="160C0E17"/>
    <w:rsid w:val="163D0D06"/>
    <w:rsid w:val="16443E43"/>
    <w:rsid w:val="16452C82"/>
    <w:rsid w:val="16783AEC"/>
    <w:rsid w:val="168B0377"/>
    <w:rsid w:val="169F376F"/>
    <w:rsid w:val="16A668AC"/>
    <w:rsid w:val="16B26FFE"/>
    <w:rsid w:val="16B8213B"/>
    <w:rsid w:val="16D60FE9"/>
    <w:rsid w:val="16E573D4"/>
    <w:rsid w:val="16F21AF1"/>
    <w:rsid w:val="171C091C"/>
    <w:rsid w:val="171C4DC0"/>
    <w:rsid w:val="173B3498"/>
    <w:rsid w:val="17410382"/>
    <w:rsid w:val="175E2CE2"/>
    <w:rsid w:val="175E3B47"/>
    <w:rsid w:val="17723284"/>
    <w:rsid w:val="17770649"/>
    <w:rsid w:val="17A42597"/>
    <w:rsid w:val="17A56B63"/>
    <w:rsid w:val="17AC1CA0"/>
    <w:rsid w:val="17B61287"/>
    <w:rsid w:val="17C74D2B"/>
    <w:rsid w:val="17CC0594"/>
    <w:rsid w:val="17DA045B"/>
    <w:rsid w:val="17F11DA8"/>
    <w:rsid w:val="18055854"/>
    <w:rsid w:val="18075128"/>
    <w:rsid w:val="181B6E25"/>
    <w:rsid w:val="18383533"/>
    <w:rsid w:val="187A7FF0"/>
    <w:rsid w:val="188B5D59"/>
    <w:rsid w:val="188D5821"/>
    <w:rsid w:val="18B42547"/>
    <w:rsid w:val="18C748B7"/>
    <w:rsid w:val="18D37020"/>
    <w:rsid w:val="18DA101A"/>
    <w:rsid w:val="18DA6CE0"/>
    <w:rsid w:val="18E90CD1"/>
    <w:rsid w:val="19142F19"/>
    <w:rsid w:val="192B4E46"/>
    <w:rsid w:val="193E62A3"/>
    <w:rsid w:val="19467ED2"/>
    <w:rsid w:val="19744A3F"/>
    <w:rsid w:val="19A52E4A"/>
    <w:rsid w:val="19E75211"/>
    <w:rsid w:val="1A064B42"/>
    <w:rsid w:val="1A1850AB"/>
    <w:rsid w:val="1A1A55E6"/>
    <w:rsid w:val="1A404921"/>
    <w:rsid w:val="1A4460D1"/>
    <w:rsid w:val="1A46462D"/>
    <w:rsid w:val="1A6037F3"/>
    <w:rsid w:val="1A642D06"/>
    <w:rsid w:val="1A732F49"/>
    <w:rsid w:val="1A7A4280"/>
    <w:rsid w:val="1A864A2A"/>
    <w:rsid w:val="1A974E89"/>
    <w:rsid w:val="1AA3640E"/>
    <w:rsid w:val="1ABD41C4"/>
    <w:rsid w:val="1AC63078"/>
    <w:rsid w:val="1AE31E7C"/>
    <w:rsid w:val="1B116E10"/>
    <w:rsid w:val="1B1C713C"/>
    <w:rsid w:val="1B2D5467"/>
    <w:rsid w:val="1B375D24"/>
    <w:rsid w:val="1B430B6D"/>
    <w:rsid w:val="1B5B5EB7"/>
    <w:rsid w:val="1B7E34D8"/>
    <w:rsid w:val="1B8625AA"/>
    <w:rsid w:val="1B882D19"/>
    <w:rsid w:val="1B8F3DB2"/>
    <w:rsid w:val="1B9211AC"/>
    <w:rsid w:val="1B9A2898"/>
    <w:rsid w:val="1BA50EE0"/>
    <w:rsid w:val="1BA535D6"/>
    <w:rsid w:val="1BA84E74"/>
    <w:rsid w:val="1BB13D28"/>
    <w:rsid w:val="1BB4378E"/>
    <w:rsid w:val="1BC25F36"/>
    <w:rsid w:val="1BE539D2"/>
    <w:rsid w:val="1C0C0F5F"/>
    <w:rsid w:val="1C2362A8"/>
    <w:rsid w:val="1C247557"/>
    <w:rsid w:val="1C284F2A"/>
    <w:rsid w:val="1C3109C5"/>
    <w:rsid w:val="1C362480"/>
    <w:rsid w:val="1C395ACC"/>
    <w:rsid w:val="1C427076"/>
    <w:rsid w:val="1C4F23C2"/>
    <w:rsid w:val="1C9F6277"/>
    <w:rsid w:val="1CA23671"/>
    <w:rsid w:val="1CA473E9"/>
    <w:rsid w:val="1CBF5FD1"/>
    <w:rsid w:val="1CC950A2"/>
    <w:rsid w:val="1CC96E50"/>
    <w:rsid w:val="1CD37CCF"/>
    <w:rsid w:val="1CDB6B83"/>
    <w:rsid w:val="1CE75528"/>
    <w:rsid w:val="1D0B1216"/>
    <w:rsid w:val="1D350385"/>
    <w:rsid w:val="1D350989"/>
    <w:rsid w:val="1D3706A1"/>
    <w:rsid w:val="1D4666F2"/>
    <w:rsid w:val="1D58360A"/>
    <w:rsid w:val="1D70551D"/>
    <w:rsid w:val="1D7F5428"/>
    <w:rsid w:val="1D845AC7"/>
    <w:rsid w:val="1D9A07EC"/>
    <w:rsid w:val="1DA022A7"/>
    <w:rsid w:val="1DA11B7B"/>
    <w:rsid w:val="1DC6338F"/>
    <w:rsid w:val="1DC85359"/>
    <w:rsid w:val="1DCF0496"/>
    <w:rsid w:val="1DF26B32"/>
    <w:rsid w:val="1E254FEA"/>
    <w:rsid w:val="1E34479D"/>
    <w:rsid w:val="1E364920"/>
    <w:rsid w:val="1E4470F9"/>
    <w:rsid w:val="1E5F1D13"/>
    <w:rsid w:val="1E627640"/>
    <w:rsid w:val="1E6A63B2"/>
    <w:rsid w:val="1E8C45D9"/>
    <w:rsid w:val="1E911A51"/>
    <w:rsid w:val="1E990AA4"/>
    <w:rsid w:val="1EB53B30"/>
    <w:rsid w:val="1EBA1146"/>
    <w:rsid w:val="1EBF6C8A"/>
    <w:rsid w:val="1EC11CD6"/>
    <w:rsid w:val="1ECC70CB"/>
    <w:rsid w:val="1ED146E2"/>
    <w:rsid w:val="1EDB1EBE"/>
    <w:rsid w:val="1EE73050"/>
    <w:rsid w:val="1EF26B32"/>
    <w:rsid w:val="1F1A3993"/>
    <w:rsid w:val="1F32168E"/>
    <w:rsid w:val="1F3C68BB"/>
    <w:rsid w:val="1F443106"/>
    <w:rsid w:val="1F537A25"/>
    <w:rsid w:val="1F7E6617"/>
    <w:rsid w:val="1F85146F"/>
    <w:rsid w:val="1FA06880"/>
    <w:rsid w:val="1FB1462D"/>
    <w:rsid w:val="1FC3227C"/>
    <w:rsid w:val="1FC9758F"/>
    <w:rsid w:val="201605FE"/>
    <w:rsid w:val="201C198C"/>
    <w:rsid w:val="201E5705"/>
    <w:rsid w:val="202F7685"/>
    <w:rsid w:val="203211B0"/>
    <w:rsid w:val="2039253E"/>
    <w:rsid w:val="204F1D62"/>
    <w:rsid w:val="205C7FDB"/>
    <w:rsid w:val="20686980"/>
    <w:rsid w:val="209E23A2"/>
    <w:rsid w:val="20BE2A44"/>
    <w:rsid w:val="21007ECF"/>
    <w:rsid w:val="210406C9"/>
    <w:rsid w:val="210C39A1"/>
    <w:rsid w:val="211127C9"/>
    <w:rsid w:val="21231593"/>
    <w:rsid w:val="21313216"/>
    <w:rsid w:val="213435FE"/>
    <w:rsid w:val="213571AA"/>
    <w:rsid w:val="213A031C"/>
    <w:rsid w:val="215D225D"/>
    <w:rsid w:val="216215D5"/>
    <w:rsid w:val="21751354"/>
    <w:rsid w:val="219043E0"/>
    <w:rsid w:val="219C4B33"/>
    <w:rsid w:val="21A63C04"/>
    <w:rsid w:val="21B31E7D"/>
    <w:rsid w:val="21E14C3C"/>
    <w:rsid w:val="220426D8"/>
    <w:rsid w:val="22131A27"/>
    <w:rsid w:val="22145011"/>
    <w:rsid w:val="222039B6"/>
    <w:rsid w:val="22364F87"/>
    <w:rsid w:val="223D622C"/>
    <w:rsid w:val="223F3CA5"/>
    <w:rsid w:val="22443B73"/>
    <w:rsid w:val="22484CBB"/>
    <w:rsid w:val="225549DB"/>
    <w:rsid w:val="225C42C2"/>
    <w:rsid w:val="225E003A"/>
    <w:rsid w:val="225E628C"/>
    <w:rsid w:val="226715E5"/>
    <w:rsid w:val="226F30E0"/>
    <w:rsid w:val="22853CD1"/>
    <w:rsid w:val="228E4DC3"/>
    <w:rsid w:val="22B01A03"/>
    <w:rsid w:val="22CD6F6E"/>
    <w:rsid w:val="22F072B3"/>
    <w:rsid w:val="22F67E08"/>
    <w:rsid w:val="230230BC"/>
    <w:rsid w:val="23136956"/>
    <w:rsid w:val="23290648"/>
    <w:rsid w:val="232C638A"/>
    <w:rsid w:val="232E5C5F"/>
    <w:rsid w:val="23315B4C"/>
    <w:rsid w:val="23642C35"/>
    <w:rsid w:val="23735D67"/>
    <w:rsid w:val="238C1D6C"/>
    <w:rsid w:val="23953F30"/>
    <w:rsid w:val="23957A8C"/>
    <w:rsid w:val="239C52BE"/>
    <w:rsid w:val="23A55BBB"/>
    <w:rsid w:val="23B51EDC"/>
    <w:rsid w:val="240112F7"/>
    <w:rsid w:val="2409047A"/>
    <w:rsid w:val="241A2687"/>
    <w:rsid w:val="242351CD"/>
    <w:rsid w:val="242C7FB3"/>
    <w:rsid w:val="24336833"/>
    <w:rsid w:val="243674C1"/>
    <w:rsid w:val="243F3E9B"/>
    <w:rsid w:val="244B6A0D"/>
    <w:rsid w:val="24561911"/>
    <w:rsid w:val="245C4A4D"/>
    <w:rsid w:val="24830289"/>
    <w:rsid w:val="2483647E"/>
    <w:rsid w:val="249146F7"/>
    <w:rsid w:val="249B2D2E"/>
    <w:rsid w:val="24A87C93"/>
    <w:rsid w:val="24D6035C"/>
    <w:rsid w:val="24D63B35"/>
    <w:rsid w:val="24E66691"/>
    <w:rsid w:val="24ED53DF"/>
    <w:rsid w:val="24F22BF6"/>
    <w:rsid w:val="25331C52"/>
    <w:rsid w:val="253634F0"/>
    <w:rsid w:val="25877A21"/>
    <w:rsid w:val="25983863"/>
    <w:rsid w:val="25B40565"/>
    <w:rsid w:val="25B576E2"/>
    <w:rsid w:val="25BD32CA"/>
    <w:rsid w:val="25D47FFB"/>
    <w:rsid w:val="25DE1BBE"/>
    <w:rsid w:val="25FC0B65"/>
    <w:rsid w:val="260929B3"/>
    <w:rsid w:val="26176E7E"/>
    <w:rsid w:val="262670C1"/>
    <w:rsid w:val="26327B15"/>
    <w:rsid w:val="263A0DBE"/>
    <w:rsid w:val="26413489"/>
    <w:rsid w:val="265C7C7F"/>
    <w:rsid w:val="26647BE9"/>
    <w:rsid w:val="26A06E73"/>
    <w:rsid w:val="26B11081"/>
    <w:rsid w:val="26C16DEA"/>
    <w:rsid w:val="26CA3EF0"/>
    <w:rsid w:val="26CD318B"/>
    <w:rsid w:val="26CF1BC9"/>
    <w:rsid w:val="26D1527F"/>
    <w:rsid w:val="27027B2E"/>
    <w:rsid w:val="27037402"/>
    <w:rsid w:val="27127645"/>
    <w:rsid w:val="274276F5"/>
    <w:rsid w:val="27455C6D"/>
    <w:rsid w:val="275163C0"/>
    <w:rsid w:val="275D499B"/>
    <w:rsid w:val="27606603"/>
    <w:rsid w:val="276E2ACE"/>
    <w:rsid w:val="2778394C"/>
    <w:rsid w:val="27787DF0"/>
    <w:rsid w:val="277B168E"/>
    <w:rsid w:val="2787769B"/>
    <w:rsid w:val="278C73F8"/>
    <w:rsid w:val="279D432C"/>
    <w:rsid w:val="27A40BE5"/>
    <w:rsid w:val="27A961FC"/>
    <w:rsid w:val="27B54BA0"/>
    <w:rsid w:val="27DF1C1D"/>
    <w:rsid w:val="27EC60E8"/>
    <w:rsid w:val="27FC27CF"/>
    <w:rsid w:val="280653FC"/>
    <w:rsid w:val="28355CE1"/>
    <w:rsid w:val="284657F9"/>
    <w:rsid w:val="28474A17"/>
    <w:rsid w:val="284E28FF"/>
    <w:rsid w:val="285C501C"/>
    <w:rsid w:val="288F529D"/>
    <w:rsid w:val="289B24FF"/>
    <w:rsid w:val="28B70E3C"/>
    <w:rsid w:val="28FE60D3"/>
    <w:rsid w:val="290D6316"/>
    <w:rsid w:val="29183639"/>
    <w:rsid w:val="291E0523"/>
    <w:rsid w:val="294206B6"/>
    <w:rsid w:val="29606D8E"/>
    <w:rsid w:val="29684535"/>
    <w:rsid w:val="296C128F"/>
    <w:rsid w:val="298365D8"/>
    <w:rsid w:val="29915199"/>
    <w:rsid w:val="299B1B74"/>
    <w:rsid w:val="29A749BD"/>
    <w:rsid w:val="29B50E88"/>
    <w:rsid w:val="29B9008A"/>
    <w:rsid w:val="29C404B3"/>
    <w:rsid w:val="29CC4423"/>
    <w:rsid w:val="29E67293"/>
    <w:rsid w:val="2A1831C5"/>
    <w:rsid w:val="2A1B2343"/>
    <w:rsid w:val="2A25606C"/>
    <w:rsid w:val="2A263B34"/>
    <w:rsid w:val="2A3004CC"/>
    <w:rsid w:val="2A3F69A3"/>
    <w:rsid w:val="2A61691A"/>
    <w:rsid w:val="2A675314"/>
    <w:rsid w:val="2A6C52BE"/>
    <w:rsid w:val="2A8500A4"/>
    <w:rsid w:val="2AA15195"/>
    <w:rsid w:val="2AD66FC3"/>
    <w:rsid w:val="2AE646DC"/>
    <w:rsid w:val="2B002F9A"/>
    <w:rsid w:val="2B231E21"/>
    <w:rsid w:val="2B2D7144"/>
    <w:rsid w:val="2B4104F9"/>
    <w:rsid w:val="2B46721E"/>
    <w:rsid w:val="2B4D50F0"/>
    <w:rsid w:val="2B54647E"/>
    <w:rsid w:val="2B6D7540"/>
    <w:rsid w:val="2B876854"/>
    <w:rsid w:val="2B994592"/>
    <w:rsid w:val="2BAE54D4"/>
    <w:rsid w:val="2BB90BAA"/>
    <w:rsid w:val="2BCA4992"/>
    <w:rsid w:val="2BE21CDC"/>
    <w:rsid w:val="2BF51A0F"/>
    <w:rsid w:val="2BFC0126"/>
    <w:rsid w:val="2BFF288E"/>
    <w:rsid w:val="2C0734F1"/>
    <w:rsid w:val="2C0B2FE1"/>
    <w:rsid w:val="2C11611D"/>
    <w:rsid w:val="2C160513"/>
    <w:rsid w:val="2C3D6F12"/>
    <w:rsid w:val="2C4E7372"/>
    <w:rsid w:val="2C4F5233"/>
    <w:rsid w:val="2C9254B0"/>
    <w:rsid w:val="2C9A6CCB"/>
    <w:rsid w:val="2CA451E4"/>
    <w:rsid w:val="2CBA0563"/>
    <w:rsid w:val="2CDC2BCF"/>
    <w:rsid w:val="2D0619FA"/>
    <w:rsid w:val="2D0637A8"/>
    <w:rsid w:val="2D241E80"/>
    <w:rsid w:val="2D2C76B3"/>
    <w:rsid w:val="2D652BC5"/>
    <w:rsid w:val="2D681962"/>
    <w:rsid w:val="2D7E652C"/>
    <w:rsid w:val="2D8A362C"/>
    <w:rsid w:val="2DA74F8B"/>
    <w:rsid w:val="2DC55411"/>
    <w:rsid w:val="2DEB3CB8"/>
    <w:rsid w:val="2DF950BB"/>
    <w:rsid w:val="2DFF6B75"/>
    <w:rsid w:val="2E070A94"/>
    <w:rsid w:val="2E0A24F9"/>
    <w:rsid w:val="2E156399"/>
    <w:rsid w:val="2E160FC6"/>
    <w:rsid w:val="2E20089A"/>
    <w:rsid w:val="2E220AB6"/>
    <w:rsid w:val="2E440A2C"/>
    <w:rsid w:val="2E57138B"/>
    <w:rsid w:val="2E5A1FFE"/>
    <w:rsid w:val="2E625F31"/>
    <w:rsid w:val="2E71124B"/>
    <w:rsid w:val="2E7A444E"/>
    <w:rsid w:val="2E8A6761"/>
    <w:rsid w:val="2E8E614B"/>
    <w:rsid w:val="2E9D638E"/>
    <w:rsid w:val="2EA27501"/>
    <w:rsid w:val="2EA63495"/>
    <w:rsid w:val="2EC35DF5"/>
    <w:rsid w:val="2ED36EE3"/>
    <w:rsid w:val="2ED6233B"/>
    <w:rsid w:val="2EE06C20"/>
    <w:rsid w:val="2EFF26C9"/>
    <w:rsid w:val="2F104DB2"/>
    <w:rsid w:val="2F1403FE"/>
    <w:rsid w:val="2F1523C9"/>
    <w:rsid w:val="2F293003"/>
    <w:rsid w:val="2F2F5238"/>
    <w:rsid w:val="2F3D3C77"/>
    <w:rsid w:val="2F430CE4"/>
    <w:rsid w:val="2F6A39B6"/>
    <w:rsid w:val="2F6A7776"/>
    <w:rsid w:val="2F745341"/>
    <w:rsid w:val="2F8C6941"/>
    <w:rsid w:val="2FD63906"/>
    <w:rsid w:val="2FE34275"/>
    <w:rsid w:val="2FE43AE5"/>
    <w:rsid w:val="2FF95846"/>
    <w:rsid w:val="301F1542"/>
    <w:rsid w:val="30234671"/>
    <w:rsid w:val="305667F5"/>
    <w:rsid w:val="305D4027"/>
    <w:rsid w:val="30656A38"/>
    <w:rsid w:val="306C6018"/>
    <w:rsid w:val="30735E7E"/>
    <w:rsid w:val="307F5D4C"/>
    <w:rsid w:val="309F1F4A"/>
    <w:rsid w:val="30B654E5"/>
    <w:rsid w:val="30BC33F3"/>
    <w:rsid w:val="30D836AE"/>
    <w:rsid w:val="30F524B2"/>
    <w:rsid w:val="311741D6"/>
    <w:rsid w:val="31336B36"/>
    <w:rsid w:val="316B62D0"/>
    <w:rsid w:val="317964EE"/>
    <w:rsid w:val="318A49A8"/>
    <w:rsid w:val="31A97596"/>
    <w:rsid w:val="31BA3FEF"/>
    <w:rsid w:val="31BB7257"/>
    <w:rsid w:val="31BB775A"/>
    <w:rsid w:val="31CF4418"/>
    <w:rsid w:val="31EB11BF"/>
    <w:rsid w:val="31FE7144"/>
    <w:rsid w:val="32056724"/>
    <w:rsid w:val="320A5AE9"/>
    <w:rsid w:val="3220530C"/>
    <w:rsid w:val="3227129A"/>
    <w:rsid w:val="322A29A5"/>
    <w:rsid w:val="323112C7"/>
    <w:rsid w:val="32364B30"/>
    <w:rsid w:val="324240FA"/>
    <w:rsid w:val="324A3C73"/>
    <w:rsid w:val="325D030E"/>
    <w:rsid w:val="32711601"/>
    <w:rsid w:val="32715B68"/>
    <w:rsid w:val="3274634B"/>
    <w:rsid w:val="32747406"/>
    <w:rsid w:val="32785148"/>
    <w:rsid w:val="3291620A"/>
    <w:rsid w:val="32BA7A2D"/>
    <w:rsid w:val="32CF23FC"/>
    <w:rsid w:val="32EC7980"/>
    <w:rsid w:val="330C763F"/>
    <w:rsid w:val="330E785B"/>
    <w:rsid w:val="3317207A"/>
    <w:rsid w:val="331A1D5C"/>
    <w:rsid w:val="331D7A9E"/>
    <w:rsid w:val="332E5807"/>
    <w:rsid w:val="334212B2"/>
    <w:rsid w:val="33423060"/>
    <w:rsid w:val="3345572B"/>
    <w:rsid w:val="335002C3"/>
    <w:rsid w:val="33680D19"/>
    <w:rsid w:val="337D02CD"/>
    <w:rsid w:val="338C4B2C"/>
    <w:rsid w:val="3392275C"/>
    <w:rsid w:val="33923261"/>
    <w:rsid w:val="33A31D51"/>
    <w:rsid w:val="33A45AC9"/>
    <w:rsid w:val="33C10429"/>
    <w:rsid w:val="33C817B8"/>
    <w:rsid w:val="33CC1490"/>
    <w:rsid w:val="33D12D62"/>
    <w:rsid w:val="33DF6B01"/>
    <w:rsid w:val="34062D50"/>
    <w:rsid w:val="34120C85"/>
    <w:rsid w:val="341E3ACD"/>
    <w:rsid w:val="342D3D10"/>
    <w:rsid w:val="34394463"/>
    <w:rsid w:val="343D03F7"/>
    <w:rsid w:val="34496D9C"/>
    <w:rsid w:val="3456420D"/>
    <w:rsid w:val="34800882"/>
    <w:rsid w:val="34A915E9"/>
    <w:rsid w:val="34B5692E"/>
    <w:rsid w:val="34B8182C"/>
    <w:rsid w:val="34CA155F"/>
    <w:rsid w:val="34DF325D"/>
    <w:rsid w:val="34E26D79"/>
    <w:rsid w:val="34F860CC"/>
    <w:rsid w:val="35020CF9"/>
    <w:rsid w:val="3515264E"/>
    <w:rsid w:val="351A6043"/>
    <w:rsid w:val="352F72D7"/>
    <w:rsid w:val="35466E38"/>
    <w:rsid w:val="35531555"/>
    <w:rsid w:val="3555351F"/>
    <w:rsid w:val="35645510"/>
    <w:rsid w:val="35812566"/>
    <w:rsid w:val="35BF6575"/>
    <w:rsid w:val="35C275C5"/>
    <w:rsid w:val="35E93C67"/>
    <w:rsid w:val="35EA010B"/>
    <w:rsid w:val="35EF127D"/>
    <w:rsid w:val="36483084"/>
    <w:rsid w:val="366C4FC4"/>
    <w:rsid w:val="366D4898"/>
    <w:rsid w:val="3679148F"/>
    <w:rsid w:val="36936127"/>
    <w:rsid w:val="36AC53C0"/>
    <w:rsid w:val="36AF4EB1"/>
    <w:rsid w:val="36B349A1"/>
    <w:rsid w:val="36C90732"/>
    <w:rsid w:val="36CA5847"/>
    <w:rsid w:val="36CE3589"/>
    <w:rsid w:val="36CE4008"/>
    <w:rsid w:val="3710594F"/>
    <w:rsid w:val="3715740A"/>
    <w:rsid w:val="372853CE"/>
    <w:rsid w:val="372B09DB"/>
    <w:rsid w:val="37320780"/>
    <w:rsid w:val="37603906"/>
    <w:rsid w:val="376A1F36"/>
    <w:rsid w:val="377B58C6"/>
    <w:rsid w:val="377C2FE5"/>
    <w:rsid w:val="378B3228"/>
    <w:rsid w:val="379C5435"/>
    <w:rsid w:val="37A63768"/>
    <w:rsid w:val="37BF2ED1"/>
    <w:rsid w:val="37D868D0"/>
    <w:rsid w:val="380E5E63"/>
    <w:rsid w:val="380F0453"/>
    <w:rsid w:val="382F62A9"/>
    <w:rsid w:val="386121DB"/>
    <w:rsid w:val="386A5533"/>
    <w:rsid w:val="38844359"/>
    <w:rsid w:val="38A345A1"/>
    <w:rsid w:val="38A65E3F"/>
    <w:rsid w:val="38AA6EBD"/>
    <w:rsid w:val="391A0D07"/>
    <w:rsid w:val="391E1E7A"/>
    <w:rsid w:val="391F1011"/>
    <w:rsid w:val="394B7113"/>
    <w:rsid w:val="3960603E"/>
    <w:rsid w:val="39616936"/>
    <w:rsid w:val="39A44A75"/>
    <w:rsid w:val="39A86851"/>
    <w:rsid w:val="39A93E39"/>
    <w:rsid w:val="39F03816"/>
    <w:rsid w:val="3A125E82"/>
    <w:rsid w:val="3A1C0AAF"/>
    <w:rsid w:val="3A306308"/>
    <w:rsid w:val="3A370BEB"/>
    <w:rsid w:val="3A377697"/>
    <w:rsid w:val="3A3E4582"/>
    <w:rsid w:val="3A830B2E"/>
    <w:rsid w:val="3A856654"/>
    <w:rsid w:val="3A8E4E7C"/>
    <w:rsid w:val="3AA0348E"/>
    <w:rsid w:val="3AA80595"/>
    <w:rsid w:val="3B023801"/>
    <w:rsid w:val="3B1A42B0"/>
    <w:rsid w:val="3B1C4C6D"/>
    <w:rsid w:val="3B1F0857"/>
    <w:rsid w:val="3B202309"/>
    <w:rsid w:val="3B3B31B7"/>
    <w:rsid w:val="3B6C15C2"/>
    <w:rsid w:val="3B712735"/>
    <w:rsid w:val="3BBC42F8"/>
    <w:rsid w:val="3BC83AD9"/>
    <w:rsid w:val="3BD056AD"/>
    <w:rsid w:val="3BD50F16"/>
    <w:rsid w:val="3BD74C8E"/>
    <w:rsid w:val="3BDD45F6"/>
    <w:rsid w:val="3BE05C2A"/>
    <w:rsid w:val="3BE86E9B"/>
    <w:rsid w:val="3BF910A8"/>
    <w:rsid w:val="3BFA6BCE"/>
    <w:rsid w:val="3C183FA4"/>
    <w:rsid w:val="3C187054"/>
    <w:rsid w:val="3C4147FD"/>
    <w:rsid w:val="3C4F6F1A"/>
    <w:rsid w:val="3C6978B0"/>
    <w:rsid w:val="3C7329EE"/>
    <w:rsid w:val="3C7A4A24"/>
    <w:rsid w:val="3C8A1D00"/>
    <w:rsid w:val="3C8D359E"/>
    <w:rsid w:val="3C94492D"/>
    <w:rsid w:val="3CA37266"/>
    <w:rsid w:val="3CC66AB0"/>
    <w:rsid w:val="3CD22403"/>
    <w:rsid w:val="3CD967E3"/>
    <w:rsid w:val="3CDF226A"/>
    <w:rsid w:val="3D053A7C"/>
    <w:rsid w:val="3D257C7B"/>
    <w:rsid w:val="3D385C00"/>
    <w:rsid w:val="3D4F2F4A"/>
    <w:rsid w:val="3D5D5787"/>
    <w:rsid w:val="3D600CB3"/>
    <w:rsid w:val="3D604047"/>
    <w:rsid w:val="3D7E738B"/>
    <w:rsid w:val="3D8250CD"/>
    <w:rsid w:val="3D8726E3"/>
    <w:rsid w:val="3DA46DF1"/>
    <w:rsid w:val="3DAB73A3"/>
    <w:rsid w:val="3DB039E8"/>
    <w:rsid w:val="3DB37034"/>
    <w:rsid w:val="3DBC20CC"/>
    <w:rsid w:val="3DC2196F"/>
    <w:rsid w:val="3DC92CFC"/>
    <w:rsid w:val="3DCB6A74"/>
    <w:rsid w:val="3DFF671E"/>
    <w:rsid w:val="3E015FF2"/>
    <w:rsid w:val="3E0876A4"/>
    <w:rsid w:val="3E104487"/>
    <w:rsid w:val="3E261EFC"/>
    <w:rsid w:val="3E2B7513"/>
    <w:rsid w:val="3E34631D"/>
    <w:rsid w:val="3E3A7756"/>
    <w:rsid w:val="3E3E7246"/>
    <w:rsid w:val="3E467EA9"/>
    <w:rsid w:val="3E495C54"/>
    <w:rsid w:val="3E4B54BF"/>
    <w:rsid w:val="3E5008A7"/>
    <w:rsid w:val="3E7A3FF6"/>
    <w:rsid w:val="3E854E75"/>
    <w:rsid w:val="3EB5502E"/>
    <w:rsid w:val="3EC3774B"/>
    <w:rsid w:val="3EC86B10"/>
    <w:rsid w:val="3ED03C16"/>
    <w:rsid w:val="3EE73740"/>
    <w:rsid w:val="3F073ADC"/>
    <w:rsid w:val="3F0B4C4E"/>
    <w:rsid w:val="3F1735F3"/>
    <w:rsid w:val="3F276D78"/>
    <w:rsid w:val="3F3348D1"/>
    <w:rsid w:val="3F373C95"/>
    <w:rsid w:val="3F3917BB"/>
    <w:rsid w:val="3F4F55CD"/>
    <w:rsid w:val="3F744EE9"/>
    <w:rsid w:val="3F870779"/>
    <w:rsid w:val="3F964E60"/>
    <w:rsid w:val="3F9814A3"/>
    <w:rsid w:val="3F9E43BE"/>
    <w:rsid w:val="3F9E5AC2"/>
    <w:rsid w:val="3FDB06A4"/>
    <w:rsid w:val="3FFA53EF"/>
    <w:rsid w:val="400E5D55"/>
    <w:rsid w:val="40285254"/>
    <w:rsid w:val="402A616E"/>
    <w:rsid w:val="40326E47"/>
    <w:rsid w:val="40550877"/>
    <w:rsid w:val="405F5252"/>
    <w:rsid w:val="406805AA"/>
    <w:rsid w:val="406956AD"/>
    <w:rsid w:val="406D5BC1"/>
    <w:rsid w:val="40786313"/>
    <w:rsid w:val="407D392A"/>
    <w:rsid w:val="409B5688"/>
    <w:rsid w:val="409E221E"/>
    <w:rsid w:val="40A00055"/>
    <w:rsid w:val="40A92971"/>
    <w:rsid w:val="40C1415E"/>
    <w:rsid w:val="40C33A32"/>
    <w:rsid w:val="40C862F3"/>
    <w:rsid w:val="40CC649B"/>
    <w:rsid w:val="40E4515D"/>
    <w:rsid w:val="40F63E08"/>
    <w:rsid w:val="41140732"/>
    <w:rsid w:val="412344D1"/>
    <w:rsid w:val="413C4512"/>
    <w:rsid w:val="413E130B"/>
    <w:rsid w:val="41720FB5"/>
    <w:rsid w:val="41935D17"/>
    <w:rsid w:val="41CA2F47"/>
    <w:rsid w:val="41CE08E1"/>
    <w:rsid w:val="41D91034"/>
    <w:rsid w:val="41DE77CD"/>
    <w:rsid w:val="41E2613A"/>
    <w:rsid w:val="41E9571B"/>
    <w:rsid w:val="41EF2605"/>
    <w:rsid w:val="41F06AA9"/>
    <w:rsid w:val="41F36599"/>
    <w:rsid w:val="41F565AE"/>
    <w:rsid w:val="42073DF3"/>
    <w:rsid w:val="42181B5C"/>
    <w:rsid w:val="42195687"/>
    <w:rsid w:val="422D323D"/>
    <w:rsid w:val="42660B19"/>
    <w:rsid w:val="42670F18"/>
    <w:rsid w:val="42750D5C"/>
    <w:rsid w:val="428C5AEB"/>
    <w:rsid w:val="42935686"/>
    <w:rsid w:val="42A41642"/>
    <w:rsid w:val="42DD541E"/>
    <w:rsid w:val="42E44134"/>
    <w:rsid w:val="42EC25C1"/>
    <w:rsid w:val="42F04887"/>
    <w:rsid w:val="42FF4ACA"/>
    <w:rsid w:val="430622FC"/>
    <w:rsid w:val="430976F7"/>
    <w:rsid w:val="43100A85"/>
    <w:rsid w:val="43144A19"/>
    <w:rsid w:val="43252782"/>
    <w:rsid w:val="432B1381"/>
    <w:rsid w:val="432E11B2"/>
    <w:rsid w:val="435D75DD"/>
    <w:rsid w:val="436778AC"/>
    <w:rsid w:val="4369674C"/>
    <w:rsid w:val="43704A8C"/>
    <w:rsid w:val="43741014"/>
    <w:rsid w:val="43790D20"/>
    <w:rsid w:val="437B05F4"/>
    <w:rsid w:val="437C3A77"/>
    <w:rsid w:val="438A6A89"/>
    <w:rsid w:val="438C2802"/>
    <w:rsid w:val="43911BC6"/>
    <w:rsid w:val="4393159F"/>
    <w:rsid w:val="43CE2E1A"/>
    <w:rsid w:val="43CF26EE"/>
    <w:rsid w:val="43CF6D75"/>
    <w:rsid w:val="43E3619A"/>
    <w:rsid w:val="43E427E5"/>
    <w:rsid w:val="44056110"/>
    <w:rsid w:val="44064C0B"/>
    <w:rsid w:val="440C3942"/>
    <w:rsid w:val="440F51E1"/>
    <w:rsid w:val="441D16AC"/>
    <w:rsid w:val="442962A2"/>
    <w:rsid w:val="44381729"/>
    <w:rsid w:val="444B446B"/>
    <w:rsid w:val="44555252"/>
    <w:rsid w:val="445D31E2"/>
    <w:rsid w:val="447137A5"/>
    <w:rsid w:val="44986F84"/>
    <w:rsid w:val="449C6A74"/>
    <w:rsid w:val="44C75ABC"/>
    <w:rsid w:val="44E1092B"/>
    <w:rsid w:val="44F63826"/>
    <w:rsid w:val="44FA7C3F"/>
    <w:rsid w:val="44FF0DB1"/>
    <w:rsid w:val="450E5498"/>
    <w:rsid w:val="45260A34"/>
    <w:rsid w:val="452D591E"/>
    <w:rsid w:val="453E18DA"/>
    <w:rsid w:val="45423D34"/>
    <w:rsid w:val="455336A1"/>
    <w:rsid w:val="45570BED"/>
    <w:rsid w:val="45610E61"/>
    <w:rsid w:val="456A4DC4"/>
    <w:rsid w:val="45717F01"/>
    <w:rsid w:val="45765517"/>
    <w:rsid w:val="45A300F9"/>
    <w:rsid w:val="45A55412"/>
    <w:rsid w:val="45C41B5E"/>
    <w:rsid w:val="45C67B21"/>
    <w:rsid w:val="45EF0E26"/>
    <w:rsid w:val="45F428E0"/>
    <w:rsid w:val="461162B5"/>
    <w:rsid w:val="462912CF"/>
    <w:rsid w:val="46526A69"/>
    <w:rsid w:val="465332FA"/>
    <w:rsid w:val="465C3C1D"/>
    <w:rsid w:val="46690BD8"/>
    <w:rsid w:val="46C40504"/>
    <w:rsid w:val="46DA3F91"/>
    <w:rsid w:val="46F54B62"/>
    <w:rsid w:val="471C20EE"/>
    <w:rsid w:val="4734568A"/>
    <w:rsid w:val="475A2C17"/>
    <w:rsid w:val="477A6E15"/>
    <w:rsid w:val="477E30E1"/>
    <w:rsid w:val="47863A0C"/>
    <w:rsid w:val="478B48B9"/>
    <w:rsid w:val="479003E6"/>
    <w:rsid w:val="47B02837"/>
    <w:rsid w:val="47B16CDB"/>
    <w:rsid w:val="47CD163B"/>
    <w:rsid w:val="47F15C37"/>
    <w:rsid w:val="47F22E4F"/>
    <w:rsid w:val="48052B82"/>
    <w:rsid w:val="482C6022"/>
    <w:rsid w:val="48311BC9"/>
    <w:rsid w:val="483737B3"/>
    <w:rsid w:val="483D0855"/>
    <w:rsid w:val="484511D1"/>
    <w:rsid w:val="484D62D8"/>
    <w:rsid w:val="485E2293"/>
    <w:rsid w:val="48986E1F"/>
    <w:rsid w:val="48C20B07"/>
    <w:rsid w:val="48E56510"/>
    <w:rsid w:val="48FC3F85"/>
    <w:rsid w:val="48FF5824"/>
    <w:rsid w:val="490378C0"/>
    <w:rsid w:val="49060960"/>
    <w:rsid w:val="490B41C9"/>
    <w:rsid w:val="491C4628"/>
    <w:rsid w:val="49255DFC"/>
    <w:rsid w:val="4929448E"/>
    <w:rsid w:val="493059DD"/>
    <w:rsid w:val="49325BF9"/>
    <w:rsid w:val="494002FA"/>
    <w:rsid w:val="495C2C76"/>
    <w:rsid w:val="497B106A"/>
    <w:rsid w:val="49830DF9"/>
    <w:rsid w:val="49951CE4"/>
    <w:rsid w:val="499F2B63"/>
    <w:rsid w:val="49A14B2D"/>
    <w:rsid w:val="49C30F7B"/>
    <w:rsid w:val="49C34AA3"/>
    <w:rsid w:val="49D24B7F"/>
    <w:rsid w:val="49E35145"/>
    <w:rsid w:val="49E371FA"/>
    <w:rsid w:val="49E862B8"/>
    <w:rsid w:val="49F72DAD"/>
    <w:rsid w:val="4A280728"/>
    <w:rsid w:val="4A2F038B"/>
    <w:rsid w:val="4A560B67"/>
    <w:rsid w:val="4A57092F"/>
    <w:rsid w:val="4A58168F"/>
    <w:rsid w:val="4A66609A"/>
    <w:rsid w:val="4A730277"/>
    <w:rsid w:val="4A783AE0"/>
    <w:rsid w:val="4AA27D62"/>
    <w:rsid w:val="4ABD5996"/>
    <w:rsid w:val="4B306168"/>
    <w:rsid w:val="4B4A723F"/>
    <w:rsid w:val="4B5127D6"/>
    <w:rsid w:val="4B58121B"/>
    <w:rsid w:val="4B6E4EE3"/>
    <w:rsid w:val="4B730D05"/>
    <w:rsid w:val="4B7A3887"/>
    <w:rsid w:val="4B8A1D1C"/>
    <w:rsid w:val="4BA03D6D"/>
    <w:rsid w:val="4BA34B8C"/>
    <w:rsid w:val="4BAB1C93"/>
    <w:rsid w:val="4BB01057"/>
    <w:rsid w:val="4BC1265B"/>
    <w:rsid w:val="4BF4363A"/>
    <w:rsid w:val="4C134EA5"/>
    <w:rsid w:val="4C18256C"/>
    <w:rsid w:val="4C2E37C9"/>
    <w:rsid w:val="4C3E48B5"/>
    <w:rsid w:val="4C4738F6"/>
    <w:rsid w:val="4C840CDA"/>
    <w:rsid w:val="4C8C73CE"/>
    <w:rsid w:val="4C90097D"/>
    <w:rsid w:val="4C991AEB"/>
    <w:rsid w:val="4CBD7ED0"/>
    <w:rsid w:val="4CC052CA"/>
    <w:rsid w:val="4CD6689C"/>
    <w:rsid w:val="4CE30FB8"/>
    <w:rsid w:val="4CFD207A"/>
    <w:rsid w:val="4CFE06FF"/>
    <w:rsid w:val="4D111FCA"/>
    <w:rsid w:val="4D185106"/>
    <w:rsid w:val="4D1A3400"/>
    <w:rsid w:val="4D21045F"/>
    <w:rsid w:val="4D2A1371"/>
    <w:rsid w:val="4D2B55C7"/>
    <w:rsid w:val="4D52686A"/>
    <w:rsid w:val="4D57624D"/>
    <w:rsid w:val="4D636C8B"/>
    <w:rsid w:val="4D7A7B6F"/>
    <w:rsid w:val="4D8C1650"/>
    <w:rsid w:val="4D9C7C8B"/>
    <w:rsid w:val="4DA60964"/>
    <w:rsid w:val="4DAD1397"/>
    <w:rsid w:val="4DBA61BD"/>
    <w:rsid w:val="4DBC1F35"/>
    <w:rsid w:val="4DD565AE"/>
    <w:rsid w:val="4E042C1E"/>
    <w:rsid w:val="4E0833CC"/>
    <w:rsid w:val="4E092CA1"/>
    <w:rsid w:val="4E1F24C4"/>
    <w:rsid w:val="4E2A3343"/>
    <w:rsid w:val="4E37780E"/>
    <w:rsid w:val="4E5C54DD"/>
    <w:rsid w:val="4E6C395B"/>
    <w:rsid w:val="4E6D1482"/>
    <w:rsid w:val="4E6D76D3"/>
    <w:rsid w:val="4E702289"/>
    <w:rsid w:val="4E9133C2"/>
    <w:rsid w:val="4EB1136E"/>
    <w:rsid w:val="4EB66985"/>
    <w:rsid w:val="4EC015B1"/>
    <w:rsid w:val="4EC512BE"/>
    <w:rsid w:val="4ECD1F20"/>
    <w:rsid w:val="4ED62CFF"/>
    <w:rsid w:val="4EFE20DA"/>
    <w:rsid w:val="4F062131"/>
    <w:rsid w:val="4F1441D3"/>
    <w:rsid w:val="4F2272E3"/>
    <w:rsid w:val="4F583EE0"/>
    <w:rsid w:val="4F827930"/>
    <w:rsid w:val="4F8E7901"/>
    <w:rsid w:val="4F9F3039"/>
    <w:rsid w:val="4FA063E8"/>
    <w:rsid w:val="4FBA4253"/>
    <w:rsid w:val="4FBB7FCB"/>
    <w:rsid w:val="4FC82E13"/>
    <w:rsid w:val="4FD61764"/>
    <w:rsid w:val="4FD74E04"/>
    <w:rsid w:val="50011E81"/>
    <w:rsid w:val="50137E07"/>
    <w:rsid w:val="504F52E3"/>
    <w:rsid w:val="505F4DFA"/>
    <w:rsid w:val="506B19F1"/>
    <w:rsid w:val="507765E7"/>
    <w:rsid w:val="5079410E"/>
    <w:rsid w:val="50940F47"/>
    <w:rsid w:val="50B05655"/>
    <w:rsid w:val="50B138A7"/>
    <w:rsid w:val="50CC06E1"/>
    <w:rsid w:val="50D15F70"/>
    <w:rsid w:val="50D92DFE"/>
    <w:rsid w:val="50DB6B76"/>
    <w:rsid w:val="50DC644B"/>
    <w:rsid w:val="50DD197E"/>
    <w:rsid w:val="50E3434F"/>
    <w:rsid w:val="511D0F3D"/>
    <w:rsid w:val="51204589"/>
    <w:rsid w:val="512D6CA6"/>
    <w:rsid w:val="51330760"/>
    <w:rsid w:val="514E10F6"/>
    <w:rsid w:val="514E559A"/>
    <w:rsid w:val="51750D79"/>
    <w:rsid w:val="51782617"/>
    <w:rsid w:val="51B86EB8"/>
    <w:rsid w:val="51EB103B"/>
    <w:rsid w:val="520619D1"/>
    <w:rsid w:val="52104F22"/>
    <w:rsid w:val="52176F00"/>
    <w:rsid w:val="521E703D"/>
    <w:rsid w:val="5238328E"/>
    <w:rsid w:val="52636A33"/>
    <w:rsid w:val="527252B8"/>
    <w:rsid w:val="528172AA"/>
    <w:rsid w:val="52A86F2C"/>
    <w:rsid w:val="52AD009F"/>
    <w:rsid w:val="52B21366"/>
    <w:rsid w:val="52BA5878"/>
    <w:rsid w:val="52CD0741"/>
    <w:rsid w:val="52D90E94"/>
    <w:rsid w:val="52DF3998"/>
    <w:rsid w:val="52E8323C"/>
    <w:rsid w:val="52EE7277"/>
    <w:rsid w:val="52FB14A6"/>
    <w:rsid w:val="52FC00CF"/>
    <w:rsid w:val="52FE4D9E"/>
    <w:rsid w:val="53053951"/>
    <w:rsid w:val="531243A6"/>
    <w:rsid w:val="53126132"/>
    <w:rsid w:val="53334A48"/>
    <w:rsid w:val="534D53DE"/>
    <w:rsid w:val="535520A9"/>
    <w:rsid w:val="53584D46"/>
    <w:rsid w:val="538E5AD6"/>
    <w:rsid w:val="53B8319F"/>
    <w:rsid w:val="53BF0089"/>
    <w:rsid w:val="53D6017A"/>
    <w:rsid w:val="53E67D0C"/>
    <w:rsid w:val="54042421"/>
    <w:rsid w:val="540939FA"/>
    <w:rsid w:val="540E7263"/>
    <w:rsid w:val="54243246"/>
    <w:rsid w:val="54352A41"/>
    <w:rsid w:val="543C3EA2"/>
    <w:rsid w:val="54442C85"/>
    <w:rsid w:val="5455279C"/>
    <w:rsid w:val="54583191"/>
    <w:rsid w:val="546B6463"/>
    <w:rsid w:val="546E1AAF"/>
    <w:rsid w:val="5478774F"/>
    <w:rsid w:val="548B440F"/>
    <w:rsid w:val="54A379AB"/>
    <w:rsid w:val="54AA6F8B"/>
    <w:rsid w:val="54D72FD2"/>
    <w:rsid w:val="54EA718B"/>
    <w:rsid w:val="550171E7"/>
    <w:rsid w:val="5516017D"/>
    <w:rsid w:val="551663CF"/>
    <w:rsid w:val="551D59AF"/>
    <w:rsid w:val="55236D3E"/>
    <w:rsid w:val="55342CF9"/>
    <w:rsid w:val="55452810"/>
    <w:rsid w:val="554F7B33"/>
    <w:rsid w:val="555321A3"/>
    <w:rsid w:val="557D5056"/>
    <w:rsid w:val="55913CA7"/>
    <w:rsid w:val="55CA0F67"/>
    <w:rsid w:val="55CD30D2"/>
    <w:rsid w:val="55D10548"/>
    <w:rsid w:val="5612303A"/>
    <w:rsid w:val="561A5A4B"/>
    <w:rsid w:val="562C39D0"/>
    <w:rsid w:val="56327239"/>
    <w:rsid w:val="563665FD"/>
    <w:rsid w:val="56470FD4"/>
    <w:rsid w:val="564927D4"/>
    <w:rsid w:val="56551179"/>
    <w:rsid w:val="565A053D"/>
    <w:rsid w:val="56755377"/>
    <w:rsid w:val="567A298E"/>
    <w:rsid w:val="567E6272"/>
    <w:rsid w:val="568B4B9B"/>
    <w:rsid w:val="569A4DDE"/>
    <w:rsid w:val="569E48CE"/>
    <w:rsid w:val="56E66275"/>
    <w:rsid w:val="56EE0C86"/>
    <w:rsid w:val="573E1A49"/>
    <w:rsid w:val="574511ED"/>
    <w:rsid w:val="57631674"/>
    <w:rsid w:val="5789732C"/>
    <w:rsid w:val="57925AB5"/>
    <w:rsid w:val="57AB03F4"/>
    <w:rsid w:val="57BA2016"/>
    <w:rsid w:val="57D63BF4"/>
    <w:rsid w:val="57D936E4"/>
    <w:rsid w:val="57F16C7F"/>
    <w:rsid w:val="57F93083"/>
    <w:rsid w:val="58006811"/>
    <w:rsid w:val="580A7D41"/>
    <w:rsid w:val="5816663A"/>
    <w:rsid w:val="58337298"/>
    <w:rsid w:val="58706602"/>
    <w:rsid w:val="5886386C"/>
    <w:rsid w:val="588B70D4"/>
    <w:rsid w:val="589104ED"/>
    <w:rsid w:val="58A91308"/>
    <w:rsid w:val="58C53379"/>
    <w:rsid w:val="59015C8D"/>
    <w:rsid w:val="590E257A"/>
    <w:rsid w:val="59162E41"/>
    <w:rsid w:val="59172716"/>
    <w:rsid w:val="591946E0"/>
    <w:rsid w:val="591F7797"/>
    <w:rsid w:val="594D25DB"/>
    <w:rsid w:val="59575208"/>
    <w:rsid w:val="595E6596"/>
    <w:rsid w:val="595F29D9"/>
    <w:rsid w:val="59605E6B"/>
    <w:rsid w:val="596C250B"/>
    <w:rsid w:val="599E153A"/>
    <w:rsid w:val="599E65D0"/>
    <w:rsid w:val="59A541C5"/>
    <w:rsid w:val="59AC5554"/>
    <w:rsid w:val="59AE51F2"/>
    <w:rsid w:val="59B241EC"/>
    <w:rsid w:val="59D800F7"/>
    <w:rsid w:val="59DC5B97"/>
    <w:rsid w:val="59E52814"/>
    <w:rsid w:val="59EF5441"/>
    <w:rsid w:val="59FE7432"/>
    <w:rsid w:val="5A0452A7"/>
    <w:rsid w:val="5A0E1D6B"/>
    <w:rsid w:val="5A2055FA"/>
    <w:rsid w:val="5A492DA3"/>
    <w:rsid w:val="5A4B2B58"/>
    <w:rsid w:val="5A6E6AA8"/>
    <w:rsid w:val="5A751DEA"/>
    <w:rsid w:val="5A7F67C4"/>
    <w:rsid w:val="5A952256"/>
    <w:rsid w:val="5AA004E9"/>
    <w:rsid w:val="5AA224B3"/>
    <w:rsid w:val="5AAF7F15"/>
    <w:rsid w:val="5AC1421A"/>
    <w:rsid w:val="5AC71F19"/>
    <w:rsid w:val="5AD01D2B"/>
    <w:rsid w:val="5AD84127"/>
    <w:rsid w:val="5AF745AD"/>
    <w:rsid w:val="5B172EA1"/>
    <w:rsid w:val="5B275CC0"/>
    <w:rsid w:val="5B2D7FCE"/>
    <w:rsid w:val="5B2F1F99"/>
    <w:rsid w:val="5B4A6DD2"/>
    <w:rsid w:val="5B4F3334"/>
    <w:rsid w:val="5B8147BE"/>
    <w:rsid w:val="5B865931"/>
    <w:rsid w:val="5BA83AF9"/>
    <w:rsid w:val="5BA858A7"/>
    <w:rsid w:val="5BB10BFF"/>
    <w:rsid w:val="5BBB1A7E"/>
    <w:rsid w:val="5BBB508A"/>
    <w:rsid w:val="5BC56459"/>
    <w:rsid w:val="5BDB1283"/>
    <w:rsid w:val="5BDD1065"/>
    <w:rsid w:val="5BEC60DC"/>
    <w:rsid w:val="5BED59B0"/>
    <w:rsid w:val="5BEF2C47"/>
    <w:rsid w:val="5C07273B"/>
    <w:rsid w:val="5C0827EA"/>
    <w:rsid w:val="5C0C66EE"/>
    <w:rsid w:val="5C133668"/>
    <w:rsid w:val="5C1B076F"/>
    <w:rsid w:val="5C237623"/>
    <w:rsid w:val="5C2C0286"/>
    <w:rsid w:val="5C4053A2"/>
    <w:rsid w:val="5C5D6E1A"/>
    <w:rsid w:val="5C653416"/>
    <w:rsid w:val="5C6E2094"/>
    <w:rsid w:val="5C7644F2"/>
    <w:rsid w:val="5C86031F"/>
    <w:rsid w:val="5C98591B"/>
    <w:rsid w:val="5CA2679A"/>
    <w:rsid w:val="5CC20BEA"/>
    <w:rsid w:val="5CD1707F"/>
    <w:rsid w:val="5CE93D2F"/>
    <w:rsid w:val="5CEE378D"/>
    <w:rsid w:val="5CEE7C31"/>
    <w:rsid w:val="5D0336DD"/>
    <w:rsid w:val="5D1E0517"/>
    <w:rsid w:val="5D327B1E"/>
    <w:rsid w:val="5D417D61"/>
    <w:rsid w:val="5D445AA3"/>
    <w:rsid w:val="5D4F09FD"/>
    <w:rsid w:val="5D4F6922"/>
    <w:rsid w:val="5D593B9B"/>
    <w:rsid w:val="5D681792"/>
    <w:rsid w:val="5D6879E4"/>
    <w:rsid w:val="5D8B20DF"/>
    <w:rsid w:val="5D9407D9"/>
    <w:rsid w:val="5D941DBC"/>
    <w:rsid w:val="5D9E1657"/>
    <w:rsid w:val="5DA44EE4"/>
    <w:rsid w:val="5DA64068"/>
    <w:rsid w:val="5DC6470A"/>
    <w:rsid w:val="5DCA5FA9"/>
    <w:rsid w:val="5DDF554B"/>
    <w:rsid w:val="5DFA4B8C"/>
    <w:rsid w:val="5E0A0A9B"/>
    <w:rsid w:val="5E135BA1"/>
    <w:rsid w:val="5E1C0622"/>
    <w:rsid w:val="5E31427A"/>
    <w:rsid w:val="5E4E4E2C"/>
    <w:rsid w:val="5E4F4700"/>
    <w:rsid w:val="5E5B4E53"/>
    <w:rsid w:val="5E5F7277"/>
    <w:rsid w:val="5E68756F"/>
    <w:rsid w:val="5E6E2DD8"/>
    <w:rsid w:val="5E736640"/>
    <w:rsid w:val="5E7C09F8"/>
    <w:rsid w:val="5EA81761"/>
    <w:rsid w:val="5EA93E10"/>
    <w:rsid w:val="5EDD7F5D"/>
    <w:rsid w:val="5EF62DCD"/>
    <w:rsid w:val="5EF7101F"/>
    <w:rsid w:val="5EFC6636"/>
    <w:rsid w:val="5F28567D"/>
    <w:rsid w:val="5F3D06FD"/>
    <w:rsid w:val="5F630463"/>
    <w:rsid w:val="5F645F89"/>
    <w:rsid w:val="5F702B80"/>
    <w:rsid w:val="5F772160"/>
    <w:rsid w:val="5F7C1524"/>
    <w:rsid w:val="5F8B7223"/>
    <w:rsid w:val="5FAF18FA"/>
    <w:rsid w:val="5FB707AE"/>
    <w:rsid w:val="5FBC6771"/>
    <w:rsid w:val="5FCD0473"/>
    <w:rsid w:val="5FD255E8"/>
    <w:rsid w:val="5FD451CA"/>
    <w:rsid w:val="5FD50C35"/>
    <w:rsid w:val="5FF923DA"/>
    <w:rsid w:val="5FFF5CB2"/>
    <w:rsid w:val="600F0F55"/>
    <w:rsid w:val="601E438A"/>
    <w:rsid w:val="602120CC"/>
    <w:rsid w:val="6037488B"/>
    <w:rsid w:val="60885CA7"/>
    <w:rsid w:val="6089214B"/>
    <w:rsid w:val="60911000"/>
    <w:rsid w:val="60BF556F"/>
    <w:rsid w:val="60C03693"/>
    <w:rsid w:val="60C2565D"/>
    <w:rsid w:val="60C2740B"/>
    <w:rsid w:val="60D26CB0"/>
    <w:rsid w:val="60E84AB8"/>
    <w:rsid w:val="60FC0FD2"/>
    <w:rsid w:val="610F0176"/>
    <w:rsid w:val="612B1454"/>
    <w:rsid w:val="612B2A73"/>
    <w:rsid w:val="612C6F7A"/>
    <w:rsid w:val="61406582"/>
    <w:rsid w:val="614E5143"/>
    <w:rsid w:val="615D260A"/>
    <w:rsid w:val="617F52FC"/>
    <w:rsid w:val="61970898"/>
    <w:rsid w:val="619863BE"/>
    <w:rsid w:val="619D39D4"/>
    <w:rsid w:val="61AB7E9F"/>
    <w:rsid w:val="61B775A5"/>
    <w:rsid w:val="61C176C2"/>
    <w:rsid w:val="61D70C94"/>
    <w:rsid w:val="61E41603"/>
    <w:rsid w:val="61E635CD"/>
    <w:rsid w:val="62111C10"/>
    <w:rsid w:val="625C563D"/>
    <w:rsid w:val="626A7D5A"/>
    <w:rsid w:val="62764951"/>
    <w:rsid w:val="628030DA"/>
    <w:rsid w:val="628A1536"/>
    <w:rsid w:val="6291178B"/>
    <w:rsid w:val="62953F06"/>
    <w:rsid w:val="62A0377C"/>
    <w:rsid w:val="62A274F4"/>
    <w:rsid w:val="62A462AD"/>
    <w:rsid w:val="62B03C86"/>
    <w:rsid w:val="62B92A90"/>
    <w:rsid w:val="62BB05B6"/>
    <w:rsid w:val="62E91AF8"/>
    <w:rsid w:val="62EB2CE3"/>
    <w:rsid w:val="62EF3E31"/>
    <w:rsid w:val="62FB4E56"/>
    <w:rsid w:val="63091321"/>
    <w:rsid w:val="631F41C5"/>
    <w:rsid w:val="63493E13"/>
    <w:rsid w:val="63495BC1"/>
    <w:rsid w:val="63536A40"/>
    <w:rsid w:val="63556314"/>
    <w:rsid w:val="63612F0B"/>
    <w:rsid w:val="638B7F88"/>
    <w:rsid w:val="638E2A6E"/>
    <w:rsid w:val="638E5CCA"/>
    <w:rsid w:val="63B03E93"/>
    <w:rsid w:val="63B23767"/>
    <w:rsid w:val="63B374DF"/>
    <w:rsid w:val="63C11BFC"/>
    <w:rsid w:val="63D11FD6"/>
    <w:rsid w:val="63DF02D4"/>
    <w:rsid w:val="63E820BD"/>
    <w:rsid w:val="63F55D49"/>
    <w:rsid w:val="63FD00F7"/>
    <w:rsid w:val="640C5915"/>
    <w:rsid w:val="64502F80"/>
    <w:rsid w:val="64561826"/>
    <w:rsid w:val="64617DE7"/>
    <w:rsid w:val="646E0010"/>
    <w:rsid w:val="64721148"/>
    <w:rsid w:val="64787908"/>
    <w:rsid w:val="648A0240"/>
    <w:rsid w:val="6497295D"/>
    <w:rsid w:val="64A01811"/>
    <w:rsid w:val="64AF1596"/>
    <w:rsid w:val="64B50653"/>
    <w:rsid w:val="64E50545"/>
    <w:rsid w:val="64F25DE5"/>
    <w:rsid w:val="64FE6027"/>
    <w:rsid w:val="650224CC"/>
    <w:rsid w:val="65150451"/>
    <w:rsid w:val="6534451A"/>
    <w:rsid w:val="654806C1"/>
    <w:rsid w:val="659D21F5"/>
    <w:rsid w:val="65B8702E"/>
    <w:rsid w:val="65CC6636"/>
    <w:rsid w:val="65CE0600"/>
    <w:rsid w:val="65D77DB5"/>
    <w:rsid w:val="65DF280D"/>
    <w:rsid w:val="65F07B20"/>
    <w:rsid w:val="65F71905"/>
    <w:rsid w:val="66171FA7"/>
    <w:rsid w:val="663F32AC"/>
    <w:rsid w:val="664A237C"/>
    <w:rsid w:val="66680A54"/>
    <w:rsid w:val="66A44487"/>
    <w:rsid w:val="66BB6DD6"/>
    <w:rsid w:val="66C22463"/>
    <w:rsid w:val="66D47E80"/>
    <w:rsid w:val="67075E3B"/>
    <w:rsid w:val="6758164A"/>
    <w:rsid w:val="675B4115"/>
    <w:rsid w:val="67672ABA"/>
    <w:rsid w:val="678C0773"/>
    <w:rsid w:val="67957627"/>
    <w:rsid w:val="67A1421E"/>
    <w:rsid w:val="67AE2497"/>
    <w:rsid w:val="67B101D9"/>
    <w:rsid w:val="67BF46A4"/>
    <w:rsid w:val="67DC4D02"/>
    <w:rsid w:val="67E009E2"/>
    <w:rsid w:val="67F27CE8"/>
    <w:rsid w:val="67FD44DC"/>
    <w:rsid w:val="68073211"/>
    <w:rsid w:val="684150B9"/>
    <w:rsid w:val="6853303E"/>
    <w:rsid w:val="685400D7"/>
    <w:rsid w:val="68617509"/>
    <w:rsid w:val="68654F6B"/>
    <w:rsid w:val="68703BF0"/>
    <w:rsid w:val="687A5CD7"/>
    <w:rsid w:val="687D0256"/>
    <w:rsid w:val="687E00BB"/>
    <w:rsid w:val="687E630D"/>
    <w:rsid w:val="688F22C8"/>
    <w:rsid w:val="68A67612"/>
    <w:rsid w:val="68FD701E"/>
    <w:rsid w:val="69053166"/>
    <w:rsid w:val="69194288"/>
    <w:rsid w:val="691E2357"/>
    <w:rsid w:val="69291EFB"/>
    <w:rsid w:val="693E35B7"/>
    <w:rsid w:val="694A61EF"/>
    <w:rsid w:val="694D7A8E"/>
    <w:rsid w:val="695B21AB"/>
    <w:rsid w:val="695B664F"/>
    <w:rsid w:val="696A448C"/>
    <w:rsid w:val="696C260A"/>
    <w:rsid w:val="69765236"/>
    <w:rsid w:val="69915AAA"/>
    <w:rsid w:val="69967687"/>
    <w:rsid w:val="69A61A98"/>
    <w:rsid w:val="69BD4C13"/>
    <w:rsid w:val="69BE2739"/>
    <w:rsid w:val="69CE0BCF"/>
    <w:rsid w:val="69D63F27"/>
    <w:rsid w:val="6A266C5C"/>
    <w:rsid w:val="6A2904FB"/>
    <w:rsid w:val="6A301889"/>
    <w:rsid w:val="6A4C59A8"/>
    <w:rsid w:val="6A773014"/>
    <w:rsid w:val="6A8E65B0"/>
    <w:rsid w:val="6A8F61F9"/>
    <w:rsid w:val="6AA638F9"/>
    <w:rsid w:val="6AAB1ED1"/>
    <w:rsid w:val="6AB778B5"/>
    <w:rsid w:val="6ACA3A8C"/>
    <w:rsid w:val="6ACD0E86"/>
    <w:rsid w:val="6AD20E4B"/>
    <w:rsid w:val="6AD23C69"/>
    <w:rsid w:val="6AE57762"/>
    <w:rsid w:val="6AE6019A"/>
    <w:rsid w:val="6AEA051B"/>
    <w:rsid w:val="6AFF54B5"/>
    <w:rsid w:val="6B040620"/>
    <w:rsid w:val="6B15282D"/>
    <w:rsid w:val="6B166CD1"/>
    <w:rsid w:val="6B482C03"/>
    <w:rsid w:val="6B5B0B88"/>
    <w:rsid w:val="6B6D237F"/>
    <w:rsid w:val="6B8549B8"/>
    <w:rsid w:val="6B8A4FC9"/>
    <w:rsid w:val="6B9145AA"/>
    <w:rsid w:val="6B9320D0"/>
    <w:rsid w:val="6B9D4CFC"/>
    <w:rsid w:val="6BEA3CBA"/>
    <w:rsid w:val="6BEA5A68"/>
    <w:rsid w:val="6BEF307E"/>
    <w:rsid w:val="6BFF1513"/>
    <w:rsid w:val="6C327B3B"/>
    <w:rsid w:val="6C384A25"/>
    <w:rsid w:val="6C5B2B4E"/>
    <w:rsid w:val="6C946C79"/>
    <w:rsid w:val="6CA25845"/>
    <w:rsid w:val="6CC87B57"/>
    <w:rsid w:val="6CC9166F"/>
    <w:rsid w:val="6CD04C5E"/>
    <w:rsid w:val="6CD40BF2"/>
    <w:rsid w:val="6D060641"/>
    <w:rsid w:val="6D100CE9"/>
    <w:rsid w:val="6D1B5C76"/>
    <w:rsid w:val="6D5E495F"/>
    <w:rsid w:val="6D7529A6"/>
    <w:rsid w:val="6DCF760B"/>
    <w:rsid w:val="6DE05ACE"/>
    <w:rsid w:val="6DF40A31"/>
    <w:rsid w:val="6DF57072"/>
    <w:rsid w:val="6E0E18AD"/>
    <w:rsid w:val="6E2C05BA"/>
    <w:rsid w:val="6E7C1007"/>
    <w:rsid w:val="6E7E6E37"/>
    <w:rsid w:val="6EB20ABF"/>
    <w:rsid w:val="6ECD58F9"/>
    <w:rsid w:val="6ED86B95"/>
    <w:rsid w:val="6EDA1ED2"/>
    <w:rsid w:val="6EF410D7"/>
    <w:rsid w:val="6F0D3F47"/>
    <w:rsid w:val="6F146E66"/>
    <w:rsid w:val="6F176B74"/>
    <w:rsid w:val="6F235519"/>
    <w:rsid w:val="6F241291"/>
    <w:rsid w:val="6F280D81"/>
    <w:rsid w:val="6F2D2FDE"/>
    <w:rsid w:val="6F6A3147"/>
    <w:rsid w:val="6F906926"/>
    <w:rsid w:val="6F970AF7"/>
    <w:rsid w:val="6FAF14A2"/>
    <w:rsid w:val="6FF000D3"/>
    <w:rsid w:val="70143B2C"/>
    <w:rsid w:val="70157BEC"/>
    <w:rsid w:val="70222BFF"/>
    <w:rsid w:val="7027728A"/>
    <w:rsid w:val="702C48A1"/>
    <w:rsid w:val="703B7727"/>
    <w:rsid w:val="70426DA6"/>
    <w:rsid w:val="70447F3B"/>
    <w:rsid w:val="705C33D8"/>
    <w:rsid w:val="705F4C76"/>
    <w:rsid w:val="7060454A"/>
    <w:rsid w:val="706758D9"/>
    <w:rsid w:val="70782982"/>
    <w:rsid w:val="70926DFA"/>
    <w:rsid w:val="70B52AE8"/>
    <w:rsid w:val="70BE677E"/>
    <w:rsid w:val="70FA674D"/>
    <w:rsid w:val="7105765A"/>
    <w:rsid w:val="711D0E88"/>
    <w:rsid w:val="714D0F73"/>
    <w:rsid w:val="715D46EB"/>
    <w:rsid w:val="716B404A"/>
    <w:rsid w:val="71716F97"/>
    <w:rsid w:val="71B7463E"/>
    <w:rsid w:val="71CF1988"/>
    <w:rsid w:val="71D13952"/>
    <w:rsid w:val="71D64AC4"/>
    <w:rsid w:val="71D76A8E"/>
    <w:rsid w:val="71E511AB"/>
    <w:rsid w:val="7214383E"/>
    <w:rsid w:val="721D6B97"/>
    <w:rsid w:val="722577FA"/>
    <w:rsid w:val="722D66AE"/>
    <w:rsid w:val="7267248B"/>
    <w:rsid w:val="72872262"/>
    <w:rsid w:val="72A11576"/>
    <w:rsid w:val="72C41BF8"/>
    <w:rsid w:val="72CB1B21"/>
    <w:rsid w:val="72E15E16"/>
    <w:rsid w:val="72FA0C86"/>
    <w:rsid w:val="73025D8D"/>
    <w:rsid w:val="730D09BA"/>
    <w:rsid w:val="730E64E0"/>
    <w:rsid w:val="73261A7B"/>
    <w:rsid w:val="73363C8E"/>
    <w:rsid w:val="73C0167E"/>
    <w:rsid w:val="73C179F6"/>
    <w:rsid w:val="73ED2599"/>
    <w:rsid w:val="73F43887"/>
    <w:rsid w:val="74035919"/>
    <w:rsid w:val="742A559B"/>
    <w:rsid w:val="74807710"/>
    <w:rsid w:val="7489258C"/>
    <w:rsid w:val="748A7DE8"/>
    <w:rsid w:val="74982D23"/>
    <w:rsid w:val="749B6D49"/>
    <w:rsid w:val="74AA048A"/>
    <w:rsid w:val="74C01A5C"/>
    <w:rsid w:val="74C94DB4"/>
    <w:rsid w:val="74D07EF1"/>
    <w:rsid w:val="74E44346"/>
    <w:rsid w:val="74E67714"/>
    <w:rsid w:val="74EE5B42"/>
    <w:rsid w:val="74F160B9"/>
    <w:rsid w:val="75263FB5"/>
    <w:rsid w:val="7531363C"/>
    <w:rsid w:val="7534466A"/>
    <w:rsid w:val="75371D1E"/>
    <w:rsid w:val="753D4E5A"/>
    <w:rsid w:val="75554EB7"/>
    <w:rsid w:val="75575F1C"/>
    <w:rsid w:val="7561323F"/>
    <w:rsid w:val="757F36C5"/>
    <w:rsid w:val="75864A53"/>
    <w:rsid w:val="758B02BC"/>
    <w:rsid w:val="7592164A"/>
    <w:rsid w:val="75CF63FA"/>
    <w:rsid w:val="75E874BC"/>
    <w:rsid w:val="75F53B5E"/>
    <w:rsid w:val="76143A7C"/>
    <w:rsid w:val="76165DD7"/>
    <w:rsid w:val="761C0F14"/>
    <w:rsid w:val="762D67F3"/>
    <w:rsid w:val="76326989"/>
    <w:rsid w:val="76373F9F"/>
    <w:rsid w:val="763B75EC"/>
    <w:rsid w:val="76404C02"/>
    <w:rsid w:val="764F3097"/>
    <w:rsid w:val="76640494"/>
    <w:rsid w:val="76742AFE"/>
    <w:rsid w:val="76784B5F"/>
    <w:rsid w:val="76A2766B"/>
    <w:rsid w:val="76B64EC4"/>
    <w:rsid w:val="76B949B4"/>
    <w:rsid w:val="76E00193"/>
    <w:rsid w:val="76EF6628"/>
    <w:rsid w:val="76FC438A"/>
    <w:rsid w:val="77060275"/>
    <w:rsid w:val="7711659E"/>
    <w:rsid w:val="7712735A"/>
    <w:rsid w:val="772633A6"/>
    <w:rsid w:val="772E0EFE"/>
    <w:rsid w:val="77483121"/>
    <w:rsid w:val="77512B7E"/>
    <w:rsid w:val="77530ACC"/>
    <w:rsid w:val="77822FF8"/>
    <w:rsid w:val="77882D05"/>
    <w:rsid w:val="779F5A31"/>
    <w:rsid w:val="77A17922"/>
    <w:rsid w:val="77B538BA"/>
    <w:rsid w:val="77BC616A"/>
    <w:rsid w:val="77C67389"/>
    <w:rsid w:val="78065D9D"/>
    <w:rsid w:val="7814332A"/>
    <w:rsid w:val="781F6A99"/>
    <w:rsid w:val="78253603"/>
    <w:rsid w:val="782930FB"/>
    <w:rsid w:val="78462278"/>
    <w:rsid w:val="78564BB1"/>
    <w:rsid w:val="785B21C7"/>
    <w:rsid w:val="7864184C"/>
    <w:rsid w:val="78715547"/>
    <w:rsid w:val="7879264D"/>
    <w:rsid w:val="788D60F9"/>
    <w:rsid w:val="788E73C7"/>
    <w:rsid w:val="789F4C85"/>
    <w:rsid w:val="78C310E0"/>
    <w:rsid w:val="78D14A6A"/>
    <w:rsid w:val="78EC72C3"/>
    <w:rsid w:val="78F10436"/>
    <w:rsid w:val="79172BFD"/>
    <w:rsid w:val="79295E21"/>
    <w:rsid w:val="7984408C"/>
    <w:rsid w:val="79905EA0"/>
    <w:rsid w:val="79982FA7"/>
    <w:rsid w:val="799A1440"/>
    <w:rsid w:val="799D0BD2"/>
    <w:rsid w:val="79B7342D"/>
    <w:rsid w:val="79E81839"/>
    <w:rsid w:val="7A0572C5"/>
    <w:rsid w:val="7A0B19CB"/>
    <w:rsid w:val="7A0E5017"/>
    <w:rsid w:val="7A0F14BB"/>
    <w:rsid w:val="7A2B0650"/>
    <w:rsid w:val="7A364CA1"/>
    <w:rsid w:val="7A3F48BC"/>
    <w:rsid w:val="7A574C10"/>
    <w:rsid w:val="7A6510DB"/>
    <w:rsid w:val="7A733C63"/>
    <w:rsid w:val="7A756E44"/>
    <w:rsid w:val="7A7C4677"/>
    <w:rsid w:val="7A820CA8"/>
    <w:rsid w:val="7A8D060F"/>
    <w:rsid w:val="7AA940B9"/>
    <w:rsid w:val="7ABB21BA"/>
    <w:rsid w:val="7AC258AA"/>
    <w:rsid w:val="7AF728B3"/>
    <w:rsid w:val="7AF91823"/>
    <w:rsid w:val="7AFB47C4"/>
    <w:rsid w:val="7AFC26F9"/>
    <w:rsid w:val="7B060A1C"/>
    <w:rsid w:val="7B193C74"/>
    <w:rsid w:val="7B1D3764"/>
    <w:rsid w:val="7B1E128A"/>
    <w:rsid w:val="7B4038F6"/>
    <w:rsid w:val="7B4056A4"/>
    <w:rsid w:val="7B4707E1"/>
    <w:rsid w:val="7B7E67DE"/>
    <w:rsid w:val="7B8F36B7"/>
    <w:rsid w:val="7B9149D4"/>
    <w:rsid w:val="7B971768"/>
    <w:rsid w:val="7BB15D01"/>
    <w:rsid w:val="7BB35E76"/>
    <w:rsid w:val="7BC260B9"/>
    <w:rsid w:val="7BCB092A"/>
    <w:rsid w:val="7C06244A"/>
    <w:rsid w:val="7C1E1D0C"/>
    <w:rsid w:val="7C2823C0"/>
    <w:rsid w:val="7C4B4301"/>
    <w:rsid w:val="7C5E4034"/>
    <w:rsid w:val="7C907F65"/>
    <w:rsid w:val="7C961A20"/>
    <w:rsid w:val="7C99506C"/>
    <w:rsid w:val="7CB1695B"/>
    <w:rsid w:val="7CDD764F"/>
    <w:rsid w:val="7CE31841"/>
    <w:rsid w:val="7CE47D4A"/>
    <w:rsid w:val="7D123F55"/>
    <w:rsid w:val="7D250FF6"/>
    <w:rsid w:val="7D3B4375"/>
    <w:rsid w:val="7D3D3650"/>
    <w:rsid w:val="7D5009C7"/>
    <w:rsid w:val="7D717D97"/>
    <w:rsid w:val="7D7358BD"/>
    <w:rsid w:val="7D7C30F3"/>
    <w:rsid w:val="7D7D04EA"/>
    <w:rsid w:val="7D831878"/>
    <w:rsid w:val="7DB54128"/>
    <w:rsid w:val="7DEB7B49"/>
    <w:rsid w:val="7DF822E1"/>
    <w:rsid w:val="7E01736D"/>
    <w:rsid w:val="7E3A63DB"/>
    <w:rsid w:val="7E4159BB"/>
    <w:rsid w:val="7E553996"/>
    <w:rsid w:val="7E5C27F5"/>
    <w:rsid w:val="7E5E47BF"/>
    <w:rsid w:val="7E8525EA"/>
    <w:rsid w:val="7E906943"/>
    <w:rsid w:val="7E941F8F"/>
    <w:rsid w:val="7E9C0831"/>
    <w:rsid w:val="7E9C0E44"/>
    <w:rsid w:val="7EBF4B32"/>
    <w:rsid w:val="7ED224C9"/>
    <w:rsid w:val="7EE53972"/>
    <w:rsid w:val="7EF944E8"/>
    <w:rsid w:val="7F2A46A1"/>
    <w:rsid w:val="7F361298"/>
    <w:rsid w:val="7F385010"/>
    <w:rsid w:val="7F4F4108"/>
    <w:rsid w:val="7F5F785B"/>
    <w:rsid w:val="7F7678E7"/>
    <w:rsid w:val="7F7D0C75"/>
    <w:rsid w:val="7F7D2A23"/>
    <w:rsid w:val="7F842003"/>
    <w:rsid w:val="7FA83860"/>
    <w:rsid w:val="7FAC155A"/>
    <w:rsid w:val="7FB36445"/>
    <w:rsid w:val="7FBB354B"/>
    <w:rsid w:val="7FBE7B33"/>
    <w:rsid w:val="7FC76394"/>
    <w:rsid w:val="7FD14B1D"/>
    <w:rsid w:val="7FD34D39"/>
    <w:rsid w:val="7FDF548C"/>
    <w:rsid w:val="7FFA4074"/>
    <w:rsid w:val="7FFF17B3"/>
    <w:rsid w:val="8952B34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7"/>
    <w:qFormat/>
    <w:uiPriority w:val="99"/>
    <w:pPr>
      <w:autoSpaceDE w:val="0"/>
      <w:autoSpaceDN w:val="0"/>
      <w:jc w:val="center"/>
      <w:outlineLvl w:val="1"/>
    </w:pPr>
    <w:rPr>
      <w:rFonts w:ascii="仿宋" w:hAnsi="仿宋" w:eastAsia="仿宋" w:cs="宋体"/>
      <w:b/>
      <w:bCs/>
      <w:kern w:val="0"/>
      <w:sz w:val="24"/>
    </w:rPr>
  </w:style>
  <w:style w:type="paragraph" w:styleId="5">
    <w:name w:val="heading 3"/>
    <w:basedOn w:val="1"/>
    <w:next w:val="1"/>
    <w:qFormat/>
    <w:uiPriority w:val="9"/>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Body Text"/>
    <w:basedOn w:val="1"/>
    <w:link w:val="35"/>
    <w:qFormat/>
    <w:uiPriority w:val="0"/>
    <w:pPr>
      <w:spacing w:after="120"/>
    </w:pPr>
  </w:style>
  <w:style w:type="paragraph" w:styleId="6">
    <w:name w:val="Normal Indent"/>
    <w:basedOn w:val="1"/>
    <w:link w:val="38"/>
    <w:qFormat/>
    <w:uiPriority w:val="0"/>
    <w:pPr>
      <w:ind w:firstLine="420" w:firstLineChars="200"/>
    </w:pPr>
    <w:rPr>
      <w:szCs w:val="20"/>
    </w:rPr>
  </w:style>
  <w:style w:type="paragraph" w:styleId="7">
    <w:name w:val="caption"/>
    <w:basedOn w:val="1"/>
    <w:next w:val="1"/>
    <w:qFormat/>
    <w:uiPriority w:val="0"/>
    <w:pPr>
      <w:widowControl/>
      <w:jc w:val="left"/>
    </w:pPr>
    <w:rPr>
      <w:rFonts w:ascii="Calibri" w:hAnsi="Calibri"/>
      <w:b/>
      <w:bCs/>
      <w:color w:val="2DA2BF"/>
      <w:kern w:val="0"/>
      <w:sz w:val="18"/>
      <w:szCs w:val="18"/>
    </w:rPr>
  </w:style>
  <w:style w:type="paragraph" w:styleId="8">
    <w:name w:val="annotation text"/>
    <w:basedOn w:val="1"/>
    <w:link w:val="39"/>
    <w:qFormat/>
    <w:uiPriority w:val="0"/>
    <w:pPr>
      <w:jc w:val="left"/>
    </w:pPr>
  </w:style>
  <w:style w:type="paragraph" w:styleId="9">
    <w:name w:val="Body Text Indent"/>
    <w:basedOn w:val="1"/>
    <w:qFormat/>
    <w:uiPriority w:val="0"/>
    <w:pPr>
      <w:snapToGrid w:val="0"/>
      <w:spacing w:before="120" w:line="360" w:lineRule="atLeast"/>
      <w:ind w:firstLine="539"/>
    </w:pPr>
    <w:rPr>
      <w:sz w:val="24"/>
    </w:rPr>
  </w:style>
  <w:style w:type="paragraph" w:styleId="10">
    <w:name w:val="Block Text"/>
    <w:basedOn w:val="1"/>
    <w:qFormat/>
    <w:uiPriority w:val="0"/>
    <w:pPr>
      <w:adjustRightInd w:val="0"/>
      <w:snapToGrid w:val="0"/>
      <w:spacing w:line="490" w:lineRule="atLeast"/>
      <w:ind w:left="10" w:leftChars="5" w:right="-449" w:rightChars="-214" w:firstLine="560" w:firstLineChars="200"/>
    </w:pPr>
    <w:rPr>
      <w:color w:val="000000"/>
      <w:sz w:val="28"/>
    </w:rPr>
  </w:style>
  <w:style w:type="paragraph" w:styleId="11">
    <w:name w:val="List Bullet 2"/>
    <w:basedOn w:val="1"/>
    <w:next w:val="12"/>
    <w:unhideWhenUsed/>
    <w:qFormat/>
    <w:uiPriority w:val="99"/>
    <w:pPr>
      <w:numPr>
        <w:ilvl w:val="0"/>
        <w:numId w:val="1"/>
      </w:numPr>
    </w:pPr>
  </w:style>
  <w:style w:type="paragraph" w:customStyle="1" w:styleId="12">
    <w:name w:val="xl70"/>
    <w:basedOn w:val="1"/>
    <w:next w:val="13"/>
    <w:qFormat/>
    <w:uiPriority w:val="0"/>
    <w:pPr>
      <w:widowControl/>
      <w:pBdr>
        <w:bottom w:val="single" w:color="auto" w:sz="8" w:space="0"/>
        <w:right w:val="single" w:color="auto" w:sz="8" w:space="0"/>
      </w:pBdr>
      <w:spacing w:before="100" w:beforeAutospacing="1" w:after="100" w:afterAutospacing="1"/>
      <w:jc w:val="center"/>
    </w:pPr>
    <w:rPr>
      <w:kern w:val="0"/>
    </w:rPr>
  </w:style>
  <w:style w:type="paragraph" w:customStyle="1" w:styleId="13">
    <w:name w:val="正文缩进1"/>
    <w:basedOn w:val="1"/>
    <w:next w:val="14"/>
    <w:qFormat/>
    <w:uiPriority w:val="0"/>
    <w:pPr>
      <w:numPr>
        <w:ilvl w:val="1"/>
        <w:numId w:val="2"/>
      </w:numPr>
      <w:tabs>
        <w:tab w:val="clear" w:pos="576"/>
      </w:tabs>
      <w:spacing w:line="480" w:lineRule="exact"/>
      <w:ind w:left="0" w:firstLine="560" w:firstLineChars="200"/>
    </w:pPr>
    <w:rPr>
      <w:rFonts w:ascii="仿宋_GB2312" w:hAnsi="宋体" w:eastAsia="仿宋_GB2312"/>
      <w:sz w:val="28"/>
      <w:szCs w:val="24"/>
    </w:rPr>
  </w:style>
  <w:style w:type="paragraph" w:customStyle="1" w:styleId="14">
    <w:name w:val="td1"/>
    <w:basedOn w:val="1"/>
    <w:next w:val="1"/>
    <w:qFormat/>
    <w:uiPriority w:val="0"/>
    <w:pPr>
      <w:widowControl/>
      <w:autoSpaceDE/>
      <w:autoSpaceDN/>
      <w:spacing w:before="280" w:after="280" w:line="300" w:lineRule="atLeast"/>
      <w:ind w:left="0" w:firstLine="200"/>
    </w:pPr>
    <w:rPr>
      <w:rFonts w:ascii="Times New Roman" w:eastAsia="宋体"/>
      <w:color w:val="000000"/>
      <w:sz w:val="18"/>
    </w:rPr>
  </w:style>
  <w:style w:type="paragraph" w:styleId="1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16">
    <w:name w:val="Plain Text"/>
    <w:basedOn w:val="1"/>
    <w:qFormat/>
    <w:uiPriority w:val="0"/>
    <w:pPr>
      <w:adjustRightInd w:val="0"/>
      <w:spacing w:before="120" w:line="400" w:lineRule="exact"/>
      <w:textAlignment w:val="baseline"/>
    </w:pPr>
    <w:rPr>
      <w:rFonts w:ascii="宋体" w:hAnsi="Courier New"/>
      <w:spacing w:val="-2"/>
      <w:kern w:val="28"/>
    </w:rPr>
  </w:style>
  <w:style w:type="paragraph" w:styleId="17">
    <w:name w:val="List Bullet 5"/>
    <w:basedOn w:val="1"/>
    <w:unhideWhenUsed/>
    <w:qFormat/>
    <w:uiPriority w:val="99"/>
    <w:pPr>
      <w:numPr>
        <w:ilvl w:val="0"/>
        <w:numId w:val="3"/>
      </w:numPr>
    </w:pPr>
  </w:style>
  <w:style w:type="paragraph" w:styleId="18">
    <w:name w:val="Body Text Indent 2"/>
    <w:basedOn w:val="1"/>
    <w:qFormat/>
    <w:uiPriority w:val="0"/>
    <w:pPr>
      <w:spacing w:before="15" w:line="480" w:lineRule="exact"/>
      <w:ind w:firstLine="200" w:firstLineChars="200"/>
    </w:pPr>
    <w:rPr>
      <w:rFonts w:ascii="宋体"/>
      <w:spacing w:val="4"/>
      <w:sz w:val="24"/>
    </w:rPr>
  </w:style>
  <w:style w:type="paragraph" w:styleId="19">
    <w:name w:val="footer"/>
    <w:basedOn w:val="1"/>
    <w:link w:val="40"/>
    <w:unhideWhenUsed/>
    <w:qFormat/>
    <w:uiPriority w:val="99"/>
    <w:pPr>
      <w:tabs>
        <w:tab w:val="center" w:pos="4153"/>
        <w:tab w:val="right" w:pos="8306"/>
      </w:tabs>
      <w:snapToGrid w:val="0"/>
      <w:jc w:val="left"/>
    </w:pPr>
    <w:rPr>
      <w:rFonts w:ascii="等线" w:hAnsi="等线" w:eastAsia="等线" w:cs="Times New Roman"/>
      <w:sz w:val="18"/>
      <w:szCs w:val="18"/>
    </w:rPr>
  </w:style>
  <w:style w:type="paragraph" w:styleId="20">
    <w:name w:val="header"/>
    <w:basedOn w:val="1"/>
    <w:link w:val="41"/>
    <w:unhideWhenUsed/>
    <w:qFormat/>
    <w:uiPriority w:val="99"/>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21">
    <w:name w:val="toc 1"/>
    <w:basedOn w:val="1"/>
    <w:next w:val="1"/>
    <w:unhideWhenUsed/>
    <w:qFormat/>
    <w:uiPriority w:val="39"/>
    <w:pPr>
      <w:widowControl/>
      <w:spacing w:after="100" w:line="259" w:lineRule="auto"/>
      <w:jc w:val="left"/>
    </w:pPr>
    <w:rPr>
      <w:rFonts w:ascii="等线" w:hAnsi="等线" w:eastAsia="等线"/>
      <w:kern w:val="0"/>
      <w:sz w:val="22"/>
      <w:szCs w:val="22"/>
    </w:rPr>
  </w:style>
  <w:style w:type="paragraph" w:styleId="22">
    <w:name w:val="List"/>
    <w:basedOn w:val="1"/>
    <w:next w:val="11"/>
    <w:qFormat/>
    <w:uiPriority w:val="0"/>
    <w:pPr>
      <w:spacing w:line="240" w:lineRule="auto"/>
      <w:ind w:left="200" w:hanging="200" w:hangingChars="200"/>
      <w:jc w:val="both"/>
    </w:pPr>
    <w:rPr>
      <w:kern w:val="0"/>
      <w:sz w:val="20"/>
      <w:szCs w:val="20"/>
    </w:rPr>
  </w:style>
  <w:style w:type="paragraph" w:styleId="23">
    <w:name w:val="toc 2"/>
    <w:basedOn w:val="1"/>
    <w:next w:val="1"/>
    <w:qFormat/>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24">
    <w:name w:val="Body Text 2"/>
    <w:basedOn w:val="1"/>
    <w:qFormat/>
    <w:uiPriority w:val="0"/>
    <w:pPr>
      <w:widowControl/>
      <w:spacing w:after="120" w:line="480" w:lineRule="auto"/>
      <w:jc w:val="left"/>
    </w:pPr>
    <w:rPr>
      <w:rFonts w:ascii="Calibri" w:hAnsi="Calibri"/>
      <w:kern w:val="0"/>
      <w:sz w:val="22"/>
      <w:szCs w:val="22"/>
    </w:rPr>
  </w:style>
  <w:style w:type="paragraph" w:styleId="25">
    <w:name w:val="Normal (Web)"/>
    <w:basedOn w:val="1"/>
    <w:link w:val="42"/>
    <w:qFormat/>
    <w:uiPriority w:val="0"/>
    <w:pPr>
      <w:widowControl/>
      <w:spacing w:before="100" w:beforeAutospacing="1" w:after="100" w:afterAutospacing="1"/>
      <w:jc w:val="left"/>
    </w:pPr>
    <w:rPr>
      <w:rFonts w:ascii="宋体" w:hAnsi="宋体" w:cs="Times New Roman"/>
      <w:sz w:val="24"/>
      <w:szCs w:val="22"/>
    </w:rPr>
  </w:style>
  <w:style w:type="paragraph" w:styleId="26">
    <w:name w:val="annotation subject"/>
    <w:basedOn w:val="8"/>
    <w:next w:val="8"/>
    <w:link w:val="43"/>
    <w:unhideWhenUsed/>
    <w:qFormat/>
    <w:uiPriority w:val="99"/>
    <w:rPr>
      <w:b/>
      <w:bCs/>
    </w:rPr>
  </w:style>
  <w:style w:type="paragraph" w:styleId="27">
    <w:name w:val="Body Text First Indent"/>
    <w:qFormat/>
    <w:uiPriority w:val="0"/>
    <w:pPr>
      <w:widowControl w:val="0"/>
      <w:adjustRightInd w:val="0"/>
      <w:snapToGrid w:val="0"/>
      <w:spacing w:after="200" w:line="360" w:lineRule="auto"/>
      <w:ind w:firstLine="505"/>
    </w:pPr>
    <w:rPr>
      <w:rFonts w:ascii="Times New Roman" w:hAnsi="Times New Roman" w:eastAsia="宋体" w:cs="Times New Roman"/>
      <w:snapToGrid w:val="0"/>
      <w:kern w:val="28"/>
      <w:sz w:val="24"/>
      <w:szCs w:val="28"/>
      <w:lang w:val="en-US" w:eastAsia="zh-CN" w:bidi="ar-SA"/>
    </w:rPr>
  </w:style>
  <w:style w:type="table" w:styleId="29">
    <w:name w:val="Table Grid"/>
    <w:basedOn w:val="2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rPr>
  </w:style>
  <w:style w:type="character" w:styleId="32">
    <w:name w:val="page number"/>
    <w:qFormat/>
    <w:uiPriority w:val="0"/>
  </w:style>
  <w:style w:type="character" w:styleId="33">
    <w:name w:val="Hyperlink"/>
    <w:unhideWhenUsed/>
    <w:qFormat/>
    <w:uiPriority w:val="99"/>
    <w:rPr>
      <w:color w:val="0563C1"/>
      <w:u w:val="single"/>
    </w:rPr>
  </w:style>
  <w:style w:type="character" w:styleId="34">
    <w:name w:val="annotation reference"/>
    <w:qFormat/>
    <w:uiPriority w:val="0"/>
    <w:rPr>
      <w:sz w:val="21"/>
      <w:szCs w:val="21"/>
    </w:rPr>
  </w:style>
  <w:style w:type="character" w:customStyle="1" w:styleId="35">
    <w:name w:val="正文文本 字符"/>
    <w:link w:val="2"/>
    <w:qFormat/>
    <w:uiPriority w:val="0"/>
    <w:rPr>
      <w:kern w:val="2"/>
      <w:sz w:val="21"/>
    </w:rPr>
  </w:style>
  <w:style w:type="character" w:customStyle="1" w:styleId="36">
    <w:name w:val="标题 1 Char"/>
    <w:basedOn w:val="30"/>
    <w:link w:val="3"/>
    <w:qFormat/>
    <w:uiPriority w:val="9"/>
    <w:rPr>
      <w:rFonts w:ascii="黑体" w:hAnsi="黑体" w:eastAsia="黑体" w:cs="黑体"/>
      <w:sz w:val="28"/>
      <w:szCs w:val="28"/>
      <w:lang w:eastAsia="en-US"/>
    </w:rPr>
  </w:style>
  <w:style w:type="character" w:customStyle="1" w:styleId="37">
    <w:name w:val="标题 2 字符"/>
    <w:link w:val="4"/>
    <w:qFormat/>
    <w:uiPriority w:val="99"/>
    <w:rPr>
      <w:rFonts w:ascii="仿宋" w:hAnsi="仿宋" w:eastAsia="仿宋" w:cs="宋体"/>
      <w:b/>
      <w:bCs/>
      <w:sz w:val="24"/>
      <w:szCs w:val="24"/>
    </w:rPr>
  </w:style>
  <w:style w:type="character" w:customStyle="1" w:styleId="38">
    <w:name w:val="正文缩进 字符1"/>
    <w:link w:val="6"/>
    <w:qFormat/>
    <w:uiPriority w:val="0"/>
    <w:rPr>
      <w:kern w:val="2"/>
      <w:sz w:val="21"/>
    </w:rPr>
  </w:style>
  <w:style w:type="character" w:customStyle="1" w:styleId="39">
    <w:name w:val="批注文字 字符"/>
    <w:link w:val="8"/>
    <w:qFormat/>
    <w:uiPriority w:val="0"/>
    <w:rPr>
      <w:kern w:val="2"/>
      <w:sz w:val="21"/>
      <w:szCs w:val="24"/>
    </w:rPr>
  </w:style>
  <w:style w:type="character" w:customStyle="1" w:styleId="40">
    <w:name w:val="页脚 字符"/>
    <w:link w:val="19"/>
    <w:qFormat/>
    <w:uiPriority w:val="99"/>
    <w:rPr>
      <w:sz w:val="18"/>
      <w:szCs w:val="18"/>
    </w:rPr>
  </w:style>
  <w:style w:type="character" w:customStyle="1" w:styleId="41">
    <w:name w:val="页眉 字符"/>
    <w:link w:val="20"/>
    <w:qFormat/>
    <w:uiPriority w:val="99"/>
    <w:rPr>
      <w:sz w:val="18"/>
      <w:szCs w:val="18"/>
    </w:rPr>
  </w:style>
  <w:style w:type="character" w:customStyle="1" w:styleId="42">
    <w:name w:val="普通(网站) 字符"/>
    <w:link w:val="25"/>
    <w:qFormat/>
    <w:locked/>
    <w:uiPriority w:val="0"/>
    <w:rPr>
      <w:rFonts w:ascii="宋体" w:hAnsi="宋体" w:eastAsia="宋体"/>
      <w:sz w:val="24"/>
    </w:rPr>
  </w:style>
  <w:style w:type="character" w:customStyle="1" w:styleId="43">
    <w:name w:val="批注主题 字符"/>
    <w:link w:val="26"/>
    <w:semiHidden/>
    <w:qFormat/>
    <w:uiPriority w:val="99"/>
    <w:rPr>
      <w:b/>
      <w:bCs/>
      <w:kern w:val="2"/>
      <w:sz w:val="21"/>
      <w:szCs w:val="24"/>
    </w:rPr>
  </w:style>
  <w:style w:type="character" w:customStyle="1" w:styleId="44">
    <w:name w:val="标题 1 字符"/>
    <w:link w:val="3"/>
    <w:qFormat/>
    <w:uiPriority w:val="9"/>
    <w:rPr>
      <w:b/>
      <w:bCs/>
      <w:kern w:val="44"/>
      <w:sz w:val="44"/>
      <w:szCs w:val="44"/>
    </w:rPr>
  </w:style>
  <w:style w:type="character" w:customStyle="1" w:styleId="45">
    <w:name w:val="页脚 字符1"/>
    <w:qFormat/>
    <w:locked/>
    <w:uiPriority w:val="99"/>
    <w:rPr>
      <w:sz w:val="18"/>
    </w:rPr>
  </w:style>
  <w:style w:type="character" w:customStyle="1" w:styleId="46">
    <w:name w:val="表格 Char"/>
    <w:link w:val="47"/>
    <w:qFormat/>
    <w:locked/>
    <w:uiPriority w:val="0"/>
    <w:rPr>
      <w:rFonts w:ascii="宋体"/>
    </w:rPr>
  </w:style>
  <w:style w:type="paragraph" w:customStyle="1" w:styleId="47">
    <w:name w:val="表格"/>
    <w:basedOn w:val="48"/>
    <w:next w:val="1"/>
    <w:link w:val="46"/>
    <w:qFormat/>
    <w:uiPriority w:val="99"/>
    <w:pPr>
      <w:adjustRightInd w:val="0"/>
      <w:snapToGrid w:val="0"/>
      <w:spacing w:beforeLines="10" w:afterLines="10" w:line="259" w:lineRule="auto"/>
      <w:jc w:val="center"/>
    </w:pPr>
    <w:rPr>
      <w:rFonts w:ascii="宋体" w:hAnsi="等线" w:eastAsia="等线" w:cs="Times New Roman"/>
      <w:szCs w:val="22"/>
    </w:rPr>
  </w:style>
  <w:style w:type="paragraph" w:customStyle="1" w:styleId="48">
    <w:name w:val="表头"/>
    <w:basedOn w:val="49"/>
    <w:next w:val="1"/>
    <w:unhideWhenUsed/>
    <w:qFormat/>
    <w:uiPriority w:val="99"/>
    <w:pPr>
      <w:spacing w:before="10" w:beforeLines="0" w:afterLines="0"/>
      <w:textAlignment w:val="baseline"/>
    </w:pPr>
    <w:rPr>
      <w:rFonts w:hint="default"/>
      <w:b/>
      <w:kern w:val="0"/>
      <w:sz w:val="24"/>
      <w:szCs w:val="24"/>
    </w:rPr>
  </w:style>
  <w:style w:type="paragraph" w:customStyle="1" w:styleId="49">
    <w:name w:val="图表"/>
    <w:basedOn w:val="1"/>
    <w:qFormat/>
    <w:uiPriority w:val="0"/>
    <w:pPr>
      <w:adjustRightInd w:val="0"/>
      <w:snapToGrid w:val="0"/>
      <w:jc w:val="center"/>
    </w:pPr>
    <w:rPr>
      <w:color w:val="000000"/>
      <w:szCs w:val="22"/>
      <w:lang w:val="zh-CN"/>
    </w:rPr>
  </w:style>
  <w:style w:type="paragraph" w:customStyle="1" w:styleId="50">
    <w:name w:val="文本"/>
    <w:basedOn w:val="1"/>
    <w:qFormat/>
    <w:uiPriority w:val="0"/>
    <w:pPr>
      <w:adjustRightInd w:val="0"/>
      <w:snapToGrid w:val="0"/>
      <w:spacing w:line="360" w:lineRule="auto"/>
      <w:ind w:firstLine="1446" w:firstLineChars="200"/>
    </w:pPr>
    <w:rPr>
      <w:rFonts w:ascii="Times New Roman" w:hAnsi="Times New Roman"/>
      <w:sz w:val="24"/>
      <w:szCs w:val="24"/>
    </w:rPr>
  </w:style>
  <w:style w:type="paragraph" w:customStyle="1" w:styleId="51">
    <w:name w:val="111正文"/>
    <w:basedOn w:val="1"/>
    <w:qFormat/>
    <w:uiPriority w:val="0"/>
    <w:pPr>
      <w:tabs>
        <w:tab w:val="left" w:pos="600"/>
      </w:tabs>
      <w:spacing w:line="360" w:lineRule="auto"/>
      <w:ind w:firstLine="200" w:firstLineChars="200"/>
    </w:pPr>
    <w:rPr>
      <w:kern w:val="0"/>
      <w:sz w:val="24"/>
      <w:szCs w:val="22"/>
    </w:rPr>
  </w:style>
  <w:style w:type="paragraph" w:customStyle="1" w:styleId="52">
    <w:name w:val="A正文"/>
    <w:basedOn w:val="1"/>
    <w:qFormat/>
    <w:uiPriority w:val="0"/>
    <w:pPr>
      <w:widowControl/>
      <w:spacing w:line="360" w:lineRule="auto"/>
      <w:ind w:firstLine="480" w:firstLineChars="200"/>
      <w:jc w:val="left"/>
    </w:pPr>
    <w:rPr>
      <w:kern w:val="0"/>
      <w:sz w:val="24"/>
    </w:rPr>
  </w:style>
  <w:style w:type="paragraph" w:customStyle="1" w:styleId="53">
    <w:name w:val="表格内文字"/>
    <w:basedOn w:val="1"/>
    <w:link w:val="54"/>
    <w:qFormat/>
    <w:uiPriority w:val="0"/>
    <w:pPr>
      <w:tabs>
        <w:tab w:val="left" w:pos="0"/>
      </w:tabs>
      <w:adjustRightInd w:val="0"/>
      <w:snapToGrid w:val="0"/>
      <w:jc w:val="center"/>
    </w:pPr>
    <w:rPr>
      <w:rFonts w:eastAsia="仿宋_GB2312"/>
      <w:sz w:val="24"/>
    </w:rPr>
  </w:style>
  <w:style w:type="character" w:customStyle="1" w:styleId="54">
    <w:name w:val="表格内文字 Char"/>
    <w:link w:val="53"/>
    <w:qFormat/>
    <w:uiPriority w:val="0"/>
    <w:rPr>
      <w:rFonts w:eastAsia="仿宋_GB2312"/>
      <w:kern w:val="2"/>
      <w:sz w:val="24"/>
      <w:szCs w:val="24"/>
    </w:rPr>
  </w:style>
  <w:style w:type="paragraph" w:customStyle="1" w:styleId="55">
    <w:name w:val="表格中文字"/>
    <w:basedOn w:val="1"/>
    <w:link w:val="56"/>
    <w:qFormat/>
    <w:uiPriority w:val="0"/>
    <w:pPr>
      <w:adjustRightInd w:val="0"/>
      <w:snapToGrid w:val="0"/>
      <w:jc w:val="center"/>
    </w:pPr>
    <w:rPr>
      <w:kern w:val="18"/>
      <w:szCs w:val="21"/>
    </w:rPr>
  </w:style>
  <w:style w:type="character" w:customStyle="1" w:styleId="56">
    <w:name w:val="表格中文字 Char Char"/>
    <w:link w:val="55"/>
    <w:qFormat/>
    <w:uiPriority w:val="0"/>
    <w:rPr>
      <w:kern w:val="18"/>
      <w:sz w:val="21"/>
      <w:szCs w:val="21"/>
    </w:rPr>
  </w:style>
  <w:style w:type="paragraph" w:customStyle="1" w:styleId="57">
    <w:name w:val="表格下方正文"/>
    <w:basedOn w:val="1"/>
    <w:qFormat/>
    <w:uiPriority w:val="0"/>
    <w:pPr>
      <w:spacing w:before="300" w:line="460" w:lineRule="exact"/>
      <w:ind w:firstLine="200" w:firstLineChars="200"/>
    </w:pPr>
  </w:style>
  <w:style w:type="paragraph" w:customStyle="1" w:styleId="58">
    <w:name w:val="5级标题"/>
    <w:basedOn w:val="1"/>
    <w:qFormat/>
    <w:uiPriority w:val="0"/>
    <w:pPr>
      <w:spacing w:line="360" w:lineRule="auto"/>
      <w:jc w:val="left"/>
    </w:pPr>
    <w:rPr>
      <w:kern w:val="0"/>
      <w:sz w:val="24"/>
    </w:rPr>
  </w:style>
  <w:style w:type="paragraph" w:customStyle="1" w:styleId="59">
    <w:name w:val="霍尼韦尔"/>
    <w:basedOn w:val="1"/>
    <w:qFormat/>
    <w:uiPriority w:val="0"/>
    <w:pPr>
      <w:spacing w:line="480" w:lineRule="exact"/>
      <w:ind w:firstLine="480" w:firstLineChars="200"/>
      <w:jc w:val="left"/>
    </w:pPr>
    <w:rPr>
      <w:kern w:val="0"/>
      <w:sz w:val="24"/>
    </w:rPr>
  </w:style>
  <w:style w:type="paragraph" w:styleId="60">
    <w:name w:val="List Paragraph"/>
    <w:basedOn w:val="1"/>
    <w:qFormat/>
    <w:uiPriority w:val="0"/>
    <w:pPr>
      <w:widowControl/>
      <w:ind w:left="720"/>
      <w:contextualSpacing/>
      <w:jc w:val="left"/>
    </w:pPr>
    <w:rPr>
      <w:rFonts w:ascii="Calibri" w:hAnsi="Calibri"/>
      <w:kern w:val="0"/>
      <w:sz w:val="22"/>
      <w:szCs w:val="22"/>
    </w:rPr>
  </w:style>
  <w:style w:type="paragraph" w:customStyle="1" w:styleId="61">
    <w:name w:val="二级无标题条"/>
    <w:basedOn w:val="1"/>
    <w:qFormat/>
    <w:uiPriority w:val="0"/>
  </w:style>
  <w:style w:type="paragraph" w:customStyle="1" w:styleId="62">
    <w:name w:val="Default"/>
    <w:basedOn w:val="1"/>
    <w:next w:val="1"/>
    <w:qFormat/>
    <w:uiPriority w:val="0"/>
    <w:pPr>
      <w:autoSpaceDE w:val="0"/>
      <w:autoSpaceDN w:val="0"/>
      <w:adjustRightInd w:val="0"/>
      <w:spacing w:after="200" w:line="276" w:lineRule="auto"/>
      <w:jc w:val="left"/>
      <w:outlineLvl w:val="3"/>
    </w:pPr>
    <w:rPr>
      <w:rFonts w:ascii="宋体" w:cs="宋体"/>
      <w:b/>
      <w:color w:val="000000"/>
      <w:sz w:val="24"/>
    </w:rPr>
  </w:style>
  <w:style w:type="character" w:customStyle="1" w:styleId="63">
    <w:name w:val="正文缩进 字符"/>
    <w:qFormat/>
    <w:uiPriority w:val="0"/>
    <w:rPr>
      <w:kern w:val="2"/>
      <w:sz w:val="21"/>
      <w:szCs w:val="24"/>
    </w:rPr>
  </w:style>
  <w:style w:type="paragraph" w:customStyle="1" w:styleId="64">
    <w:name w:val="图表文字"/>
    <w:basedOn w:val="1"/>
    <w:qFormat/>
    <w:uiPriority w:val="0"/>
    <w:pPr>
      <w:widowControl/>
      <w:ind w:right="-107" w:rightChars="-51"/>
      <w:jc w:val="center"/>
    </w:pPr>
    <w:rPr>
      <w:rFonts w:ascii="宋体" w:hAnsi="宋体"/>
      <w:kern w:val="0"/>
      <w:sz w:val="22"/>
      <w:szCs w:val="20"/>
    </w:rPr>
  </w:style>
  <w:style w:type="character" w:customStyle="1" w:styleId="65">
    <w:name w:val="15"/>
    <w:qFormat/>
    <w:uiPriority w:val="0"/>
    <w:rPr>
      <w:rFonts w:hint="eastAsia" w:ascii="仿宋_GB2312" w:eastAsia="仿宋_GB2312"/>
      <w:b/>
      <w:bCs/>
      <w:kern w:val="2"/>
      <w:sz w:val="24"/>
      <w:szCs w:val="24"/>
    </w:rPr>
  </w:style>
  <w:style w:type="paragraph" w:customStyle="1" w:styleId="66">
    <w:name w:val="图表 标题"/>
    <w:basedOn w:val="1"/>
    <w:qFormat/>
    <w:uiPriority w:val="0"/>
    <w:pPr>
      <w:spacing w:beforeLines="20" w:afterLines="20"/>
      <w:jc w:val="center"/>
    </w:pPr>
    <w:rPr>
      <w:rFonts w:ascii="仿宋_GB2312" w:hAnsi="宋体" w:eastAsia="仿宋_GB2312" w:cs="宋体"/>
      <w:b/>
      <w:bCs/>
      <w:sz w:val="24"/>
    </w:rPr>
  </w:style>
  <w:style w:type="paragraph" w:customStyle="1" w:styleId="67">
    <w:name w:val="报告表正文"/>
    <w:basedOn w:val="68"/>
    <w:qFormat/>
    <w:uiPriority w:val="0"/>
    <w:pPr>
      <w:spacing w:line="400" w:lineRule="exact"/>
      <w:ind w:firstLine="200" w:firstLineChars="200"/>
      <w:jc w:val="left"/>
    </w:pPr>
    <w:rPr>
      <w:rFonts w:eastAsia="仿宋_GB2312"/>
      <w:sz w:val="24"/>
    </w:rPr>
  </w:style>
  <w:style w:type="paragraph" w:customStyle="1" w:styleId="68">
    <w:name w:val="列表1"/>
    <w:basedOn w:val="1"/>
    <w:qFormat/>
    <w:uiPriority w:val="0"/>
    <w:pPr>
      <w:spacing w:line="400" w:lineRule="exact"/>
      <w:jc w:val="center"/>
    </w:pPr>
    <w:rPr>
      <w:rFonts w:ascii="宋体" w:hAnsi="宋体" w:eastAsia="仿宋_GB2312"/>
      <w:sz w:val="24"/>
      <w:szCs w:val="20"/>
    </w:rPr>
  </w:style>
  <w:style w:type="paragraph" w:customStyle="1" w:styleId="69">
    <w:name w:val="Table Paragraph"/>
    <w:basedOn w:val="1"/>
    <w:next w:val="1"/>
    <w:qFormat/>
    <w:uiPriority w:val="0"/>
    <w:pPr>
      <w:autoSpaceDE w:val="0"/>
      <w:autoSpaceDN w:val="0"/>
      <w:jc w:val="left"/>
    </w:pPr>
    <w:rPr>
      <w:rFonts w:ascii="仿宋" w:hAnsi="仿宋" w:eastAsia="仿宋" w:cs="宋体"/>
      <w:kern w:val="0"/>
      <w:sz w:val="22"/>
      <w:szCs w:val="22"/>
    </w:rPr>
  </w:style>
  <w:style w:type="paragraph" w:customStyle="1" w:styleId="70">
    <w:name w:val="List Paragraph1"/>
    <w:basedOn w:val="1"/>
    <w:qFormat/>
    <w:uiPriority w:val="0"/>
    <w:pPr>
      <w:autoSpaceDE w:val="0"/>
      <w:autoSpaceDN w:val="0"/>
      <w:ind w:left="1306" w:hanging="602"/>
      <w:jc w:val="left"/>
    </w:pPr>
    <w:rPr>
      <w:rFonts w:ascii="仿宋" w:hAnsi="仿宋" w:eastAsia="仿宋" w:cs="宋体"/>
      <w:kern w:val="0"/>
      <w:sz w:val="22"/>
      <w:szCs w:val="22"/>
    </w:rPr>
  </w:style>
  <w:style w:type="paragraph" w:customStyle="1" w:styleId="71">
    <w:name w:val="表格内"/>
    <w:basedOn w:val="1"/>
    <w:qFormat/>
    <w:uiPriority w:val="0"/>
    <w:pPr>
      <w:adjustRightInd w:val="0"/>
      <w:spacing w:line="240" w:lineRule="atLeast"/>
      <w:jc w:val="center"/>
      <w:textAlignment w:val="baseline"/>
    </w:pPr>
    <w:rPr>
      <w:rFonts w:ascii="宋体"/>
      <w:kern w:val="0"/>
      <w:szCs w:val="20"/>
    </w:rPr>
  </w:style>
  <w:style w:type="paragraph" w:customStyle="1" w:styleId="72">
    <w:name w:val="表格内容"/>
    <w:basedOn w:val="1"/>
    <w:qFormat/>
    <w:uiPriority w:val="0"/>
    <w:pPr>
      <w:widowControl/>
      <w:adjustRightInd w:val="0"/>
      <w:snapToGrid w:val="0"/>
      <w:jc w:val="center"/>
    </w:pPr>
    <w:rPr>
      <w:rFonts w:cs="宋体"/>
      <w:kern w:val="0"/>
    </w:rPr>
  </w:style>
  <w:style w:type="paragraph" w:customStyle="1" w:styleId="73">
    <w:name w:val="TOC 标题1"/>
    <w:basedOn w:val="3"/>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rPr>
  </w:style>
  <w:style w:type="paragraph" w:customStyle="1" w:styleId="74">
    <w:name w:val="正本文字"/>
    <w:basedOn w:val="1"/>
    <w:qFormat/>
    <w:uiPriority w:val="0"/>
    <w:pPr>
      <w:adjustRightInd w:val="0"/>
      <w:snapToGrid w:val="0"/>
      <w:spacing w:line="360" w:lineRule="auto"/>
      <w:ind w:firstLine="200" w:firstLineChars="200"/>
      <w:jc w:val="left"/>
    </w:pPr>
    <w:rPr>
      <w:kern w:val="18"/>
      <w:sz w:val="24"/>
    </w:rPr>
  </w:style>
  <w:style w:type="paragraph" w:customStyle="1" w:styleId="75">
    <w:name w:val="1表格"/>
    <w:basedOn w:val="1"/>
    <w:qFormat/>
    <w:uiPriority w:val="0"/>
    <w:pPr>
      <w:spacing w:line="160" w:lineRule="atLeast"/>
      <w:jc w:val="center"/>
    </w:pPr>
    <w:rPr>
      <w:rFonts w:eastAsia="仿宋_GB2312"/>
    </w:rPr>
  </w:style>
  <w:style w:type="paragraph" w:customStyle="1" w:styleId="76">
    <w:name w:val="小四表文左齐"/>
    <w:basedOn w:val="1"/>
    <w:qFormat/>
    <w:uiPriority w:val="99"/>
    <w:pPr>
      <w:spacing w:line="240" w:lineRule="auto"/>
      <w:ind w:firstLine="0" w:firstLineChars="0"/>
      <w:jc w:val="center"/>
    </w:pPr>
    <w:rPr>
      <w:rFonts w:ascii="宋体" w:hAnsi="宋体"/>
      <w:sz w:val="21"/>
      <w:szCs w:val="21"/>
    </w:rPr>
  </w:style>
  <w:style w:type="paragraph" w:customStyle="1" w:styleId="77">
    <w:name w:val="封面三号字 居中"/>
    <w:basedOn w:val="1"/>
    <w:qFormat/>
    <w:uiPriority w:val="0"/>
    <w:pPr>
      <w:widowControl w:val="0"/>
      <w:adjustRightInd/>
      <w:snapToGrid/>
      <w:spacing w:after="0"/>
      <w:jc w:val="center"/>
    </w:pPr>
    <w:rPr>
      <w:rFonts w:ascii="Times New Roman" w:hAnsi="Times New Roman" w:eastAsia="宋体" w:cs="宋体"/>
      <w:kern w:val="2"/>
      <w:sz w:val="32"/>
      <w:szCs w:val="20"/>
    </w:rPr>
  </w:style>
  <w:style w:type="character" w:customStyle="1" w:styleId="78">
    <w:name w:val="font11"/>
    <w:qFormat/>
    <w:uiPriority w:val="0"/>
    <w:rPr>
      <w:rFonts w:hint="eastAsia" w:ascii="宋体" w:hAnsi="宋体" w:eastAsia="宋体" w:cs="宋体"/>
      <w:b/>
      <w:bCs/>
      <w:color w:val="000000"/>
      <w:sz w:val="22"/>
      <w:szCs w:val="22"/>
      <w:u w:val="none"/>
    </w:rPr>
  </w:style>
  <w:style w:type="character" w:customStyle="1" w:styleId="79">
    <w:name w:val="font71"/>
    <w:qFormat/>
    <w:uiPriority w:val="0"/>
    <w:rPr>
      <w:rFonts w:hint="default" w:ascii="Times New Roman" w:hAnsi="Times New Roman" w:cs="Times New Roman"/>
      <w:b/>
      <w:bCs/>
      <w:color w:val="000000"/>
      <w:sz w:val="21"/>
      <w:szCs w:val="21"/>
      <w:u w:val="none"/>
    </w:rPr>
  </w:style>
  <w:style w:type="character" w:customStyle="1" w:styleId="80">
    <w:name w:val="font81"/>
    <w:qFormat/>
    <w:uiPriority w:val="0"/>
    <w:rPr>
      <w:rFonts w:hint="eastAsia" w:ascii="宋体" w:hAnsi="宋体" w:eastAsia="宋体" w:cs="宋体"/>
      <w:b/>
      <w:bCs/>
      <w:color w:val="000000"/>
      <w:sz w:val="21"/>
      <w:szCs w:val="21"/>
      <w:u w:val="none"/>
    </w:rPr>
  </w:style>
  <w:style w:type="paragraph" w:customStyle="1" w:styleId="81">
    <w:name w:val="xl740"/>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pPr>
    <w:rPr>
      <w:rFonts w:ascii="Courier New" w:hAnsi="Courier New" w:eastAsia="Arial Unicode MS"/>
      <w:sz w:val="24"/>
      <w:szCs w:val="24"/>
    </w:rPr>
  </w:style>
  <w:style w:type="paragraph" w:customStyle="1" w:styleId="82">
    <w:name w:val="表标题"/>
    <w:next w:val="1"/>
    <w:qFormat/>
    <w:uiPriority w:val="0"/>
    <w:pPr>
      <w:spacing w:before="60"/>
      <w:jc w:val="center"/>
    </w:pPr>
    <w:rPr>
      <w:rFonts w:ascii="Times New Roman" w:hAnsi="Times New Roman" w:eastAsia="宋体" w:cs="Times New Roman"/>
      <w:b/>
      <w:kern w:val="2"/>
      <w:sz w:val="24"/>
      <w:szCs w:val="24"/>
      <w:lang w:val="en-US" w:eastAsia="zh-CN" w:bidi="ar-SA"/>
    </w:rPr>
  </w:style>
  <w:style w:type="paragraph" w:customStyle="1" w:styleId="83">
    <w:name w:val="样式 自动设置"/>
    <w:basedOn w:val="1"/>
    <w:qFormat/>
    <w:uiPriority w:val="0"/>
    <w:pPr>
      <w:autoSpaceDE w:val="0"/>
      <w:autoSpaceDN w:val="0"/>
      <w:adjustRightInd w:val="0"/>
      <w:snapToGrid w:val="0"/>
      <w:spacing w:beforeLines="50" w:line="288" w:lineRule="auto"/>
      <w:ind w:firstLine="200" w:firstLineChars="200"/>
    </w:pPr>
    <w:rPr>
      <w:sz w:val="24"/>
    </w:rPr>
  </w:style>
  <w:style w:type="paragraph" w:customStyle="1" w:styleId="84">
    <w:name w:val="样式a"/>
    <w:basedOn w:val="1"/>
    <w:qFormat/>
    <w:uiPriority w:val="0"/>
    <w:pPr>
      <w:jc w:val="center"/>
    </w:pPr>
    <w:rPr>
      <w:rFonts w:cs="宋体"/>
      <w:szCs w:val="20"/>
    </w:rPr>
  </w:style>
  <w:style w:type="paragraph" w:customStyle="1" w:styleId="85">
    <w:name w:val="样式 列表 + 左侧:  0 厘米 悬挂缩进: 5.85 字符"/>
    <w:basedOn w:val="22"/>
    <w:qFormat/>
    <w:uiPriority w:val="0"/>
    <w:pPr>
      <w:widowControl w:val="0"/>
      <w:autoSpaceDE w:val="0"/>
      <w:autoSpaceDN w:val="0"/>
      <w:adjustRightInd w:val="0"/>
      <w:snapToGrid w:val="0"/>
      <w:ind w:left="-2" w:leftChars="-8" w:hanging="17" w:hangingChars="8"/>
      <w:contextualSpacing/>
      <w:jc w:val="center"/>
    </w:pPr>
    <w:rPr>
      <w:rFonts w:ascii="宋体" w:hAnsi="宋体" w:eastAsia="宋体" w:cs="宋体"/>
      <w:kern w:val="2"/>
      <w:sz w:val="21"/>
      <w:szCs w:val="21"/>
      <w:lang w:val="zh-CN"/>
    </w:rPr>
  </w:style>
  <w:style w:type="paragraph" w:customStyle="1" w:styleId="86">
    <w:name w:val="_Style 143"/>
    <w:basedOn w:val="1"/>
    <w:next w:val="60"/>
    <w:qFormat/>
    <w:uiPriority w:val="34"/>
    <w:pPr>
      <w:ind w:firstLine="420" w:firstLineChars="200"/>
    </w:pPr>
    <w:rPr>
      <w:szCs w:val="22"/>
    </w:rPr>
  </w:style>
  <w:style w:type="paragraph" w:customStyle="1" w:styleId="87">
    <w:name w:val="Body Text 21"/>
    <w:basedOn w:val="1"/>
    <w:qFormat/>
    <w:uiPriority w:val="0"/>
    <w:pPr>
      <w:adjustRightInd w:val="0"/>
      <w:textAlignment w:val="baseline"/>
    </w:pPr>
    <w:rPr>
      <w:rFonts w:eastAsia="仿宋体"/>
      <w:sz w:val="24"/>
      <w:szCs w:val="20"/>
    </w:rPr>
  </w:style>
  <w:style w:type="paragraph" w:customStyle="1" w:styleId="88">
    <w:name w:val="表格文字"/>
    <w:basedOn w:val="1"/>
    <w:qFormat/>
    <w:uiPriority w:val="0"/>
    <w:pPr>
      <w:jc w:val="center"/>
    </w:pPr>
    <w:rPr>
      <w:rFonts w:ascii="仿宋_GB2312" w:hAnsi="Arial Black" w:eastAsia="仿宋_GB2312"/>
      <w:kern w:val="44"/>
      <w:sz w:val="24"/>
    </w:rPr>
  </w:style>
  <w:style w:type="paragraph" w:customStyle="1" w:styleId="89">
    <w:name w:val="xl27"/>
    <w:basedOn w:val="1"/>
    <w:qFormat/>
    <w:uiPriority w:val="0"/>
    <w:pPr>
      <w:widowControl/>
      <w:pBdr>
        <w:bottom w:val="single" w:color="auto" w:sz="12" w:space="0"/>
      </w:pBdr>
      <w:spacing w:before="100" w:after="100"/>
      <w:jc w:val="center"/>
    </w:pPr>
    <w:rPr>
      <w:rFonts w:ascii="宋体" w:hAnsi="宋体"/>
      <w:kern w:val="0"/>
    </w:rPr>
  </w:style>
  <w:style w:type="character" w:customStyle="1" w:styleId="90">
    <w:name w:val="apple-converted-space"/>
    <w:qFormat/>
    <w:uiPriority w:val="0"/>
  </w:style>
  <w:style w:type="paragraph" w:customStyle="1" w:styleId="91">
    <w:name w:val="表格首行"/>
    <w:basedOn w:val="1"/>
    <w:qFormat/>
    <w:uiPriority w:val="0"/>
    <w:pPr>
      <w:jc w:val="center"/>
    </w:pPr>
    <w:rPr>
      <w:rFonts w:eastAsia="仿宋_GB2312"/>
      <w:b/>
      <w:szCs w:val="21"/>
    </w:rPr>
  </w:style>
  <w:style w:type="paragraph" w:customStyle="1" w:styleId="92">
    <w:name w:val="表格普通"/>
    <w:basedOn w:val="1"/>
    <w:qFormat/>
    <w:uiPriority w:val="0"/>
    <w:pPr>
      <w:jc w:val="center"/>
    </w:pPr>
    <w:rPr>
      <w:rFonts w:eastAsia="仿宋_GB2312"/>
      <w:szCs w:val="21"/>
    </w:rPr>
  </w:style>
  <w:style w:type="paragraph" w:customStyle="1" w:styleId="93">
    <w:name w:val="表蕊"/>
    <w:basedOn w:val="1"/>
    <w:qFormat/>
    <w:uiPriority w:val="0"/>
    <w:pPr>
      <w:adjustRightInd w:val="0"/>
      <w:spacing w:line="320" w:lineRule="atLeast"/>
      <w:jc w:val="left"/>
      <w:textAlignment w:val="baseline"/>
    </w:pPr>
    <w:rPr>
      <w:rFonts w:eastAsia="楷体_GB2312"/>
      <w:spacing w:val="-10"/>
      <w:kern w:val="0"/>
    </w:rPr>
  </w:style>
  <w:style w:type="paragraph" w:customStyle="1" w:styleId="94">
    <w:name w:val="表格 首行文字"/>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95">
    <w:name w:val="0000"/>
    <w:basedOn w:val="1"/>
    <w:qFormat/>
    <w:uiPriority w:val="0"/>
    <w:pPr>
      <w:adjustRightInd w:val="0"/>
      <w:snapToGrid w:val="0"/>
    </w:pPr>
    <w:rPr>
      <w:rFonts w:hint="eastAsia" w:ascii="Times New Roman" w:hAnsi="Times New Roman" w:eastAsia="宋体"/>
      <w:sz w:val="24"/>
      <w:lang w:val="zh-TW"/>
    </w:rPr>
  </w:style>
  <w:style w:type="paragraph" w:customStyle="1" w:styleId="96">
    <w:name w:val="环正文"/>
    <w:basedOn w:val="1"/>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97">
    <w:name w:val="apple-style-span"/>
    <w:basedOn w:val="30"/>
    <w:qFormat/>
    <w:uiPriority w:val="0"/>
  </w:style>
  <w:style w:type="paragraph" w:customStyle="1" w:styleId="98">
    <w:name w:val="表格 普通文字"/>
    <w:qFormat/>
    <w:uiPriority w:val="99"/>
    <w:pPr>
      <w:jc w:val="center"/>
    </w:pPr>
    <w:rPr>
      <w:rFonts w:ascii="Times New Roman" w:hAnsi="Times New Roman" w:eastAsia="仿宋_GB2312"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wmf"/><Relationship Id="rId25" Type="http://schemas.openxmlformats.org/officeDocument/2006/relationships/oleObject" Target="embeddings/oleObject7.bin"/><Relationship Id="rId24" Type="http://schemas.openxmlformats.org/officeDocument/2006/relationships/image" Target="media/image11.emf"/><Relationship Id="rId23" Type="http://schemas.openxmlformats.org/officeDocument/2006/relationships/oleObject" Target="embeddings/oleObject6.bin"/><Relationship Id="rId22" Type="http://schemas.openxmlformats.org/officeDocument/2006/relationships/image" Target="media/image10.wmf"/><Relationship Id="rId21" Type="http://schemas.openxmlformats.org/officeDocument/2006/relationships/oleObject" Target="embeddings/oleObject5.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TY1MDcxNTM3MDMiLAogICAiR3JvdXBJZCIgOiAiMjA3NjY5OTQ1IiwKICAgIkltYWdlIiA6ICJpVkJPUncwS0dnb0FBQUFOU1VoRVVnQUFBbndBQUFNVENBWUFBQUE3T01wdEFBQUFDWEJJV1hNQUFBc1RBQUFMRXdFQW1wd1lBQUFnQUVsRVFWUjRuT3pkZVhnYjFiMC8vdmRvbHl4WnNpVmIzdVI0amVYSVM2VFFRbG9vK1JGQ0tLU0ZzbE1vTFZEb2hiS1ZzdmJMVXNwdGUwdWhoWmE5TFV2WktWQW9jRU1LaFlSZUdnTFlqaE03Y2VJdDNpMXZraGRaMWpxL1B5d1oyYkZqeDFua09PL1g4L2lSNXN5Wm1jOUl3ZjV3enB4ekF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lHZmovL3lQb3daNkhhc29BQUFBQVNVVk9SSzVDWUlJPSIsCiAgICJUeXBlIiA6ICJmbG93Igp9Cg=="/>
    </extobj>
    <extobj name="ECB019B1-382A-4266-B25C-5B523AA43C14-2">
      <extobjdata type="ECB019B1-382A-4266-B25C-5B523AA43C14" data="ewogICAiRmlsZUlkIiA6ICIxMTY1MDcxNTM3MDMiLAogICAiR3JvdXBJZCIgOiAiMjA3NjY5OTQ1IiwKICAgIkltYWdlIiA6ICJpVkJPUncwS0dnb0FBQUFOU1VoRVVnQUFBbndBQUFNVENBWUFBQUE3T01wdEFBQUFDWEJJV1hNQUFBc1RBQUFMRXdFQW1wd1lBQUFnQUVsRVFWUjRuT3pkZVhnYjFiMC8vdmRvbHl4WnNpVmIzdVI0amVYSVM2VFFRbG9vK1JGQ0tLU0ZzbE1vTFZEb2hiS1ZzdmJMVXNwdGUwdWhoWmE5TFV2WktWQW9jRU1LaFlSZUdnTFlqaE03Y2VJdDNpMXZraGRaMWpxL1B5d1oyYkZqeDFua09PL1g4L2lSNXN5Wm1jOUl3ZjV3enB4ekF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lHZmovL3lQb3daNkhhc29BQUFBQVNVVk9SSzVDWUlJPSIsCiAgICJUeXBlIiA6ICJmbG93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89</Pages>
  <Words>570</Words>
  <Characters>621</Characters>
  <Lines>480</Lines>
  <Paragraphs>135</Paragraphs>
  <TotalTime>2</TotalTime>
  <ScaleCrop>false</ScaleCrop>
  <LinksUpToDate>false</LinksUpToDate>
  <CharactersWithSpaces>757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2021-01-21T15:19:00Z</dcterms:created>
  <dc:creator>xu luling</dc:creator>
  <cp:lastModifiedBy>球球</cp:lastModifiedBy>
  <cp:lastPrinted>2026-02-09T02:36:00Z</cp:lastPrinted>
  <dcterms:modified xsi:type="dcterms:W3CDTF">2026-04-20T02:26:40Z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ED6002C7AB0C4D229ABEFC9BA309E84D_13</vt:lpwstr>
  </property>
  <property fmtid="{D5CDD505-2E9C-101B-9397-08002B2CF9AE}" pid="4" name="KSOTemplateDocerSaveRecord">
    <vt:lpwstr>eyJoZGlkIjoiYWZhMzA0MTE2MGQ3ODcwOTgyMWY3NzY0ZDhkYzQxODciLCJ1c2VySWQiOiIzODk2NzQyOTcifQ==</vt:lpwstr>
  </property>
</Properties>
</file>