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4A241">
      <w:pPr>
        <w:snapToGrid w:val="0"/>
        <w:spacing w:line="540" w:lineRule="exact"/>
        <w:jc w:val="center"/>
        <w:rPr>
          <w:rFonts w:hint="eastAsia" w:ascii="方正小标宋简体" w:hAnsi="宋体" w:eastAsia="方正小标宋简体" w:cs="宋体"/>
          <w:bCs/>
          <w:kern w:val="0"/>
          <w:sz w:val="44"/>
          <w:szCs w:val="44"/>
        </w:rPr>
      </w:pPr>
    </w:p>
    <w:p w14:paraId="18E16AD6">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宋体" w:hAnsi="宋体" w:eastAsia="宋体" w:cs="宋体"/>
          <w:snapToGrid/>
          <w:kern w:val="2"/>
          <w:sz w:val="44"/>
          <w:szCs w:val="44"/>
        </w:rPr>
      </w:pPr>
      <w:r>
        <w:rPr>
          <w:rFonts w:hint="eastAsia" w:ascii="宋体" w:hAnsi="宋体" w:eastAsia="宋体" w:cs="宋体"/>
          <w:snapToGrid/>
          <w:kern w:val="2"/>
          <w:sz w:val="44"/>
          <w:szCs w:val="44"/>
        </w:rPr>
        <w:t>常州市金坛区人民政府</w:t>
      </w:r>
      <w:r>
        <w:rPr>
          <w:rFonts w:hint="eastAsia" w:ascii="宋体" w:hAnsi="宋体" w:eastAsia="宋体" w:cs="宋体"/>
          <w:snapToGrid/>
          <w:color w:val="000000"/>
          <w:kern w:val="2"/>
          <w:sz w:val="44"/>
          <w:szCs w:val="44"/>
        </w:rPr>
        <w:t>关于印发《</w:t>
      </w:r>
      <w:r>
        <w:rPr>
          <w:rFonts w:hint="eastAsia" w:ascii="宋体" w:hAnsi="宋体" w:eastAsia="宋体" w:cs="宋体"/>
          <w:snapToGrid/>
          <w:color w:val="000000"/>
          <w:kern w:val="0"/>
          <w:sz w:val="44"/>
          <w:szCs w:val="44"/>
        </w:rPr>
        <w:t>常州市金坛区机动车停放服务收费管理实施办法</w:t>
      </w:r>
      <w:r>
        <w:rPr>
          <w:rFonts w:hint="eastAsia" w:ascii="宋体" w:hAnsi="宋体" w:eastAsia="宋体" w:cs="宋体"/>
          <w:snapToGrid/>
          <w:color w:val="000000"/>
          <w:kern w:val="2"/>
          <w:sz w:val="44"/>
          <w:szCs w:val="44"/>
        </w:rPr>
        <w:t>》的通知</w:t>
      </w:r>
    </w:p>
    <w:p w14:paraId="715E6245">
      <w:pPr>
        <w:snapToGrid w:val="0"/>
        <w:spacing w:line="560" w:lineRule="exact"/>
        <w:ind w:right="13" w:rightChars="6"/>
        <w:jc w:val="center"/>
        <w:rPr>
          <w:rFonts w:hint="eastAsia" w:ascii="楷体" w:hAnsi="楷体" w:eastAsia="楷体" w:cs="楷体"/>
          <w:snapToGrid w:val="0"/>
          <w:sz w:val="32"/>
          <w:szCs w:val="32"/>
        </w:rPr>
      </w:pPr>
      <w:r>
        <w:rPr>
          <w:rFonts w:hint="eastAsia" w:ascii="楷体" w:hAnsi="楷体" w:eastAsia="楷体" w:cs="楷体"/>
          <w:snapToGrid w:val="0"/>
          <w:sz w:val="32"/>
          <w:szCs w:val="32"/>
          <w:lang w:eastAsia="zh-CN"/>
        </w:rPr>
        <w:t>（</w:t>
      </w:r>
      <w:r>
        <w:rPr>
          <w:rFonts w:hint="eastAsia" w:ascii="楷体" w:hAnsi="楷体" w:eastAsia="楷体" w:cs="楷体"/>
          <w:snapToGrid w:val="0"/>
          <w:sz w:val="32"/>
          <w:szCs w:val="32"/>
        </w:rPr>
        <w:t>坛政规</w:t>
      </w:r>
      <w:r>
        <w:rPr>
          <w:rFonts w:hint="default" w:ascii="Times New Roman" w:hAnsi="Times New Roman" w:eastAsia="楷体" w:cs="Times New Roman"/>
          <w:snapToGrid w:val="0"/>
          <w:sz w:val="32"/>
          <w:szCs w:val="32"/>
        </w:rPr>
        <w:t>〔20</w:t>
      </w:r>
      <w:r>
        <w:rPr>
          <w:rFonts w:hint="eastAsia" w:eastAsia="楷体" w:cs="Times New Roman"/>
          <w:snapToGrid w:val="0"/>
          <w:sz w:val="32"/>
          <w:szCs w:val="32"/>
          <w:lang w:val="en-US" w:eastAsia="zh-CN"/>
        </w:rPr>
        <w:t>23</w:t>
      </w:r>
      <w:r>
        <w:rPr>
          <w:rFonts w:hint="default" w:ascii="Times New Roman" w:hAnsi="Times New Roman" w:eastAsia="楷体" w:cs="Times New Roman"/>
          <w:snapToGrid w:val="0"/>
          <w:sz w:val="32"/>
          <w:szCs w:val="32"/>
        </w:rPr>
        <w:t>〕</w:t>
      </w:r>
      <w:r>
        <w:rPr>
          <w:rFonts w:hint="eastAsia" w:eastAsia="楷体" w:cs="Times New Roman"/>
          <w:snapToGrid w:val="0"/>
          <w:sz w:val="32"/>
          <w:szCs w:val="32"/>
          <w:lang w:val="en-US" w:eastAsia="zh-CN"/>
        </w:rPr>
        <w:t>1</w:t>
      </w:r>
      <w:r>
        <w:rPr>
          <w:rFonts w:hint="eastAsia" w:ascii="楷体" w:hAnsi="楷体" w:eastAsia="楷体" w:cs="楷体"/>
          <w:snapToGrid w:val="0"/>
          <w:sz w:val="32"/>
          <w:szCs w:val="32"/>
        </w:rPr>
        <w:t>号</w:t>
      </w:r>
      <w:r>
        <w:rPr>
          <w:rFonts w:hint="eastAsia" w:ascii="楷体" w:hAnsi="楷体" w:eastAsia="楷体" w:cs="楷体"/>
          <w:snapToGrid w:val="0"/>
          <w:sz w:val="32"/>
          <w:szCs w:val="32"/>
          <w:lang w:eastAsia="zh-CN"/>
        </w:rPr>
        <w:t>）</w:t>
      </w:r>
    </w:p>
    <w:p w14:paraId="278FC043">
      <w:pPr>
        <w:snapToGrid w:val="0"/>
        <w:spacing w:line="560" w:lineRule="exact"/>
        <w:jc w:val="left"/>
        <w:rPr>
          <w:rFonts w:hint="eastAsia" w:ascii="仿宋" w:hAnsi="仿宋" w:eastAsia="仿宋" w:cs="仿宋"/>
          <w:sz w:val="32"/>
          <w:szCs w:val="32"/>
        </w:rPr>
      </w:pPr>
    </w:p>
    <w:p w14:paraId="6A0A9557">
      <w:pPr>
        <w:overflowPunct w:val="0"/>
        <w:autoSpaceDE/>
        <w:autoSpaceDN/>
        <w:snapToGrid w:val="0"/>
        <w:spacing w:line="570" w:lineRule="exact"/>
        <w:ind w:firstLine="0"/>
        <w:jc w:val="left"/>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各镇人民政府、街道办事处、园区管委会、度假区管理办，区各办局，各区管国有企业、区直属单位：</w:t>
      </w:r>
    </w:p>
    <w:p w14:paraId="3A629094">
      <w:pPr>
        <w:overflowPunct w:val="0"/>
        <w:autoSpaceDE/>
        <w:autoSpaceDN/>
        <w:snapToGrid w:val="0"/>
        <w:spacing w:line="570" w:lineRule="exact"/>
        <w:ind w:firstLine="640" w:firstLineChars="200"/>
        <w:jc w:val="left"/>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《常州市金坛区机动车停放服务收费管理实施办法》已经区政府常务会议审议通过，现印发给你们，请认真贯彻落实。</w:t>
      </w:r>
    </w:p>
    <w:p w14:paraId="5B6DEECA">
      <w:pPr>
        <w:overflowPunct w:val="0"/>
        <w:autoSpaceDE/>
        <w:autoSpaceDN/>
        <w:snapToGrid w:val="0"/>
        <w:spacing w:line="570" w:lineRule="exact"/>
        <w:ind w:firstLine="0"/>
        <w:jc w:val="left"/>
        <w:rPr>
          <w:rFonts w:hint="default" w:ascii="Times New Roman" w:hAnsi="Times New Roman" w:eastAsia="仿宋" w:cs="Times New Roman"/>
          <w:snapToGrid w:val="0"/>
          <w:kern w:val="0"/>
          <w:sz w:val="32"/>
          <w:szCs w:val="32"/>
        </w:rPr>
      </w:pPr>
    </w:p>
    <w:p w14:paraId="551067A7">
      <w:pPr>
        <w:overflowPunct w:val="0"/>
        <w:autoSpaceDE/>
        <w:autoSpaceDN/>
        <w:snapToGrid w:val="0"/>
        <w:spacing w:line="570" w:lineRule="exact"/>
        <w:ind w:firstLine="0"/>
        <w:jc w:val="left"/>
        <w:rPr>
          <w:rFonts w:hint="default" w:ascii="Times New Roman" w:hAnsi="Times New Roman" w:eastAsia="仿宋" w:cs="Times New Roman"/>
          <w:snapToGrid w:val="0"/>
          <w:kern w:val="0"/>
          <w:sz w:val="32"/>
          <w:szCs w:val="32"/>
        </w:rPr>
      </w:pPr>
    </w:p>
    <w:p w14:paraId="3B87E1A4">
      <w:pPr>
        <w:overflowPunct w:val="0"/>
        <w:autoSpaceDE/>
        <w:autoSpaceDN/>
        <w:snapToGrid w:val="0"/>
        <w:spacing w:line="570" w:lineRule="exact"/>
        <w:ind w:firstLine="5440" w:firstLineChars="1700"/>
        <w:jc w:val="left"/>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 xml:space="preserve">常州市金坛区人民政府    </w:t>
      </w:r>
    </w:p>
    <w:p w14:paraId="0EEFDA28">
      <w:pPr>
        <w:overflowPunct w:val="0"/>
        <w:autoSpaceDE/>
        <w:autoSpaceDN/>
        <w:snapToGrid w:val="0"/>
        <w:spacing w:line="570" w:lineRule="exact"/>
        <w:ind w:firstLine="5760" w:firstLineChars="1800"/>
        <w:jc w:val="left"/>
        <w:rPr>
          <w:rFonts w:hint="eastAsia" w:asciiTheme="majorEastAsia" w:hAnsiTheme="majorEastAsia" w:eastAsiaTheme="majorEastAsia" w:cstheme="majorEastAsia"/>
          <w:sz w:val="36"/>
          <w:szCs w:val="36"/>
        </w:rPr>
      </w:pPr>
      <w:r>
        <w:rPr>
          <w:rFonts w:hint="default" w:ascii="Times New Roman" w:hAnsi="Times New Roman" w:eastAsia="仿宋" w:cs="Times New Roman"/>
          <w:snapToGrid w:val="0"/>
          <w:kern w:val="0"/>
          <w:sz w:val="32"/>
          <w:szCs w:val="32"/>
        </w:rPr>
        <w:t>2023年1月19日</w:t>
      </w:r>
    </w:p>
    <w:p w14:paraId="0353CD10">
      <w:pPr>
        <w:keepNext w:val="0"/>
        <w:keepLines w:val="0"/>
        <w:pageBreakBefore w:val="0"/>
        <w:widowControl w:val="0"/>
        <w:kinsoku/>
        <w:wordWrap/>
        <w:overflowPunct w:val="0"/>
        <w:topLinePunct w:val="0"/>
        <w:autoSpaceDE/>
        <w:autoSpaceDN/>
        <w:bidi w:val="0"/>
        <w:snapToGrid w:val="0"/>
        <w:spacing w:line="560" w:lineRule="exact"/>
        <w:ind w:firstLine="0"/>
        <w:jc w:val="center"/>
        <w:textAlignment w:val="auto"/>
        <w:rPr>
          <w:rFonts w:hint="eastAsia" w:asciiTheme="majorEastAsia" w:hAnsiTheme="majorEastAsia" w:eastAsiaTheme="majorEastAsia" w:cstheme="majorEastAsia"/>
          <w:sz w:val="36"/>
          <w:szCs w:val="36"/>
        </w:rPr>
      </w:pPr>
    </w:p>
    <w:p w14:paraId="4F71737A">
      <w:pPr>
        <w:autoSpaceDE/>
        <w:autoSpaceDN/>
        <w:snapToGrid/>
        <w:spacing w:line="560" w:lineRule="exact"/>
        <w:ind w:firstLine="720" w:firstLineChars="200"/>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常州市金坛区机动车停放服务收费管理实施办法</w:t>
      </w:r>
    </w:p>
    <w:p w14:paraId="57C116C7">
      <w:pPr>
        <w:autoSpaceDE/>
        <w:autoSpaceDN/>
        <w:snapToGrid/>
        <w:spacing w:line="560" w:lineRule="exact"/>
        <w:ind w:firstLine="640" w:firstLineChars="200"/>
        <w:rPr>
          <w:rFonts w:hint="eastAsia" w:ascii="黑体" w:hAnsi="黑体" w:eastAsia="黑体" w:cs="黑体"/>
          <w:snapToGrid/>
          <w:kern w:val="2"/>
          <w:sz w:val="32"/>
          <w:szCs w:val="32"/>
        </w:rPr>
      </w:pPr>
    </w:p>
    <w:p w14:paraId="33C66819">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第一条 </w:t>
      </w:r>
      <w:r>
        <w:rPr>
          <w:rFonts w:hint="default" w:ascii="Times New Roman" w:hAnsi="Times New Roman" w:eastAsia="仿宋" w:cs="Times New Roman"/>
          <w:snapToGrid/>
          <w:kern w:val="2"/>
          <w:sz w:val="32"/>
          <w:szCs w:val="32"/>
        </w:rPr>
        <w:t>为规范全区机动车停放服务收费行为，维护机动车停放者和停车设施经营者、管理者的合法权益，促进停车设施协调发展，根据《中华人民共和国价格法》《江苏省价格条例》《国务院办公厅转发国家发展改革委等部门关于推动城市停车设施发展意见的通知》（国办函〔2021〕46号）、《江苏省机动车停放服务收费管理办法》（苏发改规发〔2022〕5号）等规定，结合我区实际，制定本实施办法。</w:t>
      </w:r>
    </w:p>
    <w:p w14:paraId="054A9D57">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第二条 </w:t>
      </w:r>
      <w:r>
        <w:rPr>
          <w:rFonts w:hint="eastAsia" w:ascii="Times New Roman" w:hAnsi="Times New Roman" w:eastAsia="仿宋" w:cs="Times New Roman"/>
          <w:snapToGrid/>
          <w:kern w:val="2"/>
          <w:sz w:val="32"/>
          <w:szCs w:val="32"/>
        </w:rPr>
        <w:t>本实施办法所称机动车停放服务收费（以下简称停车收费），是指在全区范围内依法依规设立的机动车停车设施经营者、管理者，为机动车提供停放场地并收取费用的行为。</w:t>
      </w:r>
    </w:p>
    <w:p w14:paraId="6D1F5862">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第三条 </w:t>
      </w:r>
      <w:r>
        <w:rPr>
          <w:rFonts w:hint="eastAsia" w:ascii="Times New Roman" w:hAnsi="Times New Roman" w:eastAsia="仿宋" w:cs="Times New Roman"/>
          <w:snapToGrid/>
          <w:kern w:val="2"/>
          <w:sz w:val="32"/>
          <w:szCs w:val="32"/>
        </w:rPr>
        <w:t>机动车停车设施包括公共停车设施、专用停车设施和城市道路停车泊位：</w:t>
      </w:r>
    </w:p>
    <w:p w14:paraId="3527FE49">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（一）公共停车设施是指为社会车辆提供停放服务的场所；</w:t>
      </w:r>
    </w:p>
    <w:p w14:paraId="06BE0A02">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（二）专用停车设施是指为本单位、本住宅小区车辆提供停放服务的场所；</w:t>
      </w:r>
    </w:p>
    <w:p w14:paraId="5CE538D3">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（三）城市道路停车泊位是指在城市道路上依法施划设置的临时停放机动车的场所。</w:t>
      </w:r>
    </w:p>
    <w:p w14:paraId="6FDD5E6E">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第四条 </w:t>
      </w:r>
      <w:r>
        <w:rPr>
          <w:rFonts w:hint="default" w:ascii="Times New Roman" w:hAnsi="Times New Roman" w:eastAsia="仿宋" w:cs="Times New Roman"/>
          <w:snapToGrid/>
          <w:kern w:val="2"/>
          <w:sz w:val="32"/>
          <w:szCs w:val="32"/>
        </w:rPr>
        <w:t>按照停车设施的性质和特点</w:t>
      </w:r>
      <w:r>
        <w:rPr>
          <w:rFonts w:hint="eastAsia" w:ascii="Times New Roman" w:hAnsi="Times New Roman" w:eastAsia="仿宋" w:cs="Times New Roman"/>
          <w:snapToGrid/>
          <w:kern w:val="2"/>
          <w:sz w:val="32"/>
          <w:szCs w:val="32"/>
        </w:rPr>
        <w:t>，停车收费分别实行政府定价、政府指导价或者市场调节价。</w:t>
      </w:r>
    </w:p>
    <w:p w14:paraId="50EE42CE">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具有公益性特征和自然垄断经营特征停车设施停车收费，实行政府定价或者政府指导价。</w:t>
      </w:r>
    </w:p>
    <w:p w14:paraId="752F7BC2">
      <w:pPr>
        <w:autoSpaceDE/>
        <w:autoSpaceDN/>
        <w:snapToGrid/>
        <w:spacing w:line="560" w:lineRule="exact"/>
        <w:ind w:firstLine="640" w:firstLineChars="200"/>
        <w:rPr>
          <w:rFonts w:eastAsia="仿宋_GB2312" w:cs="仿宋_GB2312"/>
          <w:snapToGrid/>
          <w:kern w:val="2"/>
          <w:sz w:val="32"/>
          <w:szCs w:val="32"/>
        </w:rPr>
      </w:pPr>
      <w:r>
        <w:rPr>
          <w:rFonts w:hint="eastAsia" w:ascii="Times New Roman" w:hAnsi="Times New Roman" w:eastAsia="仿宋" w:cs="Times New Roman"/>
          <w:snapToGrid/>
          <w:kern w:val="2"/>
          <w:sz w:val="32"/>
          <w:szCs w:val="32"/>
        </w:rPr>
        <w:t>其他停车设施停车收费实行市场调节价。</w:t>
      </w:r>
    </w:p>
    <w:p w14:paraId="73B6A801">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第五条 </w:t>
      </w:r>
      <w:r>
        <w:rPr>
          <w:rFonts w:hint="eastAsia" w:ascii="Times New Roman" w:hAnsi="Times New Roman" w:eastAsia="仿宋" w:cs="Times New Roman"/>
          <w:snapToGrid/>
          <w:kern w:val="2"/>
          <w:sz w:val="32"/>
          <w:szCs w:val="32"/>
        </w:rPr>
        <w:t>下列停车设施停车收费实行政府定价、政府指导价：</w:t>
      </w:r>
    </w:p>
    <w:p w14:paraId="5BC296CC">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（一）依法施划设置的城市道路停车泊位；</w:t>
      </w:r>
    </w:p>
    <w:p w14:paraId="1B7A5AF8">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（二）车站、码头、城市交通枢纽等，利用公共资源建设的旅游景区、公园，城市广场、市民中心、政务服务中心等配套建设的停车设施；</w:t>
      </w:r>
    </w:p>
    <w:p w14:paraId="4CDADC49">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（三）向社会提供公共服务的国家机关和学校、医院、公共体育文化等事业单位配套建设的停车设施；</w:t>
      </w:r>
    </w:p>
    <w:p w14:paraId="5C66A3F1">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（四）政府财政性资金投资建设的停车设施；</w:t>
      </w:r>
    </w:p>
    <w:p w14:paraId="69812D7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（五）国有企业或者国有控股企业投资建设的停车设施；</w:t>
      </w:r>
    </w:p>
    <w:p w14:paraId="6FF8F8C7">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（六）接收因交通事故（故障）、交通违法等原因被依法采取强制措施的机动车停放的停车设施；</w:t>
      </w:r>
    </w:p>
    <w:p w14:paraId="33EF722F">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（七）业主大会成立前的住宅小区停车设施；</w:t>
      </w:r>
    </w:p>
    <w:p w14:paraId="0E8361DF">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（八）其他具有公益性特征和自然垄断经营特征的停车设施。</w:t>
      </w:r>
    </w:p>
    <w:p w14:paraId="30067E43">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第六条 </w:t>
      </w:r>
      <w:r>
        <w:rPr>
          <w:rFonts w:hint="eastAsia" w:ascii="Times New Roman" w:hAnsi="Times New Roman" w:eastAsia="仿宋" w:cs="Times New Roman"/>
          <w:snapToGrid/>
          <w:kern w:val="2"/>
          <w:sz w:val="32"/>
          <w:szCs w:val="32"/>
        </w:rPr>
        <w:t>区发改局会同有关部门负责我区停车收费政策、标准制定工作。区财政、住建、城管、交通、市场监管、公安等部门，按照各自职责负责停车收费政策实施、收费行为监督管理工作。</w:t>
      </w:r>
    </w:p>
    <w:p w14:paraId="2CD944C7">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第七条 </w:t>
      </w:r>
      <w:r>
        <w:rPr>
          <w:rFonts w:hint="eastAsia" w:ascii="Times New Roman" w:hAnsi="Times New Roman" w:eastAsia="仿宋" w:cs="Times New Roman"/>
          <w:snapToGrid/>
          <w:kern w:val="2"/>
          <w:sz w:val="32"/>
          <w:szCs w:val="32"/>
        </w:rPr>
        <w:t>区发改局会同有关部门，统筹考虑停车设施建设运营成本、供需状况、社会承受能力以及促进公共交通优先发展和停车资源集约利用等因素，建立政府定价、政府指导价停车收费定价机制，报区人民政府批准后实施。</w:t>
      </w:r>
    </w:p>
    <w:p w14:paraId="19F98E28">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区发改局适时开展停车收费政策执行情况评估，并根据评估结果调整完善停车收费定价机制。</w:t>
      </w:r>
    </w:p>
    <w:p w14:paraId="2486B24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第八条 </w:t>
      </w:r>
      <w:r>
        <w:rPr>
          <w:rFonts w:hint="eastAsia" w:ascii="Times New Roman" w:hAnsi="Times New Roman" w:eastAsia="仿宋" w:cs="Times New Roman"/>
          <w:snapToGrid/>
          <w:kern w:val="2"/>
          <w:sz w:val="32"/>
          <w:szCs w:val="32"/>
        </w:rPr>
        <w:t>实行政府定价、政府指导价的停车收费标准，由停车设施经营者、管理者提出建议，区发改局会同相关部门依据我区停车收费定价机制确定。</w:t>
      </w:r>
    </w:p>
    <w:p w14:paraId="7A10E443">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实行市场调节价的停车收费标准，由停车设施经营者、管理者遵循公平、合法和诚实信用原则，依据经营成本、供需状况、服务条件和社会承受能力等因素自主制定。</w:t>
      </w:r>
    </w:p>
    <w:p w14:paraId="3F70A962">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第九条 </w:t>
      </w:r>
      <w:r>
        <w:rPr>
          <w:rFonts w:hint="eastAsia" w:ascii="Times New Roman" w:hAnsi="Times New Roman" w:eastAsia="仿宋" w:cs="Times New Roman"/>
          <w:snapToGrid/>
          <w:kern w:val="2"/>
          <w:sz w:val="32"/>
          <w:szCs w:val="32"/>
        </w:rPr>
        <w:t>停车收费按照规定区分区域、位置、时段、车型、占用时长等，实行差别化收费。</w:t>
      </w:r>
    </w:p>
    <w:p w14:paraId="6C86BE21">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mc:AlternateContent>
          <mc:Choice Requires="wps">
            <w:drawing>
              <wp:anchor distT="0" distB="0" distL="114300" distR="114300" simplePos="0" relativeHeight="251660288" behindDoc="0" locked="0" layoutInCell="0" allowOverlap="1">
                <wp:simplePos x="0" y="0"/>
                <wp:positionH relativeFrom="page">
                  <wp:posOffset>335915</wp:posOffset>
                </wp:positionH>
                <wp:positionV relativeFrom="paragraph">
                  <wp:posOffset>288925</wp:posOffset>
                </wp:positionV>
                <wp:extent cx="57150" cy="158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58750"/>
                        </a:xfrm>
                        <a:prstGeom prst="rect">
                          <a:avLst/>
                        </a:prstGeom>
                        <a:noFill/>
                        <a:ln>
                          <a:noFill/>
                        </a:ln>
                        <a:effectLst/>
                      </wps:spPr>
                      <wps:txbx>
                        <w:txbxContent>
                          <w:p w14:paraId="364AC0C5">
                            <w:pPr>
                              <w:widowControl w:val="0"/>
                              <w:shd w:val="clear" w:color="auto" w:fill="FFFFFF"/>
                              <w:kinsoku w:val="0"/>
                              <w:overflowPunct w:val="0"/>
                              <w:autoSpaceDE/>
                              <w:autoSpaceDN/>
                              <w:snapToGrid/>
                              <w:spacing w:before="420" w:line="156" w:lineRule="auto"/>
                              <w:ind w:left="20" w:firstLine="0"/>
                              <w:jc w:val="left"/>
                              <w:rPr>
                                <w:rFonts w:ascii="MingLiU" w:hAnsi="Calibri" w:eastAsia="MingLiU" w:cs="MingLiU"/>
                                <w:snapToGrid/>
                                <w:color w:val="080808"/>
                                <w:spacing w:val="40"/>
                                <w:w w:val="99"/>
                                <w:kern w:val="2"/>
                                <w:sz w:val="8"/>
                                <w:szCs w:val="8"/>
                                <w:lang w:val="en-US" w:eastAsia="zh-CN" w:bidi="ar-SA"/>
                              </w:rPr>
                            </w:pPr>
                            <w:r>
                              <w:rPr>
                                <w:rFonts w:ascii="MingLiU" w:hAnsi="Calibri" w:eastAsia="MingLiU" w:cs="MingLiU"/>
                                <w:snapToGrid/>
                                <w:color w:val="080808"/>
                                <w:spacing w:val="40"/>
                                <w:w w:val="99"/>
                                <w:kern w:val="2"/>
                                <w:position w:val="1"/>
                                <w:sz w:val="8"/>
                                <w:szCs w:val="8"/>
                                <w:lang w:val="en-US" w:eastAsia="zh-CN" w:bidi="ar-SA"/>
                              </w:rPr>
                              <w:t>,</w:t>
                            </w:r>
                            <w:r>
                              <w:rPr>
                                <w:rFonts w:ascii="MingLiU" w:hAnsi="Calibri" w:eastAsia="MingLiU" w:cs="MingLiU"/>
                                <w:snapToGrid/>
                                <w:color w:val="080808"/>
                                <w:spacing w:val="40"/>
                                <w:w w:val="99"/>
                                <w:kern w:val="2"/>
                                <w:sz w:val="8"/>
                                <w:szCs w:val="8"/>
                                <w:lang w:val="en-US" w:eastAsia="zh-CN" w:bidi="ar-SA"/>
                              </w:rPr>
                              <w:t>S</w:t>
                            </w:r>
                          </w:p>
                        </w:txbxContent>
                      </wps:txbx>
                      <wps:bodyPr vert="eaVert" lIns="0" tIns="0" rIns="0" bIns="0" upright="1"/>
                    </wps:wsp>
                  </a:graphicData>
                </a:graphic>
              </wp:anchor>
            </w:drawing>
          </mc:Choice>
          <mc:Fallback>
            <w:pict>
              <v:shape id="_x0000_s1026" o:spid="_x0000_s1026" o:spt="202" type="#_x0000_t202" style="position:absolute;left:0pt;margin-left:26.45pt;margin-top:22.75pt;height:12.5pt;width:4.5pt;mso-position-horizontal-relative:page;z-index:251660288;mso-width-relative:page;mso-height-relative:page;" filled="f" stroked="f" coordsize="21600,21600" o:allowincell="f" o:gfxdata="UEsDBAoAAAAAAIdO4kAAAAAAAAAAAAAAAAAEAAAAZHJzL1BLAwQUAAAACACHTuJAWgRNfNMAAAAH&#10;AQAADwAAAGRycy9kb3ducmV2LnhtbE2Oy07DMBRE90j8g3WR2FE7BZc25KZCrYB1QzfZufYlifAj&#10;it0Hf49Z0eVoRmdOtb44y040xSF4hGImgJHXwQy+Q9h/vj0sgcWkvFE2eEL4oQjr+vamUqUJZ7+j&#10;U5M6liE+lgqhT2ksOY+6J6fiLIzkc/cVJqdSjlPHzaTOGe4snwux4E4NPj/0aqRNT/q7OTqEdtNa&#10;HvRe6o/dI1evzfbdtlvE+7tCvABLdEn/Y/jTz+pQZ6dDOHoTmUWQ81VeIjxJCSz3iyLnA8KzkMDr&#10;il/7179QSwMEFAAAAAgAh07iQBjlfObFAQAAjAMAAA4AAABkcnMvZTJvRG9jLnhtbK1TzW4TMRC+&#10;I/EOlu/ESdXQapVNpSoqQkKAVMrd8Y6zlvwn28luXgDegBMX7jxXnoOxdzeUcumhF3s8Y38z3zfj&#10;1U1vNDlAiMrZmi5mc0rACtcou6vpw5e7N9eUxMRtw7WzUNMjRHqzfv1q1fkKLlzrdAOBIIiNVedr&#10;2qbkK8aiaMHwOHMeLAalC4YnPIYdawLvEN1odjGfv2WdC40PTkCM6N0MQToihucAOimVgI0TewM2&#10;DagBNE9IKbbKR7ou1UoJIn2SMkIiuqbINJUVk6C9zStbr3i1C9y3Sowl8OeU8IST4cpi0jPUhidO&#10;9kH9B2WUCC46mWbCGTYQKYogi8X8iTb3LfdQuKDU0Z9Fjy8HKz4ePgeimppeUmK5wYaffnw//fx9&#10;+vWNXGZ5Oh8rvHXv8V7qb12PQzP5Izoz614Gk3fkQzCO4h7P4kKfiEDn8mqxxIDAyGJ5fYU2grO/&#10;b32I6R04Q7JR04CtK4ryw4eYhqvTlZzKujuldWmftv84EHPwQOn/+DrTGMrNVuq3/cht65ojUsMf&#10;gVmBf8WdEv3eosh5YCYjTMZ2MvY+qF2Lj4ocLMNikwqncaDyFDw+o/34E6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oETXzTAAAABwEAAA8AAAAAAAAAAQAgAAAAIgAAAGRycy9kb3ducmV2Lnht&#10;bFBLAQIUABQAAAAIAIdO4kAY5XzmxQEAAIwDAAAOAAAAAAAAAAEAIAAAACIBAABkcnMvZTJvRG9j&#10;LnhtbFBLBQYAAAAABgAGAFkBAABZBQAAAAA=&#10;">
                <v:fill on="f" focussize="0,0"/>
                <v:stroke on="f"/>
                <v:imagedata o:title=""/>
                <o:lock v:ext="edit" aspectratio="f"/>
                <v:textbox inset="0mm,0mm,0mm,0mm" style="layout-flow:vertical-ideographic;">
                  <w:txbxContent>
                    <w:p w14:paraId="364AC0C5">
                      <w:pPr>
                        <w:widowControl w:val="0"/>
                        <w:shd w:val="clear" w:color="auto" w:fill="FFFFFF"/>
                        <w:kinsoku w:val="0"/>
                        <w:overflowPunct w:val="0"/>
                        <w:autoSpaceDE/>
                        <w:autoSpaceDN/>
                        <w:snapToGrid/>
                        <w:spacing w:before="420" w:line="156" w:lineRule="auto"/>
                        <w:ind w:left="20" w:firstLine="0"/>
                        <w:jc w:val="left"/>
                        <w:rPr>
                          <w:rFonts w:ascii="MingLiU" w:hAnsi="Calibri" w:eastAsia="MingLiU" w:cs="MingLiU"/>
                          <w:snapToGrid/>
                          <w:color w:val="080808"/>
                          <w:spacing w:val="40"/>
                          <w:w w:val="99"/>
                          <w:kern w:val="2"/>
                          <w:sz w:val="8"/>
                          <w:szCs w:val="8"/>
                          <w:lang w:val="en-US" w:eastAsia="zh-CN" w:bidi="ar-SA"/>
                        </w:rPr>
                      </w:pPr>
                      <w:r>
                        <w:rPr>
                          <w:rFonts w:ascii="MingLiU" w:hAnsi="Calibri" w:eastAsia="MingLiU" w:cs="MingLiU"/>
                          <w:snapToGrid/>
                          <w:color w:val="080808"/>
                          <w:spacing w:val="40"/>
                          <w:w w:val="99"/>
                          <w:kern w:val="2"/>
                          <w:position w:val="1"/>
                          <w:sz w:val="8"/>
                          <w:szCs w:val="8"/>
                          <w:lang w:val="en-US" w:eastAsia="zh-CN" w:bidi="ar-SA"/>
                        </w:rPr>
                        <w:t>,</w:t>
                      </w:r>
                      <w:r>
                        <w:rPr>
                          <w:rFonts w:ascii="MingLiU" w:hAnsi="Calibri" w:eastAsia="MingLiU" w:cs="MingLiU"/>
                          <w:snapToGrid/>
                          <w:color w:val="080808"/>
                          <w:spacing w:val="40"/>
                          <w:w w:val="99"/>
                          <w:kern w:val="2"/>
                          <w:sz w:val="8"/>
                          <w:szCs w:val="8"/>
                          <w:lang w:val="en-US" w:eastAsia="zh-CN" w:bidi="ar-SA"/>
                        </w:rPr>
                        <w:t>S</w:t>
                      </w:r>
                    </w:p>
                  </w:txbxContent>
                </v:textbox>
              </v:shape>
            </w:pict>
          </mc:Fallback>
        </mc:AlternateContent>
      </w:r>
      <w:r>
        <w:rPr>
          <w:rFonts w:hint="eastAsia" w:ascii="Times New Roman" w:hAnsi="Times New Roman" w:eastAsia="仿宋" w:cs="Times New Roman"/>
          <w:snapToGrid/>
          <w:kern w:val="2"/>
          <w:sz w:val="32"/>
          <w:szCs w:val="32"/>
        </w:rPr>
        <w:t>差别化收费可以采取中心区域高于非中心区域、路内高于路外、干道高于支路、地面高于地下、白天高于夜间、拥堵时段高于空闲时段、大型车辆高于中小型车辆（车型分类标准按本办法附件1执行）等方式实施。</w:t>
      </w:r>
    </w:p>
    <w:p w14:paraId="1D0B87DE">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第十条 </w:t>
      </w:r>
      <w:r>
        <w:rPr>
          <w:rFonts w:hint="default" w:ascii="Times New Roman" w:hAnsi="Times New Roman" w:eastAsia="仿宋" w:cs="Times New Roman"/>
          <w:snapToGrid/>
          <w:kern w:val="2"/>
          <w:sz w:val="32"/>
          <w:szCs w:val="32"/>
        </w:rPr>
        <w:t>停车收费按照机动车停放实际占用的泊位数计算，可以采用计时、计次、包月、包时段等方式收取。</w:t>
      </w:r>
    </w:p>
    <w:p w14:paraId="6F3E6799">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城市道路停车泊位停车超过一定停放时间的，可以采用累计递增的计时方式收费。</w:t>
      </w:r>
    </w:p>
    <w:p w14:paraId="2B478A8E">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住宅小区周边的城市道路停车泊位面向小区业主停车，可以采用包月方式收费。</w:t>
      </w:r>
    </w:p>
    <w:p w14:paraId="078CEB3F">
      <w:pPr>
        <w:autoSpaceDE/>
        <w:autoSpaceDN/>
        <w:snapToGrid/>
        <w:spacing w:line="560" w:lineRule="exact"/>
        <w:ind w:firstLine="640" w:firstLineChars="200"/>
        <w:rPr>
          <w:rFonts w:eastAsia="仿宋_GB2312" w:cs="仿宋_GB2312"/>
          <w:snapToGrid/>
          <w:kern w:val="2"/>
          <w:sz w:val="32"/>
          <w:szCs w:val="32"/>
        </w:rPr>
      </w:pPr>
      <w:r>
        <w:rPr>
          <w:rFonts w:hint="eastAsia" w:ascii="Times New Roman" w:hAnsi="Times New Roman" w:eastAsia="仿宋" w:cs="Times New Roman"/>
          <w:snapToGrid/>
          <w:kern w:val="2"/>
          <w:sz w:val="32"/>
          <w:szCs w:val="32"/>
        </w:rPr>
        <w:t>鼓励旅游景点停车收费采用计次方式收取。采用计时方式收费的，应当设置当日停车收费最高限。</w:t>
      </w:r>
    </w:p>
    <w:p w14:paraId="235785FA">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第十一条 </w:t>
      </w:r>
      <w:r>
        <w:rPr>
          <w:rFonts w:hint="eastAsia" w:ascii="Times New Roman" w:hAnsi="Times New Roman" w:eastAsia="仿宋" w:cs="Times New Roman"/>
          <w:snapToGrid/>
          <w:kern w:val="2"/>
          <w:sz w:val="32"/>
          <w:szCs w:val="32"/>
        </w:rPr>
        <w:t>有下列情形之一的，免收停车服务费：</w:t>
      </w:r>
    </w:p>
    <w:p w14:paraId="6C20F179">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（一）进入停车设施单次未超过</w:t>
      </w:r>
      <w:r>
        <w:rPr>
          <w:rFonts w:hint="default" w:ascii="Times New Roman" w:hAnsi="Times New Roman" w:eastAsia="仿宋" w:cs="Times New Roman"/>
          <w:snapToGrid/>
          <w:kern w:val="2"/>
          <w:sz w:val="32"/>
          <w:szCs w:val="32"/>
        </w:rPr>
        <w:t>30</w:t>
      </w:r>
      <w:r>
        <w:rPr>
          <w:rFonts w:hint="eastAsia" w:ascii="Times New Roman" w:hAnsi="Times New Roman" w:eastAsia="仿宋" w:cs="Times New Roman"/>
          <w:snapToGrid/>
          <w:kern w:val="2"/>
          <w:sz w:val="32"/>
          <w:szCs w:val="32"/>
        </w:rPr>
        <w:t>分钟的机动车和夜间20</w:t>
      </w:r>
      <w:r>
        <w:rPr>
          <w:rFonts w:hint="default" w:ascii="Times New Roman" w:hAnsi="Times New Roman" w:eastAsia="仿宋" w:cs="Times New Roman"/>
          <w:snapToGrid/>
          <w:kern w:val="2"/>
          <w:sz w:val="32"/>
          <w:szCs w:val="32"/>
        </w:rPr>
        <w:t>:00</w:t>
      </w:r>
      <w:r>
        <w:rPr>
          <w:rFonts w:hint="eastAsia" w:ascii="Times New Roman" w:hAnsi="Times New Roman" w:eastAsia="仿宋" w:cs="Times New Roman"/>
          <w:snapToGrid/>
          <w:kern w:val="2"/>
          <w:sz w:val="32"/>
          <w:szCs w:val="32"/>
        </w:rPr>
        <w:t>—次日</w:t>
      </w:r>
      <w:r>
        <w:rPr>
          <w:rFonts w:hint="default" w:ascii="Times New Roman" w:hAnsi="Times New Roman" w:eastAsia="仿宋" w:cs="Times New Roman"/>
          <w:snapToGrid/>
          <w:kern w:val="2"/>
          <w:sz w:val="32"/>
          <w:szCs w:val="32"/>
        </w:rPr>
        <w:t>8:</w:t>
      </w:r>
      <w:r>
        <w:rPr>
          <w:rFonts w:hint="eastAsia" w:ascii="Times New Roman" w:hAnsi="Times New Roman" w:eastAsia="仿宋" w:cs="Times New Roman"/>
          <w:snapToGrid/>
          <w:kern w:val="2"/>
          <w:sz w:val="32"/>
          <w:szCs w:val="32"/>
        </w:rPr>
        <w:t>0</w:t>
      </w:r>
      <w:r>
        <w:rPr>
          <w:rFonts w:hint="default" w:ascii="Times New Roman" w:hAnsi="Times New Roman" w:eastAsia="仿宋" w:cs="Times New Roman"/>
          <w:snapToGrid/>
          <w:kern w:val="2"/>
          <w:sz w:val="32"/>
          <w:szCs w:val="32"/>
        </w:rPr>
        <w:t>0</w:t>
      </w:r>
      <w:r>
        <w:rPr>
          <w:rFonts w:hint="eastAsia" w:ascii="Times New Roman" w:hAnsi="Times New Roman" w:eastAsia="仿宋" w:cs="Times New Roman"/>
          <w:snapToGrid/>
          <w:kern w:val="2"/>
          <w:sz w:val="32"/>
          <w:szCs w:val="32"/>
        </w:rPr>
        <w:t>在城市道路停车泊位的车辆；</w:t>
      </w:r>
    </w:p>
    <w:p w14:paraId="1F33658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（二）执行公（任）务的军车、警车、消防车、救护车、工程抢险车、行政执法车、市政服务车等；</w:t>
      </w:r>
    </w:p>
    <w:p w14:paraId="22C50C7E">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（三）因自然灾害、公共卫生事件、社会安全事件等不可抗力影响，按照政府应急管理要求而临时停放的车辆；</w:t>
      </w:r>
    </w:p>
    <w:p w14:paraId="5DEB3E0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（四）举办大型公益性活动期间，在公安交通管理部门确定的临时停车泊位内停车的；</w:t>
      </w:r>
    </w:p>
    <w:p w14:paraId="74E3ACE8">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（五）接送学生车辆在中学、小学、幼儿园等周边道路设置的限时停车泊位内停车的；</w:t>
      </w:r>
    </w:p>
    <w:p w14:paraId="1EDBE23C">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（六）法律法规规章等规定的其他情形。</w:t>
      </w:r>
    </w:p>
    <w:p w14:paraId="1BE1B88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第十二条 </w:t>
      </w:r>
      <w:r>
        <w:rPr>
          <w:rFonts w:hint="eastAsia" w:ascii="Times New Roman" w:hAnsi="Times New Roman" w:eastAsia="仿宋" w:cs="Times New Roman"/>
          <w:snapToGrid/>
          <w:kern w:val="2"/>
          <w:sz w:val="32"/>
          <w:szCs w:val="32"/>
        </w:rPr>
        <w:t>城市公共交通换乘枢纽配套建设的停车设施提供停车服务，实行收费优惠。</w:t>
      </w:r>
    </w:p>
    <w:p w14:paraId="522C23B7">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mc:AlternateContent>
          <mc:Choice Requires="wps">
            <w:drawing>
              <wp:anchor distT="0" distB="0" distL="114300" distR="114300" simplePos="0" relativeHeight="251661312" behindDoc="0" locked="0" layoutInCell="0" allowOverlap="1">
                <wp:simplePos x="0" y="0"/>
                <wp:positionH relativeFrom="page">
                  <wp:posOffset>7231380</wp:posOffset>
                </wp:positionH>
                <wp:positionV relativeFrom="paragraph">
                  <wp:posOffset>301625</wp:posOffset>
                </wp:positionV>
                <wp:extent cx="114935" cy="114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14935"/>
                        </a:xfrm>
                        <a:prstGeom prst="rect">
                          <a:avLst/>
                        </a:prstGeom>
                        <a:noFill/>
                        <a:ln>
                          <a:noFill/>
                        </a:ln>
                        <a:effectLst/>
                      </wps:spPr>
                      <wps:txbx>
                        <w:txbxContent>
                          <w:p w14:paraId="3A6F57C1">
                            <w:pPr>
                              <w:widowControl w:val="0"/>
                              <w:shd w:val="clear" w:color="auto" w:fill="FFFFFF"/>
                              <w:kinsoku w:val="0"/>
                              <w:overflowPunct w:val="0"/>
                              <w:autoSpaceDE/>
                              <w:autoSpaceDN/>
                              <w:snapToGrid/>
                              <w:spacing w:before="420" w:line="168" w:lineRule="auto"/>
                              <w:ind w:left="20" w:firstLine="0"/>
                              <w:jc w:val="left"/>
                              <w:rPr>
                                <w:rFonts w:ascii="MingLiU" w:hAnsi="Calibri" w:eastAsia="MingLiU" w:cs="MingLiU"/>
                                <w:snapToGrid/>
                                <w:color w:val="8E8E8E"/>
                                <w:spacing w:val="40"/>
                                <w:kern w:val="2"/>
                                <w:sz w:val="14"/>
                                <w:szCs w:val="14"/>
                                <w:lang w:val="en-US" w:eastAsia="zh-CN" w:bidi="ar-SA"/>
                              </w:rPr>
                            </w:pPr>
                            <w:r>
                              <w:rPr>
                                <w:rFonts w:hint="eastAsia" w:ascii="MingLiU" w:hAnsi="Calibri" w:eastAsia="MingLiU" w:cs="MingLiU"/>
                                <w:snapToGrid/>
                                <w:color w:val="8E8E8E"/>
                                <w:spacing w:val="40"/>
                                <w:kern w:val="2"/>
                                <w:sz w:val="14"/>
                                <w:szCs w:val="14"/>
                                <w:lang w:val="en-US" w:eastAsia="zh-CN" w:bidi="ar-SA"/>
                              </w:rPr>
                              <w:t>＿</w:t>
                            </w:r>
                          </w:p>
                        </w:txbxContent>
                      </wps:txbx>
                      <wps:bodyPr vert="eaVert" lIns="0" tIns="0" rIns="0" bIns="0" upright="1"/>
                    </wps:wsp>
                  </a:graphicData>
                </a:graphic>
              </wp:anchor>
            </w:drawing>
          </mc:Choice>
          <mc:Fallback>
            <w:pict>
              <v:shape id="_x0000_s1026" o:spid="_x0000_s1026" o:spt="202" type="#_x0000_t202" style="position:absolute;left:0pt;margin-left:569.4pt;margin-top:23.75pt;height:9.05pt;width:9.05pt;mso-position-horizontal-relative:page;z-index:251661312;mso-width-relative:page;mso-height-relative:page;" filled="f" stroked="f" coordsize="21600,21600" o:allowincell="f" o:gfxdata="UEsDBAoAAAAAAIdO4kAAAAAAAAAAAAAAAAAEAAAAZHJzL1BLAwQUAAAACACHTuJAV4yjCdgAAAAL&#10;AQAADwAAAGRycy9kb3ducmV2LnhtbE2PzU7DMBCE70i8g7VI3KgTSkIb4lSoFXBu6CW3rbNNIux1&#10;FLs/vD3uiR5HM5r5plxdrBEnmvzgWEE6S0AQa9cO3CnYfX88LUD4gNyicUwKfsnDqrq/K7Fo3Zm3&#10;dKpDJ2IJ+wIV9CGMhZRe92TRz9xIHL2DmyyGKKdOthOeY7k18jlJcmlx4LjQ40jrnvRPfbQKmnVj&#10;pNO7TH9t5xLf682naTZKPT6kyRuIQJfwH4YrfkSHKjLt3ZFbL0zU6XwR2YOCl9cMxDWRZvkSxF5B&#10;nuUgq1Lefqj+AFBLAwQUAAAACACHTuJApKwkTsIBAACNAwAADgAAAGRycy9lMm9Eb2MueG1srVPN&#10;bhMxEL4j8Q6W78RJaRGssqmEolZICJDacne846wl/8l2spsXgDfgxIU7z5Xn6Ni7m/5w6YGLPZ7x&#10;fDPf5/Hysjea7CFE5WxNF7M5JWCFa5Td1vTu9urNe0pi4rbh2lmo6QEivVy9frXsfAVnrnW6gUAQ&#10;xMaq8zVtU/IVY1G0YHicOQ8Wg9IFwxMew5Y1gXeIbjQ7m8/fsc6FxgcnIEb0rocgHRHDSwCdlErA&#10;2omdAZsG1ACaJ6QUW+UjXZVupQSRvkoZIRFdU2SayopF0N7kla2WvNoG7lslxhb4S1p4xslwZbHo&#10;CWrNEye7oP6BMkoEF51MM+EMG4gURZDFYv5Mm5uWeyhcUOroT6LH/wcrvuy/BaKaml5QYrnBBz/+&#10;+nn8/ff45we5yPJ0PlZ468bjvdR/dD0OzeSP6MysexlM3pEPwTiKeziJC30iIictzj+8xSICQ6ON&#10;6Owh2YeYrsEZko2aBny7Iinff45puDpdybWsu1Jal/fT9okDMQcPlAEYszOPod9spX7Tj+Q2rjkg&#10;N/wSWBX4d9wp0Z8sqpwnZjLCZGwmY+eD2raYVPRgGRZfqXAaJyqPweMz2o9/0e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4yjCdgAAAALAQAADwAAAAAAAAABACAAAAAiAAAAZHJzL2Rvd25yZXYu&#10;eG1sUEsBAhQAFAAAAAgAh07iQKSsJE7CAQAAjQMAAA4AAAAAAAAAAQAgAAAAJwEAAGRycy9lMm9E&#10;b2MueG1sUEsFBgAAAAAGAAYAWQEAAFsFAAAAAA==&#10;">
                <v:fill on="f" focussize="0,0"/>
                <v:stroke on="f"/>
                <v:imagedata o:title=""/>
                <o:lock v:ext="edit" aspectratio="f"/>
                <v:textbox inset="0mm,0mm,0mm,0mm" style="layout-flow:vertical-ideographic;">
                  <w:txbxContent>
                    <w:p w14:paraId="3A6F57C1">
                      <w:pPr>
                        <w:widowControl w:val="0"/>
                        <w:shd w:val="clear" w:color="auto" w:fill="FFFFFF"/>
                        <w:kinsoku w:val="0"/>
                        <w:overflowPunct w:val="0"/>
                        <w:autoSpaceDE/>
                        <w:autoSpaceDN/>
                        <w:snapToGrid/>
                        <w:spacing w:before="420" w:line="168" w:lineRule="auto"/>
                        <w:ind w:left="20" w:firstLine="0"/>
                        <w:jc w:val="left"/>
                        <w:rPr>
                          <w:rFonts w:ascii="MingLiU" w:hAnsi="Calibri" w:eastAsia="MingLiU" w:cs="MingLiU"/>
                          <w:snapToGrid/>
                          <w:color w:val="8E8E8E"/>
                          <w:spacing w:val="40"/>
                          <w:kern w:val="2"/>
                          <w:sz w:val="14"/>
                          <w:szCs w:val="14"/>
                          <w:lang w:val="en-US" w:eastAsia="zh-CN" w:bidi="ar-SA"/>
                        </w:rPr>
                      </w:pPr>
                      <w:r>
                        <w:rPr>
                          <w:rFonts w:hint="eastAsia" w:ascii="MingLiU" w:hAnsi="Calibri" w:eastAsia="MingLiU" w:cs="MingLiU"/>
                          <w:snapToGrid/>
                          <w:color w:val="8E8E8E"/>
                          <w:spacing w:val="40"/>
                          <w:kern w:val="2"/>
                          <w:sz w:val="14"/>
                          <w:szCs w:val="14"/>
                          <w:lang w:val="en-US" w:eastAsia="zh-CN" w:bidi="ar-SA"/>
                        </w:rPr>
                        <w:t>＿</w:t>
                      </w:r>
                    </w:p>
                  </w:txbxContent>
                </v:textbox>
              </v:shape>
            </w:pict>
          </mc:Fallback>
        </mc:AlternateContent>
      </w:r>
      <w:r>
        <w:rPr>
          <w:rFonts w:hint="default" w:ascii="Times New Roman" w:hAnsi="Times New Roman" w:eastAsia="仿宋" w:cs="Times New Roman"/>
          <w:snapToGrid/>
          <w:kern w:val="2"/>
          <w:sz w:val="32"/>
          <w:szCs w:val="32"/>
        </w:rPr>
        <mc:AlternateContent>
          <mc:Choice Requires="wps">
            <w:drawing>
              <wp:anchor distT="0" distB="0" distL="114300" distR="114300" simplePos="0" relativeHeight="251662336" behindDoc="0" locked="0" layoutInCell="0" allowOverlap="1">
                <wp:simplePos x="0" y="0"/>
                <wp:positionH relativeFrom="page">
                  <wp:posOffset>7179310</wp:posOffset>
                </wp:positionH>
                <wp:positionV relativeFrom="paragraph">
                  <wp:posOffset>333375</wp:posOffset>
                </wp:positionV>
                <wp:extent cx="114935" cy="1149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14935"/>
                        </a:xfrm>
                        <a:prstGeom prst="rect">
                          <a:avLst/>
                        </a:prstGeom>
                        <a:noFill/>
                        <a:ln>
                          <a:noFill/>
                        </a:ln>
                        <a:effectLst/>
                      </wps:spPr>
                      <wps:txbx>
                        <w:txbxContent>
                          <w:p w14:paraId="1F6FE7E6">
                            <w:pPr>
                              <w:widowControl w:val="0"/>
                              <w:shd w:val="clear" w:color="auto" w:fill="FFFFFF"/>
                              <w:kinsoku w:val="0"/>
                              <w:overflowPunct w:val="0"/>
                              <w:autoSpaceDE/>
                              <w:autoSpaceDN/>
                              <w:snapToGrid/>
                              <w:spacing w:before="420" w:line="168" w:lineRule="auto"/>
                              <w:ind w:left="20" w:firstLine="0"/>
                              <w:jc w:val="left"/>
                              <w:rPr>
                                <w:rFonts w:ascii="MingLiU" w:hAnsi="Calibri" w:eastAsia="MingLiU" w:cs="MingLiU"/>
                                <w:snapToGrid/>
                                <w:color w:val="8E8E8E"/>
                                <w:spacing w:val="40"/>
                                <w:kern w:val="2"/>
                                <w:sz w:val="14"/>
                                <w:szCs w:val="14"/>
                                <w:lang w:val="en-US" w:eastAsia="zh-CN" w:bidi="ar-SA"/>
                              </w:rPr>
                            </w:pPr>
                            <w:r>
                              <w:rPr>
                                <w:rFonts w:hint="eastAsia" w:ascii="MingLiU" w:hAnsi="Calibri" w:eastAsia="MingLiU" w:cs="MingLiU"/>
                                <w:snapToGrid/>
                                <w:color w:val="8E8E8E"/>
                                <w:spacing w:val="40"/>
                                <w:kern w:val="2"/>
                                <w:sz w:val="14"/>
                                <w:szCs w:val="14"/>
                                <w:lang w:val="en-US" w:eastAsia="zh-CN" w:bidi="ar-SA"/>
                              </w:rPr>
                              <w:t>｀</w:t>
                            </w:r>
                          </w:p>
                        </w:txbxContent>
                      </wps:txbx>
                      <wps:bodyPr vert="eaVert" lIns="0" tIns="0" rIns="0" bIns="0" upright="1"/>
                    </wps:wsp>
                  </a:graphicData>
                </a:graphic>
              </wp:anchor>
            </w:drawing>
          </mc:Choice>
          <mc:Fallback>
            <w:pict>
              <v:shape id="_x0000_s1026" o:spid="_x0000_s1026" o:spt="202" type="#_x0000_t202" style="position:absolute;left:0pt;margin-left:565.3pt;margin-top:26.25pt;height:9.05pt;width:9.05pt;mso-position-horizontal-relative:page;z-index:251662336;mso-width-relative:page;mso-height-relative:page;" filled="f" stroked="f" coordsize="21600,21600" o:allowincell="f" o:gfxdata="UEsDBAoAAAAAAIdO4kAAAAAAAAAAAAAAAAAEAAAAZHJzL1BLAwQUAAAACACHTuJAjhxTG9cAAAAL&#10;AQAADwAAAGRycy9kb3ducmV2LnhtbE2Py07DMBBF90j8gzVI7KiTlrRViFOhVsC6oZvspvaQRPgR&#10;xe6Dv2e6guXVPbpzptpcnRVnmuIQvIJ8loEgr4MZfKfg8Pn2tAYRE3qDNnhS8EMRNvX9XYWlCRe/&#10;p3OTOsEjPpaooE9pLKWMuieHcRZG8tx9hclh4jh10kx44XFn5TzLltLh4PlCjyNte9LfzckpaLet&#10;lUEfCv2xX0h8bXbvtt0p9fiQZy8gEl3THww3fVaHmp2O4eRNFJZzvsiWzCoo5gWIG5E/r1cgjgpW&#10;3Mi6kv9/qH8BUEsDBBQAAAAIAIdO4kBlSrUHwgEAAI0DAAAOAAAAZHJzL2Uyb0RvYy54bWytU81u&#10;EzEQviPxDpbvxEmBCFbZVEJRUaWqIBW4O95x1pL/ZDvZzQvQN+DEhTvPlefo2LsbSrn0wMUez3i+&#10;me/zeHXZG00OEKJytqaL2ZwSsMI1yu5q+vXL1at3lMTEbcO1s1DTI0R6uX75YtX5Ci5c63QDgSCI&#10;jVXna9qm5CvGomjB8DhzHiwGpQuGJzyGHWsC7xDdaHYxny9Z50LjgxMQI3o3Q5COiOE5gE5KJWDj&#10;xN6ATQNqAM0TUoqt8pGuS7dSgkifpIyQiK4pMk1lxSJob/PK1ite7QL3rRJjC/w5LTzhZLiyWPQM&#10;teGJk31Q/0AZJYKLTqaZcIYNRIoiyGIxf6LNXcs9FC4odfRn0eP/gxW3h8+BqKamS0osN/jgpx/3&#10;p5+/T7++k2WWp/Oxwlt3Hu+l/oPrcWgmf0RnZt3LYPKOfAjGUdzjWVzoExE5afHm/eu3lAgMjTai&#10;sz/JPsT0EZwh2ahpwLcrkvLDTUzD1elKrmXdldK6vJ+2fzkQc/BAGYAxO/MY+s1W6rf9SG7rmiNy&#10;wy+BVYF/w50SfW1R5TwxkxEmYzsZex/UrsWkogfLsPhKhdM4UXkMHp/RfvyL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OHFMb1wAAAAsBAAAPAAAAAAAAAAEAIAAAACIAAABkcnMvZG93bnJldi54&#10;bWxQSwECFAAUAAAACACHTuJAZUq1B8IBAACNAwAADgAAAAAAAAABACAAAAAmAQAAZHJzL2Uyb0Rv&#10;Yy54bWxQSwUGAAAAAAYABgBZAQAAWgUAAAAA&#10;">
                <v:fill on="f" focussize="0,0"/>
                <v:stroke on="f"/>
                <v:imagedata o:title=""/>
                <o:lock v:ext="edit" aspectratio="f"/>
                <v:textbox inset="0mm,0mm,0mm,0mm" style="layout-flow:vertical-ideographic;">
                  <w:txbxContent>
                    <w:p w14:paraId="1F6FE7E6">
                      <w:pPr>
                        <w:widowControl w:val="0"/>
                        <w:shd w:val="clear" w:color="auto" w:fill="FFFFFF"/>
                        <w:kinsoku w:val="0"/>
                        <w:overflowPunct w:val="0"/>
                        <w:autoSpaceDE/>
                        <w:autoSpaceDN/>
                        <w:snapToGrid/>
                        <w:spacing w:before="420" w:line="168" w:lineRule="auto"/>
                        <w:ind w:left="20" w:firstLine="0"/>
                        <w:jc w:val="left"/>
                        <w:rPr>
                          <w:rFonts w:ascii="MingLiU" w:hAnsi="Calibri" w:eastAsia="MingLiU" w:cs="MingLiU"/>
                          <w:snapToGrid/>
                          <w:color w:val="8E8E8E"/>
                          <w:spacing w:val="40"/>
                          <w:kern w:val="2"/>
                          <w:sz w:val="14"/>
                          <w:szCs w:val="14"/>
                          <w:lang w:val="en-US" w:eastAsia="zh-CN" w:bidi="ar-SA"/>
                        </w:rPr>
                      </w:pPr>
                      <w:r>
                        <w:rPr>
                          <w:rFonts w:hint="eastAsia" w:ascii="MingLiU" w:hAnsi="Calibri" w:eastAsia="MingLiU" w:cs="MingLiU"/>
                          <w:snapToGrid/>
                          <w:color w:val="8E8E8E"/>
                          <w:spacing w:val="40"/>
                          <w:kern w:val="2"/>
                          <w:sz w:val="14"/>
                          <w:szCs w:val="14"/>
                          <w:lang w:val="en-US" w:eastAsia="zh-CN" w:bidi="ar-SA"/>
                        </w:rPr>
                        <w:t>｀</w:t>
                      </w:r>
                    </w:p>
                  </w:txbxContent>
                </v:textbox>
              </v:shape>
            </w:pict>
          </mc:Fallback>
        </mc:AlternateContent>
      </w:r>
      <w:r>
        <w:rPr>
          <w:rFonts w:hint="eastAsia" w:ascii="Times New Roman" w:hAnsi="Times New Roman" w:eastAsia="仿宋" w:cs="Times New Roman"/>
          <w:snapToGrid/>
          <w:kern w:val="2"/>
          <w:sz w:val="32"/>
          <w:szCs w:val="32"/>
        </w:rPr>
        <w:t>鼓励车站、码头、医院、学校、图书馆、政务服务中心等提供公共服务场所配套建设的停车设施适当延长免费停车时长。</w:t>
      </w:r>
    </w:p>
    <w:p w14:paraId="7DE18E7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鼓励</w:t>
      </w:r>
      <w:r>
        <w:rPr>
          <w:rFonts w:hint="eastAsia" w:ascii="Times New Roman" w:hAnsi="Times New Roman" w:eastAsia="仿宋" w:cs="Times New Roman"/>
          <w:snapToGrid/>
          <w:kern w:val="2"/>
          <w:sz w:val="32"/>
          <w:szCs w:val="32"/>
        </w:rPr>
        <w:t>停车设施经营者、管理者对新能源汽车停放予以收费优惠。</w:t>
      </w:r>
    </w:p>
    <w:p w14:paraId="4D2F77B2">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鼓励国家机关、事业单位停车设施错时共享，在空闲时段向社会开放并适当收取费用。</w:t>
      </w:r>
    </w:p>
    <w:p w14:paraId="00DE0238">
      <w:pPr>
        <w:autoSpaceDE/>
        <w:autoSpaceDN/>
        <w:snapToGrid/>
        <w:spacing w:line="560" w:lineRule="exact"/>
        <w:ind w:firstLine="640" w:firstLineChars="200"/>
        <w:rPr>
          <w:rFonts w:eastAsia="仿宋_GB2312" w:cs="仿宋_GB2312"/>
          <w:snapToGrid/>
          <w:kern w:val="2"/>
          <w:sz w:val="32"/>
          <w:szCs w:val="32"/>
        </w:rPr>
      </w:pPr>
      <w:r>
        <w:rPr>
          <w:rFonts w:hint="eastAsia" w:ascii="黑体" w:hAnsi="黑体" w:eastAsia="黑体" w:cs="黑体"/>
          <w:snapToGrid/>
          <w:kern w:val="2"/>
          <w:sz w:val="32"/>
          <w:szCs w:val="32"/>
        </w:rPr>
        <w:t xml:space="preserve">第十三条 </w:t>
      </w:r>
      <w:r>
        <w:rPr>
          <w:rFonts w:hint="default" w:ascii="Times New Roman" w:hAnsi="Times New Roman" w:eastAsia="仿宋" w:cs="Times New Roman"/>
          <w:snapToGrid/>
          <w:kern w:val="2"/>
          <w:sz w:val="32"/>
          <w:szCs w:val="32"/>
        </w:rPr>
        <w:t>公共停车设施经营者、管理者应当免收残疾人合法驾驶机动车停车费</w:t>
      </w:r>
      <w:r>
        <w:rPr>
          <w:rFonts w:hint="eastAsia" w:ascii="Times New Roman" w:hAnsi="Times New Roman" w:eastAsia="仿宋" w:cs="Times New Roman"/>
          <w:snapToGrid/>
          <w:kern w:val="2"/>
          <w:sz w:val="32"/>
          <w:szCs w:val="32"/>
        </w:rPr>
        <w:t>。</w:t>
      </w:r>
    </w:p>
    <w:p w14:paraId="3E984171">
      <w:pPr>
        <w:autoSpaceDE/>
        <w:autoSpaceDN/>
        <w:snapToGrid/>
        <w:spacing w:line="560" w:lineRule="exact"/>
        <w:ind w:firstLine="640" w:firstLineChars="200"/>
        <w:rPr>
          <w:rFonts w:eastAsia="仿宋_GB2312" w:cs="仿宋_GB2312"/>
          <w:snapToGrid/>
          <w:kern w:val="2"/>
          <w:sz w:val="32"/>
          <w:szCs w:val="32"/>
        </w:rPr>
      </w:pPr>
      <w:r>
        <w:rPr>
          <w:rFonts w:hint="eastAsia" w:ascii="黑体" w:hAnsi="黑体" w:eastAsia="黑体" w:cs="黑体"/>
          <w:snapToGrid/>
          <w:kern w:val="2"/>
          <w:sz w:val="32"/>
          <w:szCs w:val="32"/>
        </w:rPr>
        <w:t xml:space="preserve">第十四条 </w:t>
      </w:r>
      <w:r>
        <w:rPr>
          <w:rFonts w:hint="eastAsia" w:ascii="Times New Roman" w:hAnsi="Times New Roman" w:eastAsia="仿宋" w:cs="Times New Roman"/>
          <w:snapToGrid/>
          <w:kern w:val="2"/>
          <w:sz w:val="32"/>
          <w:szCs w:val="32"/>
        </w:rPr>
        <w:t>行政机关依法扣押扣留或者处置车辆在法定处理期限内的停车费，由实施强制措施的行政机关承担。</w:t>
      </w:r>
    </w:p>
    <w:p w14:paraId="4280DF74">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第十五条 </w:t>
      </w:r>
      <w:r>
        <w:rPr>
          <w:rFonts w:hint="eastAsia" w:ascii="Times New Roman" w:hAnsi="Times New Roman" w:eastAsia="仿宋" w:cs="Times New Roman"/>
          <w:snapToGrid/>
          <w:kern w:val="2"/>
          <w:sz w:val="32"/>
          <w:szCs w:val="32"/>
        </w:rPr>
        <w:t>实行政府定价、政府指导价的停车设施，经营者、管理者在取得合法资格后，应向区价格主管部门办理收费标准核定手续后方可收费。</w:t>
      </w:r>
    </w:p>
    <w:p w14:paraId="2273046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实行市场调节价的停车设施，经营者、管理者调整收费标准，应当提前15日向社会公示，并告知区发改局、住建局、城管局、市场监管局、金坛公安分局等部门。</w:t>
      </w:r>
    </w:p>
    <w:p w14:paraId="5685D461">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第十六条 </w:t>
      </w:r>
      <w:r>
        <w:rPr>
          <w:rFonts w:hint="default" w:ascii="Times New Roman" w:hAnsi="Times New Roman" w:eastAsia="仿宋" w:cs="Times New Roman"/>
          <w:snapToGrid/>
          <w:kern w:val="2"/>
          <w:sz w:val="32"/>
          <w:szCs w:val="32"/>
        </w:rPr>
        <w:t>全区停车收费</w:t>
      </w:r>
      <w:r>
        <w:rPr>
          <w:rFonts w:hint="eastAsia" w:ascii="Times New Roman" w:hAnsi="Times New Roman" w:eastAsia="仿宋" w:cs="Times New Roman"/>
          <w:snapToGrid/>
          <w:kern w:val="2"/>
          <w:sz w:val="32"/>
          <w:szCs w:val="32"/>
        </w:rPr>
        <w:t>划分为两类区域：</w:t>
      </w:r>
    </w:p>
    <w:p w14:paraId="42F7AE9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一类区：部分金沙老城和钱资新城范围。</w:t>
      </w:r>
    </w:p>
    <w:p w14:paraId="2FF46FA7">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金沙老城：东至东环二路，北至北环东路、北环西路，西至丹阳门中路、丹阳门南路，南至南环一路、南环西路。（含本路段）</w:t>
      </w:r>
    </w:p>
    <w:p w14:paraId="3D14F016">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钱资新城：东至华阳南路，北至鑫城大道，西至钱家路，南至金坛大道。（含本路段）</w:t>
      </w:r>
    </w:p>
    <w:p w14:paraId="536FC933">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二类区：除上述一类区域以外的其他区域。</w:t>
      </w:r>
    </w:p>
    <w:p w14:paraId="6BAAA40A">
      <w:pPr>
        <w:numPr>
          <w:ilvl w:val="255"/>
          <w:numId w:val="0"/>
        </w:num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第十七条 </w:t>
      </w:r>
      <w:r>
        <w:rPr>
          <w:rFonts w:hint="eastAsia" w:ascii="Times New Roman" w:hAnsi="Times New Roman" w:eastAsia="仿宋" w:cs="Times New Roman"/>
          <w:snapToGrid/>
          <w:kern w:val="2"/>
          <w:sz w:val="32"/>
          <w:szCs w:val="32"/>
        </w:rPr>
        <w:t>城市道路停车泊位、道板和国有投资建设的公共停车设施停车收费标准分别按本办法附件</w:t>
      </w:r>
      <w:r>
        <w:rPr>
          <w:rFonts w:hint="default" w:ascii="Times New Roman" w:hAnsi="Times New Roman" w:eastAsia="仿宋" w:cs="Times New Roman"/>
          <w:snapToGrid/>
          <w:kern w:val="2"/>
          <w:sz w:val="32"/>
          <w:szCs w:val="32"/>
        </w:rPr>
        <w:t>2</w:t>
      </w:r>
      <w:r>
        <w:rPr>
          <w:rFonts w:hint="eastAsia" w:ascii="Times New Roman" w:hAnsi="Times New Roman" w:eastAsia="仿宋" w:cs="Times New Roman"/>
          <w:snapToGrid/>
          <w:kern w:val="2"/>
          <w:sz w:val="32"/>
          <w:szCs w:val="32"/>
        </w:rPr>
        <w:t>、附件</w:t>
      </w:r>
      <w:r>
        <w:rPr>
          <w:rFonts w:hint="default" w:ascii="Times New Roman" w:hAnsi="Times New Roman" w:eastAsia="仿宋" w:cs="Times New Roman"/>
          <w:snapToGrid/>
          <w:kern w:val="2"/>
          <w:sz w:val="32"/>
          <w:szCs w:val="32"/>
        </w:rPr>
        <w:t>3</w:t>
      </w:r>
      <w:r>
        <w:rPr>
          <w:rFonts w:hint="eastAsia" w:ascii="Times New Roman" w:hAnsi="Times New Roman" w:eastAsia="仿宋" w:cs="Times New Roman"/>
          <w:snapToGrid/>
          <w:kern w:val="2"/>
          <w:sz w:val="32"/>
          <w:szCs w:val="32"/>
        </w:rPr>
        <w:t>执行。其他实行政府定价或政府指导价的停车设施停车收费由区价格主管部门另行核准。</w:t>
      </w:r>
    </w:p>
    <w:p w14:paraId="5BE32BAA">
      <w:pPr>
        <w:numPr>
          <w:ilvl w:val="255"/>
          <w:numId w:val="0"/>
        </w:num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第十八条 </w:t>
      </w:r>
      <w:r>
        <w:rPr>
          <w:rFonts w:hint="default" w:ascii="Times New Roman" w:hAnsi="Times New Roman" w:eastAsia="仿宋" w:cs="Times New Roman"/>
          <w:snapToGrid/>
          <w:kern w:val="2"/>
          <w:sz w:val="32"/>
          <w:szCs w:val="32"/>
        </w:rPr>
        <w:t>有关单位</w:t>
      </w:r>
      <w:r>
        <w:rPr>
          <w:rFonts w:hint="eastAsia" w:ascii="Times New Roman" w:hAnsi="Times New Roman" w:eastAsia="仿宋" w:cs="Times New Roman"/>
          <w:snapToGrid/>
          <w:kern w:val="2"/>
          <w:sz w:val="32"/>
          <w:szCs w:val="32"/>
        </w:rPr>
        <w:t>应当加强智慧停车管理平台建设，推动车辆号牌自动识别，推广应用电子交费平台，实现停车信息共享，促进停车智能化发展。</w:t>
      </w:r>
    </w:p>
    <w:p w14:paraId="06E5B2C4">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第十九条 </w:t>
      </w:r>
      <w:r>
        <w:rPr>
          <w:rFonts w:hint="eastAsia" w:ascii="Times New Roman" w:hAnsi="Times New Roman" w:eastAsia="仿宋" w:cs="Times New Roman"/>
          <w:snapToGrid/>
          <w:kern w:val="2"/>
          <w:sz w:val="32"/>
          <w:szCs w:val="32"/>
        </w:rPr>
        <w:t>停车设施经营者、管理者收取停车费应当按照规定使用财政票据或者税务发票。</w:t>
      </w:r>
    </w:p>
    <w:p w14:paraId="5FC3B90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第二十条 </w:t>
      </w:r>
      <w:r>
        <w:rPr>
          <w:rFonts w:hint="eastAsia" w:ascii="Times New Roman" w:hAnsi="Times New Roman" w:eastAsia="仿宋" w:cs="Times New Roman"/>
          <w:snapToGrid/>
          <w:kern w:val="2"/>
          <w:sz w:val="32"/>
          <w:szCs w:val="32"/>
        </w:rPr>
        <w:t>下列停车收费为政府非税收入，全额上缴财政，实行收支两条线管理：</w:t>
      </w:r>
    </w:p>
    <w:p w14:paraId="73A33054">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（一）城市道路停车泊位；</w:t>
      </w:r>
    </w:p>
    <w:p w14:paraId="20786353">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（二）政府财政性资金投资建设的停车设施；</w:t>
      </w:r>
    </w:p>
    <w:p w14:paraId="0D84EDBE">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（三）机关事业单位向社会有偿开放的停车设施；</w:t>
      </w:r>
    </w:p>
    <w:p w14:paraId="3A59DB9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（四）其他利用政府财政性资金投资建设的停车设施。</w:t>
      </w:r>
    </w:p>
    <w:p w14:paraId="5A5E0D24">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第二十一条 </w:t>
      </w:r>
      <w:r>
        <w:rPr>
          <w:rFonts w:hint="eastAsia" w:ascii="Times New Roman" w:hAnsi="Times New Roman" w:eastAsia="仿宋" w:cs="Times New Roman"/>
          <w:snapToGrid/>
          <w:kern w:val="2"/>
          <w:sz w:val="32"/>
          <w:szCs w:val="32"/>
        </w:rPr>
        <w:t>鼓励停车设施经营者、管理者通过网络、智慧停车管理平台公开收费标准、停车费收入和支出等信息，主动接受社会监督。</w:t>
      </w:r>
    </w:p>
    <w:p w14:paraId="5574F4E5">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第二十二条 </w:t>
      </w:r>
      <w:r>
        <w:rPr>
          <w:rFonts w:hint="eastAsia" w:ascii="Times New Roman" w:hAnsi="Times New Roman" w:eastAsia="仿宋" w:cs="Times New Roman"/>
          <w:snapToGrid/>
          <w:kern w:val="2"/>
          <w:sz w:val="32"/>
          <w:szCs w:val="32"/>
        </w:rPr>
        <w:t>机动车停放者停放车辆时，应当服从引导、停车入位，按照规定交纳停车费。</w:t>
      </w:r>
    </w:p>
    <w:p w14:paraId="366D216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停车设施经营者、管理者不提供合法收费票据或者未提供收费票据获取渠道的，机动车停放者有权拒绝交纳停车费。</w:t>
      </w:r>
    </w:p>
    <w:p w14:paraId="578F44E0">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第二十三条 </w:t>
      </w:r>
      <w:r>
        <w:rPr>
          <w:rFonts w:hint="eastAsia" w:ascii="Times New Roman" w:hAnsi="Times New Roman" w:eastAsia="仿宋" w:cs="Times New Roman"/>
          <w:snapToGrid/>
          <w:kern w:val="2"/>
          <w:sz w:val="32"/>
          <w:szCs w:val="32"/>
        </w:rPr>
        <w:t>停车设施经营者、管理者应当严格执行明码标价规定，在停车设施出入口处或者交费地点显著位置设置规范化的停车收费公示牌，主动标明停车设施名称、收费主体、收费范围、收费标准、收费方式、收费依据、泊位数量、免费停车时长、优惠减免政策、行业主管单位和经营单位的服务监督电话以及价格举报电话等信息，广泛接受社会监督。</w:t>
      </w:r>
    </w:p>
    <w:p w14:paraId="36573643">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第二十四条 </w:t>
      </w:r>
      <w:r>
        <w:rPr>
          <w:rFonts w:hint="default" w:ascii="Times New Roman" w:hAnsi="Times New Roman" w:eastAsia="仿宋" w:cs="Times New Roman"/>
          <w:snapToGrid/>
          <w:kern w:val="2"/>
          <w:sz w:val="32"/>
          <w:szCs w:val="32"/>
        </w:rPr>
        <w:t>区</w:t>
      </w:r>
      <w:r>
        <w:rPr>
          <w:rFonts w:hint="eastAsia" w:ascii="Times New Roman" w:hAnsi="Times New Roman" w:eastAsia="仿宋" w:cs="Times New Roman"/>
          <w:snapToGrid/>
          <w:kern w:val="2"/>
          <w:sz w:val="32"/>
          <w:szCs w:val="32"/>
        </w:rPr>
        <w:t>发改局、住建局、城管局、金坛公安分局等部门应当依法依规加强停车收费信用管理。鼓励停车设施经营者、管理者对信用状况良好的车主，提供收费优惠、车位预约、通行后付费等便利服务。</w:t>
      </w:r>
    </w:p>
    <w:p w14:paraId="4CB8BEB4">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第二十五条 </w:t>
      </w:r>
      <w:r>
        <w:rPr>
          <w:rFonts w:hint="eastAsia" w:ascii="Times New Roman" w:hAnsi="Times New Roman" w:eastAsia="仿宋" w:cs="Times New Roman"/>
          <w:snapToGrid/>
          <w:kern w:val="2"/>
          <w:sz w:val="32"/>
          <w:szCs w:val="32"/>
        </w:rPr>
        <w:t>停车设施经营者、管理者应当遵循公开、公平和诚实信用的原则，建立健全机动车停车收费内部管理制度，加强对停放车辆及停车场的管理，规范如下服务行为：</w:t>
      </w:r>
    </w:p>
    <w:p w14:paraId="1127B819">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（一）场内环境整洁、干净；</w:t>
      </w:r>
    </w:p>
    <w:p w14:paraId="1C2153B8">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（二）停车设施出入通道畅通，车辆进出方便；</w:t>
      </w:r>
    </w:p>
    <w:p w14:paraId="2F66A80F">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（三）车辆停放位置设有明显的标志和标线，停放有序；</w:t>
      </w:r>
    </w:p>
    <w:p w14:paraId="7C493EC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（四）确保场内设施完好；</w:t>
      </w:r>
    </w:p>
    <w:p w14:paraId="027C1CF6">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（五）按照规定使用财政票据或者税务发票。</w:t>
      </w:r>
    </w:p>
    <w:p w14:paraId="2F5B4E4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第二十六条 </w:t>
      </w:r>
      <w:r>
        <w:rPr>
          <w:rFonts w:hint="eastAsia" w:ascii="Times New Roman" w:hAnsi="Times New Roman" w:eastAsia="仿宋" w:cs="Times New Roman"/>
          <w:snapToGrid/>
          <w:kern w:val="2"/>
          <w:sz w:val="32"/>
          <w:szCs w:val="32"/>
        </w:rPr>
        <w:t>区住建局、城管局、金坛公安分局等部门应当按照各自职责，加强对停车设施经营者、管理者的监督管理，对未经批准经营、私自圈地、划片收取停车费以及擅自在道路上和其他公共区域内设置地桩、地锁等障碍物阻碍机动车停放和通行等行为，依法予以查处。</w:t>
      </w:r>
    </w:p>
    <w:p w14:paraId="06B77957">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第二十七条 </w:t>
      </w:r>
      <w:r>
        <w:rPr>
          <w:rFonts w:hint="eastAsia" w:ascii="Times New Roman" w:hAnsi="Times New Roman" w:eastAsia="仿宋" w:cs="Times New Roman"/>
          <w:snapToGrid/>
          <w:kern w:val="2"/>
          <w:sz w:val="32"/>
          <w:szCs w:val="32"/>
        </w:rPr>
        <w:t>对收费标准涨幅较大、调价频次过高或者社会反映集中的停车设施经营者、管理者，市场监管部门会同有关部门采取提醒、约谈等方式，加强督促指导，规范收费行为。</w:t>
      </w:r>
    </w:p>
    <w:p w14:paraId="2A4DFD8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第二十八条 </w:t>
      </w:r>
      <w:r>
        <w:rPr>
          <w:rFonts w:hint="eastAsia" w:ascii="Times New Roman" w:hAnsi="Times New Roman" w:eastAsia="仿宋" w:cs="Times New Roman"/>
          <w:snapToGrid/>
          <w:kern w:val="2"/>
          <w:sz w:val="32"/>
          <w:szCs w:val="32"/>
        </w:rPr>
        <w:t>有下列行为之一的，由市场监管部门依法查处：</w:t>
      </w:r>
    </w:p>
    <w:p w14:paraId="246E525C">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（一）不执行政府定价、政府指导价的；</w:t>
      </w:r>
    </w:p>
    <w:p w14:paraId="4D51F90D">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（二）强制或者变相强制交易方接受交易价格的；</w:t>
      </w:r>
    </w:p>
    <w:p w14:paraId="7E50BE34">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（三）实施价格串通、价格垄断的；</w:t>
      </w:r>
    </w:p>
    <w:p w14:paraId="5C532BEB">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（四）不按照规定明码标价或者不按照明码标价公示内容收费的；</w:t>
      </w:r>
    </w:p>
    <w:p w14:paraId="76BFE41A">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（五）存在价格欺诈等不正当价格行为的；</w:t>
      </w:r>
    </w:p>
    <w:p w14:paraId="727D2E3C">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（六）不执行收费减免或者其他优惠政策收费的；</w:t>
      </w:r>
    </w:p>
    <w:p w14:paraId="3B71A76A">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（七）其他价格违法行为。</w:t>
      </w:r>
    </w:p>
    <w:p w14:paraId="5DE954DB">
      <w:pPr>
        <w:autoSpaceDE/>
        <w:autoSpaceDN/>
        <w:snapToGrid/>
        <w:spacing w:line="560" w:lineRule="exact"/>
        <w:ind w:firstLine="640" w:firstLineChars="200"/>
        <w:rPr>
          <w:rFonts w:eastAsia="仿宋_GB2312" w:cs="仿宋_GB2312"/>
          <w:snapToGrid/>
          <w:kern w:val="2"/>
          <w:sz w:val="32"/>
          <w:szCs w:val="32"/>
        </w:rPr>
      </w:pPr>
      <w:r>
        <w:rPr>
          <w:rFonts w:hint="eastAsia" w:ascii="黑体" w:hAnsi="黑体" w:eastAsia="黑体" w:cs="黑体"/>
          <w:snapToGrid/>
          <w:kern w:val="2"/>
          <w:sz w:val="32"/>
          <w:szCs w:val="32"/>
        </w:rPr>
        <w:t xml:space="preserve">第二十九条 </w:t>
      </w:r>
      <w:r>
        <w:rPr>
          <w:rFonts w:hint="eastAsia" w:ascii="Times New Roman" w:hAnsi="Times New Roman" w:eastAsia="仿宋" w:cs="Times New Roman"/>
          <w:snapToGrid/>
          <w:kern w:val="2"/>
          <w:sz w:val="32"/>
          <w:szCs w:val="32"/>
        </w:rPr>
        <w:t>住宅小区停车设施收费，按照《江苏省物业管理条例》《江苏省物业服务收费管理办法》等有关规定执行。</w:t>
      </w:r>
    </w:p>
    <w:p w14:paraId="6AD316E2">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第三十条 </w:t>
      </w:r>
      <w:r>
        <w:rPr>
          <w:rFonts w:hint="default" w:ascii="Times New Roman" w:hAnsi="Times New Roman" w:eastAsia="仿宋" w:cs="Times New Roman"/>
          <w:snapToGrid/>
          <w:kern w:val="2"/>
          <w:sz w:val="32"/>
          <w:szCs w:val="32"/>
        </w:rPr>
        <w:t>本办法由区发改局会同财政局、住建局、城管局、交通局、市场监管局、</w:t>
      </w:r>
      <w:r>
        <w:rPr>
          <w:rFonts w:hint="eastAsia" w:ascii="Times New Roman" w:hAnsi="Times New Roman" w:eastAsia="仿宋" w:cs="Times New Roman"/>
          <w:snapToGrid/>
          <w:kern w:val="2"/>
          <w:sz w:val="32"/>
          <w:szCs w:val="32"/>
        </w:rPr>
        <w:t>金坛</w:t>
      </w:r>
      <w:r>
        <w:rPr>
          <w:rFonts w:hint="default" w:ascii="Times New Roman" w:hAnsi="Times New Roman" w:eastAsia="仿宋" w:cs="Times New Roman"/>
          <w:snapToGrid/>
          <w:kern w:val="2"/>
          <w:sz w:val="32"/>
          <w:szCs w:val="32"/>
        </w:rPr>
        <w:t>公安分局负责解释。</w:t>
      </w:r>
    </w:p>
    <w:p w14:paraId="4FEA18E6">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黑体" w:hAnsi="黑体" w:eastAsia="黑体" w:cs="黑体"/>
          <w:snapToGrid/>
          <w:kern w:val="2"/>
          <w:sz w:val="32"/>
          <w:szCs w:val="32"/>
        </w:rPr>
        <w:t xml:space="preserve">第三十一条 </w:t>
      </w:r>
      <w:r>
        <w:rPr>
          <w:rFonts w:hint="eastAsia" w:ascii="Times New Roman" w:hAnsi="Times New Roman" w:eastAsia="仿宋" w:cs="Times New Roman"/>
          <w:snapToGrid/>
          <w:kern w:val="2"/>
          <w:sz w:val="32"/>
          <w:szCs w:val="32"/>
        </w:rPr>
        <w:t>本办法自2023年3月1日起施行，有效期至2028年2月29日。《金坛城区停车服务收费管理办法（试行）》（坛政办发〔</w:t>
      </w:r>
      <w:r>
        <w:rPr>
          <w:rFonts w:hint="default" w:ascii="Times New Roman" w:hAnsi="Times New Roman" w:eastAsia="仿宋" w:cs="Times New Roman"/>
          <w:snapToGrid/>
          <w:kern w:val="2"/>
          <w:sz w:val="32"/>
          <w:szCs w:val="32"/>
        </w:rPr>
        <w:t>2015</w:t>
      </w:r>
      <w:r>
        <w:rPr>
          <w:rFonts w:hint="eastAsia" w:ascii="Times New Roman" w:hAnsi="Times New Roman" w:eastAsia="仿宋" w:cs="Times New Roman"/>
          <w:snapToGrid/>
          <w:kern w:val="2"/>
          <w:sz w:val="32"/>
          <w:szCs w:val="32"/>
        </w:rPr>
        <w:t>〕</w:t>
      </w:r>
      <w:r>
        <w:rPr>
          <w:rFonts w:hint="default" w:ascii="Times New Roman" w:hAnsi="Times New Roman" w:eastAsia="仿宋" w:cs="Times New Roman"/>
          <w:snapToGrid/>
          <w:kern w:val="2"/>
          <w:sz w:val="32"/>
          <w:szCs w:val="32"/>
        </w:rPr>
        <w:t>126</w:t>
      </w:r>
      <w:r>
        <w:rPr>
          <w:rFonts w:hint="eastAsia" w:ascii="Times New Roman" w:hAnsi="Times New Roman" w:eastAsia="仿宋" w:cs="Times New Roman"/>
          <w:snapToGrid/>
          <w:kern w:val="2"/>
          <w:sz w:val="32"/>
          <w:szCs w:val="32"/>
        </w:rPr>
        <w:t>号）同时废止。</w:t>
      </w:r>
    </w:p>
    <w:p w14:paraId="0DAC523A">
      <w:pPr>
        <w:autoSpaceDE/>
        <w:autoSpaceDN/>
        <w:snapToGrid/>
        <w:spacing w:line="560" w:lineRule="exact"/>
        <w:ind w:firstLine="640" w:firstLineChars="200"/>
        <w:rPr>
          <w:rFonts w:eastAsia="仿宋_GB2312"/>
          <w:snapToGrid/>
          <w:kern w:val="2"/>
          <w:sz w:val="32"/>
          <w:szCs w:val="32"/>
        </w:rPr>
      </w:pPr>
    </w:p>
    <w:p w14:paraId="2345EC92">
      <w:pPr>
        <w:autoSpaceDE/>
        <w:autoSpaceDN/>
        <w:snapToGrid/>
        <w:spacing w:line="560" w:lineRule="exact"/>
        <w:ind w:firstLine="640" w:firstLineChars="2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附件：</w:t>
      </w:r>
      <w:r>
        <w:rPr>
          <w:rFonts w:hint="default" w:ascii="Times New Roman" w:hAnsi="Times New Roman" w:eastAsia="仿宋" w:cs="Times New Roman"/>
          <w:snapToGrid/>
          <w:kern w:val="2"/>
          <w:sz w:val="32"/>
          <w:szCs w:val="32"/>
        </w:rPr>
        <w:t>1.机动车</w:t>
      </w:r>
      <w:r>
        <w:rPr>
          <w:rFonts w:hint="eastAsia" w:ascii="Times New Roman" w:hAnsi="Times New Roman" w:eastAsia="仿宋" w:cs="Times New Roman"/>
          <w:snapToGrid/>
          <w:kern w:val="2"/>
          <w:sz w:val="32"/>
          <w:szCs w:val="32"/>
        </w:rPr>
        <w:t>车型分类标准</w:t>
      </w:r>
    </w:p>
    <w:p w14:paraId="1939425A">
      <w:pPr>
        <w:autoSpaceDE/>
        <w:autoSpaceDN/>
        <w:snapToGrid/>
        <w:spacing w:line="560" w:lineRule="exact"/>
        <w:ind w:firstLine="1600" w:firstLineChars="5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2.</w:t>
      </w:r>
      <w:r>
        <w:rPr>
          <w:rFonts w:hint="eastAsia" w:ascii="Times New Roman" w:hAnsi="Times New Roman" w:eastAsia="仿宋" w:cs="Times New Roman"/>
          <w:snapToGrid/>
          <w:kern w:val="2"/>
          <w:sz w:val="32"/>
          <w:szCs w:val="32"/>
        </w:rPr>
        <w:t>城市道路停车泊位汽车停放服务收费标准表</w:t>
      </w:r>
    </w:p>
    <w:p w14:paraId="023BC2B0">
      <w:pPr>
        <w:autoSpaceDE/>
        <w:autoSpaceDN/>
        <w:snapToGrid/>
        <w:spacing w:line="560" w:lineRule="exact"/>
        <w:ind w:firstLine="1600" w:firstLineChars="5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3.道板和</w:t>
      </w:r>
      <w:r>
        <w:rPr>
          <w:rFonts w:hint="eastAsia" w:ascii="Times New Roman" w:hAnsi="Times New Roman" w:eastAsia="仿宋" w:cs="Times New Roman"/>
          <w:snapToGrid/>
          <w:kern w:val="2"/>
          <w:sz w:val="32"/>
          <w:szCs w:val="32"/>
        </w:rPr>
        <w:t>国有投资建设的公共停车设施汽车停放服</w:t>
      </w:r>
    </w:p>
    <w:p w14:paraId="047830BC">
      <w:pPr>
        <w:autoSpaceDE/>
        <w:autoSpaceDN/>
        <w:snapToGrid/>
        <w:spacing w:line="560" w:lineRule="exact"/>
        <w:ind w:firstLine="1600" w:firstLineChars="500"/>
        <w:rPr>
          <w:rFonts w:hint="default" w:ascii="Times New Roman" w:hAnsi="Times New Roman" w:eastAsia="仿宋" w:cs="Times New Roman"/>
          <w:snapToGrid/>
          <w:kern w:val="2"/>
          <w:sz w:val="32"/>
          <w:szCs w:val="32"/>
        </w:rPr>
      </w:pPr>
      <w:r>
        <w:rPr>
          <w:rFonts w:hint="eastAsia" w:ascii="Times New Roman" w:hAnsi="Times New Roman" w:eastAsia="仿宋" w:cs="Times New Roman"/>
          <w:snapToGrid/>
          <w:kern w:val="2"/>
          <w:sz w:val="32"/>
          <w:szCs w:val="32"/>
        </w:rPr>
        <w:t>务收费标准表</w:t>
      </w:r>
    </w:p>
    <w:p w14:paraId="511F1DD0">
      <w:pPr>
        <w:autoSpaceDE/>
        <w:autoSpaceDN/>
        <w:snapToGrid/>
        <w:spacing w:line="240" w:lineRule="auto"/>
        <w:ind w:firstLine="0"/>
        <w:rPr>
          <w:rFonts w:hint="eastAsia" w:ascii="黑体" w:hAnsi="黑体" w:eastAsia="黑体" w:cs="黑体"/>
          <w:snapToGrid/>
          <w:kern w:val="2"/>
          <w:sz w:val="32"/>
          <w:szCs w:val="32"/>
        </w:rPr>
      </w:pPr>
    </w:p>
    <w:p w14:paraId="54DB878A">
      <w:pPr>
        <w:autoSpaceDE/>
        <w:autoSpaceDN/>
        <w:snapToGrid/>
        <w:spacing w:line="240" w:lineRule="auto"/>
        <w:ind w:firstLine="0"/>
        <w:rPr>
          <w:rFonts w:ascii="Calibri" w:hAnsi="Calibri" w:eastAsia="黑体"/>
          <w:snapToGrid/>
          <w:kern w:val="2"/>
          <w:sz w:val="32"/>
          <w:szCs w:val="32"/>
        </w:rPr>
      </w:pPr>
      <w:bookmarkStart w:id="0" w:name="_GoBack"/>
      <w:bookmarkEnd w:id="0"/>
      <w:r>
        <w:rPr>
          <w:rFonts w:hint="eastAsia" w:ascii="黑体" w:hAnsi="黑体" w:eastAsia="黑体" w:cs="黑体"/>
          <w:snapToGrid/>
          <w:kern w:val="2"/>
          <w:sz w:val="32"/>
          <w:szCs w:val="32"/>
        </w:rPr>
        <w:t>附件</w:t>
      </w:r>
      <w:r>
        <w:rPr>
          <w:rFonts w:eastAsia="黑体"/>
          <w:snapToGrid/>
          <w:kern w:val="2"/>
          <w:sz w:val="32"/>
          <w:szCs w:val="32"/>
        </w:rPr>
        <w:t>1</w:t>
      </w:r>
    </w:p>
    <w:p w14:paraId="1620E1AF">
      <w:pPr>
        <w:autoSpaceDE/>
        <w:autoSpaceDN/>
        <w:adjustRightInd w:val="0"/>
        <w:snapToGrid w:val="0"/>
        <w:spacing w:line="720" w:lineRule="exact"/>
        <w:ind w:firstLine="0"/>
        <w:jc w:val="center"/>
        <w:rPr>
          <w:rFonts w:ascii="方正小标宋简体" w:hAnsi="方正小标宋简体" w:eastAsia="方正小标宋简体"/>
          <w:snapToGrid/>
          <w:kern w:val="2"/>
          <w:sz w:val="44"/>
          <w:szCs w:val="44"/>
        </w:rPr>
      </w:pPr>
      <w:r>
        <w:rPr>
          <w:rFonts w:hint="eastAsia" w:ascii="方正小标宋简体" w:hAnsi="方正小标宋简体" w:eastAsia="方正小标宋简体" w:cs="方正小标宋简体"/>
          <w:snapToGrid/>
          <w:kern w:val="2"/>
          <w:sz w:val="44"/>
          <w:szCs w:val="44"/>
        </w:rPr>
        <w:t>机动车车型分类标准</w:t>
      </w:r>
    </w:p>
    <w:tbl>
      <w:tblPr>
        <w:tblStyle w:val="6"/>
        <w:tblpPr w:leftFromText="180" w:rightFromText="180" w:vertAnchor="text" w:horzAnchor="page" w:tblpX="1537" w:tblpY="555"/>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7462"/>
      </w:tblGrid>
      <w:tr w14:paraId="6A24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54" w:type="dxa"/>
            <w:vAlign w:val="center"/>
          </w:tcPr>
          <w:p w14:paraId="7FA65F88">
            <w:pPr>
              <w:autoSpaceDE/>
              <w:autoSpaceDN/>
              <w:snapToGrid/>
              <w:spacing w:line="380" w:lineRule="exact"/>
              <w:ind w:firstLine="0"/>
              <w:jc w:val="center"/>
              <w:rPr>
                <w:rFonts w:ascii="黑体" w:hAnsi="黑体" w:eastAsia="黑体"/>
                <w:snapToGrid/>
                <w:kern w:val="2"/>
                <w:sz w:val="32"/>
                <w:szCs w:val="32"/>
              </w:rPr>
            </w:pPr>
            <w:r>
              <w:rPr>
                <w:rFonts w:hint="eastAsia" w:ascii="黑体" w:hAnsi="黑体" w:eastAsia="黑体" w:cs="黑体"/>
                <w:snapToGrid/>
                <w:kern w:val="2"/>
                <w:sz w:val="32"/>
                <w:szCs w:val="32"/>
              </w:rPr>
              <w:t>车型</w:t>
            </w:r>
          </w:p>
        </w:tc>
        <w:tc>
          <w:tcPr>
            <w:tcW w:w="7462" w:type="dxa"/>
            <w:tcBorders>
              <w:left w:val="nil"/>
            </w:tcBorders>
            <w:vAlign w:val="center"/>
          </w:tcPr>
          <w:p w14:paraId="72C4025E">
            <w:pPr>
              <w:autoSpaceDE/>
              <w:autoSpaceDN/>
              <w:snapToGrid/>
              <w:spacing w:line="380" w:lineRule="exact"/>
              <w:ind w:firstLine="640" w:firstLineChars="200"/>
              <w:jc w:val="center"/>
              <w:rPr>
                <w:rFonts w:ascii="黑体" w:hAnsi="黑体" w:eastAsia="黑体"/>
                <w:snapToGrid/>
                <w:kern w:val="2"/>
                <w:sz w:val="32"/>
                <w:szCs w:val="32"/>
              </w:rPr>
            </w:pPr>
            <w:r>
              <w:rPr>
                <w:rFonts w:hint="eastAsia" w:ascii="黑体" w:hAnsi="黑体" w:eastAsia="黑体" w:cs="黑体"/>
                <w:snapToGrid/>
                <w:kern w:val="2"/>
                <w:sz w:val="32"/>
                <w:szCs w:val="32"/>
              </w:rPr>
              <w:t>标准</w:t>
            </w:r>
          </w:p>
        </w:tc>
      </w:tr>
      <w:tr w14:paraId="358C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1454" w:type="dxa"/>
            <w:vAlign w:val="center"/>
          </w:tcPr>
          <w:p w14:paraId="67A16A63">
            <w:pPr>
              <w:autoSpaceDE/>
              <w:autoSpaceDN/>
              <w:snapToGrid/>
              <w:spacing w:line="38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小型车</w:t>
            </w:r>
          </w:p>
        </w:tc>
        <w:tc>
          <w:tcPr>
            <w:tcW w:w="7462" w:type="dxa"/>
            <w:tcBorders>
              <w:left w:val="nil"/>
            </w:tcBorders>
          </w:tcPr>
          <w:p w14:paraId="67D3C24E">
            <w:pPr>
              <w:autoSpaceDE/>
              <w:autoSpaceDN/>
              <w:snapToGrid/>
              <w:spacing w:line="380" w:lineRule="exact"/>
              <w:ind w:firstLine="640" w:firstLineChars="200"/>
              <w:rPr>
                <w:rFonts w:hint="default" w:ascii="Times New Roman" w:hAnsi="Times New Roman" w:eastAsia="仿宋" w:cs="Times New Roman"/>
                <w:snapToGrid/>
                <w:kern w:val="2"/>
                <w:sz w:val="32"/>
                <w:szCs w:val="32"/>
              </w:rPr>
            </w:pPr>
          </w:p>
          <w:p w14:paraId="560FAC82">
            <w:pPr>
              <w:autoSpaceDE/>
              <w:autoSpaceDN/>
              <w:snapToGrid/>
              <w:spacing w:line="380" w:lineRule="exact"/>
              <w:ind w:firstLine="640" w:firstLineChars="200"/>
              <w:rPr>
                <w:rFonts w:hint="default" w:ascii="Times New Roman" w:hAnsi="Times New Roman" w:eastAsia="仿宋" w:cs="Times New Roman"/>
                <w:snapToGrid/>
                <w:kern w:val="2"/>
                <w:sz w:val="32"/>
                <w:szCs w:val="32"/>
              </w:rPr>
            </w:pPr>
          </w:p>
          <w:p w14:paraId="62750D37">
            <w:pPr>
              <w:autoSpaceDE/>
              <w:autoSpaceDN/>
              <w:snapToGrid/>
              <w:spacing w:line="38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9座（含）以下载客汽车，总质量小于4.5吨载货汽车。</w:t>
            </w:r>
          </w:p>
        </w:tc>
      </w:tr>
      <w:tr w14:paraId="0CE4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1454" w:type="dxa"/>
            <w:vAlign w:val="center"/>
          </w:tcPr>
          <w:p w14:paraId="2FE08B3B">
            <w:pPr>
              <w:autoSpaceDE/>
              <w:autoSpaceDN/>
              <w:snapToGrid/>
              <w:spacing w:line="38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中型车</w:t>
            </w:r>
          </w:p>
        </w:tc>
        <w:tc>
          <w:tcPr>
            <w:tcW w:w="7462" w:type="dxa"/>
            <w:tcBorders>
              <w:left w:val="nil"/>
            </w:tcBorders>
            <w:vAlign w:val="center"/>
          </w:tcPr>
          <w:p w14:paraId="603EFC39">
            <w:pPr>
              <w:autoSpaceDE/>
              <w:autoSpaceDN/>
              <w:snapToGrid/>
              <w:spacing w:line="38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10至19座载客汽车，总质量4.5吨（含）至12吨载货汽车。</w:t>
            </w:r>
          </w:p>
        </w:tc>
      </w:tr>
      <w:tr w14:paraId="5AF9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1454" w:type="dxa"/>
            <w:vAlign w:val="center"/>
          </w:tcPr>
          <w:p w14:paraId="1ACB463F">
            <w:pPr>
              <w:autoSpaceDE/>
              <w:autoSpaceDN/>
              <w:snapToGrid/>
              <w:spacing w:line="38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大型车</w:t>
            </w:r>
          </w:p>
        </w:tc>
        <w:tc>
          <w:tcPr>
            <w:tcW w:w="7462" w:type="dxa"/>
            <w:tcBorders>
              <w:left w:val="nil"/>
            </w:tcBorders>
            <w:vAlign w:val="center"/>
          </w:tcPr>
          <w:p w14:paraId="3A067AD5">
            <w:pPr>
              <w:autoSpaceDE/>
              <w:autoSpaceDN/>
              <w:snapToGrid/>
              <w:spacing w:beforeLines="50" w:line="380" w:lineRule="exact"/>
              <w:ind w:firstLine="640" w:firstLineChars="200"/>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20座（含）以上载客汽车，总质量大于12吨（含）载货汽车。</w:t>
            </w:r>
          </w:p>
        </w:tc>
      </w:tr>
    </w:tbl>
    <w:p w14:paraId="38D199C5">
      <w:pPr>
        <w:autoSpaceDE/>
        <w:autoSpaceDN/>
        <w:snapToGrid/>
        <w:spacing w:line="560" w:lineRule="exact"/>
        <w:ind w:firstLine="645"/>
        <w:rPr>
          <w:rFonts w:hint="default" w:ascii="Times New Roman" w:hAnsi="Times New Roman" w:eastAsia="仿宋" w:cs="Times New Roman"/>
          <w:snapToGrid w:val="0"/>
          <w:kern w:val="0"/>
          <w:sz w:val="32"/>
          <w:szCs w:val="32"/>
        </w:rPr>
      </w:pPr>
    </w:p>
    <w:p w14:paraId="14196AE3">
      <w:pPr>
        <w:autoSpaceDE/>
        <w:autoSpaceDN/>
        <w:snapToGrid/>
        <w:spacing w:line="560" w:lineRule="exact"/>
        <w:ind w:firstLine="645"/>
        <w:rPr>
          <w:rFonts w:hint="default" w:ascii="Times New Roman" w:hAnsi="Times New Roman" w:eastAsia="仿宋" w:cs="Times New Roman"/>
          <w:snapToGrid w:val="0"/>
          <w:kern w:val="0"/>
          <w:sz w:val="32"/>
          <w:szCs w:val="32"/>
        </w:rPr>
      </w:pPr>
    </w:p>
    <w:p w14:paraId="28DF7689">
      <w:pPr>
        <w:autoSpaceDE/>
        <w:autoSpaceDN/>
        <w:snapToGrid/>
        <w:spacing w:line="560" w:lineRule="exact"/>
        <w:ind w:firstLine="645"/>
        <w:rPr>
          <w:rFonts w:hint="default" w:ascii="Times New Roman" w:hAnsi="Times New Roman" w:eastAsia="仿宋" w:cs="Times New Roman"/>
          <w:snapToGrid w:val="0"/>
          <w:kern w:val="0"/>
          <w:sz w:val="32"/>
          <w:szCs w:val="32"/>
        </w:rPr>
      </w:pPr>
    </w:p>
    <w:p w14:paraId="69F30DD1">
      <w:pPr>
        <w:autoSpaceDE/>
        <w:autoSpaceDN/>
        <w:snapToGrid/>
        <w:spacing w:line="560" w:lineRule="exact"/>
        <w:ind w:firstLine="645"/>
        <w:rPr>
          <w:rFonts w:hint="default" w:ascii="Times New Roman" w:hAnsi="Times New Roman" w:eastAsia="仿宋" w:cs="Times New Roman"/>
          <w:snapToGrid w:val="0"/>
          <w:kern w:val="0"/>
          <w:sz w:val="32"/>
          <w:szCs w:val="32"/>
        </w:rPr>
      </w:pPr>
    </w:p>
    <w:p w14:paraId="546C98FE">
      <w:pPr>
        <w:autoSpaceDE/>
        <w:autoSpaceDN/>
        <w:snapToGrid/>
        <w:spacing w:line="560" w:lineRule="exact"/>
        <w:ind w:firstLine="645"/>
        <w:rPr>
          <w:rFonts w:hint="default" w:ascii="Times New Roman" w:hAnsi="Times New Roman" w:eastAsia="仿宋" w:cs="Times New Roman"/>
          <w:snapToGrid w:val="0"/>
          <w:kern w:val="0"/>
          <w:sz w:val="32"/>
          <w:szCs w:val="32"/>
        </w:rPr>
      </w:pPr>
    </w:p>
    <w:p w14:paraId="146E56E3">
      <w:pPr>
        <w:autoSpaceDE/>
        <w:autoSpaceDN/>
        <w:snapToGrid/>
        <w:spacing w:line="240" w:lineRule="auto"/>
        <w:ind w:firstLine="0"/>
        <w:rPr>
          <w:rFonts w:ascii="黑体" w:hAnsi="黑体" w:eastAsia="黑体"/>
          <w:snapToGrid/>
          <w:kern w:val="2"/>
          <w:sz w:val="32"/>
          <w:szCs w:val="32"/>
        </w:rPr>
      </w:pPr>
      <w:r>
        <w:rPr>
          <w:rFonts w:hint="eastAsia" w:ascii="黑体" w:hAnsi="黑体" w:eastAsia="黑体" w:cs="黑体"/>
          <w:snapToGrid/>
          <w:kern w:val="2"/>
          <w:sz w:val="32"/>
          <w:szCs w:val="32"/>
        </w:rPr>
        <w:t>附件</w:t>
      </w:r>
      <w:r>
        <w:rPr>
          <w:rFonts w:eastAsia="黑体"/>
          <w:snapToGrid/>
          <w:kern w:val="2"/>
          <w:sz w:val="32"/>
          <w:szCs w:val="32"/>
        </w:rPr>
        <w:t>2</w:t>
      </w:r>
    </w:p>
    <w:p w14:paraId="6E5AFD90">
      <w:pPr>
        <w:autoSpaceDE/>
        <w:autoSpaceDN/>
        <w:adjustRightInd w:val="0"/>
        <w:snapToGrid w:val="0"/>
        <w:spacing w:line="720" w:lineRule="exact"/>
        <w:ind w:firstLine="0"/>
        <w:jc w:val="center"/>
        <w:rPr>
          <w:rFonts w:ascii="方正小标宋简体" w:hAnsi="方正小标宋简体" w:eastAsia="方正小标宋简体"/>
          <w:snapToGrid/>
          <w:kern w:val="2"/>
          <w:sz w:val="44"/>
          <w:szCs w:val="44"/>
        </w:rPr>
      </w:pPr>
      <w:r>
        <w:rPr>
          <w:rFonts w:hint="eastAsia" w:ascii="方正小标宋简体" w:hAnsi="方正小标宋简体" w:eastAsia="方正小标宋简体" w:cs="方正小标宋简体"/>
          <w:snapToGrid/>
          <w:kern w:val="2"/>
          <w:sz w:val="44"/>
          <w:szCs w:val="44"/>
        </w:rPr>
        <w:t>城市道路停车泊位汽车停放服务</w:t>
      </w:r>
    </w:p>
    <w:p w14:paraId="2B02A399">
      <w:pPr>
        <w:autoSpaceDE/>
        <w:autoSpaceDN/>
        <w:adjustRightInd w:val="0"/>
        <w:snapToGrid w:val="0"/>
        <w:spacing w:line="720" w:lineRule="exact"/>
        <w:ind w:firstLine="0"/>
        <w:jc w:val="center"/>
        <w:rPr>
          <w:rFonts w:eastAsia="仿宋_GB2312"/>
          <w:snapToGrid/>
          <w:kern w:val="2"/>
          <w:sz w:val="32"/>
          <w:szCs w:val="32"/>
        </w:rPr>
      </w:pPr>
      <w:r>
        <w:rPr>
          <w:rFonts w:hint="eastAsia" w:ascii="方正小标宋简体" w:hAnsi="方正小标宋简体" w:eastAsia="方正小标宋简体" w:cs="方正小标宋简体"/>
          <w:snapToGrid/>
          <w:kern w:val="2"/>
          <w:sz w:val="44"/>
          <w:szCs w:val="44"/>
        </w:rPr>
        <w:t>收费标准表</w:t>
      </w: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852"/>
        <w:gridCol w:w="2038"/>
        <w:gridCol w:w="3338"/>
      </w:tblGrid>
      <w:tr w14:paraId="61AD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97" w:type="dxa"/>
            <w:vMerge w:val="restart"/>
            <w:vAlign w:val="center"/>
          </w:tcPr>
          <w:p w14:paraId="060290D2">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区域</w:t>
            </w:r>
          </w:p>
          <w:p w14:paraId="04A23738">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等级</w:t>
            </w:r>
          </w:p>
        </w:tc>
        <w:tc>
          <w:tcPr>
            <w:tcW w:w="1852" w:type="dxa"/>
            <w:vMerge w:val="restart"/>
            <w:tcBorders>
              <w:left w:val="nil"/>
            </w:tcBorders>
            <w:vAlign w:val="center"/>
          </w:tcPr>
          <w:p w14:paraId="5DB9D229">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车辆</w:t>
            </w:r>
          </w:p>
          <w:p w14:paraId="592D81E3">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类型</w:t>
            </w:r>
          </w:p>
        </w:tc>
        <w:tc>
          <w:tcPr>
            <w:tcW w:w="5376" w:type="dxa"/>
            <w:gridSpan w:val="2"/>
            <w:tcBorders>
              <w:left w:val="nil"/>
            </w:tcBorders>
            <w:vAlign w:val="center"/>
          </w:tcPr>
          <w:p w14:paraId="2F4F944F">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计时收费标准（元）</w:t>
            </w:r>
          </w:p>
        </w:tc>
      </w:tr>
      <w:tr w14:paraId="30D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97" w:type="dxa"/>
            <w:vMerge w:val="continue"/>
            <w:vAlign w:val="center"/>
          </w:tcPr>
          <w:p w14:paraId="4F2386DE">
            <w:pPr>
              <w:widowControl/>
              <w:autoSpaceDE/>
              <w:autoSpaceDN/>
              <w:snapToGrid/>
              <w:spacing w:line="240" w:lineRule="auto"/>
              <w:ind w:firstLine="0"/>
              <w:jc w:val="left"/>
              <w:rPr>
                <w:rFonts w:eastAsia="仿宋_GB2312"/>
                <w:snapToGrid/>
                <w:kern w:val="2"/>
                <w:sz w:val="30"/>
                <w:szCs w:val="30"/>
              </w:rPr>
            </w:pPr>
          </w:p>
        </w:tc>
        <w:tc>
          <w:tcPr>
            <w:tcW w:w="1852" w:type="dxa"/>
            <w:vMerge w:val="continue"/>
            <w:tcBorders>
              <w:left w:val="nil"/>
            </w:tcBorders>
            <w:vAlign w:val="center"/>
          </w:tcPr>
          <w:p w14:paraId="45080B65">
            <w:pPr>
              <w:widowControl/>
              <w:autoSpaceDE/>
              <w:autoSpaceDN/>
              <w:snapToGrid/>
              <w:spacing w:line="240" w:lineRule="auto"/>
              <w:ind w:firstLine="0"/>
              <w:jc w:val="left"/>
              <w:rPr>
                <w:rFonts w:eastAsia="仿宋_GB2312"/>
                <w:snapToGrid/>
                <w:kern w:val="2"/>
                <w:sz w:val="30"/>
                <w:szCs w:val="30"/>
              </w:rPr>
            </w:pPr>
          </w:p>
        </w:tc>
        <w:tc>
          <w:tcPr>
            <w:tcW w:w="2038" w:type="dxa"/>
            <w:tcBorders>
              <w:left w:val="nil"/>
            </w:tcBorders>
            <w:vAlign w:val="center"/>
          </w:tcPr>
          <w:p w14:paraId="4944D874">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前2小时</w:t>
            </w:r>
          </w:p>
        </w:tc>
        <w:tc>
          <w:tcPr>
            <w:tcW w:w="3338" w:type="dxa"/>
            <w:tcBorders>
              <w:left w:val="nil"/>
            </w:tcBorders>
            <w:vAlign w:val="center"/>
          </w:tcPr>
          <w:p w14:paraId="5587269F">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超过2小时（每小时）</w:t>
            </w:r>
          </w:p>
        </w:tc>
      </w:tr>
      <w:tr w14:paraId="2D66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7" w:type="dxa"/>
            <w:vMerge w:val="restart"/>
            <w:tcBorders>
              <w:top w:val="nil"/>
            </w:tcBorders>
            <w:vAlign w:val="center"/>
          </w:tcPr>
          <w:p w14:paraId="1CAF4B45">
            <w:pPr>
              <w:autoSpaceDE/>
              <w:autoSpaceDN/>
              <w:snapToGrid/>
              <w:spacing w:line="34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一类区</w:t>
            </w:r>
          </w:p>
        </w:tc>
        <w:tc>
          <w:tcPr>
            <w:tcW w:w="1852" w:type="dxa"/>
            <w:tcBorders>
              <w:left w:val="nil"/>
            </w:tcBorders>
            <w:vAlign w:val="center"/>
          </w:tcPr>
          <w:p w14:paraId="650BBDDA">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小型车</w:t>
            </w:r>
          </w:p>
        </w:tc>
        <w:tc>
          <w:tcPr>
            <w:tcW w:w="2038" w:type="dxa"/>
            <w:tcBorders>
              <w:left w:val="nil"/>
            </w:tcBorders>
            <w:vAlign w:val="center"/>
          </w:tcPr>
          <w:p w14:paraId="219F26B8">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5</w:t>
            </w:r>
          </w:p>
        </w:tc>
        <w:tc>
          <w:tcPr>
            <w:tcW w:w="3338" w:type="dxa"/>
            <w:tcBorders>
              <w:left w:val="nil"/>
            </w:tcBorders>
            <w:vAlign w:val="center"/>
          </w:tcPr>
          <w:p w14:paraId="185BB36D">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4</w:t>
            </w:r>
          </w:p>
        </w:tc>
      </w:tr>
      <w:tr w14:paraId="3BAF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7" w:type="dxa"/>
            <w:vMerge w:val="continue"/>
            <w:tcBorders>
              <w:top w:val="nil"/>
            </w:tcBorders>
            <w:vAlign w:val="center"/>
          </w:tcPr>
          <w:p w14:paraId="5A33F607">
            <w:pPr>
              <w:widowControl/>
              <w:autoSpaceDE/>
              <w:autoSpaceDN/>
              <w:snapToGrid/>
              <w:spacing w:line="240" w:lineRule="auto"/>
              <w:ind w:firstLine="0"/>
              <w:jc w:val="left"/>
              <w:rPr>
                <w:rFonts w:hint="default" w:ascii="Times New Roman" w:hAnsi="Times New Roman" w:eastAsia="仿宋" w:cs="Times New Roman"/>
                <w:snapToGrid/>
                <w:kern w:val="2"/>
                <w:sz w:val="32"/>
                <w:szCs w:val="32"/>
              </w:rPr>
            </w:pPr>
          </w:p>
        </w:tc>
        <w:tc>
          <w:tcPr>
            <w:tcW w:w="1852" w:type="dxa"/>
            <w:tcBorders>
              <w:left w:val="nil"/>
            </w:tcBorders>
            <w:vAlign w:val="center"/>
          </w:tcPr>
          <w:p w14:paraId="52379750">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中型车</w:t>
            </w:r>
          </w:p>
        </w:tc>
        <w:tc>
          <w:tcPr>
            <w:tcW w:w="2038" w:type="dxa"/>
            <w:tcBorders>
              <w:left w:val="nil"/>
            </w:tcBorders>
            <w:vAlign w:val="center"/>
          </w:tcPr>
          <w:p w14:paraId="4E1DE8FB">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7</w:t>
            </w:r>
          </w:p>
        </w:tc>
        <w:tc>
          <w:tcPr>
            <w:tcW w:w="3338" w:type="dxa"/>
            <w:tcBorders>
              <w:left w:val="nil"/>
            </w:tcBorders>
            <w:vAlign w:val="center"/>
          </w:tcPr>
          <w:p w14:paraId="1FC8BCBF">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4</w:t>
            </w:r>
          </w:p>
        </w:tc>
      </w:tr>
      <w:tr w14:paraId="39A5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7" w:type="dxa"/>
            <w:vMerge w:val="restart"/>
            <w:tcBorders>
              <w:top w:val="nil"/>
            </w:tcBorders>
            <w:vAlign w:val="center"/>
          </w:tcPr>
          <w:p w14:paraId="68536712">
            <w:pPr>
              <w:autoSpaceDE/>
              <w:autoSpaceDN/>
              <w:snapToGrid/>
              <w:spacing w:line="34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二类区</w:t>
            </w:r>
          </w:p>
        </w:tc>
        <w:tc>
          <w:tcPr>
            <w:tcW w:w="1852" w:type="dxa"/>
            <w:tcBorders>
              <w:left w:val="nil"/>
            </w:tcBorders>
            <w:vAlign w:val="center"/>
          </w:tcPr>
          <w:p w14:paraId="597826C2">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小型车</w:t>
            </w:r>
          </w:p>
        </w:tc>
        <w:tc>
          <w:tcPr>
            <w:tcW w:w="2038" w:type="dxa"/>
            <w:tcBorders>
              <w:left w:val="nil"/>
            </w:tcBorders>
            <w:vAlign w:val="center"/>
          </w:tcPr>
          <w:p w14:paraId="43031D61">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4</w:t>
            </w:r>
          </w:p>
        </w:tc>
        <w:tc>
          <w:tcPr>
            <w:tcW w:w="3338" w:type="dxa"/>
            <w:tcBorders>
              <w:left w:val="nil"/>
            </w:tcBorders>
            <w:vAlign w:val="center"/>
          </w:tcPr>
          <w:p w14:paraId="53240FB9">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3</w:t>
            </w:r>
          </w:p>
        </w:tc>
      </w:tr>
      <w:tr w14:paraId="3D18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7" w:type="dxa"/>
            <w:vMerge w:val="continue"/>
            <w:tcBorders>
              <w:top w:val="nil"/>
            </w:tcBorders>
            <w:vAlign w:val="center"/>
          </w:tcPr>
          <w:p w14:paraId="247F2AB7">
            <w:pPr>
              <w:widowControl/>
              <w:autoSpaceDE/>
              <w:autoSpaceDN/>
              <w:snapToGrid/>
              <w:spacing w:line="240" w:lineRule="auto"/>
              <w:ind w:firstLine="0"/>
              <w:jc w:val="left"/>
              <w:rPr>
                <w:rFonts w:hint="default" w:ascii="Times New Roman" w:hAnsi="Times New Roman" w:eastAsia="仿宋" w:cs="Times New Roman"/>
                <w:snapToGrid/>
                <w:kern w:val="2"/>
                <w:sz w:val="32"/>
                <w:szCs w:val="32"/>
              </w:rPr>
            </w:pPr>
          </w:p>
        </w:tc>
        <w:tc>
          <w:tcPr>
            <w:tcW w:w="1852" w:type="dxa"/>
            <w:tcBorders>
              <w:left w:val="nil"/>
            </w:tcBorders>
            <w:vAlign w:val="center"/>
          </w:tcPr>
          <w:p w14:paraId="00542A2F">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中型车</w:t>
            </w:r>
          </w:p>
        </w:tc>
        <w:tc>
          <w:tcPr>
            <w:tcW w:w="2038" w:type="dxa"/>
            <w:tcBorders>
              <w:left w:val="nil"/>
            </w:tcBorders>
            <w:vAlign w:val="center"/>
          </w:tcPr>
          <w:p w14:paraId="363D498D">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5</w:t>
            </w:r>
          </w:p>
        </w:tc>
        <w:tc>
          <w:tcPr>
            <w:tcW w:w="3338" w:type="dxa"/>
            <w:tcBorders>
              <w:left w:val="nil"/>
            </w:tcBorders>
            <w:vAlign w:val="center"/>
          </w:tcPr>
          <w:p w14:paraId="2D9637FD">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3</w:t>
            </w:r>
          </w:p>
        </w:tc>
      </w:tr>
      <w:tr w14:paraId="3F77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2" w:hRule="atLeast"/>
          <w:jc w:val="center"/>
        </w:trPr>
        <w:tc>
          <w:tcPr>
            <w:tcW w:w="1297" w:type="dxa"/>
            <w:vAlign w:val="center"/>
          </w:tcPr>
          <w:p w14:paraId="036ACE60">
            <w:pPr>
              <w:widowControl/>
              <w:autoSpaceDE/>
              <w:autoSpaceDN/>
              <w:snapToGrid/>
              <w:spacing w:line="240" w:lineRule="auto"/>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备注</w:t>
            </w:r>
          </w:p>
        </w:tc>
        <w:tc>
          <w:tcPr>
            <w:tcW w:w="7228" w:type="dxa"/>
            <w:gridSpan w:val="3"/>
            <w:tcBorders>
              <w:left w:val="nil"/>
            </w:tcBorders>
          </w:tcPr>
          <w:p w14:paraId="2865FD27">
            <w:pPr>
              <w:autoSpaceDE/>
              <w:autoSpaceDN/>
              <w:snapToGrid/>
              <w:spacing w:line="44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1.计费时间段为每日8:00—20:00，单次停车30分钟内（含）免费；</w:t>
            </w:r>
          </w:p>
          <w:p w14:paraId="53AE7175">
            <w:pPr>
              <w:autoSpaceDE/>
              <w:autoSpaceDN/>
              <w:snapToGrid/>
              <w:spacing w:line="44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2.首个计费单位为2小时，以后每1小时为一个计费单位，不足一个计费单位的按一个计费单位计算; 24小时内连续停放按不超过6个计费单位收费。连续停放超过24小时的，超过部分重新计算。</w:t>
            </w:r>
          </w:p>
          <w:p w14:paraId="2ACADADF">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p w14:paraId="0412006D">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p w14:paraId="2245AB54">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p w14:paraId="7509BD84">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p w14:paraId="0847F704">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p w14:paraId="17CB395C">
            <w:pPr>
              <w:autoSpaceDE/>
              <w:autoSpaceDN/>
              <w:snapToGrid/>
              <w:spacing w:line="440" w:lineRule="exact"/>
              <w:rPr>
                <w:rFonts w:hint="default" w:ascii="Times New Roman" w:hAnsi="Times New Roman" w:eastAsia="仿宋" w:cs="Times New Roman"/>
                <w:snapToGrid/>
                <w:kern w:val="2"/>
                <w:sz w:val="28"/>
                <w:szCs w:val="28"/>
              </w:rPr>
            </w:pPr>
          </w:p>
          <w:p w14:paraId="7E0A93ED">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tc>
      </w:tr>
    </w:tbl>
    <w:p w14:paraId="3500FFAE">
      <w:pPr>
        <w:autoSpaceDE/>
        <w:autoSpaceDN/>
        <w:snapToGrid/>
        <w:spacing w:line="240" w:lineRule="auto"/>
        <w:ind w:firstLine="0"/>
        <w:rPr>
          <w:rFonts w:hint="eastAsia" w:ascii="黑体" w:hAnsi="黑体" w:eastAsia="黑体" w:cs="黑体"/>
          <w:snapToGrid/>
          <w:kern w:val="2"/>
          <w:szCs w:val="32"/>
        </w:rPr>
      </w:pPr>
    </w:p>
    <w:p w14:paraId="4E3BD123">
      <w:pPr>
        <w:autoSpaceDE/>
        <w:autoSpaceDN/>
        <w:snapToGrid/>
        <w:spacing w:line="240" w:lineRule="auto"/>
        <w:ind w:firstLine="0"/>
        <w:rPr>
          <w:rFonts w:hint="eastAsia" w:ascii="黑体" w:hAnsi="黑体" w:eastAsia="黑体" w:cs="黑体"/>
          <w:snapToGrid/>
          <w:kern w:val="2"/>
          <w:sz w:val="32"/>
          <w:szCs w:val="32"/>
        </w:rPr>
      </w:pPr>
      <w:r>
        <w:rPr>
          <w:rFonts w:hint="eastAsia" w:ascii="黑体" w:hAnsi="黑体" w:eastAsia="黑体" w:cs="黑体"/>
          <w:snapToGrid/>
          <w:kern w:val="2"/>
          <w:sz w:val="32"/>
          <w:szCs w:val="32"/>
        </w:rPr>
        <w:t>附件3</w:t>
      </w:r>
    </w:p>
    <w:p w14:paraId="08409481">
      <w:pPr>
        <w:autoSpaceDE/>
        <w:autoSpaceDN/>
        <w:adjustRightInd w:val="0"/>
        <w:spacing w:line="720" w:lineRule="exact"/>
        <w:ind w:firstLine="0"/>
        <w:jc w:val="center"/>
        <w:rPr>
          <w:rFonts w:ascii="方正小标宋简体" w:hAnsi="方正小标宋简体" w:eastAsia="方正小标宋简体"/>
          <w:snapToGrid/>
          <w:kern w:val="2"/>
          <w:sz w:val="44"/>
          <w:szCs w:val="44"/>
        </w:rPr>
      </w:pPr>
      <w:r>
        <w:rPr>
          <w:rFonts w:hint="eastAsia" w:ascii="方正小标宋简体" w:hAnsi="方正小标宋简体" w:eastAsia="方正小标宋简体" w:cs="方正小标宋简体"/>
          <w:snapToGrid/>
          <w:kern w:val="2"/>
          <w:sz w:val="44"/>
          <w:szCs w:val="44"/>
        </w:rPr>
        <w:t>道板和国有投资建设的公共停车设施汽车停放服务收费标准表</w:t>
      </w:r>
    </w:p>
    <w:tbl>
      <w:tblPr>
        <w:tblStyle w:val="6"/>
        <w:tblpPr w:leftFromText="180" w:rightFromText="180" w:vertAnchor="text" w:horzAnchor="page" w:tblpX="1897" w:tblpY="441"/>
        <w:tblOverlap w:val="never"/>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852"/>
        <w:gridCol w:w="2038"/>
        <w:gridCol w:w="3338"/>
      </w:tblGrid>
      <w:tr w14:paraId="70C9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7" w:type="dxa"/>
            <w:vMerge w:val="restart"/>
            <w:vAlign w:val="center"/>
          </w:tcPr>
          <w:p w14:paraId="1A214AC2">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区域</w:t>
            </w:r>
          </w:p>
          <w:p w14:paraId="4CB247E8">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等级</w:t>
            </w:r>
          </w:p>
        </w:tc>
        <w:tc>
          <w:tcPr>
            <w:tcW w:w="1852" w:type="dxa"/>
            <w:vMerge w:val="restart"/>
            <w:tcBorders>
              <w:left w:val="nil"/>
            </w:tcBorders>
            <w:vAlign w:val="center"/>
          </w:tcPr>
          <w:p w14:paraId="53DA2341">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车辆</w:t>
            </w:r>
          </w:p>
          <w:p w14:paraId="5179E299">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类型</w:t>
            </w:r>
          </w:p>
        </w:tc>
        <w:tc>
          <w:tcPr>
            <w:tcW w:w="5376" w:type="dxa"/>
            <w:gridSpan w:val="2"/>
            <w:tcBorders>
              <w:left w:val="nil"/>
            </w:tcBorders>
            <w:vAlign w:val="center"/>
          </w:tcPr>
          <w:p w14:paraId="46FC2791">
            <w:pPr>
              <w:autoSpaceDE/>
              <w:autoSpaceDN/>
              <w:snapToGrid/>
              <w:spacing w:line="340" w:lineRule="exact"/>
              <w:ind w:firstLine="0"/>
              <w:jc w:val="center"/>
              <w:rPr>
                <w:rFonts w:ascii="黑体" w:hAnsi="黑体" w:eastAsia="黑体"/>
                <w:snapToGrid/>
                <w:kern w:val="2"/>
                <w:sz w:val="30"/>
                <w:szCs w:val="30"/>
              </w:rPr>
            </w:pPr>
            <w:r>
              <w:rPr>
                <w:rFonts w:hint="eastAsia" w:ascii="黑体" w:hAnsi="黑体" w:eastAsia="黑体" w:cs="黑体"/>
                <w:snapToGrid/>
                <w:kern w:val="2"/>
                <w:sz w:val="30"/>
                <w:szCs w:val="30"/>
              </w:rPr>
              <w:t>计时收费标准（元）</w:t>
            </w:r>
          </w:p>
        </w:tc>
      </w:tr>
      <w:tr w14:paraId="60D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7" w:type="dxa"/>
            <w:vMerge w:val="continue"/>
            <w:vAlign w:val="center"/>
          </w:tcPr>
          <w:p w14:paraId="5F3C12F2">
            <w:pPr>
              <w:widowControl/>
              <w:autoSpaceDE/>
              <w:autoSpaceDN/>
              <w:snapToGrid/>
              <w:spacing w:line="240" w:lineRule="auto"/>
              <w:ind w:firstLine="0"/>
              <w:jc w:val="left"/>
              <w:rPr>
                <w:rFonts w:eastAsia="仿宋_GB2312"/>
                <w:snapToGrid/>
                <w:kern w:val="2"/>
                <w:sz w:val="30"/>
                <w:szCs w:val="30"/>
              </w:rPr>
            </w:pPr>
          </w:p>
        </w:tc>
        <w:tc>
          <w:tcPr>
            <w:tcW w:w="1852" w:type="dxa"/>
            <w:vMerge w:val="continue"/>
            <w:tcBorders>
              <w:left w:val="nil"/>
            </w:tcBorders>
            <w:vAlign w:val="center"/>
          </w:tcPr>
          <w:p w14:paraId="406D35F1">
            <w:pPr>
              <w:widowControl/>
              <w:autoSpaceDE/>
              <w:autoSpaceDN/>
              <w:snapToGrid/>
              <w:spacing w:line="240" w:lineRule="auto"/>
              <w:ind w:firstLine="0"/>
              <w:jc w:val="left"/>
              <w:rPr>
                <w:rFonts w:eastAsia="仿宋_GB2312"/>
                <w:snapToGrid/>
                <w:kern w:val="2"/>
                <w:sz w:val="30"/>
                <w:szCs w:val="30"/>
              </w:rPr>
            </w:pPr>
          </w:p>
        </w:tc>
        <w:tc>
          <w:tcPr>
            <w:tcW w:w="2038" w:type="dxa"/>
            <w:tcBorders>
              <w:left w:val="nil"/>
            </w:tcBorders>
            <w:vAlign w:val="center"/>
          </w:tcPr>
          <w:p w14:paraId="24D6C1D8">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前2小时</w:t>
            </w:r>
          </w:p>
        </w:tc>
        <w:tc>
          <w:tcPr>
            <w:tcW w:w="3338" w:type="dxa"/>
            <w:tcBorders>
              <w:left w:val="nil"/>
            </w:tcBorders>
            <w:vAlign w:val="center"/>
          </w:tcPr>
          <w:p w14:paraId="4486BB67">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超过2小时（每小时）</w:t>
            </w:r>
          </w:p>
        </w:tc>
      </w:tr>
      <w:tr w14:paraId="6D04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restart"/>
            <w:tcBorders>
              <w:top w:val="nil"/>
            </w:tcBorders>
            <w:vAlign w:val="center"/>
          </w:tcPr>
          <w:p w14:paraId="11DD656C">
            <w:pPr>
              <w:autoSpaceDE/>
              <w:autoSpaceDN/>
              <w:snapToGrid/>
              <w:spacing w:line="34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一类区</w:t>
            </w:r>
          </w:p>
        </w:tc>
        <w:tc>
          <w:tcPr>
            <w:tcW w:w="1852" w:type="dxa"/>
            <w:tcBorders>
              <w:left w:val="nil"/>
            </w:tcBorders>
            <w:vAlign w:val="center"/>
          </w:tcPr>
          <w:p w14:paraId="2CA8BF6C">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小型车</w:t>
            </w:r>
          </w:p>
        </w:tc>
        <w:tc>
          <w:tcPr>
            <w:tcW w:w="2038" w:type="dxa"/>
            <w:tcBorders>
              <w:left w:val="nil"/>
            </w:tcBorders>
            <w:vAlign w:val="center"/>
          </w:tcPr>
          <w:p w14:paraId="52B05458">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5</w:t>
            </w:r>
          </w:p>
        </w:tc>
        <w:tc>
          <w:tcPr>
            <w:tcW w:w="3338" w:type="dxa"/>
            <w:tcBorders>
              <w:left w:val="nil"/>
            </w:tcBorders>
            <w:vAlign w:val="center"/>
          </w:tcPr>
          <w:p w14:paraId="65A569DB">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3</w:t>
            </w:r>
          </w:p>
        </w:tc>
      </w:tr>
      <w:tr w14:paraId="656D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continue"/>
            <w:tcBorders>
              <w:top w:val="nil"/>
            </w:tcBorders>
            <w:vAlign w:val="center"/>
          </w:tcPr>
          <w:p w14:paraId="5DAFF3A9">
            <w:pPr>
              <w:widowControl/>
              <w:autoSpaceDE/>
              <w:autoSpaceDN/>
              <w:snapToGrid/>
              <w:spacing w:line="240" w:lineRule="auto"/>
              <w:ind w:firstLine="0"/>
              <w:jc w:val="left"/>
              <w:rPr>
                <w:rFonts w:hint="default" w:ascii="Times New Roman" w:hAnsi="Times New Roman" w:eastAsia="仿宋" w:cs="Times New Roman"/>
                <w:snapToGrid/>
                <w:kern w:val="2"/>
                <w:sz w:val="32"/>
                <w:szCs w:val="32"/>
              </w:rPr>
            </w:pPr>
          </w:p>
        </w:tc>
        <w:tc>
          <w:tcPr>
            <w:tcW w:w="1852" w:type="dxa"/>
            <w:tcBorders>
              <w:left w:val="nil"/>
            </w:tcBorders>
            <w:vAlign w:val="center"/>
          </w:tcPr>
          <w:p w14:paraId="67415B30">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中型车</w:t>
            </w:r>
          </w:p>
        </w:tc>
        <w:tc>
          <w:tcPr>
            <w:tcW w:w="2038" w:type="dxa"/>
            <w:tcBorders>
              <w:left w:val="nil"/>
            </w:tcBorders>
            <w:vAlign w:val="center"/>
          </w:tcPr>
          <w:p w14:paraId="168A802B">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7</w:t>
            </w:r>
          </w:p>
        </w:tc>
        <w:tc>
          <w:tcPr>
            <w:tcW w:w="3338" w:type="dxa"/>
            <w:tcBorders>
              <w:left w:val="nil"/>
            </w:tcBorders>
            <w:vAlign w:val="center"/>
          </w:tcPr>
          <w:p w14:paraId="2C533128">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3</w:t>
            </w:r>
          </w:p>
        </w:tc>
      </w:tr>
      <w:tr w14:paraId="1E83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continue"/>
            <w:tcBorders>
              <w:top w:val="nil"/>
            </w:tcBorders>
            <w:vAlign w:val="center"/>
          </w:tcPr>
          <w:p w14:paraId="18E481CA">
            <w:pPr>
              <w:widowControl/>
              <w:autoSpaceDE/>
              <w:autoSpaceDN/>
              <w:snapToGrid/>
              <w:spacing w:line="240" w:lineRule="auto"/>
              <w:ind w:firstLine="0"/>
              <w:jc w:val="left"/>
              <w:rPr>
                <w:rFonts w:hint="default" w:ascii="Times New Roman" w:hAnsi="Times New Roman" w:eastAsia="仿宋" w:cs="Times New Roman"/>
                <w:snapToGrid/>
                <w:kern w:val="2"/>
                <w:sz w:val="32"/>
                <w:szCs w:val="32"/>
              </w:rPr>
            </w:pPr>
          </w:p>
        </w:tc>
        <w:tc>
          <w:tcPr>
            <w:tcW w:w="1852" w:type="dxa"/>
            <w:tcBorders>
              <w:left w:val="nil"/>
            </w:tcBorders>
            <w:vAlign w:val="center"/>
          </w:tcPr>
          <w:p w14:paraId="488E1420">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大型车</w:t>
            </w:r>
          </w:p>
        </w:tc>
        <w:tc>
          <w:tcPr>
            <w:tcW w:w="2038" w:type="dxa"/>
            <w:tcBorders>
              <w:left w:val="nil"/>
            </w:tcBorders>
            <w:vAlign w:val="center"/>
          </w:tcPr>
          <w:p w14:paraId="4EFE7E3D">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10</w:t>
            </w:r>
          </w:p>
        </w:tc>
        <w:tc>
          <w:tcPr>
            <w:tcW w:w="3338" w:type="dxa"/>
            <w:tcBorders>
              <w:left w:val="nil"/>
            </w:tcBorders>
            <w:vAlign w:val="center"/>
          </w:tcPr>
          <w:p w14:paraId="5437D3D6">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4</w:t>
            </w:r>
          </w:p>
        </w:tc>
      </w:tr>
      <w:tr w14:paraId="13BD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restart"/>
            <w:tcBorders>
              <w:top w:val="nil"/>
            </w:tcBorders>
            <w:vAlign w:val="center"/>
          </w:tcPr>
          <w:p w14:paraId="53CABF89">
            <w:pPr>
              <w:autoSpaceDE/>
              <w:autoSpaceDN/>
              <w:snapToGrid/>
              <w:spacing w:line="340" w:lineRule="exact"/>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二类区</w:t>
            </w:r>
          </w:p>
        </w:tc>
        <w:tc>
          <w:tcPr>
            <w:tcW w:w="1852" w:type="dxa"/>
            <w:tcBorders>
              <w:left w:val="nil"/>
            </w:tcBorders>
            <w:vAlign w:val="center"/>
          </w:tcPr>
          <w:p w14:paraId="7A649A31">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小型车</w:t>
            </w:r>
          </w:p>
        </w:tc>
        <w:tc>
          <w:tcPr>
            <w:tcW w:w="2038" w:type="dxa"/>
            <w:tcBorders>
              <w:left w:val="nil"/>
            </w:tcBorders>
            <w:vAlign w:val="center"/>
          </w:tcPr>
          <w:p w14:paraId="11B88EB7">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4</w:t>
            </w:r>
          </w:p>
        </w:tc>
        <w:tc>
          <w:tcPr>
            <w:tcW w:w="3338" w:type="dxa"/>
            <w:tcBorders>
              <w:left w:val="nil"/>
            </w:tcBorders>
            <w:vAlign w:val="center"/>
          </w:tcPr>
          <w:p w14:paraId="64908F74">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2</w:t>
            </w:r>
          </w:p>
        </w:tc>
      </w:tr>
      <w:tr w14:paraId="3979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continue"/>
            <w:tcBorders>
              <w:top w:val="nil"/>
            </w:tcBorders>
            <w:vAlign w:val="center"/>
          </w:tcPr>
          <w:p w14:paraId="5DC550D7">
            <w:pPr>
              <w:widowControl/>
              <w:autoSpaceDE/>
              <w:autoSpaceDN/>
              <w:snapToGrid/>
              <w:spacing w:line="240" w:lineRule="auto"/>
              <w:ind w:firstLine="0"/>
              <w:jc w:val="left"/>
              <w:rPr>
                <w:rFonts w:hint="default" w:ascii="Times New Roman" w:hAnsi="Times New Roman" w:eastAsia="仿宋" w:cs="Times New Roman"/>
                <w:snapToGrid/>
                <w:kern w:val="2"/>
                <w:sz w:val="32"/>
                <w:szCs w:val="32"/>
              </w:rPr>
            </w:pPr>
          </w:p>
        </w:tc>
        <w:tc>
          <w:tcPr>
            <w:tcW w:w="1852" w:type="dxa"/>
            <w:tcBorders>
              <w:left w:val="nil"/>
            </w:tcBorders>
            <w:vAlign w:val="center"/>
          </w:tcPr>
          <w:p w14:paraId="28CD1CA5">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中型车</w:t>
            </w:r>
          </w:p>
        </w:tc>
        <w:tc>
          <w:tcPr>
            <w:tcW w:w="2038" w:type="dxa"/>
            <w:tcBorders>
              <w:left w:val="nil"/>
            </w:tcBorders>
            <w:vAlign w:val="center"/>
          </w:tcPr>
          <w:p w14:paraId="0FDBE321">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5</w:t>
            </w:r>
          </w:p>
        </w:tc>
        <w:tc>
          <w:tcPr>
            <w:tcW w:w="3338" w:type="dxa"/>
            <w:tcBorders>
              <w:left w:val="nil"/>
            </w:tcBorders>
            <w:vAlign w:val="center"/>
          </w:tcPr>
          <w:p w14:paraId="0A750D00">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2</w:t>
            </w:r>
          </w:p>
        </w:tc>
      </w:tr>
      <w:tr w14:paraId="3CEE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continue"/>
            <w:tcBorders>
              <w:top w:val="nil"/>
            </w:tcBorders>
            <w:vAlign w:val="center"/>
          </w:tcPr>
          <w:p w14:paraId="2DFB801F">
            <w:pPr>
              <w:widowControl/>
              <w:autoSpaceDE/>
              <w:autoSpaceDN/>
              <w:snapToGrid/>
              <w:spacing w:line="240" w:lineRule="auto"/>
              <w:ind w:firstLine="0"/>
              <w:jc w:val="left"/>
              <w:rPr>
                <w:rFonts w:hint="default" w:ascii="Times New Roman" w:hAnsi="Times New Roman" w:eastAsia="仿宋" w:cs="Times New Roman"/>
                <w:snapToGrid/>
                <w:kern w:val="2"/>
                <w:sz w:val="32"/>
                <w:szCs w:val="32"/>
              </w:rPr>
            </w:pPr>
          </w:p>
        </w:tc>
        <w:tc>
          <w:tcPr>
            <w:tcW w:w="1852" w:type="dxa"/>
            <w:tcBorders>
              <w:left w:val="nil"/>
            </w:tcBorders>
            <w:vAlign w:val="center"/>
          </w:tcPr>
          <w:p w14:paraId="58C35F43">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大型车</w:t>
            </w:r>
          </w:p>
        </w:tc>
        <w:tc>
          <w:tcPr>
            <w:tcW w:w="2038" w:type="dxa"/>
            <w:tcBorders>
              <w:left w:val="nil"/>
            </w:tcBorders>
            <w:vAlign w:val="center"/>
          </w:tcPr>
          <w:p w14:paraId="3874083D">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8</w:t>
            </w:r>
          </w:p>
        </w:tc>
        <w:tc>
          <w:tcPr>
            <w:tcW w:w="3338" w:type="dxa"/>
            <w:tcBorders>
              <w:left w:val="nil"/>
            </w:tcBorders>
            <w:vAlign w:val="center"/>
          </w:tcPr>
          <w:p w14:paraId="4A9CA576">
            <w:pPr>
              <w:autoSpaceDE/>
              <w:autoSpaceDN/>
              <w:snapToGrid/>
              <w:spacing w:line="340" w:lineRule="exact"/>
              <w:ind w:firstLine="0"/>
              <w:jc w:val="center"/>
              <w:rPr>
                <w:rFonts w:hint="default" w:ascii="Times New Roman" w:hAnsi="Times New Roman" w:eastAsia="仿宋" w:cs="Times New Roman"/>
                <w:snapToGrid/>
                <w:kern w:val="2"/>
                <w:sz w:val="30"/>
                <w:szCs w:val="30"/>
              </w:rPr>
            </w:pPr>
            <w:r>
              <w:rPr>
                <w:rFonts w:hint="default" w:ascii="Times New Roman" w:hAnsi="Times New Roman" w:eastAsia="仿宋" w:cs="Times New Roman"/>
                <w:snapToGrid/>
                <w:kern w:val="2"/>
                <w:sz w:val="30"/>
                <w:szCs w:val="30"/>
              </w:rPr>
              <w:t>3</w:t>
            </w:r>
          </w:p>
        </w:tc>
      </w:tr>
      <w:tr w14:paraId="54A2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1297" w:type="dxa"/>
            <w:vAlign w:val="center"/>
          </w:tcPr>
          <w:p w14:paraId="4EBE579A">
            <w:pPr>
              <w:widowControl/>
              <w:autoSpaceDE/>
              <w:autoSpaceDN/>
              <w:snapToGrid/>
              <w:spacing w:line="240" w:lineRule="auto"/>
              <w:ind w:firstLine="0"/>
              <w:jc w:val="center"/>
              <w:rPr>
                <w:rFonts w:hint="default" w:ascii="Times New Roman" w:hAnsi="Times New Roman" w:eastAsia="仿宋" w:cs="Times New Roman"/>
                <w:snapToGrid/>
                <w:kern w:val="2"/>
                <w:sz w:val="32"/>
                <w:szCs w:val="32"/>
              </w:rPr>
            </w:pPr>
            <w:r>
              <w:rPr>
                <w:rFonts w:hint="default" w:ascii="Times New Roman" w:hAnsi="Times New Roman" w:eastAsia="仿宋" w:cs="Times New Roman"/>
                <w:snapToGrid/>
                <w:kern w:val="2"/>
                <w:sz w:val="32"/>
                <w:szCs w:val="32"/>
              </w:rPr>
              <w:t>备注</w:t>
            </w:r>
          </w:p>
        </w:tc>
        <w:tc>
          <w:tcPr>
            <w:tcW w:w="7228" w:type="dxa"/>
            <w:gridSpan w:val="3"/>
            <w:tcBorders>
              <w:left w:val="nil"/>
            </w:tcBorders>
          </w:tcPr>
          <w:p w14:paraId="410DBF31">
            <w:pPr>
              <w:autoSpaceDE/>
              <w:autoSpaceDN/>
              <w:snapToGrid/>
              <w:spacing w:line="33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1.单次停车30分钟（含）内免费；</w:t>
            </w:r>
          </w:p>
          <w:p w14:paraId="48877EA0">
            <w:pPr>
              <w:autoSpaceDE/>
              <w:autoSpaceDN/>
              <w:snapToGrid/>
              <w:spacing w:line="33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2.首个计费单位为2小时，以后每1小时为一个计费单位，不足一个计费单位的按一个计费单位计算; 24小时内连续停放按不超过6个计费单位收费。连续停放超过24小时的，超过部分按上述收费标准重新计算；</w:t>
            </w:r>
          </w:p>
          <w:p w14:paraId="07F481C1">
            <w:pPr>
              <w:autoSpaceDE/>
              <w:autoSpaceDN/>
              <w:snapToGrid/>
              <w:spacing w:line="33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3.包月停车收费在不超过该收费标准的前提下由双方按车型协商确定；</w:t>
            </w:r>
          </w:p>
          <w:p w14:paraId="73536558">
            <w:pPr>
              <w:autoSpaceDE/>
              <w:autoSpaceDN/>
              <w:snapToGrid/>
              <w:spacing w:line="33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4.缴费后超过半小时未离场的按照实际停车时长重新计费；</w:t>
            </w:r>
          </w:p>
          <w:p w14:paraId="30AADA9A">
            <w:pPr>
              <w:autoSpaceDE/>
              <w:autoSpaceDN/>
              <w:snapToGrid/>
              <w:spacing w:line="330" w:lineRule="exact"/>
              <w:ind w:firstLine="560" w:firstLineChars="200"/>
              <w:rPr>
                <w:rFonts w:hint="default" w:ascii="Times New Roman" w:hAnsi="Times New Roman" w:eastAsia="仿宋" w:cs="Times New Roman"/>
                <w:snapToGrid/>
                <w:kern w:val="2"/>
                <w:sz w:val="28"/>
                <w:szCs w:val="28"/>
              </w:rPr>
            </w:pPr>
            <w:r>
              <w:rPr>
                <w:rFonts w:hint="default" w:ascii="Times New Roman" w:hAnsi="Times New Roman" w:eastAsia="仿宋" w:cs="Times New Roman"/>
                <w:snapToGrid/>
                <w:kern w:val="2"/>
                <w:sz w:val="28"/>
                <w:szCs w:val="28"/>
              </w:rPr>
              <w:t>5.本标准为最高收费标准，经营者可结合实际情况自主下浮、幅度不限。</w:t>
            </w:r>
          </w:p>
          <w:p w14:paraId="5194A06A">
            <w:pPr>
              <w:autoSpaceDE/>
              <w:autoSpaceDN/>
              <w:snapToGrid/>
              <w:spacing w:line="330" w:lineRule="exact"/>
              <w:ind w:firstLine="560" w:firstLineChars="200"/>
              <w:rPr>
                <w:rFonts w:hint="default" w:ascii="Times New Roman" w:hAnsi="Times New Roman" w:eastAsia="仿宋" w:cs="Times New Roman"/>
                <w:snapToGrid/>
                <w:kern w:val="2"/>
                <w:sz w:val="28"/>
                <w:szCs w:val="28"/>
              </w:rPr>
            </w:pPr>
          </w:p>
          <w:p w14:paraId="5807BE34">
            <w:pPr>
              <w:autoSpaceDE/>
              <w:autoSpaceDN/>
              <w:snapToGrid/>
              <w:spacing w:line="440" w:lineRule="exact"/>
              <w:ind w:firstLine="560" w:firstLineChars="200"/>
              <w:rPr>
                <w:rFonts w:hint="default" w:ascii="Times New Roman" w:hAnsi="Times New Roman" w:eastAsia="仿宋" w:cs="Times New Roman"/>
                <w:snapToGrid/>
                <w:kern w:val="2"/>
                <w:sz w:val="28"/>
                <w:szCs w:val="28"/>
              </w:rPr>
            </w:pPr>
          </w:p>
        </w:tc>
      </w:tr>
    </w:tbl>
    <w:p w14:paraId="413A6948">
      <w:pPr>
        <w:autoSpaceDE/>
        <w:autoSpaceDN/>
        <w:snapToGrid/>
        <w:spacing w:line="560" w:lineRule="exact"/>
        <w:ind w:firstLine="645"/>
        <w:rPr>
          <w:rFonts w:hint="default" w:ascii="Times New Roman" w:hAnsi="Times New Roman" w:eastAsia="仿宋" w:cs="Times New Roman"/>
          <w:snapToGrid w:val="0"/>
          <w:kern w:val="0"/>
          <w:sz w:val="32"/>
          <w:szCs w:val="32"/>
        </w:rPr>
      </w:pPr>
    </w:p>
    <w:sectPr>
      <w:headerReference r:id="rId3" w:type="default"/>
      <w:footerReference r:id="rId4" w:type="default"/>
      <w:pgSz w:w="11906" w:h="16838"/>
      <w:pgMar w:top="2098" w:right="1531" w:bottom="1984" w:left="1531" w:header="1417"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109A">
    <w:pPr>
      <w:spacing w:line="38" w:lineRule="exact"/>
      <w:ind w:firstLine="6"/>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-346710</wp:posOffset>
              </wp:positionV>
              <wp:extent cx="1828800" cy="18288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08387">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3pt;height:144pt;width:144pt;mso-position-horizontal:outside;mso-position-horizontal-relative:margin;mso-wrap-distance-bottom:0pt;mso-wrap-distance-top:0pt;mso-wrap-style:none;z-index:251659264;mso-width-relative:page;mso-height-relative:page;" filled="f" stroked="f" coordsize="21600,21600" o:gfxdata="UEsDBAoAAAAAAIdO4kAAAAAAAAAAAAAAAAAEAAAAZHJzL1BLAwQUAAAACACHTuJANrcBCt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wesh0Ilrd5zpczD2ma&#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twE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23608387">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v:textbox>
              <w10:wrap type="topAndBottom"/>
            </v:shape>
          </w:pict>
        </mc:Fallback>
      </mc:AlternateContent>
    </w:r>
  </w:p>
  <w:p w14:paraId="29BAF851">
    <w:pPr>
      <w:spacing w:line="38" w:lineRule="exact"/>
      <w:ind w:firstLine="6"/>
    </w:pPr>
    <w:r>
      <w:drawing>
        <wp:inline distT="0" distB="0" distL="0" distR="0">
          <wp:extent cx="5615940" cy="24130"/>
          <wp:effectExtent l="0" t="0" r="3810" b="444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616574" cy="24130"/>
                  </a:xfrm>
                  <a:prstGeom prst="rect">
                    <a:avLst/>
                  </a:prstGeom>
                </pic:spPr>
              </pic:pic>
            </a:graphicData>
          </a:graphic>
        </wp:inline>
      </w:drawing>
    </w:r>
  </w:p>
  <w:p w14:paraId="4FDEB62C">
    <w:pPr>
      <w:spacing w:line="280" w:lineRule="auto"/>
      <w:rPr>
        <w:rFonts w:ascii="Arial"/>
        <w:sz w:val="21"/>
      </w:rPr>
    </w:pPr>
  </w:p>
  <w:p w14:paraId="3C00BBA8">
    <w:pPr>
      <w:spacing w:before="1" w:line="196" w:lineRule="auto"/>
      <w:ind w:firstLine="5320" w:firstLineChars="1900"/>
      <w:rPr>
        <w:rFonts w:ascii="微软雅黑" w:hAnsi="微软雅黑" w:eastAsia="微软雅黑" w:cs="微软雅黑"/>
        <w:sz w:val="28"/>
        <w:szCs w:val="28"/>
      </w:rPr>
    </w:pPr>
    <w:r>
      <w:rPr>
        <w:rFonts w:hint="eastAsia" w:ascii="微软雅黑" w:hAnsi="微软雅黑" w:eastAsia="微软雅黑" w:cs="微软雅黑"/>
        <w:color w:val="005192"/>
        <w:sz w:val="28"/>
        <w:szCs w:val="28"/>
        <w:lang w:val="en-US" w:eastAsia="zh-CN"/>
        <w14:textOutline w14:w="5103" w14:cap="sq" w14:cmpd="sng">
          <w14:solidFill>
            <w14:srgbClr w14:val="005192"/>
          </w14:solidFill>
          <w14:prstDash w14:val="solid"/>
          <w14:bevel/>
        </w14:textOutline>
      </w:rPr>
      <w:t>常州市金坛区人民政府</w:t>
    </w:r>
    <w:r>
      <w:rPr>
        <w:rFonts w:ascii="微软雅黑" w:hAnsi="微软雅黑" w:eastAsia="微软雅黑" w:cs="微软雅黑"/>
        <w:color w:val="005192"/>
        <w:sz w:val="28"/>
        <w:szCs w:val="28"/>
        <w14:textOutline w14:w="5103" w14:cap="sq" w14:cmpd="sng">
          <w14:solidFill>
            <w14:srgbClr w14:val="005192"/>
          </w14:solidFill>
          <w14:prstDash w14:val="solid"/>
          <w14:bevel/>
        </w14:textOutline>
      </w:rPr>
      <w:t>发布</w:t>
    </w:r>
  </w:p>
  <w:p w14:paraId="45F1F28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8FB3">
    <w:pPr>
      <w:spacing w:line="205" w:lineRule="auto"/>
      <w:ind w:left="19"/>
      <w:rPr>
        <w:rFonts w:ascii="微软雅黑" w:hAnsi="微软雅黑" w:eastAsia="微软雅黑" w:cs="微软雅黑"/>
        <w:sz w:val="31"/>
        <w:szCs w:val="31"/>
      </w:rPr>
    </w:pPr>
    <w:r>
      <w:rPr>
        <w:rFonts w:hint="eastAsia" w:ascii="微软雅黑" w:hAnsi="微软雅黑" w:eastAsia="微软雅黑" w:cs="微软雅黑"/>
        <w:color w:val="005192"/>
        <w:spacing w:val="9"/>
        <w:sz w:val="31"/>
        <w:szCs w:val="31"/>
        <w:lang w:val="en-US" w:eastAsia="zh-CN"/>
        <w14:textOutline w14:w="5793" w14:cap="sq" w14:cmpd="sng">
          <w14:solidFill>
            <w14:srgbClr w14:val="005192"/>
          </w14:solidFill>
          <w14:prstDash w14:val="solid"/>
          <w14:bevel/>
        </w14:textOutline>
      </w:rPr>
      <w:t>常州市</w:t>
    </w:r>
    <w:r>
      <w:rPr>
        <w:rFonts w:ascii="微软雅黑" w:hAnsi="微软雅黑" w:eastAsia="微软雅黑" w:cs="微软雅黑"/>
        <w:color w:val="005192"/>
        <w:spacing w:val="9"/>
        <w:sz w:val="31"/>
        <w:szCs w:val="31"/>
        <w14:textOutline w14:w="5793" w14:cap="sq" w14:cmpd="sng">
          <w14:solidFill>
            <w14:srgbClr w14:val="005192"/>
          </w14:solidFill>
          <w14:prstDash w14:val="solid"/>
          <w14:bevel/>
        </w14:textOutline>
      </w:rPr>
      <w:t>行政规范性文件</w:t>
    </w:r>
  </w:p>
  <w:p w14:paraId="6888E1AC">
    <w:pPr>
      <w:pStyle w:val="4"/>
    </w:pPr>
    <w:r>
      <w:drawing>
        <wp:inline distT="0" distB="0" distL="0" distR="0">
          <wp:extent cx="5619750" cy="15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620384" cy="1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DRmZjVkZTZlNDFiNTY1MzdiYzUwY2FmNDg3NGQifQ=="/>
  </w:docVars>
  <w:rsids>
    <w:rsidRoot w:val="00172A27"/>
    <w:rsid w:val="019B2A6F"/>
    <w:rsid w:val="06905A5D"/>
    <w:rsid w:val="0ABF2B82"/>
    <w:rsid w:val="0ECA79A1"/>
    <w:rsid w:val="10F46EC6"/>
    <w:rsid w:val="15032FBA"/>
    <w:rsid w:val="1594785E"/>
    <w:rsid w:val="170C51B9"/>
    <w:rsid w:val="20804E50"/>
    <w:rsid w:val="20A37D17"/>
    <w:rsid w:val="20AF45AF"/>
    <w:rsid w:val="25C923D9"/>
    <w:rsid w:val="27360F82"/>
    <w:rsid w:val="2D1425C9"/>
    <w:rsid w:val="2DD01A5C"/>
    <w:rsid w:val="33684C8D"/>
    <w:rsid w:val="33770091"/>
    <w:rsid w:val="351C03C3"/>
    <w:rsid w:val="36D201CD"/>
    <w:rsid w:val="3DAA6193"/>
    <w:rsid w:val="3FCA76D2"/>
    <w:rsid w:val="46DA3144"/>
    <w:rsid w:val="472962E9"/>
    <w:rsid w:val="48D55F0A"/>
    <w:rsid w:val="4B745AE9"/>
    <w:rsid w:val="4C063266"/>
    <w:rsid w:val="5AD365C8"/>
    <w:rsid w:val="5CB55023"/>
    <w:rsid w:val="60EF05BA"/>
    <w:rsid w:val="611442A5"/>
    <w:rsid w:val="76D32E89"/>
    <w:rsid w:val="7D66137E"/>
    <w:rsid w:val="7DD75F6F"/>
    <w:rsid w:val="7E071D39"/>
    <w:rsid w:val="7F227C73"/>
    <w:rsid w:val="7FC2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autoRedefine/>
    <w:qFormat/>
    <w:uiPriority w:val="0"/>
  </w:style>
  <w:style w:type="character" w:styleId="9">
    <w:name w:val="Hyperlink"/>
    <w:basedOn w:val="7"/>
    <w:qFormat/>
    <w:uiPriority w:val="0"/>
    <w:rPr>
      <w:color w:val="0000FF"/>
      <w:u w:val="single"/>
    </w:rPr>
  </w:style>
  <w:style w:type="paragraph" w:customStyle="1" w:styleId="10">
    <w:name w:val="Char Char Char Char Char Char Char Char Char Char Char Char 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4426</Words>
  <Characters>4496</Characters>
  <Lines>0</Lines>
  <Paragraphs>0</Paragraphs>
  <TotalTime>3</TotalTime>
  <ScaleCrop>false</ScaleCrop>
  <LinksUpToDate>false</LinksUpToDate>
  <CharactersWithSpaces>4533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2023-10-18T01:37:00Z</dcterms:created>
  <dc:creator>汤汤</dc:creator>
  <cp:lastModifiedBy>汤汤</cp:lastModifiedBy>
  <dcterms:modified xsi:type="dcterms:W3CDTF">2025-10-15T05:45:22Z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1F6929F8649D414BA8B7DE0F0D8E5652_11</vt:lpwstr>
  </property>
  <property fmtid="{D5CDD505-2E9C-101B-9397-08002B2CF9AE}" pid="4" name="KSOTemplateDocerSaveRecord">
    <vt:lpwstr>eyJoZGlkIjoiYTQ5MWJjNDU0NDI4OTEzNDRjYjRkMTU2NDgxODY0NDkiLCJ1c2VySWQiOiI5ODYwNDczMTEifQ==</vt:lpwstr>
  </property>
</Properties>
</file>