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7A5251">
      <w:pPr>
        <w:jc w:val="center"/>
        <w:rPr>
          <w:rFonts w:hint="default" w:ascii="Times New Roman" w:hAnsi="Times New Roman" w:eastAsia="宋体" w:cs="Times New Roman"/>
          <w:b/>
          <w:color w:val="auto"/>
          <w:sz w:val="24"/>
          <w:szCs w:val="24"/>
          <w:highlight w:val="none"/>
        </w:rPr>
      </w:pPr>
      <w:bookmarkStart w:id="0" w:name="_Toc20238"/>
      <w:r>
        <w:rPr>
          <w:rFonts w:hint="default" w:ascii="Times New Roman" w:hAnsi="Times New Roman" w:eastAsia="宋体" w:cs="Times New Roman"/>
          <w:b/>
          <w:color w:val="auto"/>
          <w:sz w:val="24"/>
          <w:szCs w:val="24"/>
          <w:highlight w:val="none"/>
        </w:rPr>
        <w:drawing>
          <wp:inline distT="0" distB="0" distL="114300" distR="114300">
            <wp:extent cx="5252085" cy="7403465"/>
            <wp:effectExtent l="0" t="0" r="5715" b="3175"/>
            <wp:docPr id="7" name="图片 7" descr="封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封面_01"/>
                    <pic:cNvPicPr>
                      <a:picLocks noChangeAspect="1"/>
                    </pic:cNvPicPr>
                  </pic:nvPicPr>
                  <pic:blipFill>
                    <a:blip r:embed="rId14"/>
                    <a:stretch>
                      <a:fillRect/>
                    </a:stretch>
                  </pic:blipFill>
                  <pic:spPr>
                    <a:xfrm>
                      <a:off x="0" y="0"/>
                      <a:ext cx="5252085" cy="7403465"/>
                    </a:xfrm>
                    <a:prstGeom prst="rect">
                      <a:avLst/>
                    </a:prstGeom>
                  </pic:spPr>
                </pic:pic>
              </a:graphicData>
            </a:graphic>
          </wp:inline>
        </w:drawing>
      </w:r>
      <w:r>
        <w:rPr>
          <w:rFonts w:hint="default" w:ascii="Times New Roman" w:hAnsi="Times New Roman" w:eastAsia="宋体" w:cs="Times New Roman"/>
          <w:b/>
          <w:color w:val="auto"/>
          <w:sz w:val="24"/>
          <w:szCs w:val="24"/>
          <w:highlight w:val="none"/>
        </w:rPr>
        <w:drawing>
          <wp:inline distT="0" distB="0" distL="114300" distR="114300">
            <wp:extent cx="5261610" cy="7422515"/>
            <wp:effectExtent l="0" t="0" r="11430" b="14605"/>
            <wp:docPr id="9" name="图片 9" descr="资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资质_01"/>
                    <pic:cNvPicPr>
                      <a:picLocks noChangeAspect="1"/>
                    </pic:cNvPicPr>
                  </pic:nvPicPr>
                  <pic:blipFill>
                    <a:blip r:embed="rId15"/>
                    <a:stretch>
                      <a:fillRect/>
                    </a:stretch>
                  </pic:blipFill>
                  <pic:spPr>
                    <a:xfrm>
                      <a:off x="0" y="0"/>
                      <a:ext cx="5261610" cy="7422515"/>
                    </a:xfrm>
                    <a:prstGeom prst="rect">
                      <a:avLst/>
                    </a:prstGeom>
                  </pic:spPr>
                </pic:pic>
              </a:graphicData>
            </a:graphic>
          </wp:inline>
        </w:drawing>
      </w:r>
      <w:r>
        <w:rPr>
          <w:rFonts w:hint="default" w:ascii="Times New Roman" w:hAnsi="Times New Roman" w:eastAsia="宋体" w:cs="Times New Roman"/>
          <w:b/>
          <w:color w:val="auto"/>
          <w:sz w:val="24"/>
          <w:szCs w:val="24"/>
          <w:highlight w:val="none"/>
        </w:rPr>
        <w:br w:type="textWrapping"/>
      </w:r>
      <w:r>
        <w:rPr>
          <w:rFonts w:hint="default" w:ascii="Times New Roman" w:hAnsi="Times New Roman" w:eastAsia="宋体" w:cs="Times New Roman"/>
          <w:b/>
          <w:color w:val="auto"/>
          <w:sz w:val="24"/>
          <w:szCs w:val="24"/>
          <w:highlight w:val="none"/>
        </w:rPr>
        <w:br w:type="textWrapping"/>
      </w:r>
      <w:r>
        <w:rPr>
          <w:rFonts w:hint="default" w:ascii="Times New Roman" w:hAnsi="Times New Roman" w:eastAsia="宋体" w:cs="Times New Roman"/>
          <w:b/>
          <w:color w:val="auto"/>
          <w:sz w:val="24"/>
          <w:szCs w:val="24"/>
          <w:highlight w:val="none"/>
        </w:rPr>
        <w:br w:type="textWrapping"/>
      </w:r>
      <w:r>
        <w:rPr>
          <w:rFonts w:hint="default" w:ascii="Times New Roman" w:hAnsi="Times New Roman" w:eastAsia="宋体" w:cs="Times New Roman"/>
          <w:b/>
          <w:color w:val="auto"/>
          <w:sz w:val="24"/>
          <w:szCs w:val="24"/>
          <w:highlight w:val="none"/>
        </w:rPr>
        <w:br w:type="textWrapping"/>
      </w:r>
      <w:r>
        <w:rPr>
          <w:rFonts w:hint="default" w:ascii="Times New Roman" w:hAnsi="Times New Roman" w:eastAsia="宋体" w:cs="Times New Roman"/>
          <w:b/>
          <w:color w:val="auto"/>
          <w:sz w:val="24"/>
          <w:szCs w:val="24"/>
          <w:highlight w:val="none"/>
        </w:rPr>
        <w:br w:type="textWrapping"/>
      </w:r>
      <w:r>
        <w:rPr>
          <w:rFonts w:hint="default" w:ascii="Times New Roman" w:hAnsi="Times New Roman" w:eastAsia="宋体" w:cs="Times New Roman"/>
          <w:b/>
          <w:color w:val="auto"/>
          <w:sz w:val="24"/>
          <w:szCs w:val="24"/>
          <w:highlight w:val="none"/>
        </w:rPr>
        <w:br w:type="textWrapping"/>
      </w:r>
      <w:r>
        <w:rPr>
          <w:rFonts w:hint="default" w:ascii="Times New Roman" w:hAnsi="Times New Roman" w:eastAsia="宋体" w:cs="Times New Roman"/>
          <w:b/>
          <w:color w:val="auto"/>
          <w:sz w:val="24"/>
          <w:szCs w:val="24"/>
          <w:highlight w:val="none"/>
        </w:rPr>
        <w:br w:type="textWrapping"/>
      </w:r>
      <w:r>
        <w:rPr>
          <w:rFonts w:hint="default" w:ascii="Times New Roman" w:hAnsi="Times New Roman" w:eastAsia="宋体" w:cs="Times New Roman"/>
          <w:b/>
          <w:color w:val="auto"/>
          <w:sz w:val="24"/>
          <w:szCs w:val="24"/>
          <w:highlight w:val="none"/>
        </w:rPr>
        <w:br w:type="textWrapping"/>
      </w:r>
      <w:r>
        <w:rPr>
          <w:rFonts w:hint="default" w:ascii="Times New Roman" w:hAnsi="Times New Roman" w:eastAsia="宋体" w:cs="Times New Roman"/>
          <w:b/>
          <w:color w:val="auto"/>
          <w:sz w:val="24"/>
          <w:szCs w:val="24"/>
          <w:highlight w:val="none"/>
        </w:rPr>
        <w:br w:type="textWrapping"/>
      </w:r>
      <w:r>
        <w:rPr>
          <w:rFonts w:hint="default" w:ascii="Times New Roman" w:hAnsi="Times New Roman" w:eastAsia="宋体" w:cs="Times New Roman"/>
          <w:b/>
          <w:color w:val="auto"/>
          <w:sz w:val="24"/>
          <w:szCs w:val="24"/>
          <w:highlight w:val="none"/>
        </w:rPr>
        <w:t>目录</w:t>
      </w:r>
    </w:p>
    <w:p w14:paraId="5B0866F8">
      <w:pPr>
        <w:pStyle w:val="20"/>
        <w:keepNext w:val="0"/>
        <w:keepLines w:val="0"/>
        <w:pageBreakBefore w:val="0"/>
        <w:widowControl w:val="0"/>
        <w:tabs>
          <w:tab w:val="right" w:leader="dot" w:pos="8306"/>
        </w:tabs>
        <w:kinsoku/>
        <w:wordWrap/>
        <w:overflowPunct/>
        <w:topLinePunct w:val="0"/>
        <w:autoSpaceDE/>
        <w:autoSpaceDN/>
        <w:bidi w:val="0"/>
        <w:spacing w:line="360" w:lineRule="auto"/>
        <w:textAlignment w:val="auto"/>
        <w:rPr>
          <w:rFonts w:hint="eastAsia" w:ascii="宋体" w:hAnsi="宋体" w:eastAsia="宋体" w:cs="宋体"/>
          <w:b w:val="0"/>
          <w:bCs w:val="0"/>
          <w:sz w:val="21"/>
          <w:szCs w:val="21"/>
        </w:rPr>
      </w:pPr>
      <w:r>
        <w:rPr>
          <w:rFonts w:hint="eastAsia" w:ascii="宋体" w:hAnsi="宋体" w:eastAsia="宋体" w:cs="宋体"/>
          <w:b w:val="0"/>
          <w:bCs w:val="0"/>
          <w:color w:val="auto"/>
          <w:sz w:val="21"/>
          <w:szCs w:val="21"/>
          <w:highlight w:val="none"/>
        </w:rPr>
        <w:fldChar w:fldCharType="begin"/>
      </w:r>
      <w:r>
        <w:rPr>
          <w:rFonts w:hint="eastAsia" w:ascii="宋体" w:hAnsi="宋体" w:eastAsia="宋体" w:cs="宋体"/>
          <w:b w:val="0"/>
          <w:bCs w:val="0"/>
          <w:color w:val="auto"/>
          <w:sz w:val="21"/>
          <w:szCs w:val="21"/>
          <w:highlight w:val="none"/>
        </w:rPr>
        <w:instrText xml:space="preserve"> TOC \o "1-3" \h \z \u </w:instrText>
      </w:r>
      <w:r>
        <w:rPr>
          <w:rFonts w:hint="eastAsia" w:ascii="宋体" w:hAnsi="宋体" w:eastAsia="宋体" w:cs="宋体"/>
          <w:b w:val="0"/>
          <w:bCs w:val="0"/>
          <w:color w:val="auto"/>
          <w:sz w:val="21"/>
          <w:szCs w:val="21"/>
          <w:highlight w:val="none"/>
        </w:rPr>
        <w:fldChar w:fldCharType="separate"/>
      </w:r>
      <w:r>
        <w:rPr>
          <w:rFonts w:hint="eastAsia" w:ascii="宋体" w:hAnsi="宋体" w:eastAsia="宋体" w:cs="宋体"/>
          <w:b w:val="0"/>
          <w:bCs w:val="0"/>
          <w:color w:val="auto"/>
          <w:sz w:val="21"/>
          <w:szCs w:val="21"/>
          <w:highlight w:val="none"/>
        </w:rPr>
        <w:fldChar w:fldCharType="begin"/>
      </w:r>
      <w:r>
        <w:rPr>
          <w:rFonts w:hint="eastAsia" w:ascii="宋体" w:hAnsi="宋体" w:eastAsia="宋体" w:cs="宋体"/>
          <w:b w:val="0"/>
          <w:bCs w:val="0"/>
          <w:sz w:val="21"/>
          <w:szCs w:val="21"/>
          <w:highlight w:val="none"/>
        </w:rPr>
        <w:instrText xml:space="preserve"> HYPERLINK \l _Toc7853 </w:instrText>
      </w:r>
      <w:r>
        <w:rPr>
          <w:rFonts w:hint="eastAsia" w:ascii="宋体" w:hAnsi="宋体" w:eastAsia="宋体" w:cs="宋体"/>
          <w:b w:val="0"/>
          <w:bCs w:val="0"/>
          <w:sz w:val="21"/>
          <w:szCs w:val="21"/>
          <w:highlight w:val="none"/>
        </w:rPr>
        <w:fldChar w:fldCharType="separate"/>
      </w:r>
      <w:r>
        <w:rPr>
          <w:rFonts w:hint="eastAsia" w:ascii="宋体" w:hAnsi="宋体" w:eastAsia="宋体" w:cs="宋体"/>
          <w:b w:val="0"/>
          <w:bCs w:val="0"/>
          <w:snapToGrid w:val="0"/>
          <w:sz w:val="21"/>
          <w:szCs w:val="21"/>
        </w:rPr>
        <w:t>一、建设项目基本情况</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_Toc7853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highlight w:val="none"/>
        </w:rPr>
        <w:fldChar w:fldCharType="end"/>
      </w:r>
    </w:p>
    <w:p w14:paraId="1F2C5730">
      <w:pPr>
        <w:pStyle w:val="20"/>
        <w:keepNext w:val="0"/>
        <w:keepLines w:val="0"/>
        <w:pageBreakBefore w:val="0"/>
        <w:widowControl w:val="0"/>
        <w:tabs>
          <w:tab w:val="right" w:leader="dot" w:pos="8306"/>
        </w:tabs>
        <w:kinsoku/>
        <w:wordWrap/>
        <w:overflowPunct/>
        <w:topLinePunct w:val="0"/>
        <w:autoSpaceDE/>
        <w:autoSpaceDN/>
        <w:bidi w:val="0"/>
        <w:spacing w:line="360" w:lineRule="auto"/>
        <w:textAlignment w:val="auto"/>
        <w:rPr>
          <w:rFonts w:hint="eastAsia" w:ascii="宋体" w:hAnsi="宋体" w:eastAsia="宋体" w:cs="宋体"/>
          <w:b w:val="0"/>
          <w:bCs w:val="0"/>
          <w:sz w:val="21"/>
          <w:szCs w:val="21"/>
        </w:rPr>
      </w:pPr>
      <w:r>
        <w:rPr>
          <w:rFonts w:hint="eastAsia" w:ascii="宋体" w:hAnsi="宋体" w:eastAsia="宋体" w:cs="宋体"/>
          <w:b w:val="0"/>
          <w:bCs w:val="0"/>
          <w:color w:val="auto"/>
          <w:sz w:val="21"/>
          <w:szCs w:val="21"/>
          <w:highlight w:val="none"/>
        </w:rPr>
        <w:fldChar w:fldCharType="begin"/>
      </w:r>
      <w:r>
        <w:rPr>
          <w:rFonts w:hint="eastAsia" w:ascii="宋体" w:hAnsi="宋体" w:eastAsia="宋体" w:cs="宋体"/>
          <w:b w:val="0"/>
          <w:bCs w:val="0"/>
          <w:sz w:val="21"/>
          <w:szCs w:val="21"/>
          <w:highlight w:val="none"/>
        </w:rPr>
        <w:instrText xml:space="preserve"> HYPERLINK \l _Toc10921 </w:instrText>
      </w:r>
      <w:r>
        <w:rPr>
          <w:rFonts w:hint="eastAsia" w:ascii="宋体" w:hAnsi="宋体" w:eastAsia="宋体" w:cs="宋体"/>
          <w:b w:val="0"/>
          <w:bCs w:val="0"/>
          <w:sz w:val="21"/>
          <w:szCs w:val="21"/>
          <w:highlight w:val="none"/>
        </w:rPr>
        <w:fldChar w:fldCharType="separate"/>
      </w:r>
      <w:r>
        <w:rPr>
          <w:rFonts w:hint="eastAsia" w:ascii="宋体" w:hAnsi="宋体" w:eastAsia="宋体" w:cs="宋体"/>
          <w:b w:val="0"/>
          <w:bCs w:val="0"/>
          <w:snapToGrid w:val="0"/>
          <w:sz w:val="21"/>
          <w:szCs w:val="21"/>
        </w:rPr>
        <w:t>二、建设项目工程分析</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_Toc10921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19</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highlight w:val="none"/>
        </w:rPr>
        <w:fldChar w:fldCharType="end"/>
      </w:r>
    </w:p>
    <w:p w14:paraId="2FE7CD87">
      <w:pPr>
        <w:pStyle w:val="20"/>
        <w:keepNext w:val="0"/>
        <w:keepLines w:val="0"/>
        <w:pageBreakBefore w:val="0"/>
        <w:widowControl w:val="0"/>
        <w:tabs>
          <w:tab w:val="right" w:leader="dot" w:pos="8306"/>
        </w:tabs>
        <w:kinsoku/>
        <w:wordWrap/>
        <w:overflowPunct/>
        <w:topLinePunct w:val="0"/>
        <w:autoSpaceDE/>
        <w:autoSpaceDN/>
        <w:bidi w:val="0"/>
        <w:spacing w:line="360" w:lineRule="auto"/>
        <w:textAlignment w:val="auto"/>
        <w:rPr>
          <w:rFonts w:hint="eastAsia" w:ascii="宋体" w:hAnsi="宋体" w:eastAsia="宋体" w:cs="宋体"/>
          <w:b w:val="0"/>
          <w:bCs w:val="0"/>
          <w:sz w:val="21"/>
          <w:szCs w:val="21"/>
        </w:rPr>
      </w:pPr>
      <w:r>
        <w:rPr>
          <w:rFonts w:hint="eastAsia" w:ascii="宋体" w:hAnsi="宋体" w:eastAsia="宋体" w:cs="宋体"/>
          <w:b w:val="0"/>
          <w:bCs w:val="0"/>
          <w:color w:val="auto"/>
          <w:sz w:val="21"/>
          <w:szCs w:val="21"/>
          <w:highlight w:val="none"/>
        </w:rPr>
        <w:fldChar w:fldCharType="begin"/>
      </w:r>
      <w:r>
        <w:rPr>
          <w:rFonts w:hint="eastAsia" w:ascii="宋体" w:hAnsi="宋体" w:eastAsia="宋体" w:cs="宋体"/>
          <w:b w:val="0"/>
          <w:bCs w:val="0"/>
          <w:sz w:val="21"/>
          <w:szCs w:val="21"/>
          <w:highlight w:val="none"/>
        </w:rPr>
        <w:instrText xml:space="preserve"> HYPERLINK \l _Toc12048 </w:instrText>
      </w:r>
      <w:r>
        <w:rPr>
          <w:rFonts w:hint="eastAsia" w:ascii="宋体" w:hAnsi="宋体" w:eastAsia="宋体" w:cs="宋体"/>
          <w:b w:val="0"/>
          <w:bCs w:val="0"/>
          <w:sz w:val="21"/>
          <w:szCs w:val="21"/>
          <w:highlight w:val="none"/>
        </w:rPr>
        <w:fldChar w:fldCharType="separate"/>
      </w:r>
      <w:r>
        <w:rPr>
          <w:rFonts w:hint="eastAsia" w:ascii="宋体" w:hAnsi="宋体" w:eastAsia="宋体" w:cs="宋体"/>
          <w:b w:val="0"/>
          <w:bCs w:val="0"/>
          <w:snapToGrid w:val="0"/>
          <w:sz w:val="21"/>
          <w:szCs w:val="21"/>
        </w:rPr>
        <w:t>三、区域环境质量现状、环境保护目标及评价标准</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_Toc12048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22</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highlight w:val="none"/>
        </w:rPr>
        <w:fldChar w:fldCharType="end"/>
      </w:r>
    </w:p>
    <w:p w14:paraId="4D751578">
      <w:pPr>
        <w:pStyle w:val="20"/>
        <w:keepNext w:val="0"/>
        <w:keepLines w:val="0"/>
        <w:pageBreakBefore w:val="0"/>
        <w:widowControl w:val="0"/>
        <w:tabs>
          <w:tab w:val="right" w:leader="dot" w:pos="8306"/>
        </w:tabs>
        <w:kinsoku/>
        <w:wordWrap/>
        <w:overflowPunct/>
        <w:topLinePunct w:val="0"/>
        <w:autoSpaceDE/>
        <w:autoSpaceDN/>
        <w:bidi w:val="0"/>
        <w:spacing w:line="360" w:lineRule="auto"/>
        <w:textAlignment w:val="auto"/>
        <w:rPr>
          <w:rFonts w:hint="eastAsia" w:ascii="宋体" w:hAnsi="宋体" w:eastAsia="宋体" w:cs="宋体"/>
          <w:b w:val="0"/>
          <w:bCs w:val="0"/>
          <w:sz w:val="21"/>
          <w:szCs w:val="21"/>
        </w:rPr>
      </w:pPr>
      <w:r>
        <w:rPr>
          <w:rFonts w:hint="eastAsia" w:ascii="宋体" w:hAnsi="宋体" w:eastAsia="宋体" w:cs="宋体"/>
          <w:b w:val="0"/>
          <w:bCs w:val="0"/>
          <w:color w:val="auto"/>
          <w:sz w:val="21"/>
          <w:szCs w:val="21"/>
          <w:highlight w:val="none"/>
        </w:rPr>
        <w:fldChar w:fldCharType="begin"/>
      </w:r>
      <w:r>
        <w:rPr>
          <w:rFonts w:hint="eastAsia" w:ascii="宋体" w:hAnsi="宋体" w:eastAsia="宋体" w:cs="宋体"/>
          <w:b w:val="0"/>
          <w:bCs w:val="0"/>
          <w:sz w:val="21"/>
          <w:szCs w:val="21"/>
          <w:highlight w:val="none"/>
        </w:rPr>
        <w:instrText xml:space="preserve"> HYPERLINK \l _Toc6576 </w:instrText>
      </w:r>
      <w:r>
        <w:rPr>
          <w:rFonts w:hint="eastAsia" w:ascii="宋体" w:hAnsi="宋体" w:eastAsia="宋体" w:cs="宋体"/>
          <w:b w:val="0"/>
          <w:bCs w:val="0"/>
          <w:sz w:val="21"/>
          <w:szCs w:val="21"/>
          <w:highlight w:val="none"/>
        </w:rPr>
        <w:fldChar w:fldCharType="separate"/>
      </w:r>
      <w:r>
        <w:rPr>
          <w:rFonts w:hint="eastAsia" w:ascii="宋体" w:hAnsi="宋体" w:eastAsia="宋体" w:cs="宋体"/>
          <w:b w:val="0"/>
          <w:bCs w:val="0"/>
          <w:snapToGrid w:val="0"/>
          <w:sz w:val="21"/>
          <w:szCs w:val="21"/>
        </w:rPr>
        <w:t>四、主要环境影响和保护措施</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_Toc6576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45</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highlight w:val="none"/>
        </w:rPr>
        <w:fldChar w:fldCharType="end"/>
      </w:r>
    </w:p>
    <w:p w14:paraId="0164263F">
      <w:pPr>
        <w:pStyle w:val="20"/>
        <w:keepNext w:val="0"/>
        <w:keepLines w:val="0"/>
        <w:pageBreakBefore w:val="0"/>
        <w:widowControl w:val="0"/>
        <w:tabs>
          <w:tab w:val="right" w:leader="dot" w:pos="8306"/>
        </w:tabs>
        <w:kinsoku/>
        <w:wordWrap/>
        <w:overflowPunct/>
        <w:topLinePunct w:val="0"/>
        <w:autoSpaceDE/>
        <w:autoSpaceDN/>
        <w:bidi w:val="0"/>
        <w:spacing w:line="360" w:lineRule="auto"/>
        <w:textAlignment w:val="auto"/>
        <w:rPr>
          <w:rFonts w:hint="eastAsia" w:ascii="宋体" w:hAnsi="宋体" w:eastAsia="宋体" w:cs="宋体"/>
          <w:b w:val="0"/>
          <w:bCs w:val="0"/>
          <w:sz w:val="21"/>
          <w:szCs w:val="21"/>
        </w:rPr>
      </w:pPr>
      <w:r>
        <w:rPr>
          <w:rFonts w:hint="eastAsia" w:ascii="宋体" w:hAnsi="宋体" w:eastAsia="宋体" w:cs="宋体"/>
          <w:b w:val="0"/>
          <w:bCs w:val="0"/>
          <w:color w:val="auto"/>
          <w:sz w:val="21"/>
          <w:szCs w:val="21"/>
          <w:highlight w:val="none"/>
        </w:rPr>
        <w:fldChar w:fldCharType="begin"/>
      </w:r>
      <w:r>
        <w:rPr>
          <w:rFonts w:hint="eastAsia" w:ascii="宋体" w:hAnsi="宋体" w:eastAsia="宋体" w:cs="宋体"/>
          <w:b w:val="0"/>
          <w:bCs w:val="0"/>
          <w:sz w:val="21"/>
          <w:szCs w:val="21"/>
          <w:highlight w:val="none"/>
        </w:rPr>
        <w:instrText xml:space="preserve"> HYPERLINK \l _Toc9753 </w:instrText>
      </w:r>
      <w:r>
        <w:rPr>
          <w:rFonts w:hint="eastAsia" w:ascii="宋体" w:hAnsi="宋体" w:eastAsia="宋体" w:cs="宋体"/>
          <w:b w:val="0"/>
          <w:bCs w:val="0"/>
          <w:sz w:val="21"/>
          <w:szCs w:val="21"/>
          <w:highlight w:val="none"/>
        </w:rPr>
        <w:fldChar w:fldCharType="separate"/>
      </w:r>
      <w:r>
        <w:rPr>
          <w:rFonts w:hint="eastAsia" w:ascii="宋体" w:hAnsi="宋体" w:eastAsia="宋体" w:cs="宋体"/>
          <w:b w:val="0"/>
          <w:bCs w:val="0"/>
          <w:snapToGrid w:val="0"/>
          <w:sz w:val="21"/>
          <w:szCs w:val="21"/>
        </w:rPr>
        <w:t>五、环境保护措施监督检查清单</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_Toc9753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64</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highlight w:val="none"/>
        </w:rPr>
        <w:fldChar w:fldCharType="end"/>
      </w:r>
    </w:p>
    <w:p w14:paraId="5CFB874C">
      <w:pPr>
        <w:pStyle w:val="20"/>
        <w:keepNext w:val="0"/>
        <w:keepLines w:val="0"/>
        <w:pageBreakBefore w:val="0"/>
        <w:widowControl w:val="0"/>
        <w:tabs>
          <w:tab w:val="right" w:leader="dot" w:pos="8306"/>
        </w:tabs>
        <w:kinsoku/>
        <w:wordWrap/>
        <w:overflowPunct/>
        <w:topLinePunct w:val="0"/>
        <w:autoSpaceDE/>
        <w:autoSpaceDN/>
        <w:bidi w:val="0"/>
        <w:spacing w:line="360" w:lineRule="auto"/>
        <w:textAlignment w:val="auto"/>
        <w:rPr>
          <w:rFonts w:hint="eastAsia" w:ascii="宋体" w:hAnsi="宋体" w:eastAsia="宋体" w:cs="宋体"/>
          <w:b w:val="0"/>
          <w:bCs w:val="0"/>
          <w:sz w:val="21"/>
          <w:szCs w:val="21"/>
        </w:rPr>
      </w:pPr>
      <w:r>
        <w:rPr>
          <w:rFonts w:hint="eastAsia" w:ascii="宋体" w:hAnsi="宋体" w:eastAsia="宋体" w:cs="宋体"/>
          <w:b w:val="0"/>
          <w:bCs w:val="0"/>
          <w:color w:val="auto"/>
          <w:sz w:val="21"/>
          <w:szCs w:val="21"/>
          <w:highlight w:val="none"/>
        </w:rPr>
        <w:fldChar w:fldCharType="begin"/>
      </w:r>
      <w:r>
        <w:rPr>
          <w:rFonts w:hint="eastAsia" w:ascii="宋体" w:hAnsi="宋体" w:eastAsia="宋体" w:cs="宋体"/>
          <w:b w:val="0"/>
          <w:bCs w:val="0"/>
          <w:sz w:val="21"/>
          <w:szCs w:val="21"/>
          <w:highlight w:val="none"/>
        </w:rPr>
        <w:instrText xml:space="preserve"> HYPERLINK \l _Toc25396 </w:instrText>
      </w:r>
      <w:r>
        <w:rPr>
          <w:rFonts w:hint="eastAsia" w:ascii="宋体" w:hAnsi="宋体" w:eastAsia="宋体" w:cs="宋体"/>
          <w:b w:val="0"/>
          <w:bCs w:val="0"/>
          <w:sz w:val="21"/>
          <w:szCs w:val="21"/>
          <w:highlight w:val="none"/>
        </w:rPr>
        <w:fldChar w:fldCharType="separate"/>
      </w:r>
      <w:r>
        <w:rPr>
          <w:rFonts w:hint="eastAsia" w:ascii="宋体" w:hAnsi="宋体" w:eastAsia="宋体" w:cs="宋体"/>
          <w:b w:val="0"/>
          <w:bCs w:val="0"/>
          <w:snapToGrid w:val="0"/>
          <w:sz w:val="21"/>
          <w:szCs w:val="21"/>
        </w:rPr>
        <w:t>六、结论</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_Toc25396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65</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highlight w:val="none"/>
        </w:rPr>
        <w:fldChar w:fldCharType="end"/>
      </w:r>
    </w:p>
    <w:p w14:paraId="057A4652">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eastAsia" w:ascii="宋体" w:hAnsi="宋体" w:eastAsia="宋体" w:cs="宋体"/>
          <w:b w:val="0"/>
          <w:bCs w:val="0"/>
          <w:color w:val="auto"/>
          <w:sz w:val="21"/>
          <w:szCs w:val="21"/>
          <w:highlight w:val="none"/>
        </w:rPr>
        <w:fldChar w:fldCharType="end"/>
      </w:r>
    </w:p>
    <w:p w14:paraId="20836E7C">
      <w:pPr>
        <w:adjustRightInd w:val="0"/>
        <w:snapToGrid w:val="0"/>
        <w:spacing w:line="288" w:lineRule="auto"/>
        <w:jc w:val="center"/>
        <w:rPr>
          <w:rFonts w:hint="default" w:ascii="Times New Roman" w:hAnsi="Times New Roman" w:eastAsia="宋体" w:cs="Times New Roman"/>
          <w:color w:val="auto"/>
          <w:sz w:val="21"/>
          <w:szCs w:val="21"/>
          <w:highlight w:val="none"/>
        </w:rPr>
      </w:pPr>
    </w:p>
    <w:p w14:paraId="0931D083">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附图</w:t>
      </w:r>
    </w:p>
    <w:p w14:paraId="54743D71">
      <w:pPr>
        <w:adjustRightInd w:val="0"/>
        <w:snapToGrid w:val="0"/>
        <w:spacing w:line="360" w:lineRule="auto"/>
        <w:rPr>
          <w:szCs w:val="21"/>
        </w:rPr>
      </w:pPr>
      <w:r>
        <w:rPr>
          <w:szCs w:val="21"/>
        </w:rPr>
        <w:t>附图</w:t>
      </w:r>
      <w:r>
        <w:rPr>
          <w:rFonts w:hint="eastAsia"/>
          <w:szCs w:val="21"/>
        </w:rPr>
        <w:t>1</w:t>
      </w:r>
      <w:r>
        <w:rPr>
          <w:szCs w:val="21"/>
        </w:rPr>
        <w:t xml:space="preserve">  项目地理位置图</w:t>
      </w:r>
    </w:p>
    <w:p w14:paraId="146EDA4F">
      <w:pPr>
        <w:adjustRightInd w:val="0"/>
        <w:snapToGrid w:val="0"/>
        <w:spacing w:line="360" w:lineRule="auto"/>
        <w:rPr>
          <w:szCs w:val="21"/>
        </w:rPr>
      </w:pPr>
      <w:r>
        <w:rPr>
          <w:szCs w:val="21"/>
        </w:rPr>
        <w:t>附图</w:t>
      </w:r>
      <w:r>
        <w:rPr>
          <w:rFonts w:hint="eastAsia"/>
          <w:szCs w:val="21"/>
        </w:rPr>
        <w:t>2</w:t>
      </w:r>
      <w:r>
        <w:rPr>
          <w:szCs w:val="21"/>
        </w:rPr>
        <w:t xml:space="preserve">  项目周</w:t>
      </w:r>
      <w:r>
        <w:rPr>
          <w:rFonts w:hint="eastAsia"/>
          <w:szCs w:val="21"/>
        </w:rPr>
        <w:t>边</w:t>
      </w:r>
      <w:r>
        <w:rPr>
          <w:szCs w:val="21"/>
        </w:rPr>
        <w:t>环境概况图</w:t>
      </w:r>
    </w:p>
    <w:p w14:paraId="41B4E1D4">
      <w:pPr>
        <w:adjustRightInd w:val="0"/>
        <w:snapToGrid w:val="0"/>
        <w:spacing w:line="360" w:lineRule="auto"/>
        <w:rPr>
          <w:rFonts w:hint="eastAsia"/>
          <w:szCs w:val="21"/>
        </w:rPr>
      </w:pPr>
      <w:r>
        <w:rPr>
          <w:szCs w:val="21"/>
        </w:rPr>
        <w:t>附图</w:t>
      </w:r>
      <w:r>
        <w:rPr>
          <w:rFonts w:hint="eastAsia"/>
          <w:szCs w:val="21"/>
        </w:rPr>
        <w:t>3</w:t>
      </w:r>
      <w:r>
        <w:rPr>
          <w:rFonts w:hint="eastAsia"/>
          <w:szCs w:val="21"/>
          <w:lang w:val="en-US" w:eastAsia="zh-CN"/>
        </w:rPr>
        <w:t>-1</w:t>
      </w:r>
      <w:r>
        <w:rPr>
          <w:szCs w:val="21"/>
        </w:rPr>
        <w:t xml:space="preserve">  </w:t>
      </w:r>
      <w:r>
        <w:rPr>
          <w:rFonts w:hint="eastAsia"/>
          <w:szCs w:val="21"/>
          <w:lang w:val="en-US" w:eastAsia="zh-CN"/>
        </w:rPr>
        <w:t>技改前</w:t>
      </w:r>
      <w:r>
        <w:rPr>
          <w:rFonts w:hint="eastAsia"/>
          <w:szCs w:val="21"/>
        </w:rPr>
        <w:t>厂区平面布置</w:t>
      </w:r>
      <w:r>
        <w:rPr>
          <w:szCs w:val="21"/>
        </w:rPr>
        <w:t>图</w:t>
      </w:r>
    </w:p>
    <w:p w14:paraId="4042BA9C">
      <w:pPr>
        <w:adjustRightInd w:val="0"/>
        <w:snapToGrid w:val="0"/>
        <w:spacing w:line="360" w:lineRule="auto"/>
        <w:rPr>
          <w:rFonts w:hint="eastAsia"/>
          <w:szCs w:val="21"/>
        </w:rPr>
      </w:pPr>
      <w:r>
        <w:rPr>
          <w:szCs w:val="21"/>
        </w:rPr>
        <w:t>附图</w:t>
      </w:r>
      <w:r>
        <w:rPr>
          <w:rFonts w:hint="eastAsia"/>
          <w:szCs w:val="21"/>
        </w:rPr>
        <w:t>3</w:t>
      </w:r>
      <w:r>
        <w:rPr>
          <w:rFonts w:hint="eastAsia"/>
          <w:szCs w:val="21"/>
          <w:lang w:val="en-US" w:eastAsia="zh-CN"/>
        </w:rPr>
        <w:t>-2</w:t>
      </w:r>
      <w:r>
        <w:rPr>
          <w:szCs w:val="21"/>
        </w:rPr>
        <w:t xml:space="preserve">  </w:t>
      </w:r>
      <w:r>
        <w:rPr>
          <w:rFonts w:hint="eastAsia"/>
          <w:szCs w:val="21"/>
          <w:lang w:val="en-US" w:eastAsia="zh-CN"/>
        </w:rPr>
        <w:t>技改后</w:t>
      </w:r>
      <w:r>
        <w:rPr>
          <w:rFonts w:hint="eastAsia"/>
          <w:szCs w:val="21"/>
        </w:rPr>
        <w:t>厂区平面布置</w:t>
      </w:r>
      <w:r>
        <w:rPr>
          <w:szCs w:val="21"/>
        </w:rPr>
        <w:t>图</w:t>
      </w:r>
    </w:p>
    <w:p w14:paraId="03D2D219">
      <w:pPr>
        <w:adjustRightInd w:val="0"/>
        <w:snapToGrid w:val="0"/>
        <w:spacing w:line="360" w:lineRule="auto"/>
        <w:rPr>
          <w:rFonts w:hint="eastAsia"/>
          <w:szCs w:val="21"/>
        </w:rPr>
      </w:pPr>
      <w:r>
        <w:rPr>
          <w:szCs w:val="21"/>
        </w:rPr>
        <w:t>附图</w:t>
      </w:r>
      <w:r>
        <w:rPr>
          <w:rFonts w:hint="eastAsia"/>
          <w:szCs w:val="21"/>
        </w:rPr>
        <w:t xml:space="preserve">4  </w:t>
      </w:r>
      <w:r>
        <w:rPr>
          <w:rFonts w:hint="eastAsia"/>
          <w:szCs w:val="21"/>
          <w:lang w:eastAsia="zh-CN"/>
        </w:rPr>
        <w:t>金坛经济开发区</w:t>
      </w:r>
      <w:r>
        <w:rPr>
          <w:rFonts w:hint="eastAsia"/>
          <w:szCs w:val="21"/>
        </w:rPr>
        <w:t>土地利用规划图</w:t>
      </w:r>
    </w:p>
    <w:p w14:paraId="6C2EBCB6">
      <w:pPr>
        <w:adjustRightInd w:val="0"/>
        <w:snapToGrid w:val="0"/>
        <w:spacing w:line="360" w:lineRule="auto"/>
        <w:rPr>
          <w:szCs w:val="21"/>
        </w:rPr>
      </w:pPr>
      <w:r>
        <w:rPr>
          <w:szCs w:val="21"/>
        </w:rPr>
        <w:t>附图</w:t>
      </w:r>
      <w:r>
        <w:rPr>
          <w:rFonts w:hint="eastAsia"/>
          <w:szCs w:val="21"/>
          <w:lang w:val="en-US" w:eastAsia="zh-CN"/>
        </w:rPr>
        <w:t>5</w:t>
      </w:r>
      <w:r>
        <w:rPr>
          <w:szCs w:val="21"/>
        </w:rPr>
        <w:t xml:space="preserve">  </w:t>
      </w:r>
      <w:r>
        <w:rPr>
          <w:rFonts w:hint="eastAsia"/>
          <w:szCs w:val="21"/>
        </w:rPr>
        <w:t>区域水系图</w:t>
      </w:r>
    </w:p>
    <w:p w14:paraId="748C3143">
      <w:pPr>
        <w:adjustRightInd w:val="0"/>
        <w:snapToGrid w:val="0"/>
        <w:spacing w:line="360" w:lineRule="auto"/>
        <w:rPr>
          <w:szCs w:val="21"/>
        </w:rPr>
      </w:pPr>
      <w:r>
        <w:rPr>
          <w:rFonts w:hint="eastAsia"/>
          <w:szCs w:val="21"/>
        </w:rPr>
        <w:t>附图</w:t>
      </w:r>
      <w:r>
        <w:rPr>
          <w:rFonts w:hint="eastAsia"/>
          <w:szCs w:val="21"/>
          <w:lang w:val="en-US" w:eastAsia="zh-CN"/>
        </w:rPr>
        <w:t>6</w:t>
      </w:r>
      <w:r>
        <w:rPr>
          <w:rFonts w:hint="eastAsia"/>
          <w:szCs w:val="21"/>
        </w:rPr>
        <w:t xml:space="preserve">  项目附近生态红线区域分布图</w:t>
      </w:r>
    </w:p>
    <w:p w14:paraId="0A1E19BB">
      <w:pPr>
        <w:adjustRightInd w:val="0"/>
        <w:snapToGrid w:val="0"/>
        <w:spacing w:line="360" w:lineRule="auto"/>
        <w:rPr>
          <w:rFonts w:hint="eastAsia"/>
          <w:szCs w:val="21"/>
        </w:rPr>
      </w:pPr>
      <w:r>
        <w:rPr>
          <w:rFonts w:hint="eastAsia"/>
          <w:szCs w:val="21"/>
        </w:rPr>
        <w:t>附图7  常州市“三线一单”生态环境分区管控分布图</w:t>
      </w:r>
    </w:p>
    <w:p w14:paraId="5409FF58">
      <w:pPr>
        <w:adjustRightInd w:val="0"/>
        <w:snapToGrid w:val="0"/>
        <w:spacing w:line="360" w:lineRule="auto"/>
        <w:rPr>
          <w:rFonts w:hint="default" w:eastAsia="宋体"/>
          <w:szCs w:val="21"/>
          <w:lang w:val="en-US" w:eastAsia="zh-CN"/>
        </w:rPr>
      </w:pPr>
      <w:r>
        <w:rPr>
          <w:szCs w:val="21"/>
        </w:rPr>
        <w:t>附图</w:t>
      </w:r>
      <w:r>
        <w:rPr>
          <w:rFonts w:hint="eastAsia"/>
          <w:szCs w:val="21"/>
          <w:lang w:val="en-US" w:eastAsia="zh-CN"/>
        </w:rPr>
        <w:t>8</w:t>
      </w:r>
      <w:r>
        <w:rPr>
          <w:rFonts w:hint="eastAsia"/>
          <w:szCs w:val="21"/>
        </w:rPr>
        <w:t xml:space="preserve">  常州市环境管控单元图</w:t>
      </w:r>
    </w:p>
    <w:p w14:paraId="3DBC1D71">
      <w:pPr>
        <w:adjustRightInd w:val="0"/>
        <w:snapToGrid w:val="0"/>
        <w:spacing w:line="360" w:lineRule="auto"/>
        <w:rPr>
          <w:szCs w:val="21"/>
        </w:rPr>
      </w:pPr>
      <w:r>
        <w:rPr>
          <w:szCs w:val="21"/>
        </w:rPr>
        <w:t>附图</w:t>
      </w:r>
      <w:r>
        <w:rPr>
          <w:rFonts w:hint="eastAsia"/>
          <w:szCs w:val="21"/>
          <w:lang w:val="en-US" w:eastAsia="zh-CN"/>
        </w:rPr>
        <w:t>9</w:t>
      </w:r>
      <w:r>
        <w:rPr>
          <w:szCs w:val="21"/>
        </w:rPr>
        <w:t xml:space="preserve">  </w:t>
      </w:r>
      <w:r>
        <w:rPr>
          <w:rFonts w:hint="eastAsia"/>
          <w:szCs w:val="21"/>
        </w:rPr>
        <w:t>常州市</w:t>
      </w:r>
      <w:r>
        <w:rPr>
          <w:rFonts w:hint="eastAsia" w:ascii="Times New Roman" w:hAnsi="Times New Roman" w:eastAsia="宋体" w:cs="Times New Roman"/>
          <w:szCs w:val="21"/>
          <w:lang w:val="en-US" w:eastAsia="zh-CN"/>
        </w:rPr>
        <w:t>国土空间规划图</w:t>
      </w:r>
    </w:p>
    <w:p w14:paraId="2E136D26">
      <w:pPr>
        <w:rPr>
          <w:rFonts w:hint="default"/>
          <w:color w:val="auto"/>
          <w:highlight w:val="none"/>
          <w:lang w:val="en-US" w:eastAsia="zh-CN"/>
        </w:rPr>
      </w:pPr>
    </w:p>
    <w:p w14:paraId="77F149D3">
      <w:pPr>
        <w:pStyle w:val="6"/>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auto"/>
          <w:sz w:val="21"/>
          <w:szCs w:val="21"/>
          <w:highlight w:val="none"/>
        </w:rPr>
      </w:pPr>
    </w:p>
    <w:p w14:paraId="6BB32987">
      <w:pPr>
        <w:adjustRightInd w:val="0"/>
        <w:snapToGrid w:val="0"/>
        <w:spacing w:line="360" w:lineRule="auto"/>
        <w:rPr>
          <w:rFonts w:hint="default" w:ascii="Times New Roman" w:hAnsi="Times New Roman" w:eastAsia="宋体" w:cs="Times New Roman"/>
          <w:b/>
          <w:bCs/>
          <w:color w:val="auto"/>
          <w:sz w:val="21"/>
          <w:szCs w:val="21"/>
          <w:highlight w:val="none"/>
        </w:rPr>
      </w:pPr>
    </w:p>
    <w:p w14:paraId="103E4B58">
      <w:pPr>
        <w:adjustRightInd w:val="0"/>
        <w:snapToGrid w:val="0"/>
        <w:spacing w:line="360" w:lineRule="auto"/>
        <w:rPr>
          <w:rFonts w:hint="default" w:ascii="Times New Roman" w:hAnsi="Times New Roman" w:eastAsia="宋体" w:cs="Times New Roman"/>
          <w:b/>
          <w:bCs/>
          <w:color w:val="auto"/>
          <w:sz w:val="21"/>
          <w:szCs w:val="21"/>
          <w:highlight w:val="none"/>
        </w:rPr>
        <w:sectPr>
          <w:footerReference r:id="rId3" w:type="default"/>
          <w:pgSz w:w="11906" w:h="16838"/>
          <w:pgMar w:top="1440" w:right="1800" w:bottom="1440" w:left="1800" w:header="851" w:footer="1077" w:gutter="0"/>
          <w:pgBorders>
            <w:top w:val="none" w:sz="0" w:space="0"/>
            <w:left w:val="none" w:sz="0" w:space="0"/>
            <w:bottom w:val="none" w:sz="0" w:space="0"/>
            <w:right w:val="none" w:sz="0" w:space="0"/>
          </w:pgBorders>
          <w:pgNumType w:start="1"/>
          <w:cols w:space="720" w:num="1"/>
          <w:docGrid w:linePitch="312" w:charSpace="0"/>
        </w:sectPr>
      </w:pPr>
    </w:p>
    <w:p w14:paraId="42E87425">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附件</w:t>
      </w:r>
    </w:p>
    <w:p w14:paraId="6A678623">
      <w:pPr>
        <w:adjustRightInd w:val="0"/>
        <w:snapToGrid w:val="0"/>
        <w:spacing w:line="360" w:lineRule="auto"/>
        <w:rPr>
          <w:rFonts w:hint="default" w:eastAsia="宋体"/>
          <w:color w:val="auto"/>
          <w:szCs w:val="21"/>
          <w:lang w:val="en-US" w:eastAsia="zh-CN"/>
        </w:rPr>
      </w:pPr>
      <w:r>
        <w:rPr>
          <w:color w:val="auto"/>
          <w:szCs w:val="21"/>
        </w:rPr>
        <w:t>附件1  环评技术合同</w:t>
      </w:r>
      <w:r>
        <w:rPr>
          <w:rFonts w:hint="eastAsia"/>
          <w:color w:val="auto"/>
          <w:szCs w:val="21"/>
          <w:lang w:val="en-US" w:eastAsia="zh-CN"/>
        </w:rPr>
        <w:t>及委托书</w:t>
      </w:r>
    </w:p>
    <w:p w14:paraId="059BF7D9">
      <w:pPr>
        <w:adjustRightInd w:val="0"/>
        <w:snapToGrid w:val="0"/>
        <w:spacing w:line="360" w:lineRule="auto"/>
        <w:rPr>
          <w:rFonts w:hint="eastAsia"/>
          <w:color w:val="auto"/>
          <w:szCs w:val="21"/>
        </w:rPr>
      </w:pPr>
      <w:r>
        <w:rPr>
          <w:color w:val="auto"/>
          <w:szCs w:val="21"/>
        </w:rPr>
        <w:t xml:space="preserve">附件2  </w:t>
      </w:r>
      <w:r>
        <w:rPr>
          <w:rFonts w:hint="eastAsia"/>
          <w:color w:val="auto"/>
          <w:szCs w:val="21"/>
        </w:rPr>
        <w:t>备案证</w:t>
      </w:r>
    </w:p>
    <w:p w14:paraId="499E77AA">
      <w:pPr>
        <w:adjustRightInd w:val="0"/>
        <w:snapToGrid w:val="0"/>
        <w:spacing w:line="360" w:lineRule="auto"/>
        <w:rPr>
          <w:color w:val="auto"/>
          <w:szCs w:val="21"/>
        </w:rPr>
      </w:pPr>
      <w:r>
        <w:rPr>
          <w:color w:val="auto"/>
          <w:szCs w:val="21"/>
        </w:rPr>
        <w:t>附件3  营业执照</w:t>
      </w:r>
    </w:p>
    <w:p w14:paraId="0810C854">
      <w:pPr>
        <w:adjustRightInd w:val="0"/>
        <w:snapToGrid w:val="0"/>
        <w:spacing w:line="360" w:lineRule="auto"/>
        <w:rPr>
          <w:color w:val="auto"/>
          <w:szCs w:val="21"/>
        </w:rPr>
      </w:pPr>
      <w:r>
        <w:rPr>
          <w:color w:val="auto"/>
          <w:szCs w:val="21"/>
        </w:rPr>
        <w:t>附件4  法人身份证</w:t>
      </w:r>
    </w:p>
    <w:p w14:paraId="25837CEE">
      <w:pPr>
        <w:adjustRightInd w:val="0"/>
        <w:snapToGrid w:val="0"/>
        <w:spacing w:line="360" w:lineRule="auto"/>
        <w:rPr>
          <w:rFonts w:hint="eastAsia"/>
          <w:color w:val="auto"/>
          <w:szCs w:val="21"/>
        </w:rPr>
      </w:pPr>
      <w:r>
        <w:rPr>
          <w:color w:val="auto"/>
          <w:szCs w:val="21"/>
        </w:rPr>
        <w:t xml:space="preserve">附件5  </w:t>
      </w:r>
      <w:r>
        <w:rPr>
          <w:rFonts w:hint="eastAsia"/>
          <w:color w:val="auto"/>
          <w:szCs w:val="21"/>
        </w:rPr>
        <w:t>厂房产权证</w:t>
      </w:r>
    </w:p>
    <w:p w14:paraId="5A3D03BB">
      <w:pPr>
        <w:adjustRightInd w:val="0"/>
        <w:snapToGrid w:val="0"/>
        <w:spacing w:line="360" w:lineRule="auto"/>
        <w:rPr>
          <w:rFonts w:hint="eastAsia" w:eastAsia="宋体"/>
          <w:color w:val="auto"/>
          <w:szCs w:val="21"/>
          <w:lang w:val="en-US" w:eastAsia="zh-CN"/>
        </w:rPr>
      </w:pPr>
      <w:r>
        <w:rPr>
          <w:rFonts w:hint="eastAsia"/>
          <w:color w:val="auto"/>
          <w:szCs w:val="21"/>
        </w:rPr>
        <w:t>附件6  污水接管</w:t>
      </w:r>
      <w:r>
        <w:rPr>
          <w:rFonts w:hint="eastAsia"/>
          <w:color w:val="auto"/>
          <w:szCs w:val="21"/>
          <w:lang w:val="en-US" w:eastAsia="zh-CN"/>
        </w:rPr>
        <w:t>证明</w:t>
      </w:r>
    </w:p>
    <w:p w14:paraId="73401945">
      <w:pPr>
        <w:adjustRightInd w:val="0"/>
        <w:snapToGrid w:val="0"/>
        <w:spacing w:line="360" w:lineRule="auto"/>
        <w:rPr>
          <w:color w:val="auto"/>
          <w:szCs w:val="21"/>
        </w:rPr>
      </w:pPr>
      <w:r>
        <w:rPr>
          <w:rFonts w:hint="eastAsia"/>
          <w:color w:val="auto"/>
          <w:szCs w:val="21"/>
        </w:rPr>
        <w:t>附图</w:t>
      </w:r>
      <w:r>
        <w:rPr>
          <w:rFonts w:hint="eastAsia"/>
          <w:color w:val="auto"/>
          <w:szCs w:val="21"/>
          <w:lang w:val="en-US" w:eastAsia="zh-CN"/>
        </w:rPr>
        <w:t>7</w:t>
      </w:r>
      <w:r>
        <w:rPr>
          <w:rFonts w:hint="eastAsia"/>
          <w:color w:val="auto"/>
          <w:szCs w:val="21"/>
        </w:rPr>
        <w:t xml:space="preserve">  </w:t>
      </w:r>
      <w:r>
        <w:rPr>
          <w:color w:val="auto"/>
          <w:szCs w:val="21"/>
        </w:rPr>
        <w:t>监测报告</w:t>
      </w:r>
      <w:r>
        <w:rPr>
          <w:rFonts w:hint="eastAsia"/>
          <w:color w:val="auto"/>
          <w:szCs w:val="21"/>
        </w:rPr>
        <w:t>及引用说明</w:t>
      </w:r>
    </w:p>
    <w:p w14:paraId="0E62716F">
      <w:pPr>
        <w:adjustRightInd w:val="0"/>
        <w:snapToGrid w:val="0"/>
        <w:spacing w:line="360" w:lineRule="auto"/>
        <w:rPr>
          <w:rFonts w:hint="default"/>
          <w:color w:val="auto"/>
          <w:szCs w:val="21"/>
          <w:lang w:val="en-US"/>
        </w:rPr>
      </w:pPr>
      <w:r>
        <w:rPr>
          <w:rFonts w:hint="eastAsia"/>
          <w:color w:val="auto"/>
          <w:szCs w:val="21"/>
        </w:rPr>
        <w:t>附件</w:t>
      </w:r>
      <w:r>
        <w:rPr>
          <w:rFonts w:hint="eastAsia"/>
          <w:color w:val="auto"/>
          <w:szCs w:val="21"/>
          <w:lang w:val="en-US" w:eastAsia="zh-CN"/>
        </w:rPr>
        <w:t>8</w:t>
      </w:r>
      <w:r>
        <w:rPr>
          <w:rFonts w:hint="eastAsia"/>
          <w:color w:val="auto"/>
          <w:szCs w:val="21"/>
        </w:rPr>
        <w:t xml:space="preserve"> </w:t>
      </w:r>
      <w:r>
        <w:rPr>
          <w:rFonts w:hint="eastAsia"/>
          <w:color w:val="auto"/>
          <w:szCs w:val="21"/>
          <w:lang w:val="en-US" w:eastAsia="zh-CN"/>
        </w:rPr>
        <w:t xml:space="preserve"> 原有项目环评手续</w:t>
      </w:r>
    </w:p>
    <w:p w14:paraId="17915935">
      <w:pPr>
        <w:adjustRightInd w:val="0"/>
        <w:snapToGrid w:val="0"/>
        <w:spacing w:line="360" w:lineRule="auto"/>
        <w:rPr>
          <w:color w:val="auto"/>
          <w:szCs w:val="21"/>
        </w:rPr>
      </w:pPr>
      <w:r>
        <w:rPr>
          <w:rFonts w:hint="eastAsia"/>
          <w:color w:val="auto"/>
          <w:szCs w:val="21"/>
        </w:rPr>
        <w:t>附件</w:t>
      </w:r>
      <w:r>
        <w:rPr>
          <w:rFonts w:hint="eastAsia"/>
          <w:color w:val="auto"/>
          <w:szCs w:val="21"/>
          <w:lang w:val="en-US" w:eastAsia="zh-CN"/>
        </w:rPr>
        <w:t>9</w:t>
      </w:r>
      <w:r>
        <w:rPr>
          <w:rFonts w:hint="eastAsia"/>
          <w:color w:val="auto"/>
          <w:szCs w:val="21"/>
        </w:rPr>
        <w:t xml:space="preserve"> </w:t>
      </w:r>
      <w:r>
        <w:rPr>
          <w:rFonts w:hint="eastAsia"/>
          <w:color w:val="auto"/>
          <w:szCs w:val="21"/>
          <w:lang w:val="en-US" w:eastAsia="zh-CN"/>
        </w:rPr>
        <w:t xml:space="preserve"> </w:t>
      </w:r>
      <w:r>
        <w:rPr>
          <w:color w:val="auto"/>
          <w:szCs w:val="21"/>
        </w:rPr>
        <w:t>建设单位承诺函</w:t>
      </w:r>
    </w:p>
    <w:p w14:paraId="5B62C318">
      <w:pPr>
        <w:adjustRightInd w:val="0"/>
        <w:snapToGrid w:val="0"/>
        <w:spacing w:line="360" w:lineRule="auto"/>
        <w:rPr>
          <w:rFonts w:hint="eastAsia"/>
          <w:color w:val="auto"/>
          <w:szCs w:val="21"/>
        </w:rPr>
      </w:pPr>
      <w:r>
        <w:rPr>
          <w:color w:val="auto"/>
          <w:szCs w:val="21"/>
        </w:rPr>
        <w:t>附件</w:t>
      </w:r>
      <w:r>
        <w:rPr>
          <w:rFonts w:hint="eastAsia"/>
          <w:color w:val="auto"/>
          <w:szCs w:val="21"/>
        </w:rPr>
        <w:t>1</w:t>
      </w:r>
      <w:r>
        <w:rPr>
          <w:rFonts w:hint="eastAsia"/>
          <w:color w:val="auto"/>
          <w:szCs w:val="21"/>
          <w:lang w:val="en-US" w:eastAsia="zh-CN"/>
        </w:rPr>
        <w:t>0</w:t>
      </w:r>
      <w:r>
        <w:rPr>
          <w:color w:val="auto"/>
          <w:szCs w:val="21"/>
        </w:rPr>
        <w:t xml:space="preserve"> </w:t>
      </w:r>
      <w:r>
        <w:rPr>
          <w:rFonts w:hint="eastAsia"/>
          <w:color w:val="auto"/>
          <w:szCs w:val="21"/>
        </w:rPr>
        <w:t>危废</w:t>
      </w:r>
      <w:r>
        <w:rPr>
          <w:rFonts w:hint="eastAsia"/>
          <w:color w:val="auto"/>
          <w:szCs w:val="21"/>
          <w:lang w:val="en-US" w:eastAsia="zh-CN"/>
        </w:rPr>
        <w:t>处理</w:t>
      </w:r>
      <w:r>
        <w:rPr>
          <w:rFonts w:hint="eastAsia"/>
          <w:color w:val="auto"/>
          <w:szCs w:val="21"/>
        </w:rPr>
        <w:t>承诺书</w:t>
      </w:r>
    </w:p>
    <w:p w14:paraId="4BC606A6">
      <w:pPr>
        <w:adjustRightInd w:val="0"/>
        <w:snapToGrid w:val="0"/>
        <w:spacing w:line="360" w:lineRule="auto"/>
        <w:rPr>
          <w:color w:val="auto"/>
          <w:szCs w:val="21"/>
        </w:rPr>
      </w:pPr>
      <w:r>
        <w:rPr>
          <w:rFonts w:hint="eastAsia"/>
          <w:color w:val="auto"/>
          <w:szCs w:val="21"/>
        </w:rPr>
        <w:t>附件</w:t>
      </w:r>
      <w:r>
        <w:rPr>
          <w:rFonts w:hint="eastAsia"/>
          <w:color w:val="auto"/>
          <w:szCs w:val="21"/>
          <w:lang w:val="en-US" w:eastAsia="zh-CN"/>
        </w:rPr>
        <w:t>11</w:t>
      </w:r>
      <w:r>
        <w:rPr>
          <w:rFonts w:hint="eastAsia"/>
          <w:color w:val="auto"/>
          <w:szCs w:val="21"/>
        </w:rPr>
        <w:t xml:space="preserve"> 建设单位环评单位公示承诺</w:t>
      </w:r>
    </w:p>
    <w:p w14:paraId="6BC083D7">
      <w:pPr>
        <w:adjustRightInd w:val="0"/>
        <w:snapToGrid w:val="0"/>
        <w:spacing w:line="360" w:lineRule="auto"/>
        <w:rPr>
          <w:rFonts w:hint="eastAsia"/>
          <w:color w:val="auto"/>
          <w:szCs w:val="21"/>
        </w:rPr>
      </w:pPr>
      <w:r>
        <w:rPr>
          <w:rFonts w:hint="eastAsia"/>
          <w:color w:val="auto"/>
          <w:szCs w:val="21"/>
        </w:rPr>
        <w:t>附件1</w:t>
      </w:r>
      <w:r>
        <w:rPr>
          <w:rFonts w:hint="eastAsia"/>
          <w:color w:val="auto"/>
          <w:szCs w:val="21"/>
          <w:lang w:val="en-US" w:eastAsia="zh-CN"/>
        </w:rPr>
        <w:t>2</w:t>
      </w:r>
      <w:r>
        <w:rPr>
          <w:rFonts w:hint="eastAsia"/>
          <w:color w:val="auto"/>
          <w:szCs w:val="21"/>
        </w:rPr>
        <w:t xml:space="preserve"> 金坛区环评报批申请</w:t>
      </w:r>
    </w:p>
    <w:p w14:paraId="2CFCBF1B">
      <w:pPr>
        <w:adjustRightInd w:val="0"/>
        <w:snapToGrid w:val="0"/>
        <w:spacing w:line="360" w:lineRule="auto"/>
        <w:rPr>
          <w:color w:val="auto"/>
          <w:szCs w:val="21"/>
        </w:rPr>
      </w:pPr>
      <w:r>
        <w:rPr>
          <w:rFonts w:hint="eastAsia"/>
          <w:color w:val="auto"/>
          <w:szCs w:val="21"/>
        </w:rPr>
        <w:t>附件1</w:t>
      </w:r>
      <w:r>
        <w:rPr>
          <w:rFonts w:hint="eastAsia"/>
          <w:color w:val="auto"/>
          <w:szCs w:val="21"/>
          <w:lang w:val="en-US" w:eastAsia="zh-CN"/>
        </w:rPr>
        <w:t>3</w:t>
      </w:r>
      <w:r>
        <w:rPr>
          <w:rFonts w:hint="eastAsia"/>
          <w:color w:val="auto"/>
          <w:szCs w:val="21"/>
        </w:rPr>
        <w:t xml:space="preserve"> 关</w:t>
      </w:r>
      <w:r>
        <w:rPr>
          <w:rFonts w:hint="eastAsia" w:ascii="Times New Roman" w:hAnsi="Times New Roman" w:eastAsia="宋体" w:cs="Times New Roman"/>
          <w:color w:val="auto"/>
          <w:szCs w:val="21"/>
        </w:rPr>
        <w:t>于</w:t>
      </w:r>
      <w:r>
        <w:rPr>
          <w:rFonts w:hint="default" w:ascii="Times New Roman" w:hAnsi="Times New Roman" w:eastAsia="宋体" w:cs="Times New Roman"/>
          <w:color w:val="auto"/>
          <w:szCs w:val="21"/>
        </w:rPr>
        <w:t>江苏省</w:t>
      </w:r>
      <w:r>
        <w:rPr>
          <w:rFonts w:hint="eastAsia" w:cs="Times New Roman"/>
          <w:color w:val="auto"/>
          <w:szCs w:val="21"/>
          <w:lang w:eastAsia="zh-CN"/>
        </w:rPr>
        <w:t>金坛经济开发区</w:t>
      </w:r>
      <w:r>
        <w:rPr>
          <w:rFonts w:hint="default" w:ascii="Times New Roman" w:hAnsi="Times New Roman" w:eastAsia="宋体" w:cs="Times New Roman"/>
          <w:color w:val="auto"/>
          <w:szCs w:val="21"/>
        </w:rPr>
        <w:t>发展规划环境影响报告书</w:t>
      </w:r>
      <w:r>
        <w:rPr>
          <w:rFonts w:hint="default" w:ascii="Times New Roman" w:hAnsi="Times New Roman" w:eastAsia="宋体" w:cs="Times New Roman"/>
          <w:color w:val="auto"/>
          <w:szCs w:val="21"/>
        </w:rPr>
        <w:br w:type="textWrapping"/>
      </w:r>
      <w:r>
        <w:rPr>
          <w:rFonts w:hint="eastAsia" w:ascii="Times New Roman" w:hAnsi="Times New Roman" w:eastAsia="宋体" w:cs="Times New Roman"/>
          <w:color w:val="auto"/>
          <w:szCs w:val="21"/>
        </w:rPr>
        <w:t>的审查意见</w:t>
      </w:r>
    </w:p>
    <w:p w14:paraId="28E6D41B">
      <w:pPr>
        <w:adjustRightInd w:val="0"/>
        <w:snapToGrid w:val="0"/>
        <w:spacing w:line="360" w:lineRule="auto"/>
        <w:rPr>
          <w:color w:val="auto"/>
          <w:szCs w:val="21"/>
        </w:rPr>
      </w:pPr>
      <w:r>
        <w:rPr>
          <w:rFonts w:hint="eastAsia"/>
          <w:color w:val="auto"/>
          <w:szCs w:val="21"/>
        </w:rPr>
        <w:t>附件</w:t>
      </w:r>
      <w:r>
        <w:rPr>
          <w:rFonts w:hint="eastAsia"/>
          <w:color w:val="auto"/>
          <w:szCs w:val="21"/>
          <w:lang w:val="en-US" w:eastAsia="zh-CN"/>
        </w:rPr>
        <w:t>14</w:t>
      </w:r>
      <w:r>
        <w:rPr>
          <w:rFonts w:hint="eastAsia"/>
          <w:color w:val="auto"/>
          <w:szCs w:val="21"/>
        </w:rPr>
        <w:t xml:space="preserve"> </w:t>
      </w:r>
      <w:r>
        <w:rPr>
          <w:rFonts w:hint="eastAsia"/>
          <w:color w:val="auto"/>
          <w:szCs w:val="21"/>
          <w:lang w:val="en-US" w:eastAsia="zh-CN"/>
        </w:rPr>
        <w:t>公司</w:t>
      </w:r>
      <w:r>
        <w:rPr>
          <w:rFonts w:hint="eastAsia"/>
          <w:color w:val="auto"/>
          <w:szCs w:val="21"/>
        </w:rPr>
        <w:t>生态环境分区管控综合查询报告书</w:t>
      </w:r>
    </w:p>
    <w:p w14:paraId="5BA2F73A">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sz w:val="21"/>
          <w:szCs w:val="21"/>
          <w:highlight w:val="none"/>
        </w:rPr>
      </w:pPr>
    </w:p>
    <w:p w14:paraId="69FE9361">
      <w:pPr>
        <w:pStyle w:val="14"/>
        <w:rPr>
          <w:rFonts w:hint="default" w:ascii="Times New Roman" w:hAnsi="Times New Roman" w:eastAsia="宋体" w:cs="Times New Roman"/>
          <w:color w:val="auto"/>
          <w:sz w:val="21"/>
          <w:szCs w:val="21"/>
          <w:highlight w:val="none"/>
        </w:rPr>
        <w:sectPr>
          <w:footerReference r:id="rId4" w:type="default"/>
          <w:pgSz w:w="11906" w:h="16838"/>
          <w:pgMar w:top="1440" w:right="1800" w:bottom="1440" w:left="1800" w:header="851" w:footer="1077" w:gutter="0"/>
          <w:pgBorders>
            <w:top w:val="none" w:sz="0" w:space="0"/>
            <w:left w:val="none" w:sz="0" w:space="0"/>
            <w:bottom w:val="none" w:sz="0" w:space="0"/>
            <w:right w:val="none" w:sz="0" w:space="0"/>
          </w:pgBorders>
          <w:pgNumType w:start="1"/>
          <w:cols w:space="720" w:num="1"/>
          <w:docGrid w:linePitch="312" w:charSpace="0"/>
        </w:sectPr>
      </w:pPr>
    </w:p>
    <w:p w14:paraId="2C994EEA">
      <w:pPr>
        <w:pStyle w:val="25"/>
        <w:keepNext w:val="0"/>
        <w:keepLines w:val="0"/>
        <w:pageBreakBefore/>
        <w:widowControl/>
        <w:kinsoku/>
        <w:wordWrap/>
        <w:overflowPunct/>
        <w:topLinePunct w:val="0"/>
        <w:autoSpaceDE/>
        <w:autoSpaceDN/>
        <w:bidi w:val="0"/>
        <w:adjustRightInd/>
        <w:snapToGrid/>
        <w:spacing w:before="0" w:beforeAutospacing="0" w:after="0" w:afterAutospacing="0"/>
        <w:contextualSpacing/>
        <w:jc w:val="center"/>
        <w:textAlignment w:val="auto"/>
        <w:outlineLvl w:val="0"/>
        <w:rPr>
          <w:rFonts w:hint="default" w:ascii="Times New Roman" w:hAnsi="Times New Roman" w:eastAsia="黑体" w:cs="Times New Roman"/>
          <w:snapToGrid w:val="0"/>
          <w:color w:val="auto"/>
          <w:sz w:val="30"/>
          <w:szCs w:val="30"/>
        </w:rPr>
      </w:pPr>
      <w:bookmarkStart w:id="1" w:name="_Toc7853"/>
      <w:r>
        <w:rPr>
          <w:rFonts w:hint="default" w:ascii="Times New Roman" w:hAnsi="Times New Roman" w:eastAsia="黑体" w:cs="Times New Roman"/>
          <w:snapToGrid w:val="0"/>
          <w:color w:val="auto"/>
          <w:sz w:val="30"/>
          <w:szCs w:val="30"/>
        </w:rPr>
        <w:t>一、建设项目基本情况</w:t>
      </w:r>
      <w:bookmarkEnd w:id="0"/>
      <w:bookmarkEnd w:id="1"/>
    </w:p>
    <w:tbl>
      <w:tblPr>
        <w:tblStyle w:val="31"/>
        <w:tblW w:w="89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25"/>
        <w:gridCol w:w="943"/>
        <w:gridCol w:w="2023"/>
        <w:gridCol w:w="2045"/>
        <w:gridCol w:w="3557"/>
      </w:tblGrid>
      <w:tr w14:paraId="75EF9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08CFF32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建设项目名称</w:t>
            </w:r>
          </w:p>
        </w:tc>
        <w:tc>
          <w:tcPr>
            <w:tcW w:w="7170" w:type="dxa"/>
            <w:gridSpan w:val="3"/>
            <w:vAlign w:val="center"/>
          </w:tcPr>
          <w:p w14:paraId="19D260D1">
            <w:pPr>
              <w:adjustRightInd w:val="0"/>
              <w:snapToGrid w:val="0"/>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太阳能组件封装胶膜技改项目</w:t>
            </w:r>
          </w:p>
        </w:tc>
      </w:tr>
      <w:tr w14:paraId="3F245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58834B8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项目代码</w:t>
            </w:r>
          </w:p>
        </w:tc>
        <w:tc>
          <w:tcPr>
            <w:tcW w:w="7170" w:type="dxa"/>
            <w:gridSpan w:val="3"/>
            <w:vAlign w:val="center"/>
          </w:tcPr>
          <w:p w14:paraId="22FBB4A1">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2</w:t>
            </w:r>
            <w:r>
              <w:rPr>
                <w:rFonts w:hint="eastAsia" w:cs="Times New Roman"/>
                <w:color w:val="auto"/>
                <w:sz w:val="21"/>
                <w:szCs w:val="21"/>
                <w:lang w:val="en-US" w:eastAsia="zh-CN"/>
              </w:rPr>
              <w:t>501</w:t>
            </w:r>
            <w:r>
              <w:rPr>
                <w:rFonts w:hint="eastAsia" w:cs="Times New Roman"/>
                <w:color w:val="auto"/>
                <w:sz w:val="21"/>
                <w:szCs w:val="21"/>
                <w:lang w:eastAsia="zh-CN"/>
              </w:rPr>
              <w:t>-3204</w:t>
            </w:r>
            <w:r>
              <w:rPr>
                <w:rFonts w:hint="eastAsia" w:cs="Times New Roman"/>
                <w:color w:val="auto"/>
                <w:sz w:val="21"/>
                <w:szCs w:val="21"/>
                <w:lang w:val="en-US" w:eastAsia="zh-CN"/>
              </w:rPr>
              <w:t>58</w:t>
            </w:r>
            <w:r>
              <w:rPr>
                <w:rFonts w:hint="eastAsia" w:cs="Times New Roman"/>
                <w:color w:val="auto"/>
                <w:sz w:val="21"/>
                <w:szCs w:val="21"/>
                <w:lang w:eastAsia="zh-CN"/>
              </w:rPr>
              <w:t>-</w:t>
            </w:r>
            <w:r>
              <w:rPr>
                <w:rFonts w:hint="eastAsia" w:cs="Times New Roman"/>
                <w:color w:val="auto"/>
                <w:sz w:val="21"/>
                <w:szCs w:val="21"/>
                <w:lang w:val="en-US" w:eastAsia="zh-CN"/>
              </w:rPr>
              <w:t>89</w:t>
            </w:r>
            <w:r>
              <w:rPr>
                <w:rFonts w:hint="eastAsia" w:cs="Times New Roman"/>
                <w:color w:val="auto"/>
                <w:sz w:val="21"/>
                <w:szCs w:val="21"/>
                <w:lang w:eastAsia="zh-CN"/>
              </w:rPr>
              <w:t>-</w:t>
            </w:r>
            <w:r>
              <w:rPr>
                <w:rFonts w:hint="eastAsia" w:cs="Times New Roman"/>
                <w:color w:val="auto"/>
                <w:sz w:val="21"/>
                <w:szCs w:val="21"/>
                <w:lang w:val="en-US" w:eastAsia="zh-CN"/>
              </w:rPr>
              <w:t>02</w:t>
            </w:r>
            <w:r>
              <w:rPr>
                <w:rFonts w:hint="eastAsia" w:cs="Times New Roman"/>
                <w:color w:val="auto"/>
                <w:sz w:val="21"/>
                <w:szCs w:val="21"/>
                <w:lang w:eastAsia="zh-CN"/>
              </w:rPr>
              <w:t>-</w:t>
            </w:r>
            <w:r>
              <w:rPr>
                <w:rFonts w:hint="eastAsia" w:cs="Times New Roman"/>
                <w:color w:val="auto"/>
                <w:sz w:val="21"/>
                <w:szCs w:val="21"/>
                <w:lang w:val="en-US" w:eastAsia="zh-CN"/>
              </w:rPr>
              <w:t>478169</w:t>
            </w:r>
          </w:p>
        </w:tc>
      </w:tr>
      <w:tr w14:paraId="48142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588FEDF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建设单位联系人</w:t>
            </w:r>
          </w:p>
        </w:tc>
        <w:tc>
          <w:tcPr>
            <w:tcW w:w="1913" w:type="dxa"/>
            <w:vAlign w:val="center"/>
          </w:tcPr>
          <w:p w14:paraId="42EF07CA">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宋</w:t>
            </w:r>
            <w:r>
              <w:rPr>
                <w:rFonts w:hint="eastAsia" w:cs="Times New Roman"/>
                <w:color w:val="auto"/>
                <w:sz w:val="21"/>
                <w:szCs w:val="21"/>
                <w:lang w:val="en-US" w:eastAsia="zh-CN"/>
              </w:rPr>
              <w:t>**</w:t>
            </w:r>
          </w:p>
        </w:tc>
        <w:tc>
          <w:tcPr>
            <w:tcW w:w="1932" w:type="dxa"/>
            <w:vAlign w:val="center"/>
          </w:tcPr>
          <w:p w14:paraId="5CDA0FF5">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联系方式</w:t>
            </w:r>
          </w:p>
        </w:tc>
        <w:tc>
          <w:tcPr>
            <w:tcW w:w="3325" w:type="dxa"/>
            <w:vAlign w:val="center"/>
          </w:tcPr>
          <w:p w14:paraId="2879F8F3">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139</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9000</w:t>
            </w:r>
          </w:p>
        </w:tc>
      </w:tr>
      <w:tr w14:paraId="01849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702767C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建设地点</w:t>
            </w:r>
          </w:p>
        </w:tc>
        <w:tc>
          <w:tcPr>
            <w:tcW w:w="7170" w:type="dxa"/>
            <w:gridSpan w:val="3"/>
            <w:vAlign w:val="center"/>
          </w:tcPr>
          <w:p w14:paraId="5F50EBC1">
            <w:pPr>
              <w:adjustRightInd w:val="0"/>
              <w:snapToGrid w:val="0"/>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常州市金坛经济开发区南二环东路2229号</w:t>
            </w:r>
          </w:p>
        </w:tc>
      </w:tr>
      <w:tr w14:paraId="32E57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0D3F2958">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地理坐标</w:t>
            </w:r>
          </w:p>
        </w:tc>
        <w:tc>
          <w:tcPr>
            <w:tcW w:w="7170" w:type="dxa"/>
            <w:gridSpan w:val="3"/>
            <w:vAlign w:val="center"/>
          </w:tcPr>
          <w:p w14:paraId="5B5B7DA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w:t>
            </w:r>
            <w:r>
              <w:rPr>
                <w:color w:val="auto"/>
                <w:sz w:val="21"/>
                <w:szCs w:val="21"/>
                <w:u w:val="single"/>
              </w:rPr>
              <w:t>119</w:t>
            </w:r>
            <w:r>
              <w:rPr>
                <w:color w:val="auto"/>
                <w:sz w:val="21"/>
                <w:szCs w:val="21"/>
              </w:rPr>
              <w:t>度</w:t>
            </w:r>
            <w:r>
              <w:rPr>
                <w:rFonts w:hint="eastAsia"/>
                <w:color w:val="auto"/>
                <w:sz w:val="21"/>
                <w:szCs w:val="21"/>
                <w:u w:val="single"/>
              </w:rPr>
              <w:t>38</w:t>
            </w:r>
            <w:r>
              <w:rPr>
                <w:color w:val="auto"/>
                <w:sz w:val="21"/>
                <w:szCs w:val="21"/>
              </w:rPr>
              <w:t>分</w:t>
            </w:r>
            <w:r>
              <w:rPr>
                <w:rFonts w:hint="eastAsia"/>
                <w:color w:val="auto"/>
                <w:sz w:val="21"/>
                <w:szCs w:val="21"/>
                <w:u w:val="single"/>
              </w:rPr>
              <w:t>34.653</w:t>
            </w:r>
            <w:r>
              <w:rPr>
                <w:color w:val="auto"/>
                <w:sz w:val="21"/>
                <w:szCs w:val="21"/>
              </w:rPr>
              <w:t>秒，</w:t>
            </w:r>
            <w:r>
              <w:rPr>
                <w:color w:val="auto"/>
                <w:sz w:val="21"/>
                <w:szCs w:val="21"/>
                <w:u w:val="single"/>
              </w:rPr>
              <w:t xml:space="preserve"> 31</w:t>
            </w:r>
            <w:r>
              <w:rPr>
                <w:color w:val="auto"/>
                <w:sz w:val="21"/>
                <w:szCs w:val="21"/>
              </w:rPr>
              <w:t>度</w:t>
            </w:r>
            <w:r>
              <w:rPr>
                <w:color w:val="auto"/>
                <w:sz w:val="21"/>
                <w:szCs w:val="21"/>
                <w:u w:val="single"/>
              </w:rPr>
              <w:t>4</w:t>
            </w:r>
            <w:r>
              <w:rPr>
                <w:rFonts w:hint="eastAsia"/>
                <w:color w:val="auto"/>
                <w:sz w:val="21"/>
                <w:szCs w:val="21"/>
                <w:u w:val="single"/>
              </w:rPr>
              <w:t>3</w:t>
            </w:r>
            <w:r>
              <w:rPr>
                <w:color w:val="auto"/>
                <w:sz w:val="21"/>
                <w:szCs w:val="21"/>
              </w:rPr>
              <w:t>分</w:t>
            </w:r>
            <w:r>
              <w:rPr>
                <w:rFonts w:hint="eastAsia"/>
                <w:color w:val="auto"/>
                <w:sz w:val="21"/>
                <w:szCs w:val="21"/>
                <w:u w:val="single"/>
              </w:rPr>
              <w:t>55.221</w:t>
            </w:r>
            <w:r>
              <w:rPr>
                <w:color w:val="auto"/>
                <w:sz w:val="21"/>
                <w:szCs w:val="21"/>
              </w:rPr>
              <w:t>秒</w:t>
            </w:r>
            <w:r>
              <w:rPr>
                <w:rFonts w:hint="default" w:ascii="Times New Roman" w:hAnsi="Times New Roman" w:eastAsia="宋体" w:cs="Times New Roman"/>
                <w:color w:val="auto"/>
                <w:sz w:val="21"/>
                <w:szCs w:val="21"/>
                <w:highlight w:val="none"/>
              </w:rPr>
              <w:t>）</w:t>
            </w:r>
          </w:p>
        </w:tc>
      </w:tr>
      <w:tr w14:paraId="0715A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34" w:type="dxa"/>
            <w:gridSpan w:val="2"/>
            <w:tcMar>
              <w:top w:w="16" w:type="dxa"/>
              <w:left w:w="16" w:type="dxa"/>
              <w:right w:w="16" w:type="dxa"/>
            </w:tcMar>
            <w:vAlign w:val="center"/>
          </w:tcPr>
          <w:p w14:paraId="03297A7D">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国民经济</w:t>
            </w:r>
          </w:p>
          <w:p w14:paraId="772FF35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行业类别</w:t>
            </w:r>
          </w:p>
        </w:tc>
        <w:tc>
          <w:tcPr>
            <w:tcW w:w="1913" w:type="dxa"/>
            <w:vAlign w:val="center"/>
          </w:tcPr>
          <w:p w14:paraId="3E1DA1E2">
            <w:pPr>
              <w:pStyle w:val="8"/>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C2921塑料薄膜制造</w:t>
            </w:r>
          </w:p>
        </w:tc>
        <w:tc>
          <w:tcPr>
            <w:tcW w:w="1932" w:type="dxa"/>
            <w:vAlign w:val="center"/>
          </w:tcPr>
          <w:p w14:paraId="6E05A24B">
            <w:pPr>
              <w:jc w:val="center"/>
              <w:rPr>
                <w:rFonts w:hint="default" w:ascii="Times New Roman" w:hAnsi="Times New Roman" w:eastAsia="宋体" w:cs="Times New Roman"/>
                <w:color w:val="auto"/>
                <w:kern w:val="2"/>
                <w:sz w:val="21"/>
                <w:szCs w:val="21"/>
                <w:lang w:val="en-US" w:eastAsia="zh-CN" w:bidi="ar-SA"/>
              </w:rPr>
            </w:pPr>
            <w:bookmarkStart w:id="2" w:name="_Hlk49843745"/>
            <w:r>
              <w:rPr>
                <w:rFonts w:hint="default" w:ascii="Times New Roman" w:hAnsi="Times New Roman" w:eastAsia="宋体" w:cs="Times New Roman"/>
                <w:color w:val="auto"/>
                <w:kern w:val="2"/>
                <w:sz w:val="21"/>
                <w:szCs w:val="21"/>
                <w:lang w:val="en-US" w:eastAsia="zh-CN" w:bidi="ar-SA"/>
              </w:rPr>
              <w:t>建设项目</w:t>
            </w:r>
          </w:p>
          <w:p w14:paraId="2F439133">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行业类别</w:t>
            </w:r>
            <w:bookmarkEnd w:id="2"/>
          </w:p>
        </w:tc>
        <w:tc>
          <w:tcPr>
            <w:tcW w:w="3325" w:type="dxa"/>
            <w:vAlign w:val="center"/>
          </w:tcPr>
          <w:p w14:paraId="4070056B">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二十六、橡胶和塑料制品业-53塑料制品业292</w:t>
            </w:r>
          </w:p>
        </w:tc>
      </w:tr>
      <w:tr w14:paraId="1190E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34" w:type="dxa"/>
            <w:gridSpan w:val="2"/>
            <w:tcMar>
              <w:top w:w="16" w:type="dxa"/>
              <w:left w:w="16" w:type="dxa"/>
              <w:right w:w="16" w:type="dxa"/>
            </w:tcMar>
            <w:vAlign w:val="center"/>
          </w:tcPr>
          <w:p w14:paraId="68354E8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建设性质</w:t>
            </w:r>
          </w:p>
        </w:tc>
        <w:tc>
          <w:tcPr>
            <w:tcW w:w="1913" w:type="dxa"/>
            <w:vAlign w:val="center"/>
          </w:tcPr>
          <w:p w14:paraId="7ED6CD8F">
            <w:pPr>
              <w:jc w:val="lef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新建</w:t>
            </w:r>
            <w:r>
              <w:rPr>
                <w:rFonts w:hint="eastAsia" w:cs="Times New Roman"/>
                <w:color w:val="auto"/>
                <w:sz w:val="21"/>
                <w:szCs w:val="21"/>
                <w:lang w:eastAsia="zh-CN"/>
              </w:rPr>
              <w:t>（</w:t>
            </w:r>
            <w:r>
              <w:rPr>
                <w:rFonts w:hint="eastAsia" w:cs="Times New Roman"/>
                <w:color w:val="auto"/>
                <w:sz w:val="21"/>
                <w:szCs w:val="21"/>
                <w:lang w:val="en-US" w:eastAsia="zh-CN"/>
              </w:rPr>
              <w:t>迁建</w:t>
            </w:r>
            <w:r>
              <w:rPr>
                <w:rFonts w:hint="eastAsia" w:cs="Times New Roman"/>
                <w:color w:val="auto"/>
                <w:sz w:val="21"/>
                <w:szCs w:val="21"/>
                <w:lang w:eastAsia="zh-CN"/>
              </w:rPr>
              <w:t>）</w:t>
            </w:r>
          </w:p>
          <w:p w14:paraId="51134518">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改建</w:t>
            </w:r>
          </w:p>
          <w:p w14:paraId="692C84BB">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扩建</w:t>
            </w:r>
          </w:p>
          <w:p w14:paraId="40BD3F92">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sz w:val="21"/>
                <w:szCs w:val="21"/>
              </w:rPr>
              <w:t>技术改造</w:t>
            </w:r>
          </w:p>
        </w:tc>
        <w:tc>
          <w:tcPr>
            <w:tcW w:w="1932" w:type="dxa"/>
            <w:vAlign w:val="center"/>
          </w:tcPr>
          <w:p w14:paraId="4A214C4D">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w:t>
            </w:r>
          </w:p>
          <w:p w14:paraId="190CA62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申报情形</w:t>
            </w:r>
          </w:p>
        </w:tc>
        <w:tc>
          <w:tcPr>
            <w:tcW w:w="3325" w:type="dxa"/>
            <w:vAlign w:val="center"/>
          </w:tcPr>
          <w:p w14:paraId="316C1BDA">
            <w:pPr>
              <w:jc w:val="left"/>
              <w:rPr>
                <w:rFonts w:hint="default" w:ascii="Times New Roman" w:hAnsi="Times New Roman" w:eastAsia="宋体" w:cs="Times New Roman"/>
                <w:color w:val="auto"/>
                <w:sz w:val="21"/>
                <w:szCs w:val="21"/>
              </w:rPr>
            </w:pPr>
            <w:r>
              <w:rPr>
                <w:rFonts w:hint="default" w:ascii="Arial" w:hAnsi="Arial" w:eastAsia="宋体" w:cs="Arial"/>
                <w:color w:val="auto"/>
                <w:sz w:val="21"/>
                <w:szCs w:val="21"/>
              </w:rPr>
              <w:t>√</w:t>
            </w:r>
            <w:r>
              <w:rPr>
                <w:rFonts w:hint="default" w:ascii="Times New Roman" w:hAnsi="Times New Roman" w:eastAsia="宋体" w:cs="Times New Roman"/>
                <w:color w:val="auto"/>
                <w:sz w:val="21"/>
                <w:szCs w:val="21"/>
              </w:rPr>
              <w:t>首次申报项目</w:t>
            </w:r>
          </w:p>
          <w:p w14:paraId="75A5C3AC">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不予批准后再次申报项目</w:t>
            </w:r>
          </w:p>
          <w:p w14:paraId="7D667DB8">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超五年重新审核项目</w:t>
            </w:r>
          </w:p>
          <w:p w14:paraId="66941BCD">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重大变动重新报批项目</w:t>
            </w:r>
          </w:p>
        </w:tc>
      </w:tr>
      <w:tr w14:paraId="40713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34" w:type="dxa"/>
            <w:gridSpan w:val="2"/>
            <w:tcMar>
              <w:top w:w="16" w:type="dxa"/>
              <w:left w:w="16" w:type="dxa"/>
              <w:right w:w="16" w:type="dxa"/>
            </w:tcMar>
            <w:vAlign w:val="center"/>
          </w:tcPr>
          <w:p w14:paraId="57F7B12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项目审批部门</w:t>
            </w:r>
          </w:p>
        </w:tc>
        <w:tc>
          <w:tcPr>
            <w:tcW w:w="1913" w:type="dxa"/>
            <w:vAlign w:val="center"/>
          </w:tcPr>
          <w:p w14:paraId="13D4A2AD">
            <w:pPr>
              <w:adjustRightInd w:val="0"/>
              <w:snapToGrid w:val="0"/>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val="en-US" w:eastAsia="zh-CN"/>
              </w:rPr>
              <w:t>江苏</w:t>
            </w:r>
            <w:r>
              <w:rPr>
                <w:rFonts w:hint="eastAsia" w:cs="Times New Roman"/>
                <w:color w:val="auto"/>
                <w:sz w:val="21"/>
                <w:szCs w:val="21"/>
                <w:lang w:eastAsia="zh-CN"/>
              </w:rPr>
              <w:t>金坛经济开发区经济发展局</w:t>
            </w:r>
          </w:p>
        </w:tc>
        <w:tc>
          <w:tcPr>
            <w:tcW w:w="1932" w:type="dxa"/>
            <w:vAlign w:val="center"/>
          </w:tcPr>
          <w:p w14:paraId="1CC95F8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项目审批文号</w:t>
            </w:r>
          </w:p>
        </w:tc>
        <w:tc>
          <w:tcPr>
            <w:tcW w:w="3325" w:type="dxa"/>
            <w:vAlign w:val="center"/>
          </w:tcPr>
          <w:p w14:paraId="754AFEEA">
            <w:pPr>
              <w:adjustRightInd w:val="0"/>
              <w:snapToGrid w:val="0"/>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坛</w:t>
            </w:r>
            <w:r>
              <w:rPr>
                <w:rFonts w:hint="eastAsia" w:cs="Times New Roman"/>
                <w:color w:val="auto"/>
                <w:sz w:val="21"/>
                <w:szCs w:val="21"/>
                <w:lang w:val="en-US" w:eastAsia="zh-CN"/>
              </w:rPr>
              <w:t>开经</w:t>
            </w:r>
            <w:r>
              <w:rPr>
                <w:rFonts w:hint="eastAsia" w:cs="Times New Roman"/>
                <w:color w:val="auto"/>
                <w:sz w:val="21"/>
                <w:szCs w:val="21"/>
                <w:lang w:eastAsia="zh-CN"/>
              </w:rPr>
              <w:t>发备</w:t>
            </w:r>
            <w:r>
              <w:rPr>
                <w:rFonts w:hint="eastAsia" w:cs="Times New Roman"/>
                <w:color w:val="auto"/>
                <w:sz w:val="21"/>
                <w:szCs w:val="21"/>
                <w:lang w:val="en-US" w:eastAsia="zh-CN"/>
              </w:rPr>
              <w:t>字</w:t>
            </w:r>
            <w:r>
              <w:rPr>
                <w:rFonts w:hint="eastAsia" w:cs="Times New Roman"/>
                <w:color w:val="auto"/>
                <w:sz w:val="21"/>
                <w:szCs w:val="21"/>
                <w:lang w:eastAsia="zh-CN"/>
              </w:rPr>
              <w:t>〔202</w:t>
            </w:r>
            <w:r>
              <w:rPr>
                <w:rFonts w:hint="eastAsia" w:cs="Times New Roman"/>
                <w:color w:val="auto"/>
                <w:sz w:val="21"/>
                <w:szCs w:val="21"/>
                <w:lang w:val="en-US" w:eastAsia="zh-CN"/>
              </w:rPr>
              <w:t>5</w:t>
            </w:r>
            <w:r>
              <w:rPr>
                <w:rFonts w:hint="eastAsia" w:cs="Times New Roman"/>
                <w:color w:val="auto"/>
                <w:sz w:val="21"/>
                <w:szCs w:val="21"/>
                <w:lang w:eastAsia="zh-CN"/>
              </w:rPr>
              <w:t>〕</w:t>
            </w:r>
            <w:r>
              <w:rPr>
                <w:rFonts w:hint="eastAsia" w:cs="Times New Roman"/>
                <w:color w:val="auto"/>
                <w:sz w:val="21"/>
                <w:szCs w:val="21"/>
                <w:lang w:val="en-US" w:eastAsia="zh-CN"/>
              </w:rPr>
              <w:t>5</w:t>
            </w:r>
            <w:r>
              <w:rPr>
                <w:rFonts w:hint="eastAsia" w:cs="Times New Roman"/>
                <w:color w:val="auto"/>
                <w:sz w:val="21"/>
                <w:szCs w:val="21"/>
                <w:lang w:eastAsia="zh-CN"/>
              </w:rPr>
              <w:t>号</w:t>
            </w:r>
          </w:p>
        </w:tc>
      </w:tr>
      <w:tr w14:paraId="57786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069744E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总投资（万元）</w:t>
            </w:r>
          </w:p>
        </w:tc>
        <w:tc>
          <w:tcPr>
            <w:tcW w:w="1913" w:type="dxa"/>
            <w:vAlign w:val="center"/>
          </w:tcPr>
          <w:p w14:paraId="74A87DF8">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2000</w:t>
            </w:r>
          </w:p>
        </w:tc>
        <w:tc>
          <w:tcPr>
            <w:tcW w:w="1932" w:type="dxa"/>
            <w:tcMar>
              <w:top w:w="16" w:type="dxa"/>
              <w:left w:w="16" w:type="dxa"/>
              <w:right w:w="16" w:type="dxa"/>
            </w:tcMar>
            <w:vAlign w:val="center"/>
          </w:tcPr>
          <w:p w14:paraId="2D27B43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环保投资（万元）</w:t>
            </w:r>
          </w:p>
        </w:tc>
        <w:tc>
          <w:tcPr>
            <w:tcW w:w="3325" w:type="dxa"/>
            <w:vAlign w:val="center"/>
          </w:tcPr>
          <w:p w14:paraId="71D570F8">
            <w:pPr>
              <w:adjustRightInd w:val="0"/>
              <w:snapToGrid w:val="0"/>
              <w:jc w:val="center"/>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20</w:t>
            </w:r>
          </w:p>
        </w:tc>
      </w:tr>
      <w:tr w14:paraId="6CB16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72A1038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环保投资占比（%）</w:t>
            </w:r>
          </w:p>
        </w:tc>
        <w:tc>
          <w:tcPr>
            <w:tcW w:w="1913" w:type="dxa"/>
            <w:vAlign w:val="center"/>
          </w:tcPr>
          <w:p w14:paraId="7DF5DDEC">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w:t>
            </w:r>
          </w:p>
        </w:tc>
        <w:tc>
          <w:tcPr>
            <w:tcW w:w="1932" w:type="dxa"/>
            <w:tcMar>
              <w:top w:w="16" w:type="dxa"/>
              <w:left w:w="16" w:type="dxa"/>
              <w:right w:w="16" w:type="dxa"/>
            </w:tcMar>
            <w:vAlign w:val="center"/>
          </w:tcPr>
          <w:p w14:paraId="0D2118B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施工工期</w:t>
            </w:r>
          </w:p>
        </w:tc>
        <w:tc>
          <w:tcPr>
            <w:tcW w:w="3325" w:type="dxa"/>
            <w:vAlign w:val="center"/>
          </w:tcPr>
          <w:p w14:paraId="06A4F1ED">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个月</w:t>
            </w:r>
          </w:p>
        </w:tc>
      </w:tr>
      <w:tr w14:paraId="526C3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3DCE4DDD">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是否开工建设</w:t>
            </w:r>
          </w:p>
        </w:tc>
        <w:tc>
          <w:tcPr>
            <w:tcW w:w="1913" w:type="dxa"/>
            <w:vAlign w:val="center"/>
          </w:tcPr>
          <w:p w14:paraId="6043B63A">
            <w:pPr>
              <w:adjustRightInd w:val="0"/>
              <w:snapToGrid w:val="0"/>
              <w:rPr>
                <w:rFonts w:hint="default" w:ascii="Times New Roman" w:hAnsi="Times New Roman" w:eastAsia="宋体" w:cs="Times New Roman"/>
                <w:color w:val="auto"/>
                <w:sz w:val="21"/>
                <w:szCs w:val="21"/>
              </w:rPr>
            </w:pPr>
            <w:r>
              <w:rPr>
                <w:rFonts w:hint="default" w:ascii="Arial" w:hAnsi="Arial" w:eastAsia="宋体" w:cs="Arial"/>
                <w:color w:val="auto"/>
                <w:sz w:val="21"/>
                <w:szCs w:val="21"/>
              </w:rPr>
              <w:t>√</w:t>
            </w:r>
            <w:r>
              <w:rPr>
                <w:rFonts w:hint="default" w:ascii="Times New Roman" w:hAnsi="Times New Roman" w:eastAsia="宋体" w:cs="Times New Roman"/>
                <w:color w:val="auto"/>
                <w:sz w:val="21"/>
                <w:szCs w:val="21"/>
              </w:rPr>
              <w:t>否</w:t>
            </w:r>
          </w:p>
          <w:p w14:paraId="7B3AB251">
            <w:pPr>
              <w:adjustRightInd w:val="0"/>
              <w:snapToGrid w:val="0"/>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是：</w:t>
            </w:r>
          </w:p>
        </w:tc>
        <w:tc>
          <w:tcPr>
            <w:tcW w:w="1932" w:type="dxa"/>
            <w:tcMar>
              <w:top w:w="16" w:type="dxa"/>
              <w:left w:w="16" w:type="dxa"/>
              <w:right w:w="16" w:type="dxa"/>
            </w:tcMar>
            <w:vAlign w:val="center"/>
          </w:tcPr>
          <w:p w14:paraId="0C09A1DE">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用地面积（m</w:t>
            </w:r>
            <w:r>
              <w:rPr>
                <w:rFonts w:hint="default" w:ascii="Times New Roman" w:hAnsi="Times New Roman" w:eastAsia="宋体" w:cs="Times New Roman"/>
                <w:color w:val="auto"/>
                <w:spacing w:val="-6"/>
                <w:sz w:val="21"/>
                <w:szCs w:val="21"/>
                <w:vertAlign w:val="superscript"/>
              </w:rPr>
              <w:t>2</w:t>
            </w:r>
            <w:r>
              <w:rPr>
                <w:rFonts w:hint="default" w:ascii="Times New Roman" w:hAnsi="Times New Roman" w:eastAsia="宋体" w:cs="Times New Roman"/>
                <w:color w:val="auto"/>
                <w:spacing w:val="-6"/>
                <w:sz w:val="21"/>
                <w:szCs w:val="21"/>
              </w:rPr>
              <w:t>）</w:t>
            </w:r>
          </w:p>
        </w:tc>
        <w:tc>
          <w:tcPr>
            <w:tcW w:w="3325" w:type="dxa"/>
            <w:vAlign w:val="center"/>
          </w:tcPr>
          <w:p w14:paraId="46EC4C13">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依托现有</w:t>
            </w:r>
          </w:p>
        </w:tc>
      </w:tr>
      <w:tr w14:paraId="4EFFD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1734" w:type="dxa"/>
            <w:gridSpan w:val="2"/>
            <w:vAlign w:val="center"/>
          </w:tcPr>
          <w:p w14:paraId="66E051C0">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专项评价设置情况</w:t>
            </w:r>
          </w:p>
        </w:tc>
        <w:tc>
          <w:tcPr>
            <w:tcW w:w="7170" w:type="dxa"/>
            <w:gridSpan w:val="3"/>
            <w:vAlign w:val="center"/>
          </w:tcPr>
          <w:tbl>
            <w:tblPr>
              <w:tblStyle w:val="31"/>
              <w:tblW w:w="5000" w:type="pct"/>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41"/>
              <w:gridCol w:w="3094"/>
              <w:gridCol w:w="2799"/>
              <w:gridCol w:w="775"/>
            </w:tblGrid>
            <w:tr w14:paraId="11A94EC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 w:type="pct"/>
                  <w:noWrap w:val="0"/>
                  <w:vAlign w:val="center"/>
                </w:tcPr>
                <w:p w14:paraId="4078AD35">
                  <w:pPr>
                    <w:autoSpaceDE w:val="0"/>
                    <w:autoSpaceDN w:val="0"/>
                    <w:adjustRightInd w:val="0"/>
                    <w:snapToGrid w:val="0"/>
                    <w:jc w:val="center"/>
                    <w:rPr>
                      <w:rFonts w:hint="default" w:ascii="Times New Roman" w:hAnsi="Times New Roman" w:eastAsia="宋体" w:cs="Times New Roman"/>
                      <w:b w:val="0"/>
                      <w:bCs/>
                      <w:color w:val="auto"/>
                      <w:sz w:val="21"/>
                      <w:szCs w:val="21"/>
                    </w:rPr>
                  </w:pPr>
                  <w:r>
                    <w:rPr>
                      <w:b/>
                      <w:bCs/>
                      <w:color w:val="auto"/>
                      <w:kern w:val="21"/>
                      <w:sz w:val="21"/>
                      <w:szCs w:val="21"/>
                      <w:highlight w:val="none"/>
                    </w:rPr>
                    <w:t>专项评价类别</w:t>
                  </w:r>
                </w:p>
              </w:tc>
              <w:tc>
                <w:tcPr>
                  <w:tcW w:w="2088" w:type="pct"/>
                  <w:noWrap w:val="0"/>
                  <w:vAlign w:val="center"/>
                </w:tcPr>
                <w:p w14:paraId="3CBAC89F">
                  <w:pPr>
                    <w:autoSpaceDE w:val="0"/>
                    <w:autoSpaceDN w:val="0"/>
                    <w:adjustRightInd w:val="0"/>
                    <w:snapToGrid w:val="0"/>
                    <w:jc w:val="center"/>
                    <w:rPr>
                      <w:rFonts w:hint="default" w:ascii="Times New Roman" w:hAnsi="Times New Roman" w:eastAsia="宋体" w:cs="Times New Roman"/>
                      <w:b w:val="0"/>
                      <w:bCs/>
                      <w:color w:val="auto"/>
                      <w:sz w:val="21"/>
                      <w:szCs w:val="21"/>
                    </w:rPr>
                  </w:pPr>
                  <w:r>
                    <w:rPr>
                      <w:b/>
                      <w:bCs/>
                      <w:color w:val="auto"/>
                      <w:kern w:val="21"/>
                      <w:sz w:val="21"/>
                      <w:szCs w:val="21"/>
                      <w:highlight w:val="none"/>
                    </w:rPr>
                    <w:t>设置原则</w:t>
                  </w:r>
                </w:p>
              </w:tc>
              <w:tc>
                <w:tcPr>
                  <w:tcW w:w="1889" w:type="pct"/>
                  <w:noWrap w:val="0"/>
                  <w:vAlign w:val="center"/>
                </w:tcPr>
                <w:p w14:paraId="51B51587">
                  <w:pPr>
                    <w:autoSpaceDE w:val="0"/>
                    <w:autoSpaceDN w:val="0"/>
                    <w:adjustRightInd w:val="0"/>
                    <w:snapToGrid w:val="0"/>
                    <w:jc w:val="center"/>
                    <w:rPr>
                      <w:rFonts w:hint="default" w:ascii="Times New Roman" w:hAnsi="Times New Roman" w:eastAsia="宋体" w:cs="Times New Roman"/>
                      <w:b w:val="0"/>
                      <w:bCs/>
                      <w:color w:val="auto"/>
                      <w:sz w:val="21"/>
                      <w:szCs w:val="21"/>
                    </w:rPr>
                  </w:pPr>
                  <w:r>
                    <w:rPr>
                      <w:b/>
                      <w:bCs/>
                      <w:color w:val="auto"/>
                      <w:kern w:val="21"/>
                      <w:sz w:val="21"/>
                      <w:szCs w:val="21"/>
                      <w:highlight w:val="none"/>
                    </w:rPr>
                    <w:t>项目情况</w:t>
                  </w:r>
                </w:p>
              </w:tc>
              <w:tc>
                <w:tcPr>
                  <w:tcW w:w="522" w:type="pct"/>
                  <w:noWrap w:val="0"/>
                  <w:vAlign w:val="center"/>
                </w:tcPr>
                <w:p w14:paraId="36675D99">
                  <w:pPr>
                    <w:autoSpaceDE w:val="0"/>
                    <w:autoSpaceDN w:val="0"/>
                    <w:adjustRightInd w:val="0"/>
                    <w:snapToGrid w:val="0"/>
                    <w:jc w:val="center"/>
                    <w:rPr>
                      <w:rFonts w:hint="default" w:ascii="Times New Roman" w:hAnsi="Times New Roman" w:eastAsia="宋体" w:cs="Times New Roman"/>
                      <w:b w:val="0"/>
                      <w:bCs/>
                      <w:color w:val="auto"/>
                      <w:sz w:val="21"/>
                      <w:szCs w:val="21"/>
                    </w:rPr>
                  </w:pPr>
                  <w:r>
                    <w:rPr>
                      <w:b/>
                      <w:bCs/>
                      <w:color w:val="auto"/>
                      <w:kern w:val="21"/>
                      <w:sz w:val="21"/>
                      <w:szCs w:val="21"/>
                      <w:highlight w:val="none"/>
                    </w:rPr>
                    <w:t>设置情况</w:t>
                  </w:r>
                </w:p>
              </w:tc>
            </w:tr>
            <w:tr w14:paraId="11DAF8D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 w:type="pct"/>
                  <w:noWrap w:val="0"/>
                  <w:vAlign w:val="center"/>
                </w:tcPr>
                <w:p w14:paraId="5314718A">
                  <w:pPr>
                    <w:autoSpaceDE w:val="0"/>
                    <w:autoSpaceDN w:val="0"/>
                    <w:adjustRightInd w:val="0"/>
                    <w:snapToGrid w:val="0"/>
                    <w:jc w:val="center"/>
                    <w:rPr>
                      <w:rFonts w:hint="default" w:ascii="Times New Roman" w:hAnsi="Times New Roman" w:eastAsia="宋体" w:cs="Times New Roman"/>
                      <w:b w:val="0"/>
                      <w:bCs/>
                      <w:color w:val="auto"/>
                      <w:kern w:val="44"/>
                      <w:sz w:val="21"/>
                      <w:szCs w:val="21"/>
                    </w:rPr>
                  </w:pPr>
                  <w:r>
                    <w:rPr>
                      <w:color w:val="auto"/>
                      <w:kern w:val="21"/>
                      <w:sz w:val="21"/>
                      <w:szCs w:val="21"/>
                      <w:highlight w:val="none"/>
                    </w:rPr>
                    <w:t>大气</w:t>
                  </w:r>
                </w:p>
              </w:tc>
              <w:tc>
                <w:tcPr>
                  <w:tcW w:w="2088" w:type="pct"/>
                  <w:noWrap w:val="0"/>
                  <w:vAlign w:val="center"/>
                </w:tcPr>
                <w:p w14:paraId="3FED8F78">
                  <w:pPr>
                    <w:autoSpaceDE w:val="0"/>
                    <w:autoSpaceDN w:val="0"/>
                    <w:adjustRightInd w:val="0"/>
                    <w:snapToGrid w:val="0"/>
                    <w:jc w:val="center"/>
                    <w:rPr>
                      <w:rFonts w:hint="default" w:ascii="Times New Roman" w:hAnsi="Times New Roman" w:eastAsia="宋体" w:cs="Times New Roman"/>
                      <w:b w:val="0"/>
                      <w:bCs/>
                      <w:color w:val="auto"/>
                      <w:sz w:val="21"/>
                      <w:szCs w:val="21"/>
                    </w:rPr>
                  </w:pPr>
                  <w:r>
                    <w:rPr>
                      <w:color w:val="auto"/>
                      <w:kern w:val="21"/>
                      <w:sz w:val="21"/>
                      <w:szCs w:val="21"/>
                      <w:highlight w:val="none"/>
                    </w:rPr>
                    <w:t>排放废气含有毒有害污染物</w:t>
                  </w:r>
                  <w:r>
                    <w:rPr>
                      <w:color w:val="auto"/>
                      <w:kern w:val="21"/>
                      <w:sz w:val="21"/>
                      <w:szCs w:val="21"/>
                      <w:highlight w:val="none"/>
                      <w:vertAlign w:val="superscript"/>
                    </w:rPr>
                    <w:t>1</w:t>
                  </w:r>
                  <w:r>
                    <w:rPr>
                      <w:color w:val="auto"/>
                      <w:kern w:val="21"/>
                      <w:sz w:val="21"/>
                      <w:szCs w:val="21"/>
                      <w:highlight w:val="none"/>
                    </w:rPr>
                    <w:t>、二噁英、苯并[a]芘、氰化物、氯气且厂界外500米范围内有环境空气保护目标</w:t>
                  </w:r>
                  <w:r>
                    <w:rPr>
                      <w:color w:val="auto"/>
                      <w:kern w:val="21"/>
                      <w:sz w:val="21"/>
                      <w:szCs w:val="21"/>
                      <w:highlight w:val="none"/>
                      <w:vertAlign w:val="superscript"/>
                    </w:rPr>
                    <w:t>2</w:t>
                  </w:r>
                  <w:r>
                    <w:rPr>
                      <w:color w:val="auto"/>
                      <w:kern w:val="21"/>
                      <w:sz w:val="21"/>
                      <w:szCs w:val="21"/>
                      <w:highlight w:val="none"/>
                    </w:rPr>
                    <w:t>的建设项目</w:t>
                  </w:r>
                </w:p>
              </w:tc>
              <w:tc>
                <w:tcPr>
                  <w:tcW w:w="1889" w:type="pct"/>
                  <w:noWrap w:val="0"/>
                  <w:vAlign w:val="center"/>
                </w:tcPr>
                <w:p w14:paraId="286B9105">
                  <w:pPr>
                    <w:autoSpaceDE w:val="0"/>
                    <w:autoSpaceDN w:val="0"/>
                    <w:adjustRightInd w:val="0"/>
                    <w:snapToGrid w:val="0"/>
                    <w:jc w:val="center"/>
                    <w:rPr>
                      <w:rFonts w:hint="default" w:ascii="Times New Roman" w:hAnsi="Times New Roman" w:eastAsia="宋体" w:cs="Times New Roman"/>
                      <w:b w:val="0"/>
                      <w:bCs/>
                      <w:color w:val="auto"/>
                      <w:sz w:val="21"/>
                      <w:szCs w:val="21"/>
                    </w:rPr>
                  </w:pPr>
                  <w:r>
                    <w:rPr>
                      <w:color w:val="auto"/>
                      <w:kern w:val="21"/>
                      <w:sz w:val="21"/>
                      <w:szCs w:val="21"/>
                      <w:highlight w:val="none"/>
                    </w:rPr>
                    <w:t>项目</w:t>
                  </w:r>
                  <w:r>
                    <w:rPr>
                      <w:rFonts w:hint="eastAsia"/>
                      <w:color w:val="auto"/>
                      <w:kern w:val="21"/>
                      <w:sz w:val="21"/>
                      <w:szCs w:val="21"/>
                      <w:highlight w:val="none"/>
                      <w:lang w:val="en-US" w:eastAsia="zh-CN"/>
                    </w:rPr>
                    <w:t>不涉及</w:t>
                  </w:r>
                  <w:r>
                    <w:rPr>
                      <w:color w:val="auto"/>
                      <w:kern w:val="21"/>
                      <w:sz w:val="21"/>
                      <w:szCs w:val="21"/>
                      <w:highlight w:val="none"/>
                    </w:rPr>
                    <w:t>有毒有害污染物</w:t>
                  </w:r>
                  <w:r>
                    <w:rPr>
                      <w:color w:val="auto"/>
                      <w:kern w:val="21"/>
                      <w:sz w:val="21"/>
                      <w:szCs w:val="21"/>
                      <w:highlight w:val="none"/>
                      <w:vertAlign w:val="superscript"/>
                    </w:rPr>
                    <w:t>1</w:t>
                  </w:r>
                  <w:r>
                    <w:rPr>
                      <w:color w:val="auto"/>
                      <w:kern w:val="21"/>
                      <w:sz w:val="21"/>
                      <w:szCs w:val="21"/>
                      <w:highlight w:val="none"/>
                    </w:rPr>
                    <w:t>、二噁英、苯并[a]芘、氰化物、氯气，因此</w:t>
                  </w:r>
                  <w:r>
                    <w:rPr>
                      <w:rFonts w:hint="eastAsia"/>
                      <w:color w:val="FF0000"/>
                      <w:kern w:val="21"/>
                      <w:sz w:val="21"/>
                      <w:szCs w:val="21"/>
                      <w:highlight w:val="none"/>
                      <w:lang w:eastAsia="zh-CN"/>
                    </w:rPr>
                    <w:t>无须</w:t>
                  </w:r>
                  <w:r>
                    <w:rPr>
                      <w:color w:val="auto"/>
                      <w:kern w:val="21"/>
                      <w:sz w:val="21"/>
                      <w:szCs w:val="21"/>
                      <w:highlight w:val="none"/>
                    </w:rPr>
                    <w:t>设置大气专项评价</w:t>
                  </w:r>
                </w:p>
              </w:tc>
              <w:tc>
                <w:tcPr>
                  <w:tcW w:w="522" w:type="pct"/>
                  <w:noWrap w:val="0"/>
                  <w:vAlign w:val="center"/>
                </w:tcPr>
                <w:p w14:paraId="05C67183">
                  <w:pPr>
                    <w:autoSpaceDE w:val="0"/>
                    <w:autoSpaceDN w:val="0"/>
                    <w:adjustRightInd w:val="0"/>
                    <w:snapToGrid w:val="0"/>
                    <w:jc w:val="center"/>
                    <w:rPr>
                      <w:rFonts w:hint="default" w:ascii="Times New Roman" w:hAnsi="Times New Roman" w:eastAsia="宋体" w:cs="Times New Roman"/>
                      <w:b w:val="0"/>
                      <w:bCs/>
                      <w:color w:val="auto"/>
                      <w:sz w:val="21"/>
                      <w:szCs w:val="21"/>
                    </w:rPr>
                  </w:pPr>
                  <w:r>
                    <w:rPr>
                      <w:color w:val="auto"/>
                      <w:kern w:val="21"/>
                      <w:sz w:val="21"/>
                      <w:szCs w:val="21"/>
                      <w:highlight w:val="none"/>
                    </w:rPr>
                    <w:t>无</w:t>
                  </w:r>
                </w:p>
              </w:tc>
            </w:tr>
            <w:tr w14:paraId="0F40B28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 w:type="pct"/>
                  <w:noWrap w:val="0"/>
                  <w:vAlign w:val="center"/>
                </w:tcPr>
                <w:p w14:paraId="155C2AF6">
                  <w:pPr>
                    <w:autoSpaceDE w:val="0"/>
                    <w:autoSpaceDN w:val="0"/>
                    <w:adjustRightInd w:val="0"/>
                    <w:snapToGrid w:val="0"/>
                    <w:jc w:val="center"/>
                    <w:rPr>
                      <w:rFonts w:hint="default" w:ascii="Times New Roman" w:hAnsi="Times New Roman" w:eastAsia="宋体" w:cs="Times New Roman"/>
                      <w:b w:val="0"/>
                      <w:bCs/>
                      <w:color w:val="auto"/>
                      <w:sz w:val="21"/>
                      <w:szCs w:val="21"/>
                      <w:lang w:val="en-US" w:eastAsia="zh-CN"/>
                    </w:rPr>
                  </w:pPr>
                  <w:r>
                    <w:rPr>
                      <w:color w:val="auto"/>
                      <w:kern w:val="21"/>
                      <w:sz w:val="21"/>
                      <w:szCs w:val="21"/>
                      <w:highlight w:val="none"/>
                    </w:rPr>
                    <w:t>地表水</w:t>
                  </w:r>
                </w:p>
              </w:tc>
              <w:tc>
                <w:tcPr>
                  <w:tcW w:w="2088" w:type="pct"/>
                  <w:noWrap w:val="0"/>
                  <w:vAlign w:val="center"/>
                </w:tcPr>
                <w:p w14:paraId="1A1DB34E">
                  <w:pPr>
                    <w:autoSpaceDE w:val="0"/>
                    <w:autoSpaceDN w:val="0"/>
                    <w:adjustRightInd w:val="0"/>
                    <w:snapToGrid w:val="0"/>
                    <w:jc w:val="center"/>
                    <w:rPr>
                      <w:rFonts w:hint="default" w:ascii="Times New Roman" w:hAnsi="Times New Roman" w:eastAsia="宋体" w:cs="Times New Roman"/>
                      <w:b w:val="0"/>
                      <w:bCs/>
                      <w:color w:val="auto"/>
                      <w:sz w:val="21"/>
                      <w:szCs w:val="21"/>
                      <w:lang w:val="en-US" w:eastAsia="zh-CN"/>
                    </w:rPr>
                  </w:pPr>
                  <w:r>
                    <w:rPr>
                      <w:color w:val="auto"/>
                      <w:kern w:val="21"/>
                      <w:sz w:val="21"/>
                      <w:szCs w:val="21"/>
                      <w:highlight w:val="none"/>
                    </w:rPr>
                    <w:t>新增工业废水直排建设项目（槽罐车外送污水处理厂的除外）；新增废水直排的污水集中处理厂</w:t>
                  </w:r>
                </w:p>
              </w:tc>
              <w:tc>
                <w:tcPr>
                  <w:tcW w:w="1889" w:type="pct"/>
                  <w:noWrap w:val="0"/>
                  <w:vAlign w:val="center"/>
                </w:tcPr>
                <w:p w14:paraId="0D73612D">
                  <w:pPr>
                    <w:autoSpaceDE w:val="0"/>
                    <w:autoSpaceDN w:val="0"/>
                    <w:adjustRightInd w:val="0"/>
                    <w:snapToGrid w:val="0"/>
                    <w:jc w:val="center"/>
                    <w:rPr>
                      <w:rFonts w:hint="default" w:ascii="Times New Roman" w:hAnsi="Times New Roman" w:eastAsia="宋体" w:cs="Times New Roman"/>
                      <w:b w:val="0"/>
                      <w:bCs/>
                      <w:color w:val="auto"/>
                      <w:sz w:val="21"/>
                      <w:szCs w:val="21"/>
                      <w:lang w:val="en-US" w:eastAsia="zh-CN"/>
                    </w:rPr>
                  </w:pPr>
                  <w:r>
                    <w:rPr>
                      <w:color w:val="auto"/>
                      <w:kern w:val="21"/>
                      <w:sz w:val="21"/>
                      <w:szCs w:val="21"/>
                      <w:highlight w:val="none"/>
                    </w:rPr>
                    <w:t>项目</w:t>
                  </w:r>
                  <w:r>
                    <w:rPr>
                      <w:rFonts w:hint="eastAsia"/>
                      <w:color w:val="auto"/>
                      <w:kern w:val="21"/>
                      <w:sz w:val="21"/>
                      <w:szCs w:val="21"/>
                      <w:highlight w:val="none"/>
                      <w:lang w:val="en-US" w:eastAsia="zh-CN"/>
                    </w:rPr>
                    <w:t>不新增排放，</w:t>
                  </w:r>
                  <w:r>
                    <w:rPr>
                      <w:color w:val="auto"/>
                      <w:kern w:val="21"/>
                      <w:sz w:val="21"/>
                      <w:szCs w:val="21"/>
                      <w:highlight w:val="none"/>
                    </w:rPr>
                    <w:t>因此</w:t>
                  </w:r>
                  <w:r>
                    <w:rPr>
                      <w:rFonts w:hint="eastAsia"/>
                      <w:color w:val="auto"/>
                      <w:kern w:val="21"/>
                      <w:sz w:val="21"/>
                      <w:szCs w:val="21"/>
                      <w:highlight w:val="none"/>
                      <w:lang w:eastAsia="zh-CN"/>
                    </w:rPr>
                    <w:t>无须设置</w:t>
                  </w:r>
                  <w:r>
                    <w:rPr>
                      <w:color w:val="auto"/>
                      <w:kern w:val="21"/>
                      <w:sz w:val="21"/>
                      <w:szCs w:val="21"/>
                      <w:highlight w:val="none"/>
                    </w:rPr>
                    <w:t>地表水专项评价</w:t>
                  </w:r>
                </w:p>
              </w:tc>
              <w:tc>
                <w:tcPr>
                  <w:tcW w:w="522" w:type="pct"/>
                  <w:noWrap w:val="0"/>
                  <w:vAlign w:val="center"/>
                </w:tcPr>
                <w:p w14:paraId="4348AA31">
                  <w:pPr>
                    <w:autoSpaceDE w:val="0"/>
                    <w:autoSpaceDN w:val="0"/>
                    <w:adjustRightInd w:val="0"/>
                    <w:snapToGrid w:val="0"/>
                    <w:jc w:val="center"/>
                    <w:rPr>
                      <w:rFonts w:hint="default" w:ascii="Times New Roman" w:hAnsi="Times New Roman" w:eastAsia="宋体" w:cs="Times New Roman"/>
                      <w:b w:val="0"/>
                      <w:bCs/>
                      <w:color w:val="auto"/>
                      <w:sz w:val="21"/>
                      <w:szCs w:val="21"/>
                    </w:rPr>
                  </w:pPr>
                  <w:r>
                    <w:rPr>
                      <w:color w:val="auto"/>
                      <w:kern w:val="21"/>
                      <w:sz w:val="21"/>
                      <w:szCs w:val="21"/>
                      <w:highlight w:val="none"/>
                    </w:rPr>
                    <w:t>无</w:t>
                  </w:r>
                </w:p>
              </w:tc>
            </w:tr>
            <w:tr w14:paraId="30DC235B">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 w:type="pct"/>
                  <w:noWrap w:val="0"/>
                  <w:vAlign w:val="center"/>
                </w:tcPr>
                <w:p w14:paraId="4FCE60A2">
                  <w:pPr>
                    <w:autoSpaceDE w:val="0"/>
                    <w:autoSpaceDN w:val="0"/>
                    <w:adjustRightInd w:val="0"/>
                    <w:snapToGrid w:val="0"/>
                    <w:jc w:val="center"/>
                    <w:rPr>
                      <w:rFonts w:hint="default" w:ascii="Times New Roman" w:hAnsi="Times New Roman" w:eastAsia="宋体" w:cs="Times New Roman"/>
                      <w:b w:val="0"/>
                      <w:bCs/>
                      <w:color w:val="auto"/>
                      <w:sz w:val="21"/>
                      <w:szCs w:val="21"/>
                    </w:rPr>
                  </w:pPr>
                  <w:r>
                    <w:rPr>
                      <w:color w:val="auto"/>
                      <w:kern w:val="21"/>
                      <w:sz w:val="21"/>
                      <w:szCs w:val="21"/>
                      <w:highlight w:val="none"/>
                    </w:rPr>
                    <w:t>环境风险</w:t>
                  </w:r>
                </w:p>
              </w:tc>
              <w:tc>
                <w:tcPr>
                  <w:tcW w:w="2088" w:type="pct"/>
                  <w:noWrap w:val="0"/>
                  <w:vAlign w:val="center"/>
                </w:tcPr>
                <w:p w14:paraId="1C23F652">
                  <w:pPr>
                    <w:autoSpaceDE w:val="0"/>
                    <w:autoSpaceDN w:val="0"/>
                    <w:adjustRightInd w:val="0"/>
                    <w:snapToGrid w:val="0"/>
                    <w:jc w:val="center"/>
                    <w:rPr>
                      <w:rFonts w:hint="default" w:ascii="Times New Roman" w:hAnsi="Times New Roman" w:eastAsia="宋体" w:cs="Times New Roman"/>
                      <w:b w:val="0"/>
                      <w:bCs/>
                      <w:color w:val="auto"/>
                      <w:sz w:val="21"/>
                      <w:szCs w:val="21"/>
                      <w:lang w:val="en-US" w:eastAsia="zh-CN"/>
                    </w:rPr>
                  </w:pPr>
                  <w:r>
                    <w:rPr>
                      <w:color w:val="auto"/>
                      <w:kern w:val="21"/>
                      <w:sz w:val="21"/>
                      <w:szCs w:val="21"/>
                      <w:highlight w:val="none"/>
                    </w:rPr>
                    <w:t>有毒有害和易燃易爆危险物质存储量超过临界量</w:t>
                  </w:r>
                  <w:r>
                    <w:rPr>
                      <w:color w:val="auto"/>
                      <w:kern w:val="21"/>
                      <w:sz w:val="21"/>
                      <w:szCs w:val="21"/>
                      <w:highlight w:val="none"/>
                      <w:vertAlign w:val="superscript"/>
                    </w:rPr>
                    <w:t>3</w:t>
                  </w:r>
                  <w:r>
                    <w:rPr>
                      <w:color w:val="auto"/>
                      <w:kern w:val="21"/>
                      <w:sz w:val="21"/>
                      <w:szCs w:val="21"/>
                      <w:highlight w:val="none"/>
                    </w:rPr>
                    <w:t>的建设项目</w:t>
                  </w:r>
                </w:p>
              </w:tc>
              <w:tc>
                <w:tcPr>
                  <w:tcW w:w="1889" w:type="pct"/>
                  <w:noWrap w:val="0"/>
                  <w:vAlign w:val="center"/>
                </w:tcPr>
                <w:p w14:paraId="57DE8964">
                  <w:pPr>
                    <w:autoSpaceDE w:val="0"/>
                    <w:autoSpaceDN w:val="0"/>
                    <w:adjustRightInd w:val="0"/>
                    <w:snapToGrid w:val="0"/>
                    <w:jc w:val="center"/>
                    <w:rPr>
                      <w:rFonts w:hint="default" w:ascii="Times New Roman" w:hAnsi="Times New Roman" w:eastAsia="宋体" w:cs="Times New Roman"/>
                      <w:b w:val="0"/>
                      <w:bCs/>
                      <w:color w:val="auto"/>
                      <w:sz w:val="21"/>
                      <w:szCs w:val="21"/>
                      <w:lang w:val="en-US" w:eastAsia="zh-CN"/>
                    </w:rPr>
                  </w:pPr>
                  <w:r>
                    <w:rPr>
                      <w:color w:val="auto"/>
                      <w:kern w:val="21"/>
                      <w:sz w:val="21"/>
                      <w:szCs w:val="21"/>
                      <w:highlight w:val="none"/>
                    </w:rPr>
                    <w:t>项目有毒有害和易燃易爆危险物质存储量</w:t>
                  </w:r>
                  <w:r>
                    <w:rPr>
                      <w:rFonts w:hint="eastAsia"/>
                      <w:color w:val="auto"/>
                      <w:kern w:val="21"/>
                      <w:sz w:val="21"/>
                      <w:szCs w:val="21"/>
                      <w:highlight w:val="none"/>
                    </w:rPr>
                    <w:t>未</w:t>
                  </w:r>
                  <w:r>
                    <w:rPr>
                      <w:color w:val="auto"/>
                      <w:kern w:val="21"/>
                      <w:sz w:val="21"/>
                      <w:szCs w:val="21"/>
                      <w:highlight w:val="none"/>
                    </w:rPr>
                    <w:t>超过临界量，因此</w:t>
                  </w:r>
                  <w:r>
                    <w:rPr>
                      <w:rFonts w:hint="eastAsia"/>
                      <w:color w:val="auto"/>
                      <w:kern w:val="21"/>
                      <w:sz w:val="21"/>
                      <w:szCs w:val="21"/>
                      <w:highlight w:val="none"/>
                      <w:lang w:eastAsia="zh-CN"/>
                    </w:rPr>
                    <w:t>无须设置</w:t>
                  </w:r>
                  <w:r>
                    <w:rPr>
                      <w:color w:val="auto"/>
                      <w:kern w:val="21"/>
                      <w:sz w:val="21"/>
                      <w:szCs w:val="21"/>
                      <w:highlight w:val="none"/>
                    </w:rPr>
                    <w:t>环境风险专项评价</w:t>
                  </w:r>
                </w:p>
              </w:tc>
              <w:tc>
                <w:tcPr>
                  <w:tcW w:w="522" w:type="pct"/>
                  <w:noWrap w:val="0"/>
                  <w:vAlign w:val="center"/>
                </w:tcPr>
                <w:p w14:paraId="13B608D6">
                  <w:pPr>
                    <w:autoSpaceDE w:val="0"/>
                    <w:autoSpaceDN w:val="0"/>
                    <w:adjustRightInd w:val="0"/>
                    <w:snapToGrid w:val="0"/>
                    <w:jc w:val="center"/>
                    <w:rPr>
                      <w:rFonts w:hint="default" w:ascii="Times New Roman" w:hAnsi="Times New Roman" w:eastAsia="宋体" w:cs="Times New Roman"/>
                      <w:b w:val="0"/>
                      <w:bCs/>
                      <w:color w:val="auto"/>
                      <w:sz w:val="21"/>
                      <w:szCs w:val="21"/>
                    </w:rPr>
                  </w:pPr>
                  <w:r>
                    <w:rPr>
                      <w:rFonts w:hint="eastAsia"/>
                      <w:color w:val="auto"/>
                      <w:kern w:val="21"/>
                      <w:sz w:val="21"/>
                      <w:szCs w:val="21"/>
                      <w:highlight w:val="none"/>
                      <w:lang w:val="en-US" w:eastAsia="zh-CN"/>
                    </w:rPr>
                    <w:t>无</w:t>
                  </w:r>
                </w:p>
              </w:tc>
            </w:tr>
            <w:tr w14:paraId="7AE0CBB2">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 w:type="pct"/>
                  <w:noWrap w:val="0"/>
                  <w:vAlign w:val="center"/>
                </w:tcPr>
                <w:p w14:paraId="6AC3F6FD">
                  <w:pPr>
                    <w:autoSpaceDE w:val="0"/>
                    <w:autoSpaceDN w:val="0"/>
                    <w:adjustRightInd w:val="0"/>
                    <w:snapToGrid w:val="0"/>
                    <w:jc w:val="center"/>
                    <w:rPr>
                      <w:rFonts w:hint="default" w:ascii="Times New Roman" w:hAnsi="Times New Roman" w:eastAsia="宋体" w:cs="Times New Roman"/>
                      <w:b w:val="0"/>
                      <w:bCs/>
                      <w:color w:val="auto"/>
                      <w:sz w:val="21"/>
                      <w:szCs w:val="21"/>
                    </w:rPr>
                  </w:pPr>
                  <w:r>
                    <w:rPr>
                      <w:color w:val="auto"/>
                      <w:kern w:val="21"/>
                      <w:sz w:val="21"/>
                      <w:szCs w:val="21"/>
                      <w:highlight w:val="none"/>
                    </w:rPr>
                    <w:t>生态</w:t>
                  </w:r>
                </w:p>
              </w:tc>
              <w:tc>
                <w:tcPr>
                  <w:tcW w:w="2088" w:type="pct"/>
                  <w:noWrap w:val="0"/>
                  <w:vAlign w:val="center"/>
                </w:tcPr>
                <w:p w14:paraId="4FB8B5ED">
                  <w:pPr>
                    <w:autoSpaceDE w:val="0"/>
                    <w:autoSpaceDN w:val="0"/>
                    <w:adjustRightInd w:val="0"/>
                    <w:snapToGrid w:val="0"/>
                    <w:jc w:val="center"/>
                    <w:rPr>
                      <w:rFonts w:hint="default" w:ascii="Times New Roman" w:hAnsi="Times New Roman" w:eastAsia="宋体" w:cs="Times New Roman"/>
                      <w:b w:val="0"/>
                      <w:bCs/>
                      <w:color w:val="auto"/>
                      <w:sz w:val="21"/>
                      <w:szCs w:val="21"/>
                      <w:lang w:val="en-US" w:eastAsia="zh-CN"/>
                    </w:rPr>
                  </w:pPr>
                  <w:r>
                    <w:rPr>
                      <w:color w:val="auto"/>
                      <w:kern w:val="21"/>
                      <w:sz w:val="21"/>
                      <w:szCs w:val="21"/>
                      <w:highlight w:val="none"/>
                    </w:rPr>
                    <w:t>取水口下游500米范围内有重要水生生物的自然产卵场、索饵场、越冬场和洄游通道的新增河道取水的污染类建设项目</w:t>
                  </w:r>
                </w:p>
              </w:tc>
              <w:tc>
                <w:tcPr>
                  <w:tcW w:w="1889" w:type="pct"/>
                  <w:noWrap w:val="0"/>
                  <w:vAlign w:val="center"/>
                </w:tcPr>
                <w:p w14:paraId="1B40F8C6">
                  <w:pPr>
                    <w:autoSpaceDE w:val="0"/>
                    <w:autoSpaceDN w:val="0"/>
                    <w:adjustRightInd w:val="0"/>
                    <w:snapToGrid w:val="0"/>
                    <w:jc w:val="center"/>
                    <w:rPr>
                      <w:rFonts w:hint="default" w:ascii="Times New Roman" w:hAnsi="Times New Roman" w:eastAsia="宋体" w:cs="Times New Roman"/>
                      <w:b w:val="0"/>
                      <w:bCs/>
                      <w:color w:val="auto"/>
                      <w:sz w:val="21"/>
                      <w:szCs w:val="21"/>
                      <w:lang w:val="en-US" w:eastAsia="zh-CN"/>
                    </w:rPr>
                  </w:pPr>
                  <w:r>
                    <w:rPr>
                      <w:color w:val="auto"/>
                      <w:kern w:val="21"/>
                      <w:sz w:val="21"/>
                      <w:szCs w:val="21"/>
                      <w:highlight w:val="none"/>
                    </w:rPr>
                    <w:t>不涉及</w:t>
                  </w:r>
                </w:p>
              </w:tc>
              <w:tc>
                <w:tcPr>
                  <w:tcW w:w="522" w:type="pct"/>
                  <w:noWrap w:val="0"/>
                  <w:vAlign w:val="center"/>
                </w:tcPr>
                <w:p w14:paraId="2D5A62EE">
                  <w:pPr>
                    <w:autoSpaceDE w:val="0"/>
                    <w:autoSpaceDN w:val="0"/>
                    <w:adjustRightInd w:val="0"/>
                    <w:snapToGrid w:val="0"/>
                    <w:jc w:val="center"/>
                    <w:rPr>
                      <w:rFonts w:hint="default" w:ascii="Times New Roman" w:hAnsi="Times New Roman" w:eastAsia="宋体" w:cs="Times New Roman"/>
                      <w:b w:val="0"/>
                      <w:bCs/>
                      <w:color w:val="auto"/>
                      <w:sz w:val="21"/>
                      <w:szCs w:val="21"/>
                    </w:rPr>
                  </w:pPr>
                  <w:r>
                    <w:rPr>
                      <w:color w:val="auto"/>
                      <w:kern w:val="21"/>
                      <w:sz w:val="21"/>
                      <w:szCs w:val="21"/>
                      <w:highlight w:val="none"/>
                    </w:rPr>
                    <w:t>无</w:t>
                  </w:r>
                </w:p>
              </w:tc>
            </w:tr>
            <w:tr w14:paraId="2DF6254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 w:type="pct"/>
                  <w:noWrap w:val="0"/>
                  <w:vAlign w:val="center"/>
                </w:tcPr>
                <w:p w14:paraId="28BB33B4">
                  <w:pPr>
                    <w:autoSpaceDE w:val="0"/>
                    <w:autoSpaceDN w:val="0"/>
                    <w:adjustRightInd w:val="0"/>
                    <w:snapToGrid w:val="0"/>
                    <w:jc w:val="center"/>
                    <w:rPr>
                      <w:rFonts w:hint="default" w:ascii="Times New Roman" w:hAnsi="Times New Roman" w:eastAsia="宋体" w:cs="Times New Roman"/>
                      <w:b w:val="0"/>
                      <w:bCs/>
                      <w:color w:val="auto"/>
                      <w:sz w:val="21"/>
                      <w:szCs w:val="21"/>
                      <w:lang w:val="en-US" w:eastAsia="zh-CN"/>
                    </w:rPr>
                  </w:pPr>
                  <w:r>
                    <w:rPr>
                      <w:color w:val="auto"/>
                      <w:kern w:val="21"/>
                      <w:sz w:val="21"/>
                      <w:szCs w:val="21"/>
                      <w:highlight w:val="none"/>
                    </w:rPr>
                    <w:t>海洋</w:t>
                  </w:r>
                </w:p>
              </w:tc>
              <w:tc>
                <w:tcPr>
                  <w:tcW w:w="2088" w:type="pct"/>
                  <w:noWrap w:val="0"/>
                  <w:vAlign w:val="center"/>
                </w:tcPr>
                <w:p w14:paraId="30632B69">
                  <w:pPr>
                    <w:autoSpaceDE w:val="0"/>
                    <w:autoSpaceDN w:val="0"/>
                    <w:adjustRightInd w:val="0"/>
                    <w:snapToGrid w:val="0"/>
                    <w:jc w:val="center"/>
                    <w:rPr>
                      <w:rFonts w:hint="default" w:ascii="Times New Roman" w:hAnsi="Times New Roman" w:eastAsia="宋体" w:cs="Times New Roman"/>
                      <w:b w:val="0"/>
                      <w:bCs/>
                      <w:color w:val="auto"/>
                      <w:sz w:val="21"/>
                      <w:szCs w:val="21"/>
                      <w:lang w:val="en-US" w:eastAsia="zh-CN"/>
                    </w:rPr>
                  </w:pPr>
                  <w:r>
                    <w:rPr>
                      <w:color w:val="auto"/>
                      <w:kern w:val="21"/>
                      <w:sz w:val="21"/>
                      <w:szCs w:val="21"/>
                      <w:highlight w:val="none"/>
                    </w:rPr>
                    <w:t>直接向海排放污染物的海洋工程建设项目</w:t>
                  </w:r>
                </w:p>
              </w:tc>
              <w:tc>
                <w:tcPr>
                  <w:tcW w:w="1889" w:type="pct"/>
                  <w:noWrap w:val="0"/>
                  <w:vAlign w:val="center"/>
                </w:tcPr>
                <w:p w14:paraId="22DD9EE6">
                  <w:pPr>
                    <w:autoSpaceDE w:val="0"/>
                    <w:autoSpaceDN w:val="0"/>
                    <w:adjustRightInd w:val="0"/>
                    <w:snapToGrid w:val="0"/>
                    <w:jc w:val="center"/>
                    <w:rPr>
                      <w:rFonts w:hint="default" w:ascii="Times New Roman" w:hAnsi="Times New Roman" w:eastAsia="宋体" w:cs="Times New Roman"/>
                      <w:b w:val="0"/>
                      <w:bCs/>
                      <w:color w:val="auto"/>
                      <w:sz w:val="21"/>
                      <w:szCs w:val="21"/>
                      <w:lang w:val="en-US" w:eastAsia="zh-CN"/>
                    </w:rPr>
                  </w:pPr>
                  <w:r>
                    <w:rPr>
                      <w:color w:val="auto"/>
                      <w:kern w:val="21"/>
                      <w:sz w:val="21"/>
                      <w:szCs w:val="21"/>
                      <w:highlight w:val="none"/>
                    </w:rPr>
                    <w:t>不涉及</w:t>
                  </w:r>
                </w:p>
              </w:tc>
              <w:tc>
                <w:tcPr>
                  <w:tcW w:w="522" w:type="pct"/>
                  <w:noWrap w:val="0"/>
                  <w:vAlign w:val="center"/>
                </w:tcPr>
                <w:p w14:paraId="0B55C9B0">
                  <w:pPr>
                    <w:autoSpaceDE w:val="0"/>
                    <w:autoSpaceDN w:val="0"/>
                    <w:adjustRightInd w:val="0"/>
                    <w:snapToGrid w:val="0"/>
                    <w:jc w:val="center"/>
                    <w:rPr>
                      <w:rFonts w:hint="default" w:ascii="Times New Roman" w:hAnsi="Times New Roman" w:eastAsia="宋体" w:cs="Times New Roman"/>
                      <w:b w:val="0"/>
                      <w:bCs/>
                      <w:color w:val="auto"/>
                      <w:sz w:val="21"/>
                      <w:szCs w:val="21"/>
                    </w:rPr>
                  </w:pPr>
                  <w:r>
                    <w:rPr>
                      <w:color w:val="auto"/>
                      <w:kern w:val="21"/>
                      <w:sz w:val="21"/>
                      <w:szCs w:val="21"/>
                      <w:highlight w:val="none"/>
                    </w:rPr>
                    <w:t>无</w:t>
                  </w:r>
                </w:p>
              </w:tc>
            </w:tr>
          </w:tbl>
          <w:p w14:paraId="389CE01F">
            <w:pPr>
              <w:autoSpaceDE w:val="0"/>
              <w:autoSpaceDN w:val="0"/>
              <w:adjustRightInd w:val="0"/>
              <w:snapToGrid w:val="0"/>
              <w:spacing w:line="500" w:lineRule="exact"/>
              <w:rPr>
                <w:rFonts w:hint="default" w:ascii="Times New Roman" w:hAnsi="Times New Roman" w:eastAsia="宋体" w:cs="Times New Roman"/>
                <w:color w:val="auto"/>
                <w:kern w:val="0"/>
                <w:sz w:val="21"/>
                <w:szCs w:val="21"/>
              </w:rPr>
            </w:pPr>
          </w:p>
        </w:tc>
      </w:tr>
      <w:tr w14:paraId="4BF82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jc w:val="center"/>
        </w:trPr>
        <w:tc>
          <w:tcPr>
            <w:tcW w:w="1734" w:type="dxa"/>
            <w:gridSpan w:val="2"/>
            <w:vAlign w:val="center"/>
          </w:tcPr>
          <w:p w14:paraId="0692DB62">
            <w:pPr>
              <w:autoSpaceDE w:val="0"/>
              <w:autoSpaceDN w:val="0"/>
              <w:adjustRightInd w:val="0"/>
              <w:snapToGrid w:val="0"/>
              <w:jc w:val="center"/>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规划情况</w:t>
            </w:r>
          </w:p>
        </w:tc>
        <w:tc>
          <w:tcPr>
            <w:tcW w:w="7170" w:type="dxa"/>
            <w:gridSpan w:val="3"/>
            <w:vAlign w:val="center"/>
          </w:tcPr>
          <w:p w14:paraId="6D919C24">
            <w:pPr>
              <w:keepNext w:val="0"/>
              <w:keepLines w:val="0"/>
              <w:pageBreakBefore w:val="0"/>
              <w:widowControl w:val="0"/>
              <w:kinsoku/>
              <w:wordWrap/>
              <w:overflowPunct/>
              <w:topLinePunct w:val="0"/>
              <w:autoSpaceDE w:val="0"/>
              <w:autoSpaceDN w:val="0"/>
              <w:bidi w:val="0"/>
              <w:adjustRightInd w:val="0"/>
              <w:snapToGrid w:val="0"/>
              <w:spacing w:line="500" w:lineRule="exact"/>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规划名称：《江苏金坛经济开发区开发建设规划（2023-2035年）》</w:t>
            </w:r>
          </w:p>
          <w:p w14:paraId="2AE41134">
            <w:pPr>
              <w:keepNext w:val="0"/>
              <w:keepLines w:val="0"/>
              <w:pageBreakBefore w:val="0"/>
              <w:widowControl w:val="0"/>
              <w:kinsoku/>
              <w:wordWrap/>
              <w:overflowPunct/>
              <w:topLinePunct w:val="0"/>
              <w:autoSpaceDE w:val="0"/>
              <w:autoSpaceDN w:val="0"/>
              <w:bidi w:val="0"/>
              <w:adjustRightInd w:val="0"/>
              <w:snapToGrid w:val="0"/>
              <w:spacing w:line="500" w:lineRule="exact"/>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审查机关：金坛区人民政府</w:t>
            </w:r>
          </w:p>
          <w:p w14:paraId="59A6A910">
            <w:pPr>
              <w:keepNext w:val="0"/>
              <w:keepLines w:val="0"/>
              <w:pageBreakBefore w:val="0"/>
              <w:widowControl w:val="0"/>
              <w:kinsoku/>
              <w:wordWrap/>
              <w:overflowPunct/>
              <w:topLinePunct w:val="0"/>
              <w:autoSpaceDE w:val="0"/>
              <w:autoSpaceDN w:val="0"/>
              <w:bidi w:val="0"/>
              <w:adjustRightInd w:val="0"/>
              <w:snapToGrid w:val="0"/>
              <w:spacing w:line="500" w:lineRule="exact"/>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审查文件名称及文号：坛政复〔2024〕5号</w:t>
            </w:r>
          </w:p>
        </w:tc>
      </w:tr>
      <w:tr w14:paraId="5C8B2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2" w:hRule="atLeast"/>
          <w:jc w:val="center"/>
        </w:trPr>
        <w:tc>
          <w:tcPr>
            <w:tcW w:w="1734" w:type="dxa"/>
            <w:gridSpan w:val="2"/>
            <w:vAlign w:val="center"/>
          </w:tcPr>
          <w:p w14:paraId="0AB9152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规划环境影响</w:t>
            </w:r>
          </w:p>
          <w:p w14:paraId="6FB1891C">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评价情况</w:t>
            </w:r>
          </w:p>
        </w:tc>
        <w:tc>
          <w:tcPr>
            <w:tcW w:w="7170" w:type="dxa"/>
            <w:gridSpan w:val="3"/>
            <w:vAlign w:val="center"/>
          </w:tcPr>
          <w:p w14:paraId="2470E3BE">
            <w:pPr>
              <w:keepNext w:val="0"/>
              <w:keepLines w:val="0"/>
              <w:pageBreakBefore w:val="0"/>
              <w:widowControl w:val="0"/>
              <w:kinsoku/>
              <w:wordWrap/>
              <w:overflowPunct/>
              <w:topLinePunct w:val="0"/>
              <w:autoSpaceDE w:val="0"/>
              <w:autoSpaceDN w:val="0"/>
              <w:bidi w:val="0"/>
              <w:adjustRightInd w:val="0"/>
              <w:snapToGrid w:val="0"/>
              <w:spacing w:line="500" w:lineRule="exact"/>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规划环境影响评价文件名称：江苏金坛经济开发区开发建设规划（2023-2035）环境影响报告书</w:t>
            </w:r>
          </w:p>
          <w:p w14:paraId="17BCF949">
            <w:pPr>
              <w:keepNext w:val="0"/>
              <w:keepLines w:val="0"/>
              <w:pageBreakBefore w:val="0"/>
              <w:widowControl w:val="0"/>
              <w:kinsoku/>
              <w:wordWrap/>
              <w:overflowPunct/>
              <w:topLinePunct w:val="0"/>
              <w:autoSpaceDE w:val="0"/>
              <w:autoSpaceDN w:val="0"/>
              <w:bidi w:val="0"/>
              <w:adjustRightInd w:val="0"/>
              <w:snapToGrid w:val="0"/>
              <w:spacing w:line="500" w:lineRule="exact"/>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召集审查机关：江苏省生态环境厅</w:t>
            </w:r>
          </w:p>
          <w:p w14:paraId="642A3BAF">
            <w:pPr>
              <w:keepNext w:val="0"/>
              <w:keepLines w:val="0"/>
              <w:pageBreakBefore w:val="0"/>
              <w:widowControl w:val="0"/>
              <w:kinsoku/>
              <w:wordWrap/>
              <w:overflowPunct/>
              <w:topLinePunct w:val="0"/>
              <w:autoSpaceDE w:val="0"/>
              <w:autoSpaceDN w:val="0"/>
              <w:bidi w:val="0"/>
              <w:adjustRightInd w:val="0"/>
              <w:snapToGrid w:val="0"/>
              <w:spacing w:line="500" w:lineRule="exact"/>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审查文件及文号：《省生态环境厅关于江苏金坛经济开发区开发建设规划（2025—2035年）环境影响报告书的审查意见》（苏环审〔2026〕17号）</w:t>
            </w:r>
          </w:p>
        </w:tc>
      </w:tr>
      <w:tr w14:paraId="51E87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2" w:hRule="atLeast"/>
          <w:jc w:val="center"/>
        </w:trPr>
        <w:tc>
          <w:tcPr>
            <w:tcW w:w="1734" w:type="dxa"/>
            <w:gridSpan w:val="2"/>
            <w:vAlign w:val="center"/>
          </w:tcPr>
          <w:p w14:paraId="6423405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规划及规划环境影响评价符合性分析</w:t>
            </w:r>
          </w:p>
        </w:tc>
        <w:tc>
          <w:tcPr>
            <w:tcW w:w="7170" w:type="dxa"/>
            <w:gridSpan w:val="3"/>
            <w:vAlign w:val="center"/>
          </w:tcPr>
          <w:p w14:paraId="37AB5131">
            <w:pPr>
              <w:pStyle w:val="90"/>
              <w:keepNext w:val="0"/>
              <w:keepLines w:val="0"/>
              <w:pageBreakBefore w:val="0"/>
              <w:widowControl w:val="0"/>
              <w:kinsoku/>
              <w:wordWrap/>
              <w:overflowPunct/>
              <w:topLinePunct w:val="0"/>
              <w:autoSpaceDE/>
              <w:autoSpaceDN/>
              <w:bidi w:val="0"/>
              <w:adjustRightInd w:val="0"/>
              <w:snapToGrid w:val="0"/>
              <w:spacing w:line="500" w:lineRule="exact"/>
              <w:ind w:firstLine="482"/>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1、与规划符合性分析</w:t>
            </w:r>
          </w:p>
          <w:p w14:paraId="512046FF">
            <w:pPr>
              <w:pStyle w:val="99"/>
              <w:keepNext w:val="0"/>
              <w:keepLines w:val="0"/>
              <w:pageBreakBefore w:val="0"/>
              <w:widowControl w:val="0"/>
              <w:kinsoku/>
              <w:wordWrap/>
              <w:overflowPunct/>
              <w:topLinePunct w:val="0"/>
              <w:autoSpaceDE/>
              <w:autoSpaceDN/>
              <w:bidi w:val="0"/>
              <w:spacing w:line="500" w:lineRule="exact"/>
              <w:ind w:firstLine="420" w:firstLineChars="200"/>
              <w:jc w:val="left"/>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（1）本项目位于江苏省金坛经济开发区，</w:t>
            </w:r>
            <w:r>
              <w:rPr>
                <w:rFonts w:hint="default" w:ascii="Times New Roman" w:hAnsi="Times New Roman" w:eastAsia="宋体" w:cs="Times New Roman"/>
                <w:color w:val="auto"/>
                <w:kern w:val="2"/>
                <w:sz w:val="21"/>
                <w:szCs w:val="21"/>
                <w:lang w:val="en-US" w:eastAsia="zh-CN" w:bidi="ar-SA"/>
              </w:rPr>
              <w:t>江苏金坛经济开发区产业定位为：提升改造传统产业（纺织服装、机械电子、装备制造），进一步巩固壮大新能源、新能源汽车、新智能、新医药、新材料五大新兴产业，构建“五新产业”发展体系，提速发展数字经济，加快智能化改造、数字化转型</w:t>
            </w:r>
            <w:r>
              <w:rPr>
                <w:rFonts w:hint="eastAsia" w:ascii="Times New Roman" w:hAnsi="Times New Roman" w:eastAsia="宋体" w:cs="Times New Roman"/>
                <w:color w:val="auto"/>
                <w:kern w:val="2"/>
                <w:sz w:val="21"/>
                <w:szCs w:val="21"/>
                <w:lang w:val="en-US" w:eastAsia="zh-CN" w:bidi="ar-SA"/>
              </w:rPr>
              <w:t>。</w:t>
            </w:r>
          </w:p>
          <w:p w14:paraId="5FF6E0A7">
            <w:pPr>
              <w:pStyle w:val="99"/>
              <w:keepNext w:val="0"/>
              <w:keepLines w:val="0"/>
              <w:pageBreakBefore w:val="0"/>
              <w:widowControl w:val="0"/>
              <w:kinsoku/>
              <w:wordWrap/>
              <w:overflowPunct/>
              <w:topLinePunct w:val="0"/>
              <w:autoSpaceDE/>
              <w:autoSpaceDN/>
              <w:bidi w:val="0"/>
              <w:spacing w:line="500" w:lineRule="exact"/>
              <w:ind w:firstLine="420" w:firstLineChars="200"/>
              <w:jc w:val="left"/>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本项目为C2921塑料薄膜制造，属于高性能光伏组件配件，属于园区主导产业新能源行业配套产业，符合园区产业定位。</w:t>
            </w:r>
          </w:p>
          <w:p w14:paraId="2D7BA245">
            <w:pPr>
              <w:pStyle w:val="6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leftChars="0" w:right="0"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r>
              <w:rPr>
                <w:rFonts w:hint="eastAsia" w:ascii="Times New Roman" w:hAnsi="Times New Roman" w:eastAsia="宋体" w:cs="Times New Roman"/>
                <w:color w:val="auto"/>
                <w:kern w:val="2"/>
                <w:sz w:val="21"/>
                <w:szCs w:val="21"/>
                <w:lang w:val="en-US" w:eastAsia="zh-CN" w:bidi="ar-SA"/>
              </w:rPr>
              <w:t>根据园区土地利用规划，项目所在地为工业用地，本项目厂房已取得土地证和房屋产权证，性质为工业用地。因此本项目符合区域用地规划要求</w:t>
            </w:r>
            <w:r>
              <w:rPr>
                <w:rFonts w:hint="default" w:ascii="Times New Roman" w:hAnsi="Times New Roman" w:eastAsia="宋体" w:cs="Times New Roman"/>
                <w:color w:val="auto"/>
                <w:kern w:val="2"/>
                <w:sz w:val="21"/>
                <w:szCs w:val="21"/>
                <w:lang w:val="en-US" w:eastAsia="zh-CN" w:bidi="ar-SA"/>
              </w:rPr>
              <w:t>。</w:t>
            </w:r>
          </w:p>
          <w:p w14:paraId="0CC35797">
            <w:pPr>
              <w:keepNext w:val="0"/>
              <w:keepLines w:val="0"/>
              <w:pageBreakBefore w:val="0"/>
              <w:widowControl w:val="0"/>
              <w:kinsoku/>
              <w:wordWrap/>
              <w:overflowPunct/>
              <w:topLinePunct w:val="0"/>
              <w:autoSpaceDE/>
              <w:autoSpaceDN/>
              <w:bidi w:val="0"/>
              <w:spacing w:line="500" w:lineRule="exact"/>
              <w:ind w:firstLine="420" w:firstLineChars="20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2、与规划环境影响评价符合性分析</w:t>
            </w:r>
          </w:p>
          <w:p w14:paraId="60DBDEAA">
            <w:pPr>
              <w:keepNext w:val="0"/>
              <w:keepLines w:val="0"/>
              <w:pageBreakBefore w:val="0"/>
              <w:widowControl w:val="0"/>
              <w:kinsoku/>
              <w:wordWrap/>
              <w:overflowPunct/>
              <w:topLinePunct w:val="0"/>
              <w:autoSpaceDE/>
              <w:autoSpaceDN/>
              <w:bidi w:val="0"/>
              <w:spacing w:line="500" w:lineRule="exact"/>
              <w:ind w:firstLine="420" w:firstLineChars="20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本项目位于</w:t>
            </w:r>
            <w:r>
              <w:rPr>
                <w:rFonts w:hint="eastAsia" w:ascii="Times New Roman" w:hAnsi="Times New Roman" w:eastAsia="宋体" w:cs="Times New Roman"/>
                <w:color w:val="auto"/>
                <w:kern w:val="2"/>
                <w:sz w:val="21"/>
                <w:szCs w:val="21"/>
                <w:lang w:val="en-US" w:eastAsia="zh-CN" w:bidi="ar-SA"/>
              </w:rPr>
              <w:t>常州市金坛经济开发区南二环东路2229号</w:t>
            </w:r>
            <w:r>
              <w:rPr>
                <w:rFonts w:hint="default" w:ascii="Times New Roman" w:hAnsi="Times New Roman" w:eastAsia="宋体" w:cs="Times New Roman"/>
                <w:color w:val="auto"/>
                <w:kern w:val="2"/>
                <w:sz w:val="21"/>
                <w:szCs w:val="21"/>
                <w:lang w:val="en-US" w:eastAsia="zh-CN" w:bidi="ar-SA"/>
              </w:rPr>
              <w:t>，所在用地为工业用地，符合区域用地规划，与</w:t>
            </w:r>
            <w:r>
              <w:rPr>
                <w:rFonts w:hint="eastAsia"/>
                <w:color w:val="auto"/>
                <w:kern w:val="0"/>
                <w:szCs w:val="21"/>
                <w:highlight w:val="none"/>
                <w:lang w:eastAsia="zh-CN"/>
              </w:rPr>
              <w:t>《</w:t>
            </w:r>
            <w:r>
              <w:rPr>
                <w:rFonts w:hint="eastAsia" w:ascii="Times New Roman" w:hAnsi="Times New Roman" w:eastAsia="宋体" w:cs="Times New Roman"/>
                <w:color w:val="auto"/>
                <w:szCs w:val="21"/>
                <w:highlight w:val="none"/>
                <w:lang w:eastAsia="zh-CN"/>
              </w:rPr>
              <w:t>江苏金坛经济开发区开发建设规划（2023-2035）</w:t>
            </w:r>
            <w:r>
              <w:rPr>
                <w:rFonts w:hint="eastAsia" w:ascii="Times New Roman" w:hAnsi="Times New Roman" w:eastAsia="宋体" w:cs="Times New Roman"/>
                <w:color w:val="auto"/>
                <w:szCs w:val="21"/>
                <w:highlight w:val="none"/>
                <w:lang w:val="en-US" w:eastAsia="zh-CN"/>
              </w:rPr>
              <w:t>环境影响报告书</w:t>
            </w:r>
            <w:r>
              <w:rPr>
                <w:rFonts w:hint="eastAsia"/>
                <w:color w:val="auto"/>
                <w:kern w:val="0"/>
                <w:szCs w:val="21"/>
                <w:highlight w:val="none"/>
                <w:lang w:eastAsia="zh-CN"/>
              </w:rPr>
              <w:t>》</w:t>
            </w:r>
            <w:r>
              <w:rPr>
                <w:color w:val="auto"/>
                <w:kern w:val="0"/>
                <w:szCs w:val="21"/>
                <w:highlight w:val="none"/>
              </w:rPr>
              <w:t>及《</w:t>
            </w:r>
            <w:r>
              <w:rPr>
                <w:rFonts w:hint="eastAsia"/>
                <w:color w:val="auto"/>
                <w:kern w:val="0"/>
                <w:szCs w:val="21"/>
                <w:highlight w:val="none"/>
                <w:lang w:eastAsia="zh-CN"/>
              </w:rPr>
              <w:t>省生态环境厅关于江苏金坛经济开发区开发建设规划（2025—2035年）环境影响报告书的审查意见</w:t>
            </w:r>
            <w:r>
              <w:rPr>
                <w:color w:val="auto"/>
                <w:kern w:val="0"/>
                <w:szCs w:val="21"/>
                <w:highlight w:val="none"/>
              </w:rPr>
              <w:t>》</w:t>
            </w:r>
            <w:r>
              <w:rPr>
                <w:rFonts w:hint="default" w:ascii="Times New Roman" w:hAnsi="Times New Roman" w:eastAsia="宋体" w:cs="Times New Roman"/>
                <w:color w:val="auto"/>
                <w:kern w:val="2"/>
                <w:sz w:val="21"/>
                <w:szCs w:val="21"/>
                <w:lang w:val="en-US" w:eastAsia="zh-CN" w:bidi="ar-SA"/>
              </w:rPr>
              <w:t>相符性分析见下表：</w:t>
            </w:r>
          </w:p>
          <w:p w14:paraId="384768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both"/>
              <w:textAlignment w:val="auto"/>
              <w:rPr>
                <w:rFonts w:hint="default" w:cs="Times New Roman"/>
                <w:color w:val="auto"/>
                <w:sz w:val="21"/>
                <w:szCs w:val="21"/>
                <w:lang w:val="en-US" w:eastAsia="zh-CN"/>
              </w:rPr>
            </w:pPr>
          </w:p>
        </w:tc>
      </w:tr>
      <w:tr w14:paraId="364DE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3" w:hRule="atLeast"/>
          <w:jc w:val="center"/>
        </w:trPr>
        <w:tc>
          <w:tcPr>
            <w:tcW w:w="619" w:type="dxa"/>
            <w:vAlign w:val="center"/>
          </w:tcPr>
          <w:p w14:paraId="782655BC">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规划及规划环境影响评价符合性分析</w:t>
            </w:r>
          </w:p>
        </w:tc>
        <w:tc>
          <w:tcPr>
            <w:tcW w:w="8285" w:type="dxa"/>
            <w:gridSpan w:val="4"/>
            <w:vAlign w:val="center"/>
          </w:tcPr>
          <w:p w14:paraId="07754D90">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b/>
                <w:bCs/>
                <w:color w:val="auto"/>
                <w:kern w:val="0"/>
                <w:sz w:val="21"/>
                <w:szCs w:val="21"/>
                <w:lang w:val="en-US" w:eastAsia="zh-CN" w:bidi="ar"/>
              </w:rPr>
            </w:pPr>
          </w:p>
          <w:p w14:paraId="786650D3">
            <w:pPr>
              <w:pStyle w:val="6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kern w:val="0"/>
                <w:sz w:val="21"/>
                <w:szCs w:val="21"/>
                <w:lang w:val="en-US" w:eastAsia="zh-CN" w:bidi="ar"/>
              </w:rPr>
              <w:t>表1-</w:t>
            </w:r>
            <w:r>
              <w:rPr>
                <w:rFonts w:hint="eastAsia" w:cs="Times New Roman"/>
                <w:b/>
                <w:bCs/>
                <w:color w:val="auto"/>
                <w:kern w:val="0"/>
                <w:sz w:val="21"/>
                <w:szCs w:val="21"/>
                <w:lang w:val="en-US" w:eastAsia="zh-CN" w:bidi="ar"/>
              </w:rPr>
              <w:t>1</w:t>
            </w:r>
            <w:r>
              <w:rPr>
                <w:rFonts w:hint="default" w:ascii="Times New Roman" w:hAnsi="Times New Roman" w:eastAsia="宋体" w:cs="Times New Roman"/>
                <w:b/>
                <w:bCs/>
                <w:color w:val="auto"/>
                <w:kern w:val="0"/>
                <w:sz w:val="21"/>
                <w:szCs w:val="21"/>
                <w:lang w:val="en-US" w:eastAsia="zh-CN" w:bidi="ar"/>
              </w:rPr>
              <w:t xml:space="preserve"> </w:t>
            </w:r>
            <w:r>
              <w:rPr>
                <w:rFonts w:hint="default"/>
                <w:b/>
                <w:bCs w:val="0"/>
                <w:color w:val="auto"/>
                <w:kern w:val="0"/>
                <w:sz w:val="21"/>
                <w:szCs w:val="21"/>
              </w:rPr>
              <w:t>项目与</w:t>
            </w:r>
            <w:r>
              <w:rPr>
                <w:rFonts w:hint="eastAsia"/>
                <w:b/>
                <w:bCs w:val="0"/>
                <w:color w:val="auto"/>
                <w:kern w:val="0"/>
                <w:sz w:val="21"/>
                <w:szCs w:val="21"/>
                <w:lang w:val="en-US" w:eastAsia="zh-CN"/>
              </w:rPr>
              <w:t>园区规划</w:t>
            </w:r>
            <w:r>
              <w:rPr>
                <w:rFonts w:hint="default"/>
                <w:b/>
                <w:bCs w:val="0"/>
                <w:color w:val="auto"/>
                <w:kern w:val="0"/>
                <w:sz w:val="21"/>
                <w:szCs w:val="21"/>
              </w:rPr>
              <w:t>环境影响报告书审查意见</w:t>
            </w:r>
            <w:r>
              <w:rPr>
                <w:rFonts w:hint="eastAsia"/>
                <w:b/>
                <w:bCs w:val="0"/>
                <w:color w:val="auto"/>
                <w:kern w:val="0"/>
                <w:sz w:val="21"/>
                <w:szCs w:val="21"/>
                <w:lang w:val="en-US" w:eastAsia="zh-CN"/>
              </w:rPr>
              <w:t>对照</w:t>
            </w:r>
            <w:r>
              <w:rPr>
                <w:rFonts w:hint="default"/>
                <w:b/>
                <w:bCs w:val="0"/>
                <w:color w:val="auto"/>
                <w:kern w:val="0"/>
                <w:sz w:val="21"/>
                <w:szCs w:val="21"/>
              </w:rPr>
              <w:t>分析</w:t>
            </w:r>
          </w:p>
          <w:tbl>
            <w:tblPr>
              <w:tblStyle w:val="31"/>
              <w:tblW w:w="5000" w:type="pct"/>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529"/>
              <w:gridCol w:w="4304"/>
              <w:gridCol w:w="2981"/>
              <w:gridCol w:w="538"/>
            </w:tblGrid>
            <w:tr w14:paraId="76CD4B8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2893" w:type="pct"/>
                  <w:gridSpan w:val="2"/>
                  <w:noWrap w:val="0"/>
                  <w:vAlign w:val="center"/>
                </w:tcPr>
                <w:p w14:paraId="23ED2F67">
                  <w:pPr>
                    <w:adjustRightInd w:val="0"/>
                    <w:snapToGrid w:val="0"/>
                    <w:spacing w:line="360" w:lineRule="exact"/>
                    <w:jc w:val="center"/>
                    <w:rPr>
                      <w:color w:val="auto"/>
                      <w:sz w:val="21"/>
                      <w:szCs w:val="21"/>
                    </w:rPr>
                  </w:pPr>
                  <w:r>
                    <w:rPr>
                      <w:b/>
                      <w:bCs/>
                      <w:color w:val="auto"/>
                      <w:sz w:val="21"/>
                      <w:szCs w:val="21"/>
                    </w:rPr>
                    <w:t>规划环评及审查意见</w:t>
                  </w:r>
                  <w:r>
                    <w:rPr>
                      <w:rFonts w:hint="eastAsia"/>
                      <w:b/>
                      <w:bCs/>
                      <w:color w:val="auto"/>
                      <w:sz w:val="21"/>
                      <w:szCs w:val="21"/>
                    </w:rPr>
                    <w:t>内容</w:t>
                  </w:r>
                </w:p>
              </w:tc>
              <w:tc>
                <w:tcPr>
                  <w:tcW w:w="1784" w:type="pct"/>
                  <w:noWrap w:val="0"/>
                  <w:vAlign w:val="center"/>
                </w:tcPr>
                <w:p w14:paraId="6338E6C9">
                  <w:pPr>
                    <w:pStyle w:val="100"/>
                    <w:rPr>
                      <w:color w:val="auto"/>
                      <w:sz w:val="21"/>
                      <w:szCs w:val="21"/>
                    </w:rPr>
                  </w:pPr>
                  <w:r>
                    <w:rPr>
                      <w:rFonts w:hint="default" w:ascii="Times New Roman" w:hAnsi="Times New Roman" w:eastAsia="宋体" w:cs="Times New Roman"/>
                      <w:b/>
                      <w:bCs/>
                      <w:color w:val="auto"/>
                      <w:sz w:val="21"/>
                      <w:szCs w:val="21"/>
                    </w:rPr>
                    <w:t>本项目</w:t>
                  </w:r>
                </w:p>
              </w:tc>
              <w:tc>
                <w:tcPr>
                  <w:tcW w:w="322" w:type="pct"/>
                  <w:noWrap w:val="0"/>
                  <w:vAlign w:val="center"/>
                </w:tcPr>
                <w:p w14:paraId="6B980FFE">
                  <w:pPr>
                    <w:pStyle w:val="100"/>
                    <w:rPr>
                      <w:color w:val="auto"/>
                      <w:sz w:val="21"/>
                      <w:szCs w:val="21"/>
                    </w:rPr>
                  </w:pPr>
                  <w:r>
                    <w:rPr>
                      <w:rFonts w:hint="default" w:ascii="Times New Roman" w:hAnsi="Times New Roman" w:eastAsia="宋体" w:cs="Times New Roman"/>
                      <w:b/>
                      <w:bCs/>
                      <w:color w:val="auto"/>
                      <w:sz w:val="21"/>
                      <w:szCs w:val="21"/>
                    </w:rPr>
                    <w:t>相符性</w:t>
                  </w:r>
                </w:p>
              </w:tc>
            </w:tr>
            <w:tr w14:paraId="24338DB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317" w:type="pct"/>
                  <w:noWrap w:val="0"/>
                  <w:vAlign w:val="center"/>
                </w:tcPr>
                <w:p w14:paraId="1F37FC96">
                  <w:pPr>
                    <w:adjustRightInd w:val="0"/>
                    <w:snapToGrid w:val="0"/>
                    <w:spacing w:line="360" w:lineRule="exact"/>
                    <w:jc w:val="center"/>
                    <w:rPr>
                      <w:color w:val="auto"/>
                      <w:sz w:val="21"/>
                      <w:szCs w:val="21"/>
                    </w:rPr>
                  </w:pPr>
                  <w:r>
                    <w:rPr>
                      <w:color w:val="auto"/>
                      <w:sz w:val="21"/>
                      <w:szCs w:val="21"/>
                    </w:rPr>
                    <w:t>规划范围</w:t>
                  </w:r>
                </w:p>
              </w:tc>
              <w:tc>
                <w:tcPr>
                  <w:tcW w:w="2575" w:type="pct"/>
                  <w:noWrap w:val="0"/>
                  <w:vAlign w:val="center"/>
                </w:tcPr>
                <w:p w14:paraId="156B9586">
                  <w:pPr>
                    <w:adjustRightInd w:val="0"/>
                    <w:snapToGrid w:val="0"/>
                    <w:spacing w:line="360" w:lineRule="exact"/>
                    <w:rPr>
                      <w:color w:val="auto"/>
                      <w:sz w:val="21"/>
                      <w:szCs w:val="21"/>
                    </w:rPr>
                  </w:pPr>
                  <w:r>
                    <w:rPr>
                      <w:color w:val="auto"/>
                      <w:sz w:val="21"/>
                      <w:szCs w:val="21"/>
                    </w:rPr>
                    <w:t>东至银湖路</w:t>
                  </w:r>
                  <w:r>
                    <w:rPr>
                      <w:rFonts w:hint="eastAsia"/>
                      <w:color w:val="auto"/>
                      <w:sz w:val="21"/>
                      <w:szCs w:val="21"/>
                    </w:rPr>
                    <w:t>，</w:t>
                  </w:r>
                  <w:r>
                    <w:rPr>
                      <w:color w:val="auto"/>
                      <w:sz w:val="21"/>
                      <w:szCs w:val="21"/>
                    </w:rPr>
                    <w:t>南至金坛大道—</w:t>
                  </w:r>
                  <w:r>
                    <w:rPr>
                      <w:rFonts w:hint="eastAsia"/>
                      <w:color w:val="auto"/>
                      <w:sz w:val="21"/>
                      <w:szCs w:val="21"/>
                    </w:rPr>
                    <w:t>鑫城大道</w:t>
                  </w:r>
                  <w:r>
                    <w:rPr>
                      <w:color w:val="auto"/>
                      <w:sz w:val="21"/>
                      <w:szCs w:val="21"/>
                    </w:rPr>
                    <w:t>—</w:t>
                  </w:r>
                  <w:r>
                    <w:rPr>
                      <w:rFonts w:hint="eastAsia"/>
                      <w:color w:val="auto"/>
                      <w:sz w:val="21"/>
                      <w:szCs w:val="21"/>
                    </w:rPr>
                    <w:t>华城路，西至丹金溧漕河，北至华洲路—通闸路—金城大道</w:t>
                  </w:r>
                  <w:r>
                    <w:rPr>
                      <w:rFonts w:cs="Times New Roman"/>
                      <w:color w:val="auto"/>
                      <w:sz w:val="21"/>
                      <w:szCs w:val="21"/>
                    </w:rPr>
                    <w:t>，规划总面积为</w:t>
                  </w:r>
                  <w:r>
                    <w:rPr>
                      <w:color w:val="auto"/>
                      <w:sz w:val="21"/>
                      <w:szCs w:val="21"/>
                    </w:rPr>
                    <w:t>36.53</w:t>
                  </w:r>
                  <w:r>
                    <w:rPr>
                      <w:rFonts w:hint="eastAsia"/>
                      <w:color w:val="auto"/>
                      <w:sz w:val="21"/>
                      <w:szCs w:val="21"/>
                    </w:rPr>
                    <w:t>平方公里。</w:t>
                  </w:r>
                </w:p>
              </w:tc>
              <w:tc>
                <w:tcPr>
                  <w:tcW w:w="1784" w:type="pct"/>
                  <w:noWrap w:val="0"/>
                  <w:vAlign w:val="center"/>
                </w:tcPr>
                <w:p w14:paraId="348C5BEA">
                  <w:pPr>
                    <w:adjustRightInd w:val="0"/>
                    <w:snapToGrid w:val="0"/>
                    <w:spacing w:line="3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本项目</w:t>
                  </w:r>
                  <w:r>
                    <w:rPr>
                      <w:rFonts w:hint="eastAsia" w:ascii="Times New Roman" w:hAnsi="Times New Roman" w:eastAsia="宋体" w:cs="Times New Roman"/>
                      <w:color w:val="auto"/>
                      <w:sz w:val="21"/>
                      <w:szCs w:val="21"/>
                      <w:lang w:val="en-US" w:eastAsia="zh-CN"/>
                    </w:rPr>
                    <w:t>位于</w:t>
                  </w:r>
                  <w:r>
                    <w:rPr>
                      <w:rFonts w:hint="eastAsia" w:cs="Times New Roman"/>
                      <w:color w:val="auto"/>
                      <w:sz w:val="21"/>
                      <w:szCs w:val="21"/>
                      <w:lang w:eastAsia="zh-CN"/>
                    </w:rPr>
                    <w:t>常州市金坛经济开发区南二环东路2229号</w:t>
                  </w:r>
                  <w:r>
                    <w:rPr>
                      <w:rFonts w:hint="eastAsia"/>
                      <w:snapToGrid w:val="0"/>
                      <w:color w:val="auto"/>
                      <w:kern w:val="0"/>
                      <w:sz w:val="21"/>
                      <w:szCs w:val="21"/>
                      <w:lang w:eastAsia="zh-CN"/>
                    </w:rPr>
                    <w:t>，</w:t>
                  </w:r>
                  <w:r>
                    <w:rPr>
                      <w:rFonts w:hint="eastAsia" w:ascii="Times New Roman" w:hAnsi="Times New Roman" w:eastAsia="宋体" w:cs="Times New Roman"/>
                      <w:color w:val="auto"/>
                      <w:sz w:val="21"/>
                      <w:szCs w:val="21"/>
                    </w:rPr>
                    <w:t>在江苏省金坛经济开发区范围内。</w:t>
                  </w:r>
                </w:p>
              </w:tc>
              <w:tc>
                <w:tcPr>
                  <w:tcW w:w="322" w:type="pct"/>
                  <w:noWrap w:val="0"/>
                  <w:vAlign w:val="center"/>
                </w:tcPr>
                <w:p w14:paraId="5D107C2D">
                  <w:pPr>
                    <w:adjustRightInd w:val="0"/>
                    <w:snapToGrid w:val="0"/>
                    <w:spacing w:line="360" w:lineRule="exact"/>
                    <w:rPr>
                      <w:rFonts w:hint="eastAsia"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390A628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317" w:type="pct"/>
                  <w:noWrap w:val="0"/>
                  <w:vAlign w:val="center"/>
                </w:tcPr>
                <w:p w14:paraId="3A938452">
                  <w:pPr>
                    <w:adjustRightInd w:val="0"/>
                    <w:snapToGrid w:val="0"/>
                    <w:spacing w:line="360" w:lineRule="exact"/>
                    <w:jc w:val="center"/>
                    <w:rPr>
                      <w:color w:val="auto"/>
                      <w:sz w:val="21"/>
                      <w:szCs w:val="21"/>
                    </w:rPr>
                  </w:pPr>
                  <w:r>
                    <w:rPr>
                      <w:rFonts w:hint="eastAsia"/>
                      <w:color w:val="auto"/>
                      <w:sz w:val="21"/>
                      <w:szCs w:val="21"/>
                    </w:rPr>
                    <w:t>产业定位</w:t>
                  </w:r>
                </w:p>
              </w:tc>
              <w:tc>
                <w:tcPr>
                  <w:tcW w:w="2575" w:type="pct"/>
                  <w:noWrap w:val="0"/>
                  <w:vAlign w:val="center"/>
                </w:tcPr>
                <w:p w14:paraId="091C0031">
                  <w:pPr>
                    <w:adjustRightInd w:val="0"/>
                    <w:snapToGrid w:val="0"/>
                    <w:spacing w:line="360" w:lineRule="exact"/>
                    <w:rPr>
                      <w:color w:val="auto"/>
                      <w:sz w:val="21"/>
                      <w:szCs w:val="21"/>
                    </w:rPr>
                  </w:pPr>
                  <w:r>
                    <w:rPr>
                      <w:rFonts w:hint="default" w:ascii="Times New Roman" w:hAnsi="Times New Roman" w:eastAsia="宋体" w:cs="Times New Roman"/>
                      <w:color w:val="auto"/>
                      <w:kern w:val="2"/>
                      <w:sz w:val="21"/>
                      <w:szCs w:val="21"/>
                      <w:lang w:val="en-US" w:eastAsia="zh-CN" w:bidi="ar-SA"/>
                    </w:rPr>
                    <w:t>提升改造传统产业（纺织服装、机械电子、装备制造），进一步巩固壮大新能源、新能源汽车、新智能、新医药、新材料五大新兴产业，构建“五新产业”发展体系，提速发展数字经济，加快智能化改造、数字化转型</w:t>
                  </w:r>
                  <w:r>
                    <w:rPr>
                      <w:rFonts w:hint="eastAsia"/>
                      <w:color w:val="auto"/>
                      <w:sz w:val="21"/>
                      <w:szCs w:val="21"/>
                    </w:rPr>
                    <w:t>。</w:t>
                  </w:r>
                </w:p>
              </w:tc>
              <w:tc>
                <w:tcPr>
                  <w:tcW w:w="1784" w:type="pct"/>
                  <w:noWrap w:val="0"/>
                  <w:vAlign w:val="center"/>
                </w:tcPr>
                <w:p w14:paraId="1A8FDBBC">
                  <w:pPr>
                    <w:adjustRightInd w:val="0"/>
                    <w:snapToGrid w:val="0"/>
                    <w:spacing w:line="360" w:lineRule="exact"/>
                    <w:rPr>
                      <w:rFonts w:hint="eastAsia"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本项目</w:t>
                  </w:r>
                  <w:r>
                    <w:rPr>
                      <w:rFonts w:hint="eastAsia" w:ascii="Times New Roman" w:hAnsi="Times New Roman" w:eastAsia="宋体" w:cs="Times New Roman"/>
                      <w:color w:val="auto"/>
                      <w:sz w:val="21"/>
                      <w:szCs w:val="21"/>
                      <w:lang w:val="en-US" w:eastAsia="zh-CN"/>
                    </w:rPr>
                    <w:t>为</w:t>
                  </w:r>
                  <w:r>
                    <w:rPr>
                      <w:rFonts w:hint="eastAsia" w:ascii="Times New Roman" w:hAnsi="Times New Roman" w:eastAsia="宋体" w:cs="Times New Roman"/>
                      <w:color w:val="auto"/>
                      <w:kern w:val="2"/>
                      <w:sz w:val="21"/>
                      <w:szCs w:val="21"/>
                      <w:lang w:val="en-US" w:eastAsia="zh-CN" w:bidi="ar-SA"/>
                    </w:rPr>
                    <w:t>C2921塑料薄膜制造</w:t>
                  </w:r>
                  <w:r>
                    <w:rPr>
                      <w:rFonts w:hint="default" w:ascii="Times New Roman" w:hAnsi="Times New Roman" w:eastAsia="宋体" w:cs="Times New Roman"/>
                      <w:color w:val="auto"/>
                      <w:sz w:val="18"/>
                      <w:szCs w:val="18"/>
                      <w:lang w:val="en-US" w:eastAsia="zh-CN"/>
                    </w:rPr>
                    <w:t>，</w:t>
                  </w:r>
                  <w:r>
                    <w:rPr>
                      <w:rFonts w:hint="eastAsia" w:ascii="Times New Roman" w:hAnsi="Times New Roman" w:eastAsia="宋体" w:cs="Times New Roman"/>
                      <w:color w:val="auto"/>
                      <w:kern w:val="2"/>
                      <w:sz w:val="21"/>
                      <w:szCs w:val="21"/>
                      <w:lang w:val="en-US" w:eastAsia="zh-CN" w:bidi="ar-SA"/>
                    </w:rPr>
                    <w:t>属于高性能光伏组件配件，属于园区主导产业新能源行业配套产业，符合园区产业定位</w:t>
                  </w:r>
                  <w:r>
                    <w:rPr>
                      <w:rFonts w:hint="eastAsia" w:ascii="Times New Roman" w:hAnsi="Times New Roman" w:eastAsia="宋体" w:cs="Times New Roman"/>
                      <w:color w:val="auto"/>
                      <w:sz w:val="21"/>
                      <w:szCs w:val="21"/>
                    </w:rPr>
                    <w:t>。</w:t>
                  </w:r>
                </w:p>
              </w:tc>
              <w:tc>
                <w:tcPr>
                  <w:tcW w:w="322" w:type="pct"/>
                  <w:noWrap w:val="0"/>
                  <w:vAlign w:val="center"/>
                </w:tcPr>
                <w:p w14:paraId="77F390F6">
                  <w:pPr>
                    <w:adjustRightInd w:val="0"/>
                    <w:snapToGrid w:val="0"/>
                    <w:spacing w:line="360" w:lineRule="exact"/>
                    <w:rPr>
                      <w:rFonts w:hint="eastAsia"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56A4D17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317" w:type="pct"/>
                  <w:vMerge w:val="restart"/>
                  <w:noWrap w:val="0"/>
                  <w:vAlign w:val="center"/>
                </w:tcPr>
                <w:p w14:paraId="2F20D060">
                  <w:pPr>
                    <w:adjustRightInd w:val="0"/>
                    <w:snapToGrid w:val="0"/>
                    <w:spacing w:line="360" w:lineRule="exact"/>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基础设施</w:t>
                  </w:r>
                </w:p>
              </w:tc>
              <w:tc>
                <w:tcPr>
                  <w:tcW w:w="2575" w:type="pct"/>
                  <w:noWrap w:val="0"/>
                  <w:vAlign w:val="center"/>
                </w:tcPr>
                <w:p w14:paraId="22E4570D">
                  <w:pPr>
                    <w:adjustRightInd w:val="0"/>
                    <w:snapToGrid w:val="0"/>
                    <w:spacing w:line="360" w:lineRule="exac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生活污水及</w:t>
                  </w:r>
                  <w:r>
                    <w:rPr>
                      <w:rFonts w:hint="eastAsia" w:cs="Times New Roman"/>
                      <w:color w:val="auto"/>
                      <w:sz w:val="21"/>
                      <w:szCs w:val="21"/>
                      <w:lang w:val="en-US" w:eastAsia="zh-CN"/>
                    </w:rPr>
                    <w:t>无须</w:t>
                  </w:r>
                  <w:r>
                    <w:rPr>
                      <w:rFonts w:hint="default" w:ascii="Times New Roman" w:hAnsi="Times New Roman" w:eastAsia="宋体" w:cs="Times New Roman"/>
                      <w:color w:val="auto"/>
                      <w:sz w:val="21"/>
                      <w:szCs w:val="21"/>
                      <w:lang w:val="en-US" w:eastAsia="zh-CN"/>
                    </w:rPr>
                    <w:t>分质处理的工业废水分片收集后，经泵站提升进金坛第二污水处理厂集中处理。需分质处理的工业废水均由单独管道输送至在建的金坛工业污水厂处理</w:t>
                  </w:r>
                </w:p>
              </w:tc>
              <w:tc>
                <w:tcPr>
                  <w:tcW w:w="1784" w:type="pct"/>
                  <w:noWrap w:val="0"/>
                  <w:vAlign w:val="center"/>
                </w:tcPr>
                <w:p w14:paraId="21A579B0">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w:t>
                  </w:r>
                  <w:r>
                    <w:rPr>
                      <w:rFonts w:hint="eastAsia" w:ascii="Times New Roman" w:hAnsi="Times New Roman" w:cs="Times New Roman"/>
                      <w:color w:val="auto"/>
                      <w:sz w:val="21"/>
                      <w:szCs w:val="21"/>
                      <w:lang w:val="en-US" w:eastAsia="zh-CN"/>
                    </w:rPr>
                    <w:t>不新增</w:t>
                  </w:r>
                  <w:r>
                    <w:rPr>
                      <w:rFonts w:hint="eastAsia" w:ascii="Times New Roman" w:hAnsi="Times New Roman" w:eastAsia="宋体" w:cs="Times New Roman"/>
                      <w:color w:val="auto"/>
                      <w:sz w:val="21"/>
                      <w:szCs w:val="21"/>
                      <w:lang w:val="en-US" w:eastAsia="zh-CN"/>
                    </w:rPr>
                    <w:t>生活污水</w:t>
                  </w:r>
                  <w:r>
                    <w:rPr>
                      <w:rFonts w:hint="eastAsia" w:ascii="Times New Roman" w:hAnsi="Times New Roman" w:cs="Times New Roman"/>
                      <w:color w:val="auto"/>
                      <w:sz w:val="21"/>
                      <w:szCs w:val="21"/>
                      <w:lang w:val="en-US" w:eastAsia="zh-CN"/>
                    </w:rPr>
                    <w:t>排放</w:t>
                  </w:r>
                </w:p>
              </w:tc>
              <w:tc>
                <w:tcPr>
                  <w:tcW w:w="322" w:type="pct"/>
                  <w:noWrap w:val="0"/>
                  <w:vAlign w:val="center"/>
                </w:tcPr>
                <w:p w14:paraId="09C58C29">
                  <w:pPr>
                    <w:adjustRightInd w:val="0"/>
                    <w:snapToGrid w:val="0"/>
                    <w:spacing w:line="360" w:lineRule="exac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相符</w:t>
                  </w:r>
                </w:p>
              </w:tc>
            </w:tr>
            <w:tr w14:paraId="0CFE557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317" w:type="pct"/>
                  <w:vMerge w:val="continue"/>
                  <w:noWrap w:val="0"/>
                  <w:vAlign w:val="center"/>
                </w:tcPr>
                <w:p w14:paraId="66A69755">
                  <w:pPr>
                    <w:adjustRightInd w:val="0"/>
                    <w:snapToGrid w:val="0"/>
                    <w:spacing w:line="360" w:lineRule="exact"/>
                    <w:rPr>
                      <w:rFonts w:hint="default" w:ascii="Times New Roman" w:hAnsi="Times New Roman" w:eastAsia="宋体" w:cs="Times New Roman"/>
                      <w:color w:val="auto"/>
                      <w:sz w:val="21"/>
                      <w:szCs w:val="21"/>
                      <w:lang w:val="en-US" w:eastAsia="zh-CN"/>
                    </w:rPr>
                  </w:pPr>
                </w:p>
              </w:tc>
              <w:tc>
                <w:tcPr>
                  <w:tcW w:w="2575" w:type="pct"/>
                  <w:noWrap w:val="0"/>
                  <w:vAlign w:val="center"/>
                </w:tcPr>
                <w:p w14:paraId="0B3F7D8D">
                  <w:pPr>
                    <w:adjustRightInd w:val="0"/>
                    <w:snapToGrid w:val="0"/>
                    <w:spacing w:line="360" w:lineRule="exac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本次规划依托加怡热电厂、大唐燃气热电厂对有用热需求的企业实施集中供热</w:t>
                  </w:r>
                </w:p>
              </w:tc>
              <w:tc>
                <w:tcPr>
                  <w:tcW w:w="1784" w:type="pct"/>
                  <w:noWrap w:val="0"/>
                  <w:vAlign w:val="center"/>
                </w:tcPr>
                <w:p w14:paraId="34877390">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项目不涉及</w:t>
                  </w:r>
                </w:p>
              </w:tc>
              <w:tc>
                <w:tcPr>
                  <w:tcW w:w="322" w:type="pct"/>
                  <w:noWrap w:val="0"/>
                  <w:vAlign w:val="center"/>
                </w:tcPr>
                <w:p w14:paraId="654A4D6A">
                  <w:pPr>
                    <w:adjustRightInd w:val="0"/>
                    <w:snapToGrid w:val="0"/>
                    <w:spacing w:line="360" w:lineRule="exac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相符</w:t>
                  </w:r>
                </w:p>
              </w:tc>
            </w:tr>
          </w:tbl>
          <w:p w14:paraId="32A4511E">
            <w:pPr>
              <w:keepNext w:val="0"/>
              <w:keepLines w:val="0"/>
              <w:pageBreakBefore w:val="0"/>
              <w:widowControl w:val="0"/>
              <w:kinsoku/>
              <w:wordWrap/>
              <w:overflowPunct/>
              <w:topLinePunct w:val="0"/>
              <w:autoSpaceDE w:val="0"/>
              <w:autoSpaceDN w:val="0"/>
              <w:bidi w:val="0"/>
              <w:adjustRightInd w:val="0"/>
              <w:snapToGrid w:val="0"/>
              <w:spacing w:line="500" w:lineRule="exact"/>
              <w:jc w:val="center"/>
              <w:textAlignment w:val="auto"/>
              <w:rPr>
                <w:rFonts w:ascii="Times New Roman" w:hAnsi="Times New Roman" w:eastAsia="宋体" w:cs="Times New Roman"/>
                <w:b/>
                <w:color w:val="auto"/>
                <w:kern w:val="0"/>
                <w:szCs w:val="21"/>
              </w:rPr>
            </w:pPr>
            <w:r>
              <w:rPr>
                <w:rFonts w:ascii="Times New Roman" w:hAnsi="Times New Roman" w:eastAsia="宋体" w:cs="Times New Roman"/>
                <w:b/>
                <w:color w:val="auto"/>
                <w:kern w:val="0"/>
                <w:szCs w:val="21"/>
              </w:rPr>
              <w:t>表1-</w:t>
            </w:r>
            <w:r>
              <w:rPr>
                <w:rFonts w:hint="eastAsia" w:ascii="Times New Roman" w:hAnsi="Times New Roman" w:eastAsia="宋体" w:cs="Times New Roman"/>
                <w:b/>
                <w:color w:val="auto"/>
                <w:kern w:val="0"/>
                <w:szCs w:val="21"/>
                <w:lang w:val="en-US" w:eastAsia="zh-CN"/>
              </w:rPr>
              <w:t>2</w:t>
            </w:r>
            <w:r>
              <w:rPr>
                <w:rFonts w:ascii="Times New Roman" w:hAnsi="Times New Roman" w:eastAsia="宋体" w:cs="Times New Roman"/>
                <w:b/>
                <w:color w:val="auto"/>
                <w:kern w:val="0"/>
                <w:szCs w:val="21"/>
              </w:rPr>
              <w:t xml:space="preserve">  项目与</w:t>
            </w:r>
            <w:r>
              <w:rPr>
                <w:rFonts w:hint="eastAsia" w:ascii="Times New Roman" w:hAnsi="Times New Roman" w:eastAsia="宋体" w:cs="Times New Roman"/>
                <w:b/>
                <w:color w:val="auto"/>
                <w:kern w:val="0"/>
                <w:szCs w:val="21"/>
              </w:rPr>
              <w:t>江苏金坛经济开发区</w:t>
            </w:r>
            <w:r>
              <w:rPr>
                <w:rFonts w:ascii="Times New Roman" w:hAnsi="Times New Roman" w:eastAsia="宋体" w:cs="Times New Roman"/>
                <w:b/>
                <w:color w:val="auto"/>
                <w:kern w:val="0"/>
                <w:szCs w:val="21"/>
              </w:rPr>
              <w:t>生态环境准入清单相符性分析</w:t>
            </w:r>
          </w:p>
          <w:tbl>
            <w:tblPr>
              <w:tblStyle w:val="31"/>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6"/>
              <w:gridCol w:w="972"/>
              <w:gridCol w:w="3578"/>
              <w:gridCol w:w="2638"/>
              <w:gridCol w:w="695"/>
            </w:tblGrid>
            <w:tr w14:paraId="01B8A8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861" w:type="pct"/>
                  <w:gridSpan w:val="2"/>
                  <w:noWrap w:val="0"/>
                  <w:vAlign w:val="center"/>
                </w:tcPr>
                <w:p w14:paraId="31A060EC">
                  <w:pPr>
                    <w:spacing w:line="320" w:lineRule="exact"/>
                    <w:ind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清单类型</w:t>
                  </w:r>
                </w:p>
              </w:tc>
              <w:tc>
                <w:tcPr>
                  <w:tcW w:w="2142" w:type="pct"/>
                  <w:noWrap w:val="0"/>
                  <w:vAlign w:val="center"/>
                </w:tcPr>
                <w:p w14:paraId="473BAA2E">
                  <w:pPr>
                    <w:spacing w:line="320" w:lineRule="exact"/>
                    <w:ind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准入内容</w:t>
                  </w:r>
                </w:p>
              </w:tc>
              <w:tc>
                <w:tcPr>
                  <w:tcW w:w="1579" w:type="pct"/>
                  <w:noWrap w:val="0"/>
                  <w:vAlign w:val="center"/>
                </w:tcPr>
                <w:p w14:paraId="18EDCB72">
                  <w:pPr>
                    <w:spacing w:line="320" w:lineRule="exact"/>
                    <w:ind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w:t>
                  </w:r>
                </w:p>
              </w:tc>
              <w:tc>
                <w:tcPr>
                  <w:tcW w:w="416" w:type="pct"/>
                  <w:noWrap w:val="0"/>
                  <w:vAlign w:val="center"/>
                </w:tcPr>
                <w:p w14:paraId="342848CA">
                  <w:pPr>
                    <w:spacing w:line="320" w:lineRule="exact"/>
                    <w:ind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相符性</w:t>
                  </w:r>
                </w:p>
              </w:tc>
            </w:tr>
            <w:tr w14:paraId="486F60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279" w:type="pct"/>
                  <w:vMerge w:val="restart"/>
                  <w:noWrap w:val="0"/>
                  <w:vAlign w:val="center"/>
                </w:tcPr>
                <w:p w14:paraId="060ED5C8">
                  <w:pPr>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p w14:paraId="607A9646">
                  <w:pPr>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准入</w:t>
                  </w:r>
                </w:p>
              </w:tc>
              <w:tc>
                <w:tcPr>
                  <w:tcW w:w="581" w:type="pct"/>
                  <w:vMerge w:val="restart"/>
                  <w:noWrap w:val="0"/>
                  <w:vAlign w:val="center"/>
                </w:tcPr>
                <w:p w14:paraId="371CE757">
                  <w:pPr>
                    <w:spacing w:line="320" w:lineRule="exact"/>
                    <w:ind w:firstLine="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限制</w:t>
                  </w:r>
                </w:p>
                <w:p w14:paraId="2EF18877">
                  <w:pPr>
                    <w:spacing w:line="320" w:lineRule="exact"/>
                    <w:ind w:firstLine="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引入</w:t>
                  </w:r>
                </w:p>
              </w:tc>
              <w:tc>
                <w:tcPr>
                  <w:tcW w:w="2142" w:type="pct"/>
                  <w:noWrap w:val="0"/>
                  <w:vAlign w:val="center"/>
                </w:tcPr>
                <w:p w14:paraId="5E9237A3">
                  <w:pPr>
                    <w:spacing w:line="320" w:lineRule="exact"/>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1.《产业结构调整指导目录》《江苏省太湖流域禁止和限制的产业产品目录》《江苏省工业和信息产业结构调整限制淘汰目录和能耗限额》等中限制类项目。</w:t>
                  </w:r>
                </w:p>
              </w:tc>
              <w:tc>
                <w:tcPr>
                  <w:tcW w:w="1579" w:type="pct"/>
                  <w:noWrap w:val="0"/>
                  <w:vAlign w:val="center"/>
                </w:tcPr>
                <w:p w14:paraId="4C14D12E">
                  <w:pPr>
                    <w:spacing w:line="320" w:lineRule="exact"/>
                    <w:ind w:firstLine="0"/>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本项目不属于</w:t>
                  </w:r>
                  <w:r>
                    <w:rPr>
                      <w:rFonts w:hint="default" w:ascii="Times New Roman" w:hAnsi="Times New Roman" w:eastAsia="宋体" w:cs="Times New Roman"/>
                      <w:color w:val="auto"/>
                      <w:sz w:val="21"/>
                      <w:szCs w:val="21"/>
                    </w:rPr>
                    <w:t>《产业结构调整指导目录》《江苏省太湖流域禁止和限制的产业产品目录》《江苏省工业和信息产业结构调整限制淘汰目录和能耗限额》等中限制类项目</w:t>
                  </w:r>
                </w:p>
              </w:tc>
              <w:tc>
                <w:tcPr>
                  <w:tcW w:w="416" w:type="pct"/>
                  <w:noWrap w:val="0"/>
                  <w:vAlign w:val="center"/>
                </w:tcPr>
                <w:p w14:paraId="36BEF72B">
                  <w:pPr>
                    <w:spacing w:line="320" w:lineRule="exact"/>
                    <w:ind w:firstLine="0"/>
                    <w:rPr>
                      <w:rFonts w:hint="eastAsia"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lang w:val="en-US" w:eastAsia="zh-CN"/>
                    </w:rPr>
                    <w:t>相符</w:t>
                  </w:r>
                </w:p>
              </w:tc>
            </w:tr>
            <w:tr w14:paraId="106889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9" w:type="pct"/>
                  <w:vMerge w:val="continue"/>
                  <w:noWrap w:val="0"/>
                  <w:vAlign w:val="center"/>
                </w:tcPr>
                <w:p w14:paraId="350BFFBC">
                  <w:pPr>
                    <w:spacing w:line="320" w:lineRule="exact"/>
                    <w:ind w:firstLine="0"/>
                    <w:jc w:val="center"/>
                    <w:rPr>
                      <w:rFonts w:hint="default" w:ascii="Times New Roman" w:hAnsi="Times New Roman" w:eastAsia="宋体" w:cs="Times New Roman"/>
                      <w:color w:val="auto"/>
                      <w:sz w:val="21"/>
                      <w:szCs w:val="21"/>
                    </w:rPr>
                  </w:pPr>
                </w:p>
              </w:tc>
              <w:tc>
                <w:tcPr>
                  <w:tcW w:w="581" w:type="pct"/>
                  <w:vMerge w:val="continue"/>
                  <w:noWrap w:val="0"/>
                  <w:vAlign w:val="center"/>
                </w:tcPr>
                <w:p w14:paraId="19C3E180">
                  <w:pPr>
                    <w:spacing w:line="320" w:lineRule="exact"/>
                    <w:ind w:firstLine="0"/>
                    <w:jc w:val="center"/>
                    <w:rPr>
                      <w:rFonts w:hint="default" w:ascii="Times New Roman" w:hAnsi="Times New Roman" w:eastAsia="宋体" w:cs="Times New Roman"/>
                      <w:bCs/>
                      <w:color w:val="auto"/>
                      <w:sz w:val="21"/>
                      <w:szCs w:val="21"/>
                    </w:rPr>
                  </w:pPr>
                </w:p>
              </w:tc>
              <w:tc>
                <w:tcPr>
                  <w:tcW w:w="2142" w:type="pct"/>
                  <w:noWrap w:val="0"/>
                  <w:vAlign w:val="center"/>
                </w:tcPr>
                <w:p w14:paraId="63478A65">
                  <w:pPr>
                    <w:spacing w:line="320" w:lineRule="exact"/>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根据《江苏省“两高”项目管理名录（2025年版）》文件要求，限制涉及“纳入重点管理范围的产品和装置”项目进驻，若有“两高”项目进驻，应满足《关于加强高耗能、高排放建设项目生态环境源头防控的指导意见》等国家、省相关文件要求。</w:t>
                  </w:r>
                </w:p>
              </w:tc>
              <w:tc>
                <w:tcPr>
                  <w:tcW w:w="1579" w:type="pct"/>
                  <w:noWrap w:val="0"/>
                  <w:vAlign w:val="center"/>
                </w:tcPr>
                <w:p w14:paraId="0A8A8089">
                  <w:pPr>
                    <w:spacing w:line="320" w:lineRule="exact"/>
                    <w:ind w:firstLine="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本项目属于</w:t>
                  </w:r>
                  <w:r>
                    <w:rPr>
                      <w:rFonts w:hint="eastAsia" w:ascii="Times New Roman" w:hAnsi="Times New Roman" w:eastAsia="宋体" w:cs="Times New Roman"/>
                      <w:color w:val="auto"/>
                      <w:kern w:val="2"/>
                      <w:sz w:val="21"/>
                      <w:szCs w:val="21"/>
                      <w:lang w:val="en-US" w:eastAsia="zh-CN" w:bidi="ar-SA"/>
                    </w:rPr>
                    <w:t>C2921塑料薄膜制造</w:t>
                  </w:r>
                  <w:r>
                    <w:rPr>
                      <w:rFonts w:hint="eastAsia"/>
                      <w:snapToGrid w:val="0"/>
                      <w:color w:val="auto"/>
                      <w:kern w:val="0"/>
                      <w:sz w:val="21"/>
                      <w:szCs w:val="21"/>
                      <w:lang w:eastAsia="zh-CN"/>
                    </w:rPr>
                    <w:t>，</w:t>
                  </w:r>
                  <w:r>
                    <w:rPr>
                      <w:rFonts w:hint="eastAsia"/>
                      <w:snapToGrid w:val="0"/>
                      <w:color w:val="auto"/>
                      <w:kern w:val="0"/>
                      <w:sz w:val="21"/>
                      <w:szCs w:val="21"/>
                      <w:lang w:val="en-US" w:eastAsia="zh-CN"/>
                    </w:rPr>
                    <w:t>不属于</w:t>
                  </w:r>
                  <w:r>
                    <w:rPr>
                      <w:rFonts w:hint="default" w:ascii="Times New Roman" w:hAnsi="Times New Roman" w:eastAsia="宋体" w:cs="Times New Roman"/>
                      <w:color w:val="auto"/>
                      <w:sz w:val="21"/>
                      <w:szCs w:val="21"/>
                    </w:rPr>
                    <w:t>“两高”项目</w:t>
                  </w:r>
                </w:p>
              </w:tc>
              <w:tc>
                <w:tcPr>
                  <w:tcW w:w="416" w:type="pct"/>
                  <w:noWrap w:val="0"/>
                  <w:vAlign w:val="center"/>
                </w:tcPr>
                <w:p w14:paraId="10978448">
                  <w:pPr>
                    <w:spacing w:line="320" w:lineRule="exact"/>
                    <w:ind w:firstLine="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相符</w:t>
                  </w:r>
                </w:p>
              </w:tc>
            </w:tr>
            <w:tr w14:paraId="1B57F0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9" w:type="pct"/>
                  <w:vMerge w:val="continue"/>
                  <w:noWrap w:val="0"/>
                  <w:vAlign w:val="center"/>
                </w:tcPr>
                <w:p w14:paraId="12BFD294">
                  <w:pPr>
                    <w:spacing w:line="320" w:lineRule="exact"/>
                    <w:ind w:firstLine="0"/>
                    <w:jc w:val="center"/>
                    <w:rPr>
                      <w:rFonts w:hint="default" w:ascii="Times New Roman" w:hAnsi="Times New Roman" w:eastAsia="宋体" w:cs="Times New Roman"/>
                      <w:color w:val="auto"/>
                      <w:sz w:val="21"/>
                      <w:szCs w:val="21"/>
                    </w:rPr>
                  </w:pPr>
                </w:p>
              </w:tc>
              <w:tc>
                <w:tcPr>
                  <w:tcW w:w="581" w:type="pct"/>
                  <w:vMerge w:val="continue"/>
                  <w:noWrap w:val="0"/>
                  <w:vAlign w:val="center"/>
                </w:tcPr>
                <w:p w14:paraId="22328520">
                  <w:pPr>
                    <w:spacing w:line="320" w:lineRule="exact"/>
                    <w:ind w:firstLine="0"/>
                    <w:jc w:val="center"/>
                    <w:rPr>
                      <w:rFonts w:hint="default" w:ascii="Times New Roman" w:hAnsi="Times New Roman" w:eastAsia="宋体" w:cs="Times New Roman"/>
                      <w:bCs/>
                      <w:color w:val="auto"/>
                      <w:sz w:val="21"/>
                      <w:szCs w:val="21"/>
                    </w:rPr>
                  </w:pPr>
                </w:p>
              </w:tc>
              <w:tc>
                <w:tcPr>
                  <w:tcW w:w="2142" w:type="pct"/>
                  <w:noWrap w:val="0"/>
                  <w:vAlign w:val="center"/>
                </w:tcPr>
                <w:p w14:paraId="3147C197">
                  <w:pPr>
                    <w:spacing w:line="320" w:lineRule="exact"/>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3.限制在居民区、学校附近布局排放异味废气污染物的企业。</w:t>
                  </w:r>
                </w:p>
              </w:tc>
              <w:tc>
                <w:tcPr>
                  <w:tcW w:w="1579" w:type="pct"/>
                  <w:noWrap w:val="0"/>
                  <w:vAlign w:val="center"/>
                </w:tcPr>
                <w:p w14:paraId="5EC2C5FF">
                  <w:pPr>
                    <w:spacing w:line="320" w:lineRule="exact"/>
                    <w:ind w:firstLine="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本项目周边500m范围无</w:t>
                  </w:r>
                  <w:r>
                    <w:rPr>
                      <w:rFonts w:hint="default" w:ascii="Times New Roman" w:hAnsi="Times New Roman" w:eastAsia="宋体" w:cs="Times New Roman"/>
                      <w:color w:val="auto"/>
                      <w:sz w:val="21"/>
                      <w:szCs w:val="21"/>
                    </w:rPr>
                    <w:t>居民区、学校</w:t>
                  </w:r>
                </w:p>
              </w:tc>
              <w:tc>
                <w:tcPr>
                  <w:tcW w:w="416" w:type="pct"/>
                  <w:noWrap w:val="0"/>
                  <w:vAlign w:val="center"/>
                </w:tcPr>
                <w:p w14:paraId="09693D13">
                  <w:pPr>
                    <w:spacing w:line="320" w:lineRule="exact"/>
                    <w:ind w:firstLine="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相符</w:t>
                  </w:r>
                </w:p>
              </w:tc>
            </w:tr>
            <w:tr w14:paraId="5DC092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9" w:type="pct"/>
                  <w:vMerge w:val="continue"/>
                  <w:noWrap w:val="0"/>
                  <w:vAlign w:val="center"/>
                </w:tcPr>
                <w:p w14:paraId="54AF76F1">
                  <w:pPr>
                    <w:spacing w:line="320" w:lineRule="exact"/>
                    <w:ind w:firstLine="0"/>
                    <w:jc w:val="center"/>
                    <w:rPr>
                      <w:rFonts w:hint="default" w:ascii="Times New Roman" w:hAnsi="Times New Roman" w:eastAsia="宋体" w:cs="Times New Roman"/>
                      <w:color w:val="auto"/>
                      <w:sz w:val="21"/>
                      <w:szCs w:val="21"/>
                    </w:rPr>
                  </w:pPr>
                </w:p>
              </w:tc>
              <w:tc>
                <w:tcPr>
                  <w:tcW w:w="581" w:type="pct"/>
                  <w:vMerge w:val="restart"/>
                  <w:noWrap w:val="0"/>
                  <w:vAlign w:val="center"/>
                </w:tcPr>
                <w:p w14:paraId="10ACFD1C">
                  <w:pPr>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w:t>
                  </w:r>
                </w:p>
                <w:p w14:paraId="7A579F8F">
                  <w:pPr>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引入</w:t>
                  </w:r>
                </w:p>
              </w:tc>
              <w:tc>
                <w:tcPr>
                  <w:tcW w:w="2142" w:type="pct"/>
                  <w:noWrap w:val="0"/>
                  <w:vAlign w:val="center"/>
                </w:tcPr>
                <w:p w14:paraId="24B800F7">
                  <w:pPr>
                    <w:spacing w:line="320" w:lineRule="exact"/>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1、禁止引入《产业结构调整指导目录》《江苏省太湖流域禁止和限制的产业产品目录》及其他国家和地方产业政策中淘汰或禁止类的建设项目和工艺。</w:t>
                  </w:r>
                </w:p>
              </w:tc>
              <w:tc>
                <w:tcPr>
                  <w:tcW w:w="1579" w:type="pct"/>
                  <w:noWrap w:val="0"/>
                  <w:vAlign w:val="center"/>
                </w:tcPr>
                <w:p w14:paraId="39D9E5CC">
                  <w:pPr>
                    <w:spacing w:line="320" w:lineRule="exact"/>
                    <w:ind w:firstLine="0"/>
                    <w:rPr>
                      <w:rFonts w:hint="default" w:ascii="Times New Roman" w:hAnsi="Times New Roman" w:eastAsia="宋体" w:cs="Times New Roman"/>
                      <w:color w:val="auto"/>
                      <w:sz w:val="21"/>
                      <w:szCs w:val="21"/>
                    </w:rPr>
                  </w:pPr>
                  <w:r>
                    <w:rPr>
                      <w:rFonts w:hint="eastAsia" w:ascii="Times New Roman" w:hAnsi="Times New Roman" w:eastAsia="宋体" w:cs="Times New Roman"/>
                      <w:bCs/>
                      <w:color w:val="auto"/>
                      <w:sz w:val="21"/>
                      <w:szCs w:val="21"/>
                      <w:lang w:val="en-US" w:eastAsia="zh-CN"/>
                    </w:rPr>
                    <w:t>本项目不属于</w:t>
                  </w:r>
                  <w:r>
                    <w:rPr>
                      <w:rFonts w:hint="default" w:ascii="Times New Roman" w:hAnsi="Times New Roman" w:eastAsia="宋体" w:cs="Times New Roman"/>
                      <w:color w:val="auto"/>
                      <w:sz w:val="21"/>
                      <w:szCs w:val="21"/>
                    </w:rPr>
                    <w:t>《产业结构调整指导目录》《江苏省太湖流域禁止和限制的产业产品目录》及其他国家和地方产业政策中淘汰或禁止类的建设项目和工艺。</w:t>
                  </w:r>
                </w:p>
              </w:tc>
              <w:tc>
                <w:tcPr>
                  <w:tcW w:w="416" w:type="pct"/>
                  <w:noWrap w:val="0"/>
                  <w:vAlign w:val="center"/>
                </w:tcPr>
                <w:p w14:paraId="1CA8AB3E">
                  <w:pPr>
                    <w:spacing w:line="320" w:lineRule="exact"/>
                    <w:ind w:firstLine="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相符</w:t>
                  </w:r>
                </w:p>
              </w:tc>
            </w:tr>
            <w:tr w14:paraId="392CFB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9" w:type="pct"/>
                  <w:vMerge w:val="continue"/>
                  <w:noWrap w:val="0"/>
                  <w:vAlign w:val="center"/>
                </w:tcPr>
                <w:p w14:paraId="24AD4794">
                  <w:pPr>
                    <w:spacing w:line="320" w:lineRule="exact"/>
                    <w:ind w:firstLine="0"/>
                    <w:jc w:val="center"/>
                    <w:rPr>
                      <w:rFonts w:hint="default" w:ascii="Times New Roman" w:hAnsi="Times New Roman" w:eastAsia="宋体" w:cs="Times New Roman"/>
                      <w:color w:val="auto"/>
                      <w:sz w:val="21"/>
                      <w:szCs w:val="21"/>
                    </w:rPr>
                  </w:pPr>
                </w:p>
              </w:tc>
              <w:tc>
                <w:tcPr>
                  <w:tcW w:w="581" w:type="pct"/>
                  <w:vMerge w:val="continue"/>
                  <w:noWrap w:val="0"/>
                  <w:vAlign w:val="center"/>
                </w:tcPr>
                <w:p w14:paraId="2B5C2A74">
                  <w:pPr>
                    <w:spacing w:line="320" w:lineRule="exact"/>
                    <w:ind w:firstLine="0"/>
                    <w:jc w:val="center"/>
                    <w:rPr>
                      <w:rFonts w:hint="default" w:ascii="Times New Roman" w:hAnsi="Times New Roman" w:eastAsia="宋体" w:cs="Times New Roman"/>
                      <w:color w:val="auto"/>
                      <w:sz w:val="21"/>
                      <w:szCs w:val="21"/>
                    </w:rPr>
                  </w:pPr>
                </w:p>
              </w:tc>
              <w:tc>
                <w:tcPr>
                  <w:tcW w:w="2142" w:type="pct"/>
                  <w:noWrap w:val="0"/>
                  <w:vAlign w:val="center"/>
                </w:tcPr>
                <w:p w14:paraId="1ADAC999">
                  <w:pPr>
                    <w:spacing w:line="320" w:lineRule="exact"/>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2.禁止引入不符合《江苏省太湖水污染防治条例》《长江经济带发展负面清单指南（试行）》《长江经济带发展负面清单指南（试行）江苏省实施细则》的项目。</w:t>
                  </w:r>
                </w:p>
              </w:tc>
              <w:tc>
                <w:tcPr>
                  <w:tcW w:w="1579" w:type="pct"/>
                  <w:noWrap w:val="0"/>
                  <w:vAlign w:val="center"/>
                </w:tcPr>
                <w:p w14:paraId="12F8BB55">
                  <w:pPr>
                    <w:spacing w:line="320" w:lineRule="exact"/>
                    <w:ind w:firstLine="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Cs/>
                      <w:color w:val="auto"/>
                      <w:sz w:val="21"/>
                      <w:szCs w:val="21"/>
                      <w:lang w:val="en-US" w:eastAsia="zh-CN"/>
                    </w:rPr>
                    <w:t>本项目的建设符合</w:t>
                  </w:r>
                  <w:r>
                    <w:rPr>
                      <w:rFonts w:hint="default" w:ascii="Times New Roman" w:hAnsi="Times New Roman" w:eastAsia="宋体" w:cs="Times New Roman"/>
                      <w:color w:val="auto"/>
                      <w:sz w:val="21"/>
                      <w:szCs w:val="21"/>
                    </w:rPr>
                    <w:t>《江苏省太湖水污染防治条例》《长江经济带发展负面清单指南（试行）》《长江经济带发展负面清单指南（试行）江苏省实施细则》</w:t>
                  </w:r>
                  <w:r>
                    <w:rPr>
                      <w:rFonts w:hint="eastAsia" w:ascii="Times New Roman" w:hAnsi="Times New Roman" w:eastAsia="宋体" w:cs="Times New Roman"/>
                      <w:color w:val="auto"/>
                      <w:sz w:val="21"/>
                      <w:szCs w:val="21"/>
                      <w:lang w:val="en-US" w:eastAsia="zh-CN"/>
                    </w:rPr>
                    <w:t>要求</w:t>
                  </w:r>
                </w:p>
              </w:tc>
              <w:tc>
                <w:tcPr>
                  <w:tcW w:w="416" w:type="pct"/>
                  <w:noWrap w:val="0"/>
                  <w:vAlign w:val="center"/>
                </w:tcPr>
                <w:p w14:paraId="45FD0560">
                  <w:pPr>
                    <w:spacing w:line="320" w:lineRule="exact"/>
                    <w:ind w:firstLine="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相符</w:t>
                  </w:r>
                </w:p>
              </w:tc>
            </w:tr>
            <w:tr w14:paraId="65B0F4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9" w:type="pct"/>
                  <w:vMerge w:val="continue"/>
                  <w:noWrap w:val="0"/>
                  <w:vAlign w:val="center"/>
                </w:tcPr>
                <w:p w14:paraId="1EF02B50">
                  <w:pPr>
                    <w:spacing w:line="320" w:lineRule="exact"/>
                    <w:ind w:firstLine="0"/>
                    <w:jc w:val="center"/>
                    <w:rPr>
                      <w:rFonts w:hint="default" w:ascii="Times New Roman" w:hAnsi="Times New Roman" w:eastAsia="宋体" w:cs="Times New Roman"/>
                      <w:color w:val="auto"/>
                      <w:sz w:val="21"/>
                      <w:szCs w:val="21"/>
                    </w:rPr>
                  </w:pPr>
                </w:p>
              </w:tc>
              <w:tc>
                <w:tcPr>
                  <w:tcW w:w="581" w:type="pct"/>
                  <w:vMerge w:val="continue"/>
                  <w:noWrap w:val="0"/>
                  <w:vAlign w:val="center"/>
                </w:tcPr>
                <w:p w14:paraId="7C43DAD2">
                  <w:pPr>
                    <w:spacing w:line="320" w:lineRule="exact"/>
                    <w:ind w:firstLine="0"/>
                    <w:jc w:val="center"/>
                    <w:rPr>
                      <w:rFonts w:hint="default" w:ascii="Times New Roman" w:hAnsi="Times New Roman" w:eastAsia="宋体" w:cs="Times New Roman"/>
                      <w:color w:val="auto"/>
                      <w:sz w:val="21"/>
                      <w:szCs w:val="21"/>
                    </w:rPr>
                  </w:pPr>
                </w:p>
              </w:tc>
              <w:tc>
                <w:tcPr>
                  <w:tcW w:w="2142" w:type="pct"/>
                  <w:noWrap w:val="0"/>
                  <w:vAlign w:val="center"/>
                </w:tcPr>
                <w:p w14:paraId="0E499C64">
                  <w:pPr>
                    <w:spacing w:line="320" w:lineRule="exact"/>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3.禁止新建钢铁、煤电、化工项目。</w:t>
                  </w:r>
                </w:p>
              </w:tc>
              <w:tc>
                <w:tcPr>
                  <w:tcW w:w="1579" w:type="pct"/>
                  <w:noWrap w:val="0"/>
                  <w:vAlign w:val="center"/>
                </w:tcPr>
                <w:p w14:paraId="1DC3FE1C">
                  <w:pPr>
                    <w:spacing w:line="320" w:lineRule="exact"/>
                    <w:ind w:firstLine="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bCs/>
                      <w:color w:val="auto"/>
                      <w:sz w:val="21"/>
                      <w:szCs w:val="21"/>
                      <w:lang w:val="en-US" w:eastAsia="zh-CN"/>
                    </w:rPr>
                    <w:t>本项目不涉及</w:t>
                  </w:r>
                </w:p>
              </w:tc>
              <w:tc>
                <w:tcPr>
                  <w:tcW w:w="416" w:type="pct"/>
                  <w:noWrap w:val="0"/>
                  <w:vAlign w:val="center"/>
                </w:tcPr>
                <w:p w14:paraId="20A0798E">
                  <w:pPr>
                    <w:spacing w:line="320" w:lineRule="exact"/>
                    <w:ind w:firstLine="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相符</w:t>
                  </w:r>
                </w:p>
              </w:tc>
            </w:tr>
            <w:tr w14:paraId="116360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9" w:type="pct"/>
                  <w:vMerge w:val="continue"/>
                  <w:noWrap w:val="0"/>
                  <w:vAlign w:val="center"/>
                </w:tcPr>
                <w:p w14:paraId="07051F5B">
                  <w:pPr>
                    <w:spacing w:line="320" w:lineRule="exact"/>
                    <w:ind w:firstLine="0"/>
                    <w:jc w:val="center"/>
                    <w:rPr>
                      <w:rFonts w:hint="default" w:ascii="Times New Roman" w:hAnsi="Times New Roman" w:eastAsia="宋体" w:cs="Times New Roman"/>
                      <w:color w:val="auto"/>
                      <w:sz w:val="21"/>
                      <w:szCs w:val="21"/>
                    </w:rPr>
                  </w:pPr>
                </w:p>
              </w:tc>
              <w:tc>
                <w:tcPr>
                  <w:tcW w:w="581" w:type="pct"/>
                  <w:vMerge w:val="continue"/>
                  <w:noWrap w:val="0"/>
                  <w:vAlign w:val="center"/>
                </w:tcPr>
                <w:p w14:paraId="6E5DACE4">
                  <w:pPr>
                    <w:spacing w:line="320" w:lineRule="exact"/>
                    <w:ind w:firstLine="0"/>
                    <w:jc w:val="center"/>
                    <w:rPr>
                      <w:rFonts w:hint="default" w:ascii="Times New Roman" w:hAnsi="Times New Roman" w:eastAsia="宋体" w:cs="Times New Roman"/>
                      <w:color w:val="auto"/>
                      <w:sz w:val="21"/>
                      <w:szCs w:val="21"/>
                    </w:rPr>
                  </w:pPr>
                </w:p>
              </w:tc>
              <w:tc>
                <w:tcPr>
                  <w:tcW w:w="2142" w:type="pct"/>
                  <w:noWrap w:val="0"/>
                  <w:vAlign w:val="center"/>
                </w:tcPr>
                <w:p w14:paraId="12D46D79">
                  <w:pPr>
                    <w:spacing w:line="320" w:lineRule="exact"/>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4.禁止引入危险化学品仓储企业。</w:t>
                  </w:r>
                </w:p>
              </w:tc>
              <w:tc>
                <w:tcPr>
                  <w:tcW w:w="1579" w:type="pct"/>
                  <w:noWrap w:val="0"/>
                  <w:vAlign w:val="center"/>
                </w:tcPr>
                <w:p w14:paraId="267F3CC6">
                  <w:pPr>
                    <w:spacing w:line="320" w:lineRule="exact"/>
                    <w:ind w:firstLine="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bCs/>
                      <w:color w:val="auto"/>
                      <w:sz w:val="21"/>
                      <w:szCs w:val="21"/>
                      <w:lang w:val="en-US" w:eastAsia="zh-CN"/>
                    </w:rPr>
                    <w:t>本项目不涉及</w:t>
                  </w:r>
                </w:p>
              </w:tc>
              <w:tc>
                <w:tcPr>
                  <w:tcW w:w="416" w:type="pct"/>
                  <w:noWrap w:val="0"/>
                  <w:vAlign w:val="center"/>
                </w:tcPr>
                <w:p w14:paraId="07394C27">
                  <w:pPr>
                    <w:spacing w:line="320" w:lineRule="exact"/>
                    <w:ind w:firstLine="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相符</w:t>
                  </w:r>
                </w:p>
              </w:tc>
            </w:tr>
            <w:tr w14:paraId="4748E8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9" w:type="pct"/>
                  <w:vMerge w:val="continue"/>
                  <w:noWrap w:val="0"/>
                  <w:vAlign w:val="center"/>
                </w:tcPr>
                <w:p w14:paraId="405CBE0E">
                  <w:pPr>
                    <w:spacing w:line="320" w:lineRule="exact"/>
                    <w:ind w:firstLine="0"/>
                    <w:jc w:val="center"/>
                    <w:rPr>
                      <w:rFonts w:hint="default" w:ascii="Times New Roman" w:hAnsi="Times New Roman" w:eastAsia="宋体" w:cs="Times New Roman"/>
                      <w:color w:val="auto"/>
                      <w:sz w:val="21"/>
                      <w:szCs w:val="21"/>
                    </w:rPr>
                  </w:pPr>
                </w:p>
              </w:tc>
              <w:tc>
                <w:tcPr>
                  <w:tcW w:w="581" w:type="pct"/>
                  <w:vMerge w:val="continue"/>
                  <w:noWrap w:val="0"/>
                  <w:vAlign w:val="center"/>
                </w:tcPr>
                <w:p w14:paraId="047F56B3">
                  <w:pPr>
                    <w:spacing w:line="320" w:lineRule="exact"/>
                    <w:ind w:firstLine="0"/>
                    <w:jc w:val="center"/>
                    <w:rPr>
                      <w:rFonts w:hint="default" w:ascii="Times New Roman" w:hAnsi="Times New Roman" w:eastAsia="宋体" w:cs="Times New Roman"/>
                      <w:color w:val="auto"/>
                      <w:sz w:val="21"/>
                      <w:szCs w:val="21"/>
                    </w:rPr>
                  </w:pPr>
                </w:p>
              </w:tc>
              <w:tc>
                <w:tcPr>
                  <w:tcW w:w="2142" w:type="pct"/>
                  <w:noWrap w:val="0"/>
                  <w:vAlign w:val="center"/>
                </w:tcPr>
                <w:p w14:paraId="2F717F72">
                  <w:pPr>
                    <w:spacing w:line="320" w:lineRule="exact"/>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5.禁止引入纯电镀加工（仅项目部分工段涉及电镀工艺的除外）的项目。</w:t>
                  </w:r>
                </w:p>
              </w:tc>
              <w:tc>
                <w:tcPr>
                  <w:tcW w:w="1579" w:type="pct"/>
                  <w:noWrap w:val="0"/>
                  <w:vAlign w:val="center"/>
                </w:tcPr>
                <w:p w14:paraId="3FB19B65">
                  <w:pPr>
                    <w:spacing w:line="320" w:lineRule="exact"/>
                    <w:ind w:firstLine="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bCs/>
                      <w:color w:val="auto"/>
                      <w:sz w:val="21"/>
                      <w:szCs w:val="21"/>
                      <w:lang w:val="en-US" w:eastAsia="zh-CN"/>
                    </w:rPr>
                    <w:t>本项目不涉及</w:t>
                  </w:r>
                </w:p>
              </w:tc>
              <w:tc>
                <w:tcPr>
                  <w:tcW w:w="416" w:type="pct"/>
                  <w:noWrap w:val="0"/>
                  <w:vAlign w:val="center"/>
                </w:tcPr>
                <w:p w14:paraId="78876591">
                  <w:pPr>
                    <w:spacing w:line="320" w:lineRule="exact"/>
                    <w:ind w:firstLine="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相符</w:t>
                  </w:r>
                </w:p>
              </w:tc>
            </w:tr>
            <w:tr w14:paraId="39C1ED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9" w:type="pct"/>
                  <w:vMerge w:val="continue"/>
                  <w:noWrap w:val="0"/>
                  <w:vAlign w:val="center"/>
                </w:tcPr>
                <w:p w14:paraId="6A090525">
                  <w:pPr>
                    <w:spacing w:line="320" w:lineRule="exact"/>
                    <w:ind w:firstLine="0"/>
                    <w:jc w:val="center"/>
                    <w:rPr>
                      <w:rFonts w:hint="default" w:ascii="Times New Roman" w:hAnsi="Times New Roman" w:eastAsia="宋体" w:cs="Times New Roman"/>
                      <w:color w:val="auto"/>
                      <w:sz w:val="21"/>
                      <w:szCs w:val="21"/>
                    </w:rPr>
                  </w:pPr>
                </w:p>
              </w:tc>
              <w:tc>
                <w:tcPr>
                  <w:tcW w:w="581" w:type="pct"/>
                  <w:vMerge w:val="continue"/>
                  <w:noWrap w:val="0"/>
                  <w:vAlign w:val="center"/>
                </w:tcPr>
                <w:p w14:paraId="41938371">
                  <w:pPr>
                    <w:spacing w:line="320" w:lineRule="exact"/>
                    <w:ind w:firstLine="0"/>
                    <w:jc w:val="center"/>
                    <w:rPr>
                      <w:rFonts w:hint="default" w:ascii="Times New Roman" w:hAnsi="Times New Roman" w:eastAsia="宋体" w:cs="Times New Roman"/>
                      <w:color w:val="auto"/>
                      <w:sz w:val="21"/>
                      <w:szCs w:val="21"/>
                    </w:rPr>
                  </w:pPr>
                </w:p>
              </w:tc>
              <w:tc>
                <w:tcPr>
                  <w:tcW w:w="2142" w:type="pct"/>
                  <w:noWrap w:val="0"/>
                  <w:vAlign w:val="center"/>
                </w:tcPr>
                <w:p w14:paraId="36D645EF">
                  <w:pPr>
                    <w:spacing w:line="320" w:lineRule="exact"/>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6.新能源、新能源汽车，新智能：禁止建设使用高VOCs含量的溶剂型涂料、油墨、胶粘剂等项目（具有不可替代性除外）。</w:t>
                  </w:r>
                </w:p>
              </w:tc>
              <w:tc>
                <w:tcPr>
                  <w:tcW w:w="1579" w:type="pct"/>
                  <w:noWrap w:val="0"/>
                  <w:vAlign w:val="center"/>
                </w:tcPr>
                <w:p w14:paraId="4461D45D">
                  <w:pPr>
                    <w:spacing w:line="320" w:lineRule="exact"/>
                    <w:ind w:firstLine="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bCs/>
                      <w:color w:val="auto"/>
                      <w:sz w:val="21"/>
                      <w:szCs w:val="21"/>
                      <w:lang w:val="en-US" w:eastAsia="zh-CN"/>
                    </w:rPr>
                    <w:t>本项目不涉及</w:t>
                  </w:r>
                </w:p>
              </w:tc>
              <w:tc>
                <w:tcPr>
                  <w:tcW w:w="416" w:type="pct"/>
                  <w:noWrap w:val="0"/>
                  <w:vAlign w:val="center"/>
                </w:tcPr>
                <w:p w14:paraId="6173935D">
                  <w:pPr>
                    <w:spacing w:line="320" w:lineRule="exact"/>
                    <w:ind w:firstLine="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相符</w:t>
                  </w:r>
                </w:p>
              </w:tc>
            </w:tr>
            <w:tr w14:paraId="03A295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9" w:type="pct"/>
                  <w:vMerge w:val="continue"/>
                  <w:noWrap w:val="0"/>
                  <w:vAlign w:val="center"/>
                </w:tcPr>
                <w:p w14:paraId="3986AAF2">
                  <w:pPr>
                    <w:spacing w:line="320" w:lineRule="exact"/>
                    <w:ind w:firstLine="0"/>
                    <w:jc w:val="center"/>
                    <w:rPr>
                      <w:rFonts w:hint="default" w:ascii="Times New Roman" w:hAnsi="Times New Roman" w:eastAsia="宋体" w:cs="Times New Roman"/>
                      <w:color w:val="auto"/>
                      <w:sz w:val="21"/>
                      <w:szCs w:val="21"/>
                    </w:rPr>
                  </w:pPr>
                </w:p>
              </w:tc>
              <w:tc>
                <w:tcPr>
                  <w:tcW w:w="581" w:type="pct"/>
                  <w:vMerge w:val="continue"/>
                  <w:noWrap w:val="0"/>
                  <w:vAlign w:val="center"/>
                </w:tcPr>
                <w:p w14:paraId="485150A3">
                  <w:pPr>
                    <w:spacing w:line="320" w:lineRule="exact"/>
                    <w:ind w:firstLine="0"/>
                    <w:jc w:val="center"/>
                    <w:rPr>
                      <w:rFonts w:hint="default" w:ascii="Times New Roman" w:hAnsi="Times New Roman" w:eastAsia="宋体" w:cs="Times New Roman"/>
                      <w:color w:val="auto"/>
                      <w:sz w:val="21"/>
                      <w:szCs w:val="21"/>
                    </w:rPr>
                  </w:pPr>
                </w:p>
              </w:tc>
              <w:tc>
                <w:tcPr>
                  <w:tcW w:w="2142" w:type="pct"/>
                  <w:noWrap w:val="0"/>
                  <w:vAlign w:val="center"/>
                </w:tcPr>
                <w:p w14:paraId="0ECC1CFD">
                  <w:pPr>
                    <w:spacing w:line="320" w:lineRule="exact"/>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7.新医药：禁止引进医药中间体的项目。</w:t>
                  </w:r>
                </w:p>
              </w:tc>
              <w:tc>
                <w:tcPr>
                  <w:tcW w:w="1579" w:type="pct"/>
                  <w:noWrap w:val="0"/>
                  <w:vAlign w:val="center"/>
                </w:tcPr>
                <w:p w14:paraId="1474836F">
                  <w:pPr>
                    <w:spacing w:line="320" w:lineRule="exact"/>
                    <w:ind w:firstLine="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bCs/>
                      <w:color w:val="auto"/>
                      <w:sz w:val="21"/>
                      <w:szCs w:val="21"/>
                      <w:lang w:val="en-US" w:eastAsia="zh-CN"/>
                    </w:rPr>
                    <w:t>本项目不涉及</w:t>
                  </w:r>
                </w:p>
              </w:tc>
              <w:tc>
                <w:tcPr>
                  <w:tcW w:w="416" w:type="pct"/>
                  <w:noWrap w:val="0"/>
                  <w:vAlign w:val="center"/>
                </w:tcPr>
                <w:p w14:paraId="02AEF751">
                  <w:pPr>
                    <w:spacing w:line="320" w:lineRule="exact"/>
                    <w:ind w:firstLine="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相符</w:t>
                  </w:r>
                </w:p>
              </w:tc>
            </w:tr>
            <w:tr w14:paraId="5E77F5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9" w:type="pct"/>
                  <w:vMerge w:val="continue"/>
                  <w:noWrap w:val="0"/>
                  <w:vAlign w:val="center"/>
                </w:tcPr>
                <w:p w14:paraId="248E57B0">
                  <w:pPr>
                    <w:spacing w:line="320" w:lineRule="exact"/>
                    <w:ind w:firstLine="0"/>
                    <w:jc w:val="center"/>
                    <w:rPr>
                      <w:rFonts w:hint="default" w:ascii="Times New Roman" w:hAnsi="Times New Roman" w:eastAsia="宋体" w:cs="Times New Roman"/>
                      <w:color w:val="auto"/>
                      <w:sz w:val="21"/>
                      <w:szCs w:val="21"/>
                    </w:rPr>
                  </w:pPr>
                </w:p>
              </w:tc>
              <w:tc>
                <w:tcPr>
                  <w:tcW w:w="581" w:type="pct"/>
                  <w:vMerge w:val="continue"/>
                  <w:noWrap w:val="0"/>
                  <w:vAlign w:val="center"/>
                </w:tcPr>
                <w:p w14:paraId="7917E777">
                  <w:pPr>
                    <w:spacing w:line="320" w:lineRule="exact"/>
                    <w:ind w:firstLine="0"/>
                    <w:jc w:val="center"/>
                    <w:rPr>
                      <w:rFonts w:hint="default" w:ascii="Times New Roman" w:hAnsi="Times New Roman" w:eastAsia="宋体" w:cs="Times New Roman"/>
                      <w:color w:val="auto"/>
                      <w:sz w:val="21"/>
                      <w:szCs w:val="21"/>
                    </w:rPr>
                  </w:pPr>
                </w:p>
              </w:tc>
              <w:tc>
                <w:tcPr>
                  <w:tcW w:w="2142" w:type="pct"/>
                  <w:noWrap w:val="0"/>
                  <w:vAlign w:val="center"/>
                </w:tcPr>
                <w:p w14:paraId="427EDB61">
                  <w:pPr>
                    <w:spacing w:line="320" w:lineRule="exact"/>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8.新材料：禁止引入化工类新材料项目。</w:t>
                  </w:r>
                </w:p>
              </w:tc>
              <w:tc>
                <w:tcPr>
                  <w:tcW w:w="1579" w:type="pct"/>
                  <w:noWrap w:val="0"/>
                  <w:vAlign w:val="center"/>
                </w:tcPr>
                <w:p w14:paraId="1E7AE2A4">
                  <w:pPr>
                    <w:spacing w:line="320" w:lineRule="exact"/>
                    <w:ind w:firstLine="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bCs/>
                      <w:color w:val="auto"/>
                      <w:sz w:val="21"/>
                      <w:szCs w:val="21"/>
                      <w:lang w:val="en-US" w:eastAsia="zh-CN"/>
                    </w:rPr>
                    <w:t>本项目不涉及</w:t>
                  </w:r>
                </w:p>
              </w:tc>
              <w:tc>
                <w:tcPr>
                  <w:tcW w:w="416" w:type="pct"/>
                  <w:noWrap w:val="0"/>
                  <w:vAlign w:val="center"/>
                </w:tcPr>
                <w:p w14:paraId="4AC637CD">
                  <w:pPr>
                    <w:spacing w:line="320" w:lineRule="exact"/>
                    <w:ind w:firstLine="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相符</w:t>
                  </w:r>
                </w:p>
              </w:tc>
            </w:tr>
            <w:tr w14:paraId="568A9E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9" w:type="pct"/>
                  <w:vMerge w:val="continue"/>
                  <w:noWrap w:val="0"/>
                  <w:vAlign w:val="center"/>
                </w:tcPr>
                <w:p w14:paraId="2057480C">
                  <w:pPr>
                    <w:spacing w:line="320" w:lineRule="exact"/>
                    <w:ind w:firstLine="0"/>
                    <w:jc w:val="center"/>
                    <w:rPr>
                      <w:rFonts w:hint="default" w:ascii="Times New Roman" w:hAnsi="Times New Roman" w:eastAsia="宋体" w:cs="Times New Roman"/>
                      <w:color w:val="auto"/>
                      <w:sz w:val="21"/>
                      <w:szCs w:val="21"/>
                    </w:rPr>
                  </w:pPr>
                </w:p>
              </w:tc>
              <w:tc>
                <w:tcPr>
                  <w:tcW w:w="581" w:type="pct"/>
                  <w:vMerge w:val="continue"/>
                  <w:noWrap w:val="0"/>
                  <w:vAlign w:val="center"/>
                </w:tcPr>
                <w:p w14:paraId="080F6DB8">
                  <w:pPr>
                    <w:spacing w:line="320" w:lineRule="exact"/>
                    <w:ind w:firstLine="0"/>
                    <w:jc w:val="center"/>
                    <w:rPr>
                      <w:rFonts w:hint="default" w:ascii="Times New Roman" w:hAnsi="Times New Roman" w:eastAsia="宋体" w:cs="Times New Roman"/>
                      <w:color w:val="auto"/>
                      <w:sz w:val="21"/>
                      <w:szCs w:val="21"/>
                    </w:rPr>
                  </w:pPr>
                </w:p>
              </w:tc>
              <w:tc>
                <w:tcPr>
                  <w:tcW w:w="2142" w:type="pct"/>
                  <w:noWrap w:val="0"/>
                  <w:vAlign w:val="center"/>
                </w:tcPr>
                <w:p w14:paraId="79A51EAA">
                  <w:pPr>
                    <w:spacing w:line="320" w:lineRule="exact"/>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9.禁止引入《关于加强重点行业涉新污染物建设项目环境影响评价工作的意见》中不予审批的建设项目。</w:t>
                  </w:r>
                </w:p>
              </w:tc>
              <w:tc>
                <w:tcPr>
                  <w:tcW w:w="1579" w:type="pct"/>
                  <w:noWrap w:val="0"/>
                  <w:vAlign w:val="center"/>
                </w:tcPr>
                <w:p w14:paraId="4E04CB08">
                  <w:pPr>
                    <w:spacing w:line="320" w:lineRule="exact"/>
                    <w:ind w:firstLine="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bCs/>
                      <w:color w:val="auto"/>
                      <w:sz w:val="21"/>
                      <w:szCs w:val="21"/>
                      <w:lang w:val="en-US" w:eastAsia="zh-CN"/>
                    </w:rPr>
                    <w:t>本项目不涉及</w:t>
                  </w:r>
                  <w:r>
                    <w:rPr>
                      <w:rFonts w:hint="default" w:ascii="Times New Roman" w:hAnsi="Times New Roman" w:eastAsia="宋体" w:cs="Times New Roman"/>
                      <w:color w:val="auto"/>
                      <w:sz w:val="21"/>
                      <w:szCs w:val="21"/>
                    </w:rPr>
                    <w:t>新污染物</w:t>
                  </w:r>
                </w:p>
              </w:tc>
              <w:tc>
                <w:tcPr>
                  <w:tcW w:w="416" w:type="pct"/>
                  <w:noWrap w:val="0"/>
                  <w:vAlign w:val="center"/>
                </w:tcPr>
                <w:p w14:paraId="56DE8262">
                  <w:pPr>
                    <w:spacing w:line="320" w:lineRule="exact"/>
                    <w:ind w:firstLine="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相符</w:t>
                  </w:r>
                </w:p>
              </w:tc>
            </w:tr>
            <w:tr w14:paraId="028DE1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61" w:type="pct"/>
                  <w:gridSpan w:val="2"/>
                  <w:vMerge w:val="restart"/>
                  <w:noWrap w:val="0"/>
                  <w:vAlign w:val="center"/>
                </w:tcPr>
                <w:p w14:paraId="686EC2C4">
                  <w:pPr>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w:t>
                  </w:r>
                </w:p>
                <w:p w14:paraId="57B526AF">
                  <w:pPr>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约束</w:t>
                  </w:r>
                </w:p>
              </w:tc>
              <w:tc>
                <w:tcPr>
                  <w:tcW w:w="2142" w:type="pct"/>
                  <w:noWrap w:val="0"/>
                  <w:vAlign w:val="center"/>
                </w:tcPr>
                <w:p w14:paraId="746D158A">
                  <w:pPr>
                    <w:spacing w:line="320" w:lineRule="exact"/>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1.在居住用地与工业用地之间设置不少于50米的空间隔离带。</w:t>
                  </w:r>
                </w:p>
              </w:tc>
              <w:tc>
                <w:tcPr>
                  <w:tcW w:w="1579" w:type="pct"/>
                  <w:noWrap w:val="0"/>
                  <w:vAlign w:val="center"/>
                </w:tcPr>
                <w:p w14:paraId="283191B6">
                  <w:pPr>
                    <w:spacing w:line="320" w:lineRule="exact"/>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项目周边500m范围无</w:t>
                  </w:r>
                  <w:r>
                    <w:rPr>
                      <w:rFonts w:hint="default" w:ascii="Times New Roman" w:hAnsi="Times New Roman" w:eastAsia="宋体" w:cs="Times New Roman"/>
                      <w:color w:val="auto"/>
                      <w:sz w:val="21"/>
                      <w:szCs w:val="21"/>
                    </w:rPr>
                    <w:t>居住用地</w:t>
                  </w:r>
                </w:p>
              </w:tc>
              <w:tc>
                <w:tcPr>
                  <w:tcW w:w="416" w:type="pct"/>
                  <w:noWrap w:val="0"/>
                  <w:vAlign w:val="center"/>
                </w:tcPr>
                <w:p w14:paraId="7A2B9DFF">
                  <w:pPr>
                    <w:spacing w:line="320" w:lineRule="exact"/>
                    <w:ind w:firstLine="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相符</w:t>
                  </w:r>
                </w:p>
              </w:tc>
            </w:tr>
            <w:tr w14:paraId="428A54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1" w:type="pct"/>
                  <w:gridSpan w:val="2"/>
                  <w:vMerge w:val="continue"/>
                  <w:noWrap w:val="0"/>
                  <w:vAlign w:val="center"/>
                </w:tcPr>
                <w:p w14:paraId="5275F16F">
                  <w:pPr>
                    <w:spacing w:line="320" w:lineRule="exact"/>
                    <w:ind w:firstLine="0"/>
                    <w:jc w:val="center"/>
                    <w:rPr>
                      <w:rFonts w:hint="default" w:ascii="Times New Roman" w:hAnsi="Times New Roman" w:eastAsia="宋体" w:cs="Times New Roman"/>
                      <w:color w:val="auto"/>
                      <w:sz w:val="21"/>
                      <w:szCs w:val="21"/>
                    </w:rPr>
                  </w:pPr>
                </w:p>
              </w:tc>
              <w:tc>
                <w:tcPr>
                  <w:tcW w:w="2142" w:type="pct"/>
                  <w:noWrap w:val="0"/>
                  <w:vAlign w:val="center"/>
                </w:tcPr>
                <w:p w14:paraId="0F8F97C7">
                  <w:pPr>
                    <w:spacing w:line="320" w:lineRule="exact"/>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2.入区项目严格按照环评要求设置相应的环境防护距离，确保该范围内不涉及住宅、学校等敏感目标。</w:t>
                  </w:r>
                </w:p>
              </w:tc>
              <w:tc>
                <w:tcPr>
                  <w:tcW w:w="1579" w:type="pct"/>
                  <w:noWrap w:val="0"/>
                  <w:vAlign w:val="center"/>
                </w:tcPr>
                <w:p w14:paraId="25336CCB">
                  <w:pPr>
                    <w:spacing w:line="320" w:lineRule="exact"/>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项目建成后全厂</w:t>
                  </w:r>
                  <w:r>
                    <w:rPr>
                      <w:rFonts w:hint="default" w:ascii="Times New Roman" w:hAnsi="Times New Roman" w:eastAsia="宋体" w:cs="Times New Roman"/>
                      <w:color w:val="auto"/>
                      <w:sz w:val="21"/>
                      <w:szCs w:val="21"/>
                      <w:lang w:val="en-US" w:eastAsia="zh-CN"/>
                    </w:rPr>
                    <w:t>卫生防护距离为</w:t>
                  </w:r>
                  <w:r>
                    <w:rPr>
                      <w:rFonts w:hint="eastAsia" w:ascii="Times New Roman" w:hAnsi="Times New Roman" w:eastAsia="宋体" w:cs="Times New Roman"/>
                      <w:color w:val="auto"/>
                      <w:sz w:val="21"/>
                      <w:szCs w:val="21"/>
                      <w:lang w:val="en-US" w:eastAsia="zh-CN"/>
                    </w:rPr>
                    <w:t>厂房一</w:t>
                  </w:r>
                  <w:r>
                    <w:rPr>
                      <w:rFonts w:hint="default" w:ascii="Times New Roman" w:hAnsi="Times New Roman" w:eastAsia="宋体" w:cs="Times New Roman"/>
                      <w:color w:val="auto"/>
                      <w:sz w:val="21"/>
                      <w:szCs w:val="21"/>
                      <w:lang w:val="en-US" w:eastAsia="zh-CN"/>
                    </w:rPr>
                    <w:t>边界向外扩50m、</w:t>
                  </w:r>
                  <w:r>
                    <w:rPr>
                      <w:rFonts w:hint="eastAsia" w:ascii="Times New Roman" w:hAnsi="Times New Roman" w:eastAsia="宋体" w:cs="Times New Roman"/>
                      <w:color w:val="auto"/>
                      <w:sz w:val="21"/>
                      <w:szCs w:val="21"/>
                      <w:lang w:val="en-US" w:eastAsia="zh-CN"/>
                    </w:rPr>
                    <w:t>厂房二</w:t>
                  </w:r>
                  <w:r>
                    <w:rPr>
                      <w:rFonts w:hint="default" w:ascii="Times New Roman" w:hAnsi="Times New Roman" w:eastAsia="宋体" w:cs="Times New Roman"/>
                      <w:color w:val="auto"/>
                      <w:sz w:val="21"/>
                      <w:szCs w:val="21"/>
                      <w:lang w:val="en-US" w:eastAsia="zh-CN"/>
                    </w:rPr>
                    <w:t>边界向外扩50m、</w:t>
                  </w:r>
                  <w:r>
                    <w:rPr>
                      <w:rFonts w:hint="eastAsia" w:ascii="Times New Roman" w:hAnsi="Times New Roman" w:eastAsia="宋体" w:cs="Times New Roman"/>
                      <w:color w:val="auto"/>
                      <w:sz w:val="21"/>
                      <w:szCs w:val="21"/>
                      <w:lang w:val="en-US" w:eastAsia="zh-CN"/>
                    </w:rPr>
                    <w:t>车间三</w:t>
                  </w:r>
                  <w:r>
                    <w:rPr>
                      <w:rFonts w:hint="default" w:ascii="Times New Roman" w:hAnsi="Times New Roman" w:eastAsia="宋体" w:cs="Times New Roman"/>
                      <w:color w:val="auto"/>
                      <w:sz w:val="21"/>
                      <w:szCs w:val="21"/>
                      <w:lang w:val="en-US" w:eastAsia="zh-CN"/>
                    </w:rPr>
                    <w:t>边界向外扩50m</w:t>
                  </w:r>
                  <w:r>
                    <w:rPr>
                      <w:rFonts w:hint="eastAsia" w:ascii="Times New Roman" w:hAnsi="Times New Roman" w:eastAsia="宋体" w:cs="Times New Roman"/>
                      <w:color w:val="auto"/>
                      <w:sz w:val="21"/>
                      <w:szCs w:val="21"/>
                      <w:lang w:val="en-US" w:eastAsia="zh-CN"/>
                    </w:rPr>
                    <w:t>、车间四</w:t>
                  </w:r>
                  <w:r>
                    <w:rPr>
                      <w:rFonts w:hint="default" w:ascii="Times New Roman" w:hAnsi="Times New Roman" w:eastAsia="宋体" w:cs="Times New Roman"/>
                      <w:color w:val="auto"/>
                      <w:sz w:val="21"/>
                      <w:szCs w:val="21"/>
                      <w:lang w:val="en-US" w:eastAsia="zh-CN"/>
                    </w:rPr>
                    <w:t>边界向外扩50m、</w:t>
                  </w:r>
                  <w:r>
                    <w:rPr>
                      <w:rFonts w:hint="eastAsia" w:ascii="Times New Roman" w:hAnsi="Times New Roman" w:eastAsia="宋体" w:cs="Times New Roman"/>
                      <w:color w:val="auto"/>
                      <w:sz w:val="21"/>
                      <w:szCs w:val="21"/>
                      <w:lang w:val="en-US" w:eastAsia="zh-CN"/>
                    </w:rPr>
                    <w:t>车间五</w:t>
                  </w:r>
                  <w:r>
                    <w:rPr>
                      <w:rFonts w:hint="default" w:ascii="Times New Roman" w:hAnsi="Times New Roman" w:eastAsia="宋体" w:cs="Times New Roman"/>
                      <w:color w:val="auto"/>
                      <w:sz w:val="21"/>
                      <w:szCs w:val="21"/>
                      <w:lang w:val="en-US" w:eastAsia="zh-CN"/>
                    </w:rPr>
                    <w:t>边界向外扩50m形成的</w:t>
                  </w:r>
                  <w:r>
                    <w:rPr>
                      <w:rFonts w:hint="eastAsia" w:ascii="Times New Roman" w:hAnsi="Times New Roman" w:eastAsia="宋体" w:cs="Times New Roman"/>
                      <w:color w:val="auto"/>
                      <w:sz w:val="21"/>
                      <w:szCs w:val="21"/>
                      <w:lang w:val="en-US" w:eastAsia="zh-CN"/>
                    </w:rPr>
                    <w:t>包络线范围，该范围不存在住宅、学校等环境敏感保护目标</w:t>
                  </w:r>
                </w:p>
              </w:tc>
              <w:tc>
                <w:tcPr>
                  <w:tcW w:w="416" w:type="pct"/>
                  <w:noWrap w:val="0"/>
                  <w:vAlign w:val="center"/>
                </w:tcPr>
                <w:p w14:paraId="566869CF">
                  <w:pPr>
                    <w:spacing w:line="320" w:lineRule="exact"/>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相符</w:t>
                  </w:r>
                </w:p>
              </w:tc>
            </w:tr>
            <w:tr w14:paraId="428950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61" w:type="pct"/>
                  <w:gridSpan w:val="2"/>
                  <w:vMerge w:val="continue"/>
                  <w:noWrap w:val="0"/>
                  <w:vAlign w:val="center"/>
                </w:tcPr>
                <w:p w14:paraId="6ED9B94D">
                  <w:pPr>
                    <w:spacing w:line="320" w:lineRule="exact"/>
                    <w:ind w:firstLine="0"/>
                    <w:jc w:val="center"/>
                    <w:rPr>
                      <w:rFonts w:hint="default" w:ascii="Times New Roman" w:hAnsi="Times New Roman" w:eastAsia="宋体" w:cs="Times New Roman"/>
                      <w:color w:val="auto"/>
                      <w:sz w:val="21"/>
                      <w:szCs w:val="21"/>
                    </w:rPr>
                  </w:pPr>
                </w:p>
              </w:tc>
              <w:tc>
                <w:tcPr>
                  <w:tcW w:w="2142" w:type="pct"/>
                  <w:noWrap w:val="0"/>
                  <w:vAlign w:val="center"/>
                </w:tcPr>
                <w:p w14:paraId="55BA3444">
                  <w:pPr>
                    <w:spacing w:line="320" w:lineRule="exact"/>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3.禁止突破城镇开发边界和占用永久基本农田。</w:t>
                  </w:r>
                </w:p>
              </w:tc>
              <w:tc>
                <w:tcPr>
                  <w:tcW w:w="1579" w:type="pct"/>
                  <w:noWrap w:val="0"/>
                  <w:vAlign w:val="center"/>
                </w:tcPr>
                <w:p w14:paraId="6D2494C1">
                  <w:pPr>
                    <w:spacing w:line="320" w:lineRule="exact"/>
                    <w:ind w:firstLine="0"/>
                    <w:jc w:val="center"/>
                    <w:rPr>
                      <w:rFonts w:hint="default" w:ascii="Times New Roman" w:hAnsi="Times New Roman" w:eastAsia="宋体" w:cs="Times New Roman"/>
                      <w:color w:val="auto"/>
                      <w:sz w:val="21"/>
                      <w:szCs w:val="21"/>
                      <w:lang w:val="en-US" w:eastAsia="zh-CN"/>
                    </w:rPr>
                  </w:pPr>
                  <w:r>
                    <w:rPr>
                      <w:rFonts w:hint="eastAsia"/>
                      <w:color w:val="auto"/>
                      <w:sz w:val="21"/>
                      <w:szCs w:val="21"/>
                    </w:rPr>
                    <w:t>项目</w:t>
                  </w:r>
                  <w:r>
                    <w:rPr>
                      <w:rFonts w:hint="eastAsia"/>
                      <w:color w:val="auto"/>
                      <w:sz w:val="21"/>
                      <w:szCs w:val="21"/>
                      <w:lang w:val="en-US" w:eastAsia="zh-CN"/>
                    </w:rPr>
                    <w:t>位于</w:t>
                  </w:r>
                  <w:r>
                    <w:rPr>
                      <w:rFonts w:hint="default" w:ascii="Times New Roman" w:hAnsi="Times New Roman" w:eastAsia="宋体" w:cs="Times New Roman"/>
                      <w:color w:val="auto"/>
                      <w:sz w:val="21"/>
                      <w:szCs w:val="21"/>
                    </w:rPr>
                    <w:t>城镇开发边界</w:t>
                  </w:r>
                  <w:r>
                    <w:rPr>
                      <w:rFonts w:hint="eastAsia" w:ascii="Times New Roman" w:hAnsi="Times New Roman" w:eastAsia="宋体" w:cs="Times New Roman"/>
                      <w:color w:val="auto"/>
                      <w:sz w:val="21"/>
                      <w:szCs w:val="21"/>
                      <w:lang w:val="en-US" w:eastAsia="zh-CN"/>
                    </w:rPr>
                    <w:t>内，不涉及</w:t>
                  </w:r>
                  <w:r>
                    <w:rPr>
                      <w:rFonts w:hint="default" w:ascii="Times New Roman" w:hAnsi="Times New Roman" w:eastAsia="宋体" w:cs="Times New Roman"/>
                      <w:color w:val="auto"/>
                      <w:sz w:val="21"/>
                      <w:szCs w:val="21"/>
                    </w:rPr>
                    <w:t>永久基本农田</w:t>
                  </w:r>
                </w:p>
              </w:tc>
              <w:tc>
                <w:tcPr>
                  <w:tcW w:w="416" w:type="pct"/>
                  <w:noWrap w:val="0"/>
                  <w:vAlign w:val="center"/>
                </w:tcPr>
                <w:p w14:paraId="09F5408D">
                  <w:pPr>
                    <w:spacing w:line="320" w:lineRule="exact"/>
                    <w:ind w:firstLine="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相符</w:t>
                  </w:r>
                </w:p>
              </w:tc>
            </w:tr>
            <w:tr w14:paraId="483324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9" w:type="pct"/>
                  <w:vMerge w:val="restart"/>
                  <w:noWrap w:val="0"/>
                  <w:vAlign w:val="center"/>
                </w:tcPr>
                <w:p w14:paraId="65397C07">
                  <w:pPr>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污染物排放管控</w:t>
                  </w:r>
                </w:p>
              </w:tc>
              <w:tc>
                <w:tcPr>
                  <w:tcW w:w="581" w:type="pct"/>
                  <w:vMerge w:val="restart"/>
                  <w:noWrap w:val="0"/>
                  <w:vAlign w:val="center"/>
                </w:tcPr>
                <w:p w14:paraId="2B400D76">
                  <w:pPr>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总体</w:t>
                  </w:r>
                </w:p>
                <w:p w14:paraId="2C3E22BE">
                  <w:pPr>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要求</w:t>
                  </w:r>
                </w:p>
              </w:tc>
              <w:tc>
                <w:tcPr>
                  <w:tcW w:w="2142" w:type="pct"/>
                  <w:noWrap w:val="0"/>
                  <w:vAlign w:val="center"/>
                </w:tcPr>
                <w:p w14:paraId="660507BB">
                  <w:pPr>
                    <w:spacing w:line="320" w:lineRule="exact"/>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1.排放污染物必须达到国家和地方规定的污染物排放标准。</w:t>
                  </w:r>
                </w:p>
              </w:tc>
              <w:tc>
                <w:tcPr>
                  <w:tcW w:w="1579" w:type="pct"/>
                  <w:noWrap w:val="0"/>
                  <w:vAlign w:val="center"/>
                </w:tcPr>
                <w:p w14:paraId="0CCCDC50">
                  <w:pPr>
                    <w:spacing w:line="320" w:lineRule="exact"/>
                    <w:ind w:firstLine="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w:t>
                  </w:r>
                  <w:r>
                    <w:rPr>
                      <w:rFonts w:hint="eastAsia" w:ascii="Times New Roman" w:hAnsi="Times New Roman" w:cs="Times New Roman"/>
                      <w:color w:val="auto"/>
                      <w:sz w:val="21"/>
                      <w:szCs w:val="21"/>
                      <w:lang w:eastAsia="zh-CN"/>
                    </w:rPr>
                    <w:t>废气、</w:t>
                  </w:r>
                  <w:r>
                    <w:rPr>
                      <w:rFonts w:hint="eastAsia" w:ascii="Times New Roman" w:hAnsi="Times New Roman" w:cs="Times New Roman"/>
                      <w:color w:val="auto"/>
                      <w:sz w:val="21"/>
                      <w:szCs w:val="21"/>
                      <w:lang w:val="en-US" w:eastAsia="zh-CN"/>
                    </w:rPr>
                    <w:t>废水均达标排放</w:t>
                  </w:r>
                </w:p>
              </w:tc>
              <w:tc>
                <w:tcPr>
                  <w:tcW w:w="416" w:type="pct"/>
                  <w:noWrap w:val="0"/>
                  <w:vAlign w:val="center"/>
                </w:tcPr>
                <w:p w14:paraId="5C9B5656">
                  <w:pPr>
                    <w:spacing w:line="320" w:lineRule="exact"/>
                    <w:ind w:firstLine="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相符</w:t>
                  </w:r>
                </w:p>
              </w:tc>
            </w:tr>
            <w:tr w14:paraId="16E8BA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9" w:type="pct"/>
                  <w:vMerge w:val="continue"/>
                  <w:noWrap w:val="0"/>
                  <w:vAlign w:val="center"/>
                </w:tcPr>
                <w:p w14:paraId="5A130810">
                  <w:pPr>
                    <w:spacing w:line="320" w:lineRule="exact"/>
                    <w:ind w:firstLine="0"/>
                    <w:jc w:val="center"/>
                    <w:rPr>
                      <w:rFonts w:hint="default" w:ascii="Times New Roman" w:hAnsi="Times New Roman" w:eastAsia="宋体" w:cs="Times New Roman"/>
                      <w:color w:val="auto"/>
                      <w:sz w:val="21"/>
                      <w:szCs w:val="21"/>
                    </w:rPr>
                  </w:pPr>
                </w:p>
              </w:tc>
              <w:tc>
                <w:tcPr>
                  <w:tcW w:w="581" w:type="pct"/>
                  <w:vMerge w:val="continue"/>
                  <w:noWrap w:val="0"/>
                  <w:vAlign w:val="center"/>
                </w:tcPr>
                <w:p w14:paraId="6B105999">
                  <w:pPr>
                    <w:spacing w:line="320" w:lineRule="exact"/>
                    <w:ind w:firstLine="0"/>
                    <w:jc w:val="center"/>
                    <w:rPr>
                      <w:rFonts w:hint="default" w:ascii="Times New Roman" w:hAnsi="Times New Roman" w:eastAsia="宋体" w:cs="Times New Roman"/>
                      <w:color w:val="auto"/>
                      <w:sz w:val="21"/>
                      <w:szCs w:val="21"/>
                    </w:rPr>
                  </w:pPr>
                </w:p>
              </w:tc>
              <w:tc>
                <w:tcPr>
                  <w:tcW w:w="2142" w:type="pct"/>
                  <w:noWrap w:val="0"/>
                  <w:vAlign w:val="center"/>
                </w:tcPr>
                <w:p w14:paraId="73BCA623">
                  <w:pPr>
                    <w:spacing w:line="320" w:lineRule="exact"/>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2.建设项目主要污染物（颗粒物、二氧化硫、氮氧化物、VOCs）排放总量控制因子，根据省、市相关要求，进行污染物总量2倍减量替代。</w:t>
                  </w:r>
                </w:p>
              </w:tc>
              <w:tc>
                <w:tcPr>
                  <w:tcW w:w="1579" w:type="pct"/>
                  <w:noWrap w:val="0"/>
                  <w:vAlign w:val="center"/>
                </w:tcPr>
                <w:p w14:paraId="69E10D68">
                  <w:pPr>
                    <w:spacing w:line="320" w:lineRule="exact"/>
                    <w:ind w:firstLine="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w:t>
                  </w:r>
                  <w:r>
                    <w:rPr>
                      <w:rFonts w:hint="default" w:ascii="Times New Roman" w:hAnsi="Times New Roman" w:eastAsia="宋体" w:cs="Times New Roman"/>
                      <w:color w:val="auto"/>
                      <w:sz w:val="21"/>
                      <w:szCs w:val="21"/>
                    </w:rPr>
                    <w:t>主要污染物</w:t>
                  </w:r>
                  <w:r>
                    <w:rPr>
                      <w:rFonts w:hint="eastAsia" w:ascii="Times New Roman" w:hAnsi="Times New Roman" w:eastAsia="宋体" w:cs="Times New Roman"/>
                      <w:color w:val="auto"/>
                      <w:sz w:val="21"/>
                      <w:szCs w:val="21"/>
                      <w:lang w:val="en-US" w:eastAsia="zh-CN"/>
                    </w:rPr>
                    <w:t>为</w:t>
                  </w:r>
                  <w:r>
                    <w:rPr>
                      <w:rFonts w:hint="default" w:ascii="Times New Roman" w:hAnsi="Times New Roman" w:eastAsia="宋体" w:cs="Times New Roman"/>
                      <w:color w:val="auto"/>
                      <w:sz w:val="21"/>
                      <w:szCs w:val="21"/>
                    </w:rPr>
                    <w:t>VOCs</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进行污染物总量2倍减量替代</w:t>
                  </w:r>
                </w:p>
              </w:tc>
              <w:tc>
                <w:tcPr>
                  <w:tcW w:w="416" w:type="pct"/>
                  <w:noWrap w:val="0"/>
                  <w:vAlign w:val="center"/>
                </w:tcPr>
                <w:p w14:paraId="4906DBF1">
                  <w:pPr>
                    <w:spacing w:line="320" w:lineRule="exact"/>
                    <w:ind w:firstLine="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相符</w:t>
                  </w:r>
                </w:p>
              </w:tc>
            </w:tr>
            <w:tr w14:paraId="632217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9" w:type="pct"/>
                  <w:vMerge w:val="continue"/>
                  <w:noWrap w:val="0"/>
                  <w:vAlign w:val="center"/>
                </w:tcPr>
                <w:p w14:paraId="2577EAA1">
                  <w:pPr>
                    <w:spacing w:line="320" w:lineRule="exact"/>
                    <w:ind w:firstLine="0"/>
                    <w:jc w:val="center"/>
                    <w:rPr>
                      <w:rFonts w:hint="default" w:ascii="Times New Roman" w:hAnsi="Times New Roman" w:eastAsia="宋体" w:cs="Times New Roman"/>
                      <w:color w:val="auto"/>
                      <w:sz w:val="21"/>
                      <w:szCs w:val="21"/>
                    </w:rPr>
                  </w:pPr>
                </w:p>
              </w:tc>
              <w:tc>
                <w:tcPr>
                  <w:tcW w:w="581" w:type="pct"/>
                  <w:vMerge w:val="continue"/>
                  <w:noWrap w:val="0"/>
                  <w:vAlign w:val="center"/>
                </w:tcPr>
                <w:p w14:paraId="49AFAD72">
                  <w:pPr>
                    <w:spacing w:line="320" w:lineRule="exact"/>
                    <w:ind w:firstLine="0"/>
                    <w:jc w:val="center"/>
                    <w:rPr>
                      <w:rFonts w:hint="default" w:ascii="Times New Roman" w:hAnsi="Times New Roman" w:eastAsia="宋体" w:cs="Times New Roman"/>
                      <w:color w:val="auto"/>
                      <w:sz w:val="21"/>
                      <w:szCs w:val="21"/>
                    </w:rPr>
                  </w:pPr>
                </w:p>
              </w:tc>
              <w:tc>
                <w:tcPr>
                  <w:tcW w:w="2142" w:type="pct"/>
                  <w:noWrap w:val="0"/>
                  <w:vAlign w:val="center"/>
                </w:tcPr>
                <w:p w14:paraId="494DF2D5">
                  <w:pPr>
                    <w:spacing w:line="320" w:lineRule="exact"/>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3.按照《江苏省挥发性有机物清洁原料替代工作方案》（苏大气办〔2021〕2号）要求，积极开展园区挥发性有机物清洁原料推广替代工作。</w:t>
                  </w:r>
                </w:p>
              </w:tc>
              <w:tc>
                <w:tcPr>
                  <w:tcW w:w="1579" w:type="pct"/>
                  <w:noWrap w:val="0"/>
                  <w:vAlign w:val="center"/>
                </w:tcPr>
                <w:p w14:paraId="14619180">
                  <w:pPr>
                    <w:spacing w:line="320" w:lineRule="exact"/>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项目不涉及</w:t>
                  </w:r>
                </w:p>
              </w:tc>
              <w:tc>
                <w:tcPr>
                  <w:tcW w:w="416" w:type="pct"/>
                  <w:noWrap w:val="0"/>
                  <w:vAlign w:val="center"/>
                </w:tcPr>
                <w:p w14:paraId="22B944F6">
                  <w:pPr>
                    <w:spacing w:line="320" w:lineRule="exact"/>
                    <w:ind w:firstLine="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相符</w:t>
                  </w:r>
                </w:p>
              </w:tc>
            </w:tr>
            <w:tr w14:paraId="5E2067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9" w:type="pct"/>
                  <w:vMerge w:val="continue"/>
                  <w:noWrap w:val="0"/>
                  <w:vAlign w:val="center"/>
                </w:tcPr>
                <w:p w14:paraId="452DBF25">
                  <w:pPr>
                    <w:spacing w:line="320" w:lineRule="exact"/>
                    <w:ind w:firstLine="0"/>
                    <w:jc w:val="center"/>
                    <w:rPr>
                      <w:rFonts w:hint="default" w:ascii="Times New Roman" w:hAnsi="Times New Roman" w:eastAsia="宋体" w:cs="Times New Roman"/>
                      <w:color w:val="auto"/>
                      <w:sz w:val="21"/>
                      <w:szCs w:val="21"/>
                    </w:rPr>
                  </w:pPr>
                </w:p>
              </w:tc>
              <w:tc>
                <w:tcPr>
                  <w:tcW w:w="581" w:type="pct"/>
                  <w:vMerge w:val="restart"/>
                  <w:noWrap w:val="0"/>
                  <w:vAlign w:val="center"/>
                </w:tcPr>
                <w:p w14:paraId="0823776D">
                  <w:pPr>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排污总量</w:t>
                  </w:r>
                </w:p>
              </w:tc>
              <w:tc>
                <w:tcPr>
                  <w:tcW w:w="2142" w:type="pct"/>
                  <w:noWrap w:val="0"/>
                  <w:vAlign w:val="center"/>
                </w:tcPr>
                <w:p w14:paraId="5C330142">
                  <w:pPr>
                    <w:spacing w:line="320" w:lineRule="exact"/>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1.大气污染物</w:t>
                  </w:r>
                </w:p>
                <w:p w14:paraId="4A529912">
                  <w:pPr>
                    <w:spacing w:line="320" w:lineRule="exact"/>
                    <w:ind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规划近期排放总量（2027年）：</w:t>
                  </w:r>
                  <w:r>
                    <w:rPr>
                      <w:rFonts w:hint="default" w:ascii="Times New Roman" w:hAnsi="Times New Roman" w:eastAsia="宋体" w:cs="Times New Roman"/>
                      <w:bCs/>
                      <w:color w:val="auto"/>
                      <w:sz w:val="21"/>
                      <w:szCs w:val="21"/>
                    </w:rPr>
                    <w:t>颗粒物391.44t/a、SO</w:t>
                  </w:r>
                  <w:r>
                    <w:rPr>
                      <w:rFonts w:hint="default" w:ascii="Times New Roman" w:hAnsi="Times New Roman" w:eastAsia="宋体" w:cs="Times New Roman"/>
                      <w:bCs/>
                      <w:color w:val="auto"/>
                      <w:sz w:val="21"/>
                      <w:szCs w:val="21"/>
                      <w:vertAlign w:val="subscript"/>
                    </w:rPr>
                    <w:t xml:space="preserve">2 </w:t>
                  </w:r>
                  <w:r>
                    <w:rPr>
                      <w:rFonts w:hint="default" w:ascii="Times New Roman" w:hAnsi="Times New Roman" w:eastAsia="宋体" w:cs="Times New Roman"/>
                      <w:bCs/>
                      <w:color w:val="auto"/>
                      <w:sz w:val="21"/>
                      <w:szCs w:val="21"/>
                    </w:rPr>
                    <w:t>665.27</w:t>
                  </w:r>
                  <w:r>
                    <w:rPr>
                      <w:rFonts w:hint="default" w:ascii="Times New Roman" w:hAnsi="Times New Roman" w:eastAsia="宋体" w:cs="Times New Roman"/>
                      <w:color w:val="auto"/>
                      <w:sz w:val="21"/>
                      <w:szCs w:val="21"/>
                    </w:rPr>
                    <w:t>t/a</w:t>
                  </w:r>
                  <w:r>
                    <w:rPr>
                      <w:rFonts w:hint="default" w:ascii="Times New Roman" w:hAnsi="Times New Roman" w:eastAsia="宋体" w:cs="Times New Roman"/>
                      <w:bCs/>
                      <w:color w:val="auto"/>
                      <w:sz w:val="21"/>
                      <w:szCs w:val="21"/>
                    </w:rPr>
                    <w:t>、NO</w:t>
                  </w:r>
                  <w:r>
                    <w:rPr>
                      <w:rFonts w:hint="default" w:ascii="Times New Roman" w:hAnsi="Times New Roman" w:eastAsia="宋体" w:cs="Times New Roman"/>
                      <w:bCs/>
                      <w:color w:val="auto"/>
                      <w:sz w:val="21"/>
                      <w:szCs w:val="21"/>
                      <w:vertAlign w:val="subscript"/>
                    </w:rPr>
                    <w:t>X</w:t>
                  </w:r>
                  <w:r>
                    <w:rPr>
                      <w:rFonts w:hint="default" w:ascii="Times New Roman" w:hAnsi="Times New Roman" w:eastAsia="宋体" w:cs="Times New Roman"/>
                      <w:bCs/>
                      <w:color w:val="auto"/>
                      <w:sz w:val="21"/>
                      <w:szCs w:val="21"/>
                    </w:rPr>
                    <w:t>2060.77t/a、VOCs228.86t/a</w:t>
                  </w:r>
                  <w:r>
                    <w:rPr>
                      <w:rFonts w:hint="default" w:ascii="Times New Roman" w:hAnsi="Times New Roman" w:eastAsia="宋体" w:cs="Times New Roman"/>
                      <w:color w:val="auto"/>
                      <w:sz w:val="21"/>
                      <w:szCs w:val="21"/>
                    </w:rPr>
                    <w:t>。</w:t>
                  </w:r>
                </w:p>
                <w:p w14:paraId="3E0E31E0">
                  <w:pPr>
                    <w:spacing w:line="320" w:lineRule="exact"/>
                    <w:ind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规划远期排放总量（2035年）：</w:t>
                  </w:r>
                  <w:r>
                    <w:rPr>
                      <w:rFonts w:hint="default" w:ascii="Times New Roman" w:hAnsi="Times New Roman" w:eastAsia="宋体" w:cs="Times New Roman"/>
                      <w:bCs/>
                      <w:color w:val="auto"/>
                      <w:sz w:val="21"/>
                      <w:szCs w:val="21"/>
                    </w:rPr>
                    <w:t>颗粒物398.35t/a、SO</w:t>
                  </w:r>
                  <w:r>
                    <w:rPr>
                      <w:rFonts w:hint="default" w:ascii="Times New Roman" w:hAnsi="Times New Roman" w:eastAsia="宋体" w:cs="Times New Roman"/>
                      <w:bCs/>
                      <w:color w:val="auto"/>
                      <w:sz w:val="21"/>
                      <w:szCs w:val="21"/>
                      <w:vertAlign w:val="subscript"/>
                    </w:rPr>
                    <w:t xml:space="preserve">2 </w:t>
                  </w:r>
                  <w:r>
                    <w:rPr>
                      <w:rFonts w:hint="default" w:ascii="Times New Roman" w:hAnsi="Times New Roman" w:eastAsia="宋体" w:cs="Times New Roman"/>
                      <w:bCs/>
                      <w:color w:val="auto"/>
                      <w:sz w:val="21"/>
                      <w:szCs w:val="21"/>
                    </w:rPr>
                    <w:t>668.66t/a、NO</w:t>
                  </w:r>
                  <w:r>
                    <w:rPr>
                      <w:rFonts w:hint="default" w:ascii="Times New Roman" w:hAnsi="Times New Roman" w:eastAsia="宋体" w:cs="Times New Roman"/>
                      <w:bCs/>
                      <w:color w:val="auto"/>
                      <w:sz w:val="21"/>
                      <w:szCs w:val="21"/>
                      <w:vertAlign w:val="subscript"/>
                    </w:rPr>
                    <w:t>X</w:t>
                  </w:r>
                  <w:r>
                    <w:rPr>
                      <w:rFonts w:hint="default" w:ascii="Times New Roman" w:hAnsi="Times New Roman" w:eastAsia="宋体" w:cs="Times New Roman"/>
                      <w:bCs/>
                      <w:color w:val="auto"/>
                      <w:sz w:val="21"/>
                      <w:szCs w:val="21"/>
                    </w:rPr>
                    <w:t>2070.25t/a、VOCs228.86t/a</w:t>
                  </w:r>
                  <w:r>
                    <w:rPr>
                      <w:rFonts w:hint="default" w:ascii="Times New Roman" w:hAnsi="Times New Roman" w:eastAsia="宋体" w:cs="Times New Roman"/>
                      <w:color w:val="auto"/>
                      <w:sz w:val="21"/>
                      <w:szCs w:val="21"/>
                    </w:rPr>
                    <w:t>。</w:t>
                  </w:r>
                </w:p>
              </w:tc>
              <w:tc>
                <w:tcPr>
                  <w:tcW w:w="1579" w:type="pct"/>
                  <w:noWrap w:val="0"/>
                  <w:vAlign w:val="center"/>
                </w:tcPr>
                <w:p w14:paraId="69391CF2">
                  <w:pPr>
                    <w:spacing w:line="320" w:lineRule="exact"/>
                    <w:ind w:firstLine="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w:t>
                  </w:r>
                  <w:r>
                    <w:rPr>
                      <w:rFonts w:hint="default" w:ascii="Times New Roman" w:hAnsi="Times New Roman" w:eastAsia="宋体" w:cs="Times New Roman"/>
                      <w:color w:val="auto"/>
                      <w:sz w:val="21"/>
                      <w:szCs w:val="21"/>
                    </w:rPr>
                    <w:t>主要污染物</w:t>
                  </w:r>
                  <w:r>
                    <w:rPr>
                      <w:rFonts w:hint="eastAsia" w:ascii="Times New Roman" w:hAnsi="Times New Roman" w:eastAsia="宋体" w:cs="Times New Roman"/>
                      <w:color w:val="auto"/>
                      <w:sz w:val="21"/>
                      <w:szCs w:val="21"/>
                      <w:lang w:val="en-US" w:eastAsia="zh-CN"/>
                    </w:rPr>
                    <w:t>为</w:t>
                  </w:r>
                  <w:r>
                    <w:rPr>
                      <w:rFonts w:hint="default" w:ascii="Times New Roman" w:hAnsi="Times New Roman" w:eastAsia="宋体" w:cs="Times New Roman"/>
                      <w:color w:val="auto"/>
                      <w:sz w:val="21"/>
                      <w:szCs w:val="21"/>
                    </w:rPr>
                    <w:t>VOCs</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排放量较低，不会突破园区排放总量</w:t>
                  </w:r>
                </w:p>
              </w:tc>
              <w:tc>
                <w:tcPr>
                  <w:tcW w:w="416" w:type="pct"/>
                  <w:noWrap w:val="0"/>
                  <w:vAlign w:val="center"/>
                </w:tcPr>
                <w:p w14:paraId="70B99336">
                  <w:pPr>
                    <w:spacing w:line="320" w:lineRule="exact"/>
                    <w:ind w:firstLine="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相符</w:t>
                  </w:r>
                </w:p>
              </w:tc>
            </w:tr>
            <w:tr w14:paraId="29ED3E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9" w:type="pct"/>
                  <w:vMerge w:val="continue"/>
                  <w:noWrap w:val="0"/>
                  <w:vAlign w:val="center"/>
                </w:tcPr>
                <w:p w14:paraId="522FEDFC">
                  <w:pPr>
                    <w:spacing w:line="320" w:lineRule="exact"/>
                    <w:ind w:firstLine="0"/>
                    <w:jc w:val="center"/>
                    <w:rPr>
                      <w:rFonts w:hint="default" w:ascii="Times New Roman" w:hAnsi="Times New Roman" w:eastAsia="宋体" w:cs="Times New Roman"/>
                      <w:color w:val="auto"/>
                      <w:sz w:val="21"/>
                      <w:szCs w:val="21"/>
                    </w:rPr>
                  </w:pPr>
                </w:p>
              </w:tc>
              <w:tc>
                <w:tcPr>
                  <w:tcW w:w="581" w:type="pct"/>
                  <w:vMerge w:val="continue"/>
                  <w:noWrap w:val="0"/>
                  <w:vAlign w:val="center"/>
                </w:tcPr>
                <w:p w14:paraId="21C915AF">
                  <w:pPr>
                    <w:spacing w:line="320" w:lineRule="exact"/>
                    <w:ind w:firstLine="0"/>
                    <w:jc w:val="center"/>
                    <w:rPr>
                      <w:rFonts w:hint="default" w:ascii="Times New Roman" w:hAnsi="Times New Roman" w:eastAsia="宋体" w:cs="Times New Roman"/>
                      <w:color w:val="auto"/>
                      <w:sz w:val="21"/>
                      <w:szCs w:val="21"/>
                    </w:rPr>
                  </w:pPr>
                </w:p>
              </w:tc>
              <w:tc>
                <w:tcPr>
                  <w:tcW w:w="2142" w:type="pct"/>
                  <w:noWrap w:val="0"/>
                  <w:vAlign w:val="center"/>
                </w:tcPr>
                <w:p w14:paraId="1180C95F">
                  <w:pPr>
                    <w:spacing w:line="320" w:lineRule="exact"/>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2.水污染物（外排量）</w:t>
                  </w:r>
                </w:p>
                <w:p w14:paraId="09885991">
                  <w:pPr>
                    <w:spacing w:line="320" w:lineRule="exact"/>
                    <w:ind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规划近期排放总量（2027年）：废水量1516.54万t/a、COD713.08t/a、氨氮55.01t/a、总磷7.13t/a、总氮181.99t/a。</w:t>
                  </w:r>
                </w:p>
                <w:p w14:paraId="512BE726">
                  <w:pPr>
                    <w:spacing w:line="320" w:lineRule="exact"/>
                    <w:ind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规划远期排放总量（2035年）：废水量1565.45万t/a、COD711.50t/a、氨氮53.72t/a、总磷7.12t/a、总氮187.85t/a。</w:t>
                  </w:r>
                </w:p>
              </w:tc>
              <w:tc>
                <w:tcPr>
                  <w:tcW w:w="1579" w:type="pct"/>
                  <w:noWrap w:val="0"/>
                  <w:vAlign w:val="center"/>
                </w:tcPr>
                <w:p w14:paraId="0A7ECD57">
                  <w:pPr>
                    <w:spacing w:line="320" w:lineRule="exact"/>
                    <w:ind w:firstLine="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w:t>
                  </w:r>
                  <w:r>
                    <w:rPr>
                      <w:rFonts w:hint="eastAsia" w:ascii="Times New Roman" w:hAnsi="Times New Roman" w:cs="Times New Roman"/>
                      <w:color w:val="auto"/>
                      <w:sz w:val="21"/>
                      <w:szCs w:val="21"/>
                      <w:lang w:val="en-US" w:eastAsia="zh-CN"/>
                    </w:rPr>
                    <w:t>不新增</w:t>
                  </w:r>
                  <w:r>
                    <w:rPr>
                      <w:rFonts w:hint="eastAsia" w:ascii="Times New Roman" w:hAnsi="Times New Roman" w:eastAsia="宋体" w:cs="Times New Roman"/>
                      <w:color w:val="auto"/>
                      <w:sz w:val="21"/>
                      <w:szCs w:val="21"/>
                      <w:lang w:val="en-US" w:eastAsia="zh-CN"/>
                    </w:rPr>
                    <w:t>生活污水</w:t>
                  </w:r>
                  <w:r>
                    <w:rPr>
                      <w:rFonts w:hint="eastAsia" w:ascii="Times New Roman" w:hAnsi="Times New Roman" w:cs="Times New Roman"/>
                      <w:color w:val="auto"/>
                      <w:sz w:val="21"/>
                      <w:szCs w:val="21"/>
                      <w:lang w:val="en-US" w:eastAsia="zh-CN"/>
                    </w:rPr>
                    <w:t>排放</w:t>
                  </w:r>
                </w:p>
              </w:tc>
              <w:tc>
                <w:tcPr>
                  <w:tcW w:w="416" w:type="pct"/>
                  <w:noWrap w:val="0"/>
                  <w:vAlign w:val="center"/>
                </w:tcPr>
                <w:p w14:paraId="25435291">
                  <w:pPr>
                    <w:spacing w:line="320" w:lineRule="exact"/>
                    <w:ind w:firstLine="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相符</w:t>
                  </w:r>
                </w:p>
              </w:tc>
            </w:tr>
            <w:tr w14:paraId="5AC958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9" w:type="pct"/>
                  <w:vMerge w:val="continue"/>
                  <w:noWrap w:val="0"/>
                  <w:vAlign w:val="center"/>
                </w:tcPr>
                <w:p w14:paraId="1E0AFE45">
                  <w:pPr>
                    <w:spacing w:line="320" w:lineRule="exact"/>
                    <w:ind w:firstLine="0"/>
                    <w:jc w:val="center"/>
                    <w:rPr>
                      <w:rFonts w:hint="default" w:ascii="Times New Roman" w:hAnsi="Times New Roman" w:eastAsia="宋体" w:cs="Times New Roman"/>
                      <w:color w:val="auto"/>
                      <w:sz w:val="21"/>
                      <w:szCs w:val="21"/>
                    </w:rPr>
                  </w:pPr>
                </w:p>
              </w:tc>
              <w:tc>
                <w:tcPr>
                  <w:tcW w:w="581" w:type="pct"/>
                  <w:vMerge w:val="continue"/>
                  <w:noWrap w:val="0"/>
                  <w:vAlign w:val="center"/>
                </w:tcPr>
                <w:p w14:paraId="577A3A87">
                  <w:pPr>
                    <w:spacing w:line="320" w:lineRule="exact"/>
                    <w:ind w:firstLine="0"/>
                    <w:jc w:val="center"/>
                    <w:rPr>
                      <w:rFonts w:hint="default" w:ascii="Times New Roman" w:hAnsi="Times New Roman" w:eastAsia="宋体" w:cs="Times New Roman"/>
                      <w:color w:val="auto"/>
                      <w:sz w:val="21"/>
                      <w:szCs w:val="21"/>
                    </w:rPr>
                  </w:pPr>
                </w:p>
              </w:tc>
              <w:tc>
                <w:tcPr>
                  <w:tcW w:w="2142" w:type="pct"/>
                  <w:noWrap w:val="0"/>
                  <w:vAlign w:val="center"/>
                </w:tcPr>
                <w:p w14:paraId="4DDA17AB">
                  <w:pPr>
                    <w:spacing w:line="320" w:lineRule="exact"/>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3.碳排放量</w:t>
                  </w:r>
                </w:p>
                <w:p w14:paraId="3588E9AE">
                  <w:pPr>
                    <w:spacing w:line="320" w:lineRule="exact"/>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近期碳排放量（2027年）：460.39万吨。</w:t>
                  </w:r>
                </w:p>
                <w:p w14:paraId="698A3A36">
                  <w:pPr>
                    <w:spacing w:line="320" w:lineRule="exact"/>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远期碳排放量（2035年）：421.39万吨。</w:t>
                  </w:r>
                </w:p>
              </w:tc>
              <w:tc>
                <w:tcPr>
                  <w:tcW w:w="1579" w:type="pct"/>
                  <w:noWrap w:val="0"/>
                  <w:vAlign w:val="center"/>
                </w:tcPr>
                <w:p w14:paraId="60A3DFA7">
                  <w:pPr>
                    <w:spacing w:line="320" w:lineRule="exact"/>
                    <w:ind w:firstLine="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项目使用电力，</w:t>
                  </w:r>
                  <w:r>
                    <w:rPr>
                      <w:rFonts w:hint="default" w:ascii="Times New Roman" w:hAnsi="Times New Roman" w:eastAsia="宋体" w:cs="Times New Roman"/>
                      <w:color w:val="auto"/>
                      <w:sz w:val="21"/>
                      <w:szCs w:val="21"/>
                    </w:rPr>
                    <w:t>碳排放量</w:t>
                  </w:r>
                  <w:r>
                    <w:rPr>
                      <w:rFonts w:hint="eastAsia" w:ascii="Times New Roman" w:hAnsi="Times New Roman" w:eastAsia="宋体" w:cs="Times New Roman"/>
                      <w:color w:val="auto"/>
                      <w:sz w:val="21"/>
                      <w:szCs w:val="21"/>
                      <w:lang w:val="en-US" w:eastAsia="zh-CN"/>
                    </w:rPr>
                    <w:t>较低，不会突破园区</w:t>
                  </w:r>
                  <w:r>
                    <w:rPr>
                      <w:rFonts w:hint="default" w:ascii="Times New Roman" w:hAnsi="Times New Roman" w:eastAsia="宋体" w:cs="Times New Roman"/>
                      <w:color w:val="auto"/>
                      <w:sz w:val="21"/>
                      <w:szCs w:val="21"/>
                    </w:rPr>
                    <w:t>碳排放</w:t>
                  </w:r>
                  <w:r>
                    <w:rPr>
                      <w:rFonts w:hint="eastAsia" w:ascii="Times New Roman" w:hAnsi="Times New Roman" w:eastAsia="宋体" w:cs="Times New Roman"/>
                      <w:color w:val="auto"/>
                      <w:sz w:val="21"/>
                      <w:szCs w:val="21"/>
                      <w:lang w:val="en-US" w:eastAsia="zh-CN"/>
                    </w:rPr>
                    <w:t>总</w:t>
                  </w:r>
                  <w:r>
                    <w:rPr>
                      <w:rFonts w:hint="default" w:ascii="Times New Roman" w:hAnsi="Times New Roman" w:eastAsia="宋体" w:cs="Times New Roman"/>
                      <w:color w:val="auto"/>
                      <w:sz w:val="21"/>
                      <w:szCs w:val="21"/>
                    </w:rPr>
                    <w:t>量</w:t>
                  </w:r>
                </w:p>
              </w:tc>
              <w:tc>
                <w:tcPr>
                  <w:tcW w:w="416" w:type="pct"/>
                  <w:noWrap w:val="0"/>
                  <w:vAlign w:val="center"/>
                </w:tcPr>
                <w:p w14:paraId="08E37231">
                  <w:pPr>
                    <w:spacing w:line="320" w:lineRule="exact"/>
                    <w:ind w:firstLine="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相符</w:t>
                  </w:r>
                </w:p>
              </w:tc>
            </w:tr>
            <w:tr w14:paraId="6432CC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9" w:type="pct"/>
                  <w:vMerge w:val="restart"/>
                  <w:noWrap w:val="0"/>
                  <w:vAlign w:val="center"/>
                </w:tcPr>
                <w:p w14:paraId="73B5E55F">
                  <w:pPr>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环境风险防控</w:t>
                  </w:r>
                </w:p>
              </w:tc>
              <w:tc>
                <w:tcPr>
                  <w:tcW w:w="581" w:type="pct"/>
                  <w:vMerge w:val="restart"/>
                  <w:noWrap w:val="0"/>
                  <w:vAlign w:val="center"/>
                </w:tcPr>
                <w:p w14:paraId="1B475B8D">
                  <w:pPr>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企业环境风险防控要求</w:t>
                  </w:r>
                </w:p>
              </w:tc>
              <w:tc>
                <w:tcPr>
                  <w:tcW w:w="2142" w:type="pct"/>
                  <w:noWrap w:val="0"/>
                  <w:vAlign w:val="center"/>
                </w:tcPr>
                <w:p w14:paraId="4FC6BC0D">
                  <w:pPr>
                    <w:spacing w:line="320" w:lineRule="exact"/>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1.针对搬迁关闭的土壤污染重点监管企业，由土地使用权人负责开展土壤环境状况调查评估，以保障工业企业场地再开发利用的环境安全。</w:t>
                  </w:r>
                </w:p>
              </w:tc>
              <w:tc>
                <w:tcPr>
                  <w:tcW w:w="1579" w:type="pct"/>
                  <w:noWrap w:val="0"/>
                  <w:vAlign w:val="center"/>
                </w:tcPr>
                <w:p w14:paraId="61ACFA85">
                  <w:pPr>
                    <w:spacing w:line="320" w:lineRule="exact"/>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项目不涉及</w:t>
                  </w:r>
                </w:p>
              </w:tc>
              <w:tc>
                <w:tcPr>
                  <w:tcW w:w="416" w:type="pct"/>
                  <w:noWrap w:val="0"/>
                  <w:vAlign w:val="center"/>
                </w:tcPr>
                <w:p w14:paraId="5AC6DF84">
                  <w:pPr>
                    <w:spacing w:line="320" w:lineRule="exact"/>
                    <w:ind w:firstLine="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相符</w:t>
                  </w:r>
                </w:p>
              </w:tc>
            </w:tr>
            <w:tr w14:paraId="35EBBC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9" w:type="pct"/>
                  <w:vMerge w:val="continue"/>
                  <w:noWrap w:val="0"/>
                  <w:vAlign w:val="center"/>
                </w:tcPr>
                <w:p w14:paraId="6BEEA0CE">
                  <w:pPr>
                    <w:spacing w:line="320" w:lineRule="exact"/>
                    <w:ind w:firstLine="0"/>
                    <w:jc w:val="center"/>
                    <w:rPr>
                      <w:rFonts w:hint="default" w:ascii="Times New Roman" w:hAnsi="Times New Roman" w:eastAsia="宋体" w:cs="Times New Roman"/>
                      <w:color w:val="auto"/>
                      <w:sz w:val="21"/>
                      <w:szCs w:val="21"/>
                    </w:rPr>
                  </w:pPr>
                </w:p>
              </w:tc>
              <w:tc>
                <w:tcPr>
                  <w:tcW w:w="581" w:type="pct"/>
                  <w:vMerge w:val="continue"/>
                  <w:noWrap w:val="0"/>
                  <w:vAlign w:val="center"/>
                </w:tcPr>
                <w:p w14:paraId="151D48D9">
                  <w:pPr>
                    <w:spacing w:line="320" w:lineRule="exact"/>
                    <w:ind w:firstLine="0"/>
                    <w:jc w:val="center"/>
                    <w:rPr>
                      <w:rFonts w:hint="default" w:ascii="Times New Roman" w:hAnsi="Times New Roman" w:eastAsia="宋体" w:cs="Times New Roman"/>
                      <w:color w:val="auto"/>
                      <w:sz w:val="21"/>
                      <w:szCs w:val="21"/>
                    </w:rPr>
                  </w:pPr>
                </w:p>
              </w:tc>
              <w:tc>
                <w:tcPr>
                  <w:tcW w:w="2142" w:type="pct"/>
                  <w:noWrap w:val="0"/>
                  <w:vAlign w:val="center"/>
                </w:tcPr>
                <w:p w14:paraId="4F5DF584">
                  <w:pPr>
                    <w:spacing w:line="320" w:lineRule="exact"/>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2.产生危险废物及一般固体废物的企事业单位，在贮存、转移、利用固体废物（含危险废物）过程中，应配备防扬散、防流失、防渗漏及其他防止污染环境的措施。</w:t>
                  </w:r>
                </w:p>
              </w:tc>
              <w:tc>
                <w:tcPr>
                  <w:tcW w:w="1579" w:type="pct"/>
                  <w:noWrap w:val="0"/>
                  <w:vAlign w:val="center"/>
                </w:tcPr>
                <w:p w14:paraId="29733EE3">
                  <w:pPr>
                    <w:spacing w:line="320" w:lineRule="exact"/>
                    <w:ind w:firstLine="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项目危废暂存于危废仓库，一般固废暂存于一般固废仓库，将</w:t>
                  </w:r>
                  <w:r>
                    <w:rPr>
                      <w:rFonts w:hint="default" w:ascii="Times New Roman" w:hAnsi="Times New Roman" w:eastAsia="宋体" w:cs="Times New Roman"/>
                      <w:color w:val="auto"/>
                      <w:sz w:val="21"/>
                      <w:szCs w:val="21"/>
                    </w:rPr>
                    <w:t>配备防扬散、防流失、防渗漏及其他防止污染环境的措施。</w:t>
                  </w:r>
                </w:p>
              </w:tc>
              <w:tc>
                <w:tcPr>
                  <w:tcW w:w="416" w:type="pct"/>
                  <w:noWrap w:val="0"/>
                  <w:vAlign w:val="center"/>
                </w:tcPr>
                <w:p w14:paraId="0E380A4E">
                  <w:pPr>
                    <w:spacing w:line="320" w:lineRule="exact"/>
                    <w:ind w:firstLine="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相符</w:t>
                  </w:r>
                </w:p>
              </w:tc>
            </w:tr>
            <w:tr w14:paraId="3F6662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9" w:type="pct"/>
                  <w:vMerge w:val="continue"/>
                  <w:noWrap w:val="0"/>
                  <w:vAlign w:val="center"/>
                </w:tcPr>
                <w:p w14:paraId="732AB85A">
                  <w:pPr>
                    <w:spacing w:line="320" w:lineRule="exact"/>
                    <w:ind w:firstLine="0"/>
                    <w:jc w:val="center"/>
                    <w:rPr>
                      <w:rFonts w:hint="default" w:ascii="Times New Roman" w:hAnsi="Times New Roman" w:eastAsia="宋体" w:cs="Times New Roman"/>
                      <w:color w:val="auto"/>
                      <w:sz w:val="21"/>
                      <w:szCs w:val="21"/>
                    </w:rPr>
                  </w:pPr>
                </w:p>
              </w:tc>
              <w:tc>
                <w:tcPr>
                  <w:tcW w:w="581" w:type="pct"/>
                  <w:vMerge w:val="restart"/>
                  <w:noWrap w:val="0"/>
                  <w:vAlign w:val="center"/>
                </w:tcPr>
                <w:p w14:paraId="28E4EF3A">
                  <w:pPr>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园区环境风险防控要求</w:t>
                  </w:r>
                </w:p>
              </w:tc>
              <w:tc>
                <w:tcPr>
                  <w:tcW w:w="2142" w:type="pct"/>
                  <w:noWrap w:val="0"/>
                  <w:vAlign w:val="center"/>
                </w:tcPr>
                <w:p w14:paraId="0F3F3B50">
                  <w:pPr>
                    <w:spacing w:line="320" w:lineRule="exact"/>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1.按相关文件要求及时更新编制园区突发环境事件应急预案。</w:t>
                  </w:r>
                </w:p>
              </w:tc>
              <w:tc>
                <w:tcPr>
                  <w:tcW w:w="1579" w:type="pct"/>
                  <w:noWrap w:val="0"/>
                  <w:vAlign w:val="center"/>
                </w:tcPr>
                <w:p w14:paraId="5F291201">
                  <w:pPr>
                    <w:spacing w:line="320" w:lineRule="exact"/>
                    <w:ind w:firstLine="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项目不涉及</w:t>
                  </w:r>
                </w:p>
              </w:tc>
              <w:tc>
                <w:tcPr>
                  <w:tcW w:w="416" w:type="pct"/>
                  <w:noWrap w:val="0"/>
                  <w:vAlign w:val="center"/>
                </w:tcPr>
                <w:p w14:paraId="3D18A12D">
                  <w:pPr>
                    <w:spacing w:line="320" w:lineRule="exact"/>
                    <w:ind w:firstLine="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相符</w:t>
                  </w:r>
                </w:p>
              </w:tc>
            </w:tr>
            <w:tr w14:paraId="2D5828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9" w:type="pct"/>
                  <w:vMerge w:val="continue"/>
                  <w:noWrap w:val="0"/>
                  <w:vAlign w:val="center"/>
                </w:tcPr>
                <w:p w14:paraId="51DA0990">
                  <w:pPr>
                    <w:spacing w:line="320" w:lineRule="exact"/>
                    <w:ind w:firstLine="0"/>
                    <w:jc w:val="center"/>
                    <w:rPr>
                      <w:rFonts w:hint="default" w:ascii="Times New Roman" w:hAnsi="Times New Roman" w:eastAsia="宋体" w:cs="Times New Roman"/>
                      <w:color w:val="auto"/>
                      <w:sz w:val="21"/>
                      <w:szCs w:val="21"/>
                    </w:rPr>
                  </w:pPr>
                </w:p>
              </w:tc>
              <w:tc>
                <w:tcPr>
                  <w:tcW w:w="581" w:type="pct"/>
                  <w:vMerge w:val="continue"/>
                  <w:noWrap w:val="0"/>
                  <w:vAlign w:val="center"/>
                </w:tcPr>
                <w:p w14:paraId="65D661AF">
                  <w:pPr>
                    <w:spacing w:line="320" w:lineRule="exact"/>
                    <w:ind w:firstLine="0"/>
                    <w:jc w:val="center"/>
                    <w:rPr>
                      <w:rFonts w:hint="default" w:ascii="Times New Roman" w:hAnsi="Times New Roman" w:eastAsia="宋体" w:cs="Times New Roman"/>
                      <w:color w:val="auto"/>
                      <w:sz w:val="21"/>
                      <w:szCs w:val="21"/>
                    </w:rPr>
                  </w:pPr>
                </w:p>
              </w:tc>
              <w:tc>
                <w:tcPr>
                  <w:tcW w:w="2142" w:type="pct"/>
                  <w:noWrap w:val="0"/>
                  <w:vAlign w:val="center"/>
                </w:tcPr>
                <w:p w14:paraId="4B3F9C52">
                  <w:pPr>
                    <w:spacing w:line="320" w:lineRule="exact"/>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2.建立突发环境事件隐患排查制度及突发环境事件应急管理长效机制，完善环境应急物资储备和应急队伍建设，强化环境应急演练，提升园区环境风险防控水平。</w:t>
                  </w:r>
                </w:p>
              </w:tc>
              <w:tc>
                <w:tcPr>
                  <w:tcW w:w="1579" w:type="pct"/>
                  <w:noWrap w:val="0"/>
                  <w:vAlign w:val="center"/>
                </w:tcPr>
                <w:p w14:paraId="0A64641D">
                  <w:pPr>
                    <w:spacing w:line="320" w:lineRule="exact"/>
                    <w:ind w:firstLine="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项目建成后将</w:t>
                  </w:r>
                  <w:r>
                    <w:rPr>
                      <w:rFonts w:hint="default" w:ascii="Times New Roman" w:hAnsi="Times New Roman" w:eastAsia="宋体" w:cs="Times New Roman"/>
                      <w:color w:val="auto"/>
                      <w:sz w:val="21"/>
                      <w:szCs w:val="21"/>
                    </w:rPr>
                    <w:t>建立突发环境事件隐患排查制度及突发环境事件应急管理长效机制，完善环境应急物资储备和应急队伍建设，强化环境应急演练</w:t>
                  </w:r>
                </w:p>
              </w:tc>
              <w:tc>
                <w:tcPr>
                  <w:tcW w:w="416" w:type="pct"/>
                  <w:noWrap w:val="0"/>
                  <w:vAlign w:val="center"/>
                </w:tcPr>
                <w:p w14:paraId="40EF71F8">
                  <w:pPr>
                    <w:spacing w:line="320" w:lineRule="exact"/>
                    <w:ind w:firstLine="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相符</w:t>
                  </w:r>
                </w:p>
              </w:tc>
            </w:tr>
            <w:tr w14:paraId="545AE3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61" w:type="pct"/>
                  <w:gridSpan w:val="2"/>
                  <w:vMerge w:val="restart"/>
                  <w:noWrap w:val="0"/>
                  <w:vAlign w:val="center"/>
                </w:tcPr>
                <w:p w14:paraId="7A2AB5A4">
                  <w:pPr>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资源开发利用要求</w:t>
                  </w:r>
                </w:p>
              </w:tc>
              <w:tc>
                <w:tcPr>
                  <w:tcW w:w="2142" w:type="pct"/>
                  <w:noWrap w:val="0"/>
                  <w:vAlign w:val="center"/>
                </w:tcPr>
                <w:p w14:paraId="3506076A">
                  <w:pPr>
                    <w:spacing w:line="320" w:lineRule="exact"/>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1.到2035年，园区单位工业增加值新鲜水耗≤2.5 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/万元。</w:t>
                  </w:r>
                </w:p>
              </w:tc>
              <w:tc>
                <w:tcPr>
                  <w:tcW w:w="1579" w:type="pct"/>
                  <w:noWrap w:val="0"/>
                  <w:vAlign w:val="center"/>
                </w:tcPr>
                <w:p w14:paraId="5CD0EAA0">
                  <w:pPr>
                    <w:spacing w:line="320" w:lineRule="exact"/>
                    <w:ind w:firstLine="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w:t>
                  </w:r>
                  <w:r>
                    <w:rPr>
                      <w:rFonts w:hint="default" w:ascii="Times New Roman" w:hAnsi="Times New Roman" w:eastAsia="宋体" w:cs="Times New Roman"/>
                      <w:color w:val="auto"/>
                      <w:sz w:val="21"/>
                      <w:szCs w:val="21"/>
                    </w:rPr>
                    <w:t>单位工业增加值新鲜水耗≤2.5 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/万元</w:t>
                  </w:r>
                </w:p>
              </w:tc>
              <w:tc>
                <w:tcPr>
                  <w:tcW w:w="416" w:type="pct"/>
                  <w:noWrap w:val="0"/>
                  <w:vAlign w:val="center"/>
                </w:tcPr>
                <w:p w14:paraId="4CAFA4BD">
                  <w:pPr>
                    <w:spacing w:line="320" w:lineRule="exact"/>
                    <w:ind w:firstLine="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相符</w:t>
                  </w:r>
                </w:p>
              </w:tc>
            </w:tr>
            <w:tr w14:paraId="5FF4E3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61" w:type="pct"/>
                  <w:gridSpan w:val="2"/>
                  <w:vMerge w:val="continue"/>
                  <w:noWrap w:val="0"/>
                  <w:vAlign w:val="center"/>
                </w:tcPr>
                <w:p w14:paraId="59169A5A">
                  <w:pPr>
                    <w:spacing w:line="320" w:lineRule="exact"/>
                    <w:ind w:firstLine="0"/>
                    <w:jc w:val="center"/>
                    <w:rPr>
                      <w:rFonts w:hint="default" w:ascii="Times New Roman" w:hAnsi="Times New Roman" w:eastAsia="宋体" w:cs="Times New Roman"/>
                      <w:color w:val="auto"/>
                      <w:sz w:val="21"/>
                      <w:szCs w:val="21"/>
                    </w:rPr>
                  </w:pPr>
                </w:p>
              </w:tc>
              <w:tc>
                <w:tcPr>
                  <w:tcW w:w="2142" w:type="pct"/>
                  <w:noWrap w:val="0"/>
                  <w:vAlign w:val="center"/>
                </w:tcPr>
                <w:p w14:paraId="63E58081">
                  <w:pPr>
                    <w:spacing w:line="320" w:lineRule="exact"/>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2.到2035年，园区单位工业增加值综合能耗≤0.45吨标煤/万元。</w:t>
                  </w:r>
                </w:p>
              </w:tc>
              <w:tc>
                <w:tcPr>
                  <w:tcW w:w="1579" w:type="pct"/>
                  <w:noWrap w:val="0"/>
                  <w:vAlign w:val="center"/>
                </w:tcPr>
                <w:p w14:paraId="34C90063">
                  <w:pPr>
                    <w:spacing w:line="320" w:lineRule="exact"/>
                    <w:ind w:firstLine="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项目</w:t>
                  </w:r>
                  <w:r>
                    <w:rPr>
                      <w:rFonts w:hint="default" w:ascii="Times New Roman" w:hAnsi="Times New Roman" w:eastAsia="宋体" w:cs="Times New Roman"/>
                      <w:color w:val="auto"/>
                      <w:sz w:val="21"/>
                      <w:szCs w:val="21"/>
                    </w:rPr>
                    <w:t>单位工业增加值综合能耗≤0.45吨标煤/万元。</w:t>
                  </w:r>
                </w:p>
              </w:tc>
              <w:tc>
                <w:tcPr>
                  <w:tcW w:w="416" w:type="pct"/>
                  <w:noWrap w:val="0"/>
                  <w:vAlign w:val="center"/>
                </w:tcPr>
                <w:p w14:paraId="30B4DB8A">
                  <w:pPr>
                    <w:spacing w:line="320" w:lineRule="exact"/>
                    <w:ind w:firstLine="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相符</w:t>
                  </w:r>
                </w:p>
              </w:tc>
            </w:tr>
            <w:tr w14:paraId="2E15F7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1" w:type="pct"/>
                  <w:gridSpan w:val="2"/>
                  <w:vMerge w:val="continue"/>
                  <w:noWrap w:val="0"/>
                  <w:vAlign w:val="center"/>
                </w:tcPr>
                <w:p w14:paraId="79C9AAEC">
                  <w:pPr>
                    <w:spacing w:line="320" w:lineRule="exact"/>
                    <w:ind w:firstLine="0"/>
                    <w:jc w:val="center"/>
                    <w:rPr>
                      <w:rFonts w:hint="default" w:ascii="Times New Roman" w:hAnsi="Times New Roman" w:eastAsia="宋体" w:cs="Times New Roman"/>
                      <w:color w:val="auto"/>
                      <w:sz w:val="21"/>
                      <w:szCs w:val="21"/>
                    </w:rPr>
                  </w:pPr>
                </w:p>
              </w:tc>
              <w:tc>
                <w:tcPr>
                  <w:tcW w:w="2142" w:type="pct"/>
                  <w:noWrap w:val="0"/>
                  <w:vAlign w:val="center"/>
                </w:tcPr>
                <w:p w14:paraId="0FC85DD1">
                  <w:pPr>
                    <w:spacing w:line="320" w:lineRule="exact"/>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3.土地资源可利用总面积上限36.53平方公里，建设用地总面积上限32.53平方公里，工业用地总面积上限20.98平方公里。</w:t>
                  </w:r>
                </w:p>
              </w:tc>
              <w:tc>
                <w:tcPr>
                  <w:tcW w:w="1579" w:type="pct"/>
                  <w:noWrap w:val="0"/>
                  <w:vAlign w:val="center"/>
                </w:tcPr>
                <w:p w14:paraId="4DCD226C">
                  <w:pPr>
                    <w:spacing w:line="320" w:lineRule="exact"/>
                    <w:ind w:firstLine="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项目租用厂房建设，不新增工业用地</w:t>
                  </w:r>
                </w:p>
              </w:tc>
              <w:tc>
                <w:tcPr>
                  <w:tcW w:w="416" w:type="pct"/>
                  <w:noWrap w:val="0"/>
                  <w:vAlign w:val="center"/>
                </w:tcPr>
                <w:p w14:paraId="0A751183">
                  <w:pPr>
                    <w:spacing w:line="320" w:lineRule="exact"/>
                    <w:ind w:firstLine="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相符</w:t>
                  </w:r>
                </w:p>
              </w:tc>
            </w:tr>
            <w:tr w14:paraId="04D191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1" w:type="pct"/>
                  <w:gridSpan w:val="2"/>
                  <w:vMerge w:val="continue"/>
                  <w:noWrap w:val="0"/>
                  <w:vAlign w:val="center"/>
                </w:tcPr>
                <w:p w14:paraId="52C92D69">
                  <w:pPr>
                    <w:spacing w:line="320" w:lineRule="exact"/>
                    <w:ind w:firstLine="0"/>
                    <w:jc w:val="center"/>
                    <w:rPr>
                      <w:rFonts w:hint="default" w:ascii="Times New Roman" w:hAnsi="Times New Roman" w:eastAsia="宋体" w:cs="Times New Roman"/>
                      <w:color w:val="auto"/>
                      <w:sz w:val="21"/>
                      <w:szCs w:val="21"/>
                    </w:rPr>
                  </w:pPr>
                </w:p>
              </w:tc>
              <w:tc>
                <w:tcPr>
                  <w:tcW w:w="2142" w:type="pct"/>
                  <w:noWrap w:val="0"/>
                  <w:vAlign w:val="center"/>
                </w:tcPr>
                <w:p w14:paraId="3B9790FF">
                  <w:pPr>
                    <w:spacing w:line="320" w:lineRule="exact"/>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4.引进项目的生产工艺、设备，以及单位产品水耗、能耗、污染物排放和资源利用效率等应达到清洁生产II级及以上水平，其中引入的印染项目水重复利用率应达到40%以上。</w:t>
                  </w:r>
                </w:p>
              </w:tc>
              <w:tc>
                <w:tcPr>
                  <w:tcW w:w="1579" w:type="pct"/>
                  <w:noWrap w:val="0"/>
                  <w:vAlign w:val="center"/>
                </w:tcPr>
                <w:p w14:paraId="5F29ABD2">
                  <w:pPr>
                    <w:spacing w:line="320" w:lineRule="exact"/>
                    <w:ind w:firstLine="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w:t>
                  </w:r>
                  <w:r>
                    <w:rPr>
                      <w:rFonts w:hint="default" w:ascii="Times New Roman" w:hAnsi="Times New Roman" w:eastAsia="宋体" w:cs="Times New Roman"/>
                      <w:color w:val="auto"/>
                      <w:sz w:val="21"/>
                      <w:szCs w:val="21"/>
                    </w:rPr>
                    <w:t>生产工艺、设备，以及单位产品水耗、能耗、污染物排放和资源利用效率等应达到清洁生产II级及以上水平</w:t>
                  </w:r>
                </w:p>
              </w:tc>
              <w:tc>
                <w:tcPr>
                  <w:tcW w:w="416" w:type="pct"/>
                  <w:noWrap w:val="0"/>
                  <w:vAlign w:val="center"/>
                </w:tcPr>
                <w:p w14:paraId="40BF52D3">
                  <w:pPr>
                    <w:spacing w:line="320" w:lineRule="exact"/>
                    <w:ind w:firstLine="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相符</w:t>
                  </w:r>
                </w:p>
              </w:tc>
            </w:tr>
          </w:tbl>
          <w:p w14:paraId="2255888C">
            <w:pPr>
              <w:widowControl/>
              <w:adjustRightInd w:val="0"/>
              <w:snapToGrid w:val="0"/>
              <w:spacing w:line="480" w:lineRule="exact"/>
              <w:ind w:firstLine="420" w:firstLineChars="200"/>
              <w:rPr>
                <w:rFonts w:hint="default" w:ascii="Times New Roman" w:hAnsi="Times New Roman" w:eastAsia="宋体" w:cs="Times New Roman"/>
                <w:b/>
                <w:bCs/>
                <w:color w:val="auto"/>
                <w:sz w:val="21"/>
                <w:szCs w:val="21"/>
              </w:rPr>
            </w:pPr>
            <w:r>
              <w:rPr>
                <w:rFonts w:hint="eastAsia"/>
                <w:color w:val="auto"/>
                <w:szCs w:val="21"/>
              </w:rPr>
              <w:t>综上，</w:t>
            </w:r>
            <w:r>
              <w:rPr>
                <w:color w:val="auto"/>
                <w:szCs w:val="21"/>
              </w:rPr>
              <w:t>项目建设符合</w:t>
            </w:r>
            <w:r>
              <w:rPr>
                <w:rFonts w:hint="eastAsia"/>
                <w:color w:val="auto"/>
                <w:sz w:val="21"/>
                <w:szCs w:val="21"/>
                <w:highlight w:val="none"/>
                <w:lang w:eastAsia="zh-CN"/>
              </w:rPr>
              <w:t>江苏金坛经济开发区开发建设规划（2023-2035）</w:t>
            </w:r>
            <w:r>
              <w:rPr>
                <w:rFonts w:hint="eastAsia"/>
                <w:color w:val="auto"/>
                <w:sz w:val="21"/>
                <w:szCs w:val="21"/>
                <w:highlight w:val="none"/>
              </w:rPr>
              <w:t>及《</w:t>
            </w:r>
            <w:r>
              <w:rPr>
                <w:rFonts w:hint="eastAsia"/>
                <w:color w:val="auto"/>
                <w:sz w:val="21"/>
                <w:szCs w:val="21"/>
                <w:highlight w:val="none"/>
                <w:lang w:eastAsia="zh-CN"/>
              </w:rPr>
              <w:t>省生态环境厅关于江苏金坛经济开发区开发建设规划（2025—2035年）环境影响报告书的审查意见</w:t>
            </w:r>
            <w:r>
              <w:rPr>
                <w:rFonts w:hint="eastAsia"/>
                <w:color w:val="auto"/>
                <w:sz w:val="21"/>
                <w:szCs w:val="21"/>
                <w:highlight w:val="none"/>
              </w:rPr>
              <w:t>》</w:t>
            </w:r>
            <w:r>
              <w:rPr>
                <w:color w:val="auto"/>
                <w:szCs w:val="21"/>
              </w:rPr>
              <w:t>中相关要求。</w:t>
            </w:r>
          </w:p>
        </w:tc>
      </w:tr>
      <w:tr w14:paraId="3768A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8" w:hRule="atLeast"/>
          <w:jc w:val="center"/>
        </w:trPr>
        <w:tc>
          <w:tcPr>
            <w:tcW w:w="619" w:type="dxa"/>
            <w:vAlign w:val="center"/>
          </w:tcPr>
          <w:p w14:paraId="70715191">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其他符合性分析</w:t>
            </w:r>
          </w:p>
        </w:tc>
        <w:tc>
          <w:tcPr>
            <w:tcW w:w="8285" w:type="dxa"/>
            <w:gridSpan w:val="4"/>
            <w:vAlign w:val="center"/>
          </w:tcPr>
          <w:p w14:paraId="1B7DAB9C">
            <w:pPr>
              <w:keepNext w:val="0"/>
              <w:keepLines w:val="0"/>
              <w:pageBreakBefore w:val="0"/>
              <w:widowControl w:val="0"/>
              <w:numPr>
                <w:ilvl w:val="0"/>
                <w:numId w:val="2"/>
              </w:numPr>
              <w:kinsoku/>
              <w:wordWrap/>
              <w:overflowPunct/>
              <w:topLinePunct w:val="0"/>
              <w:autoSpaceDE w:val="0"/>
              <w:autoSpaceDN w:val="0"/>
              <w:bidi w:val="0"/>
              <w:adjustRightInd w:val="0"/>
              <w:snapToGrid w:val="0"/>
              <w:spacing w:line="500" w:lineRule="exact"/>
              <w:ind w:firstLine="422" w:firstLineChars="200"/>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val="en-US" w:eastAsia="zh-CN"/>
              </w:rPr>
              <w:t>与</w:t>
            </w:r>
            <w:r>
              <w:rPr>
                <w:rFonts w:hint="eastAsia" w:ascii="Times New Roman" w:hAnsi="Times New Roman" w:eastAsia="宋体" w:cs="Times New Roman"/>
                <w:b/>
                <w:bCs/>
                <w:color w:val="auto"/>
                <w:sz w:val="21"/>
                <w:szCs w:val="21"/>
                <w:lang w:eastAsia="zh-CN"/>
              </w:rPr>
              <w:t>《省政府关于溧阳市、金坛区、武进区、新北区、天宁区、钟楼区国土空间总体规划（2021－2035年）的批复》（苏政复</w:t>
            </w:r>
            <w:r>
              <w:rPr>
                <w:rFonts w:hint="eastAsia" w:cs="Times New Roman"/>
                <w:b/>
                <w:bCs/>
                <w:color w:val="auto"/>
                <w:sz w:val="21"/>
                <w:szCs w:val="21"/>
                <w:lang w:eastAsia="zh-CN"/>
              </w:rPr>
              <w:t>〔2025〕6号</w:t>
            </w:r>
            <w:r>
              <w:rPr>
                <w:rFonts w:hint="eastAsia" w:ascii="Times New Roman" w:hAnsi="Times New Roman" w:eastAsia="宋体" w:cs="Times New Roman"/>
                <w:b/>
                <w:bCs/>
                <w:color w:val="auto"/>
                <w:sz w:val="21"/>
                <w:szCs w:val="21"/>
                <w:lang w:eastAsia="zh-CN"/>
              </w:rPr>
              <w:t>）相符性分析</w:t>
            </w:r>
          </w:p>
          <w:p w14:paraId="1451F1E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
                <w:bCs/>
                <w:color w:val="auto"/>
                <w:sz w:val="21"/>
                <w:szCs w:val="21"/>
                <w:lang w:val="en-US" w:eastAsia="zh-CN"/>
              </w:rPr>
              <w:t xml:space="preserve">   </w:t>
            </w:r>
            <w:r>
              <w:rPr>
                <w:rFonts w:hint="eastAsia" w:ascii="Times New Roman" w:hAnsi="Times New Roman" w:eastAsia="宋体" w:cs="Times New Roman"/>
                <w:b w:val="0"/>
                <w:bCs w:val="0"/>
                <w:color w:val="auto"/>
                <w:sz w:val="21"/>
                <w:szCs w:val="21"/>
                <w:lang w:val="en-US" w:eastAsia="zh-CN"/>
              </w:rPr>
              <w:t>根据</w:t>
            </w:r>
            <w:r>
              <w:rPr>
                <w:rFonts w:hint="eastAsia" w:ascii="Times New Roman" w:hAnsi="Times New Roman" w:eastAsia="宋体" w:cs="Times New Roman"/>
                <w:b w:val="0"/>
                <w:bCs w:val="0"/>
                <w:color w:val="auto"/>
                <w:sz w:val="21"/>
                <w:szCs w:val="21"/>
                <w:lang w:eastAsia="zh-CN"/>
              </w:rPr>
              <w:t>苏政复</w:t>
            </w:r>
            <w:r>
              <w:rPr>
                <w:rFonts w:hint="eastAsia" w:cs="Times New Roman"/>
                <w:b w:val="0"/>
                <w:bCs w:val="0"/>
                <w:color w:val="auto"/>
                <w:sz w:val="21"/>
                <w:szCs w:val="21"/>
                <w:lang w:eastAsia="zh-CN"/>
              </w:rPr>
              <w:t>〔2025〕6号</w:t>
            </w:r>
            <w:r>
              <w:rPr>
                <w:rFonts w:hint="eastAsia" w:ascii="Times New Roman" w:hAnsi="Times New Roman" w:eastAsia="宋体" w:cs="Times New Roman"/>
                <w:b w:val="0"/>
                <w:bCs w:val="0"/>
                <w:color w:val="auto"/>
                <w:sz w:val="21"/>
                <w:szCs w:val="21"/>
                <w:lang w:val="en-US" w:eastAsia="zh-CN"/>
              </w:rPr>
              <w:t>要求，</w:t>
            </w:r>
            <w:r>
              <w:rPr>
                <w:rFonts w:hint="eastAsia" w:ascii="Times New Roman" w:hAnsi="Times New Roman" w:eastAsia="宋体" w:cs="Times New Roman"/>
                <w:b w:val="0"/>
                <w:bCs w:val="0"/>
                <w:color w:val="auto"/>
                <w:sz w:val="21"/>
                <w:szCs w:val="21"/>
                <w:lang w:eastAsia="zh-CN"/>
              </w:rPr>
              <w:t>“金坛区耕地保有量不低于31.3770万亩（永久基本农田保护面积不低于28.8140万亩，含委托易地</w:t>
            </w:r>
            <w:r>
              <w:rPr>
                <w:rFonts w:hint="eastAsia" w:cs="Times New Roman"/>
                <w:b w:val="0"/>
                <w:bCs w:val="0"/>
                <w:color w:val="auto"/>
                <w:sz w:val="21"/>
                <w:szCs w:val="21"/>
                <w:lang w:eastAsia="zh-CN"/>
              </w:rPr>
              <w:t>代管</w:t>
            </w:r>
            <w:r>
              <w:rPr>
                <w:rFonts w:hint="eastAsia" w:ascii="Times New Roman" w:hAnsi="Times New Roman" w:eastAsia="宋体" w:cs="Times New Roman"/>
                <w:b w:val="0"/>
                <w:bCs w:val="0"/>
                <w:color w:val="auto"/>
                <w:sz w:val="21"/>
                <w:szCs w:val="21"/>
                <w:lang w:eastAsia="zh-CN"/>
              </w:rPr>
              <w:t>任务0.5500万亩），生态保护红线面积不低于98.6663平方千米，城镇开发边界扩展倍数控制在基于2020年城镇建设用地规模的1.3636倍”。</w:t>
            </w:r>
            <w:r>
              <w:rPr>
                <w:rFonts w:hint="eastAsia" w:ascii="Times New Roman" w:hAnsi="Times New Roman" w:eastAsia="宋体" w:cs="Times New Roman"/>
                <w:b w:val="0"/>
                <w:bCs w:val="0"/>
                <w:color w:val="auto"/>
                <w:sz w:val="21"/>
                <w:szCs w:val="21"/>
                <w:lang w:val="en-US" w:eastAsia="zh-CN"/>
              </w:rPr>
              <w:t>本项目</w:t>
            </w:r>
            <w:r>
              <w:rPr>
                <w:rFonts w:hint="eastAsia" w:ascii="Times New Roman" w:hAnsi="Times New Roman" w:eastAsia="宋体" w:cs="Times New Roman"/>
                <w:color w:val="auto"/>
                <w:sz w:val="21"/>
                <w:szCs w:val="21"/>
                <w:lang w:val="en-US" w:eastAsia="zh-CN"/>
              </w:rPr>
              <w:t>位于</w:t>
            </w:r>
            <w:r>
              <w:rPr>
                <w:rFonts w:hint="eastAsia" w:cs="Times New Roman"/>
                <w:color w:val="auto"/>
                <w:sz w:val="21"/>
                <w:szCs w:val="21"/>
                <w:lang w:eastAsia="zh-CN"/>
              </w:rPr>
              <w:t>常州市金坛经济开发区南二环东路2229号</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b w:val="0"/>
                <w:bCs w:val="0"/>
                <w:color w:val="auto"/>
                <w:sz w:val="21"/>
                <w:szCs w:val="21"/>
                <w:lang w:val="en-US" w:eastAsia="zh-CN"/>
              </w:rPr>
              <w:t>位于</w:t>
            </w:r>
            <w:r>
              <w:rPr>
                <w:rFonts w:hint="default" w:ascii="Times New Roman" w:hAnsi="Times New Roman" w:eastAsia="宋体" w:cs="Times New Roman"/>
                <w:b w:val="0"/>
                <w:bCs w:val="0"/>
                <w:color w:val="auto"/>
                <w:sz w:val="21"/>
                <w:szCs w:val="21"/>
                <w:lang w:eastAsia="zh-CN"/>
              </w:rPr>
              <w:t>城镇开发边界</w:t>
            </w:r>
            <w:r>
              <w:rPr>
                <w:rFonts w:hint="eastAsia" w:ascii="Times New Roman" w:hAnsi="Times New Roman" w:eastAsia="宋体" w:cs="Times New Roman"/>
                <w:b w:val="0"/>
                <w:bCs w:val="0"/>
                <w:color w:val="auto"/>
                <w:sz w:val="21"/>
                <w:szCs w:val="21"/>
                <w:lang w:val="en-US" w:eastAsia="zh-CN"/>
              </w:rPr>
              <w:t>内</w:t>
            </w:r>
            <w:r>
              <w:rPr>
                <w:rFonts w:hint="eastAsia" w:ascii="Times New Roman" w:hAnsi="Times New Roman" w:eastAsia="宋体" w:cs="Times New Roman"/>
                <w:b w:val="0"/>
                <w:bCs w:val="0"/>
                <w:color w:val="auto"/>
                <w:sz w:val="21"/>
                <w:szCs w:val="21"/>
                <w:lang w:eastAsia="zh-CN"/>
              </w:rPr>
              <w:t>，不涉及基本农田及生态红线，符合苏政复</w:t>
            </w:r>
            <w:r>
              <w:rPr>
                <w:rFonts w:hint="eastAsia" w:cs="Times New Roman"/>
                <w:b w:val="0"/>
                <w:bCs w:val="0"/>
                <w:color w:val="auto"/>
                <w:sz w:val="21"/>
                <w:szCs w:val="21"/>
                <w:lang w:eastAsia="zh-CN"/>
              </w:rPr>
              <w:t>〔2025〕6号</w:t>
            </w:r>
            <w:r>
              <w:rPr>
                <w:rFonts w:hint="eastAsia" w:ascii="Times New Roman" w:hAnsi="Times New Roman" w:eastAsia="宋体" w:cs="Times New Roman"/>
                <w:b w:val="0"/>
                <w:bCs w:val="0"/>
                <w:color w:val="auto"/>
                <w:sz w:val="21"/>
                <w:szCs w:val="21"/>
                <w:lang w:val="en-US" w:eastAsia="zh-CN"/>
              </w:rPr>
              <w:t>文件</w:t>
            </w:r>
            <w:r>
              <w:rPr>
                <w:rFonts w:hint="eastAsia" w:ascii="Times New Roman" w:hAnsi="Times New Roman" w:eastAsia="宋体" w:cs="Times New Roman"/>
                <w:b w:val="0"/>
                <w:bCs w:val="0"/>
                <w:color w:val="auto"/>
                <w:sz w:val="21"/>
                <w:szCs w:val="21"/>
                <w:lang w:eastAsia="zh-CN"/>
              </w:rPr>
              <w:t>要求</w:t>
            </w:r>
            <w:r>
              <w:rPr>
                <w:rFonts w:hint="eastAsia" w:ascii="Times New Roman" w:hAnsi="Times New Roman" w:eastAsia="宋体" w:cs="Times New Roman"/>
                <w:color w:val="auto"/>
                <w:sz w:val="21"/>
                <w:szCs w:val="21"/>
                <w:lang w:eastAsia="zh-CN"/>
              </w:rPr>
              <w:t>。</w:t>
            </w:r>
          </w:p>
          <w:p w14:paraId="02E00DC6">
            <w:pPr>
              <w:keepNext w:val="0"/>
              <w:keepLines w:val="0"/>
              <w:pageBreakBefore w:val="0"/>
              <w:widowControl w:val="0"/>
              <w:kinsoku/>
              <w:wordWrap/>
              <w:overflowPunct/>
              <w:topLinePunct w:val="0"/>
              <w:autoSpaceDE w:val="0"/>
              <w:autoSpaceDN w:val="0"/>
              <w:bidi w:val="0"/>
              <w:adjustRightInd w:val="0"/>
              <w:snapToGrid w:val="0"/>
              <w:spacing w:line="500" w:lineRule="exact"/>
              <w:ind w:firstLine="422" w:firstLineChars="200"/>
              <w:textAlignment w:val="auto"/>
              <w:rPr>
                <w:rFonts w:hint="default" w:ascii="Times New Roman" w:hAnsi="Times New Roman" w:eastAsia="宋体" w:cs="Times New Roman"/>
                <w:b/>
                <w:bCs/>
                <w:color w:val="auto"/>
                <w:sz w:val="21"/>
                <w:szCs w:val="21"/>
                <w:lang w:eastAsia="zh-CN"/>
              </w:rPr>
            </w:pPr>
            <w:r>
              <w:rPr>
                <w:rFonts w:hint="eastAsia" w:cs="Times New Roman"/>
                <w:b/>
                <w:color w:val="auto"/>
                <w:sz w:val="21"/>
                <w:szCs w:val="21"/>
                <w:lang w:val="en-US" w:eastAsia="zh-CN"/>
              </w:rPr>
              <w:t>2、</w:t>
            </w:r>
            <w:r>
              <w:rPr>
                <w:rFonts w:hint="eastAsia" w:ascii="Times New Roman" w:hAnsi="Times New Roman" w:eastAsia="宋体" w:cs="Times New Roman"/>
                <w:b/>
                <w:bCs/>
                <w:color w:val="auto"/>
                <w:sz w:val="21"/>
                <w:szCs w:val="21"/>
                <w:lang w:eastAsia="zh-CN"/>
              </w:rPr>
              <w:t>与《常州市国土空间总体规划（2021—2035年）》相符性分析</w:t>
            </w:r>
          </w:p>
          <w:p w14:paraId="64A2E5E5">
            <w:pPr>
              <w:keepNext w:val="0"/>
              <w:keepLines w:val="0"/>
              <w:pageBreakBefore w:val="0"/>
              <w:widowControl w:val="0"/>
              <w:kinsoku/>
              <w:wordWrap/>
              <w:overflowPunct/>
              <w:topLinePunct w:val="0"/>
              <w:autoSpaceDE w:val="0"/>
              <w:autoSpaceDN w:val="0"/>
              <w:bidi w:val="0"/>
              <w:adjustRightInd w:val="0"/>
              <w:snapToGrid w:val="0"/>
              <w:spacing w:line="500" w:lineRule="exact"/>
              <w:ind w:firstLine="420" w:firstLineChars="200"/>
              <w:textAlignment w:val="auto"/>
              <w:rPr>
                <w:rFonts w:hint="default" w:ascii="Times New Roman" w:hAnsi="Times New Roman" w:eastAsia="宋体" w:cs="Times New Roman"/>
                <w:b/>
                <w:color w:val="auto"/>
                <w:sz w:val="21"/>
                <w:szCs w:val="21"/>
              </w:rPr>
            </w:pPr>
            <w:r>
              <w:rPr>
                <w:rFonts w:hint="eastAsia" w:ascii="Times New Roman" w:hAnsi="Times New Roman" w:eastAsia="宋体" w:cs="Times New Roman"/>
                <w:color w:val="auto"/>
                <w:sz w:val="21"/>
                <w:szCs w:val="21"/>
                <w:lang w:eastAsia="zh-CN"/>
              </w:rPr>
              <w:t>根据《常州市国土空间总体规划图（2021—2035年）》，本项目</w:t>
            </w:r>
            <w:r>
              <w:rPr>
                <w:rFonts w:hint="default" w:ascii="Times New Roman" w:hAnsi="Times New Roman" w:eastAsia="宋体" w:cs="Times New Roman"/>
                <w:color w:val="auto"/>
                <w:sz w:val="21"/>
                <w:szCs w:val="21"/>
                <w:lang w:val="en-US" w:eastAsia="zh-CN"/>
              </w:rPr>
              <w:t>位于</w:t>
            </w:r>
            <w:r>
              <w:rPr>
                <w:rFonts w:hint="eastAsia" w:cs="Times New Roman"/>
                <w:color w:val="auto"/>
                <w:sz w:val="21"/>
                <w:szCs w:val="21"/>
                <w:lang w:eastAsia="zh-CN"/>
              </w:rPr>
              <w:t>常州市金坛经济开发区南二环东路2229号</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位于</w:t>
            </w:r>
            <w:r>
              <w:rPr>
                <w:rFonts w:hint="default" w:ascii="Times New Roman" w:hAnsi="Times New Roman" w:eastAsia="宋体" w:cs="Times New Roman"/>
                <w:color w:val="auto"/>
                <w:sz w:val="21"/>
                <w:szCs w:val="21"/>
                <w:lang w:eastAsia="zh-CN"/>
              </w:rPr>
              <w:t>城镇开发边界</w:t>
            </w:r>
            <w:r>
              <w:rPr>
                <w:rFonts w:hint="eastAsia" w:ascii="Times New Roman" w:hAnsi="Times New Roman" w:eastAsia="宋体" w:cs="Times New Roman"/>
                <w:color w:val="auto"/>
                <w:sz w:val="21"/>
                <w:szCs w:val="21"/>
                <w:lang w:val="en-US" w:eastAsia="zh-CN"/>
              </w:rPr>
              <w:t>内</w:t>
            </w:r>
            <w:r>
              <w:rPr>
                <w:rFonts w:hint="eastAsia" w:ascii="Times New Roman" w:hAnsi="Times New Roman" w:eastAsia="宋体" w:cs="Times New Roman"/>
                <w:color w:val="auto"/>
                <w:sz w:val="21"/>
                <w:szCs w:val="21"/>
                <w:lang w:eastAsia="zh-CN"/>
              </w:rPr>
              <w:t>，不涉及基本农田及生态红线，符合规划用地要求。</w:t>
            </w:r>
            <w:r>
              <w:rPr>
                <w:rFonts w:hint="default" w:ascii="Times New Roman" w:hAnsi="Times New Roman" w:eastAsia="宋体" w:cs="Times New Roman"/>
                <w:color w:val="auto"/>
                <w:sz w:val="21"/>
                <w:szCs w:val="21"/>
                <w:lang w:eastAsia="zh-CN"/>
              </w:rPr>
              <w:t>本项目国民经济行业类别属于“</w:t>
            </w:r>
            <w:r>
              <w:rPr>
                <w:rFonts w:hint="eastAsia" w:cs="Times New Roman"/>
                <w:color w:val="auto"/>
                <w:kern w:val="2"/>
                <w:sz w:val="21"/>
                <w:szCs w:val="21"/>
                <w:lang w:val="en-US" w:eastAsia="zh-CN" w:bidi="ar-SA"/>
              </w:rPr>
              <w:t>C2921塑料薄膜制造</w:t>
            </w:r>
            <w:r>
              <w:rPr>
                <w:rFonts w:hint="default" w:ascii="Times New Roman" w:hAnsi="Times New Roman" w:eastAsia="宋体" w:cs="Times New Roman"/>
                <w:color w:val="auto"/>
                <w:sz w:val="21"/>
                <w:szCs w:val="21"/>
                <w:lang w:eastAsia="zh-CN"/>
              </w:rPr>
              <w:t>”，从事工业生产，用地性质符合要求。</w:t>
            </w:r>
          </w:p>
          <w:p w14:paraId="011BA136">
            <w:pPr>
              <w:keepNext w:val="0"/>
              <w:keepLines w:val="0"/>
              <w:pageBreakBefore w:val="0"/>
              <w:widowControl w:val="0"/>
              <w:kinsoku/>
              <w:wordWrap/>
              <w:overflowPunct/>
              <w:topLinePunct w:val="0"/>
              <w:autoSpaceDE w:val="0"/>
              <w:autoSpaceDN w:val="0"/>
              <w:bidi w:val="0"/>
              <w:adjustRightInd w:val="0"/>
              <w:snapToGrid w:val="0"/>
              <w:spacing w:line="500" w:lineRule="exact"/>
              <w:ind w:firstLine="422" w:firstLineChars="200"/>
              <w:textAlignment w:val="auto"/>
              <w:rPr>
                <w:rFonts w:hint="eastAsia" w:cs="Times New Roman"/>
                <w:b/>
                <w:bCs/>
                <w:color w:val="auto"/>
                <w:sz w:val="21"/>
                <w:szCs w:val="21"/>
                <w:lang w:val="en-US" w:eastAsia="zh-CN"/>
              </w:rPr>
            </w:pPr>
            <w:r>
              <w:rPr>
                <w:rFonts w:hint="eastAsia" w:cs="Times New Roman"/>
                <w:b/>
                <w:bCs w:val="0"/>
                <w:color w:val="auto"/>
                <w:sz w:val="21"/>
                <w:szCs w:val="21"/>
                <w:lang w:val="en-US" w:eastAsia="zh-CN"/>
              </w:rPr>
              <w:t>3、</w:t>
            </w:r>
            <w:r>
              <w:rPr>
                <w:rFonts w:hint="eastAsia" w:cs="Times New Roman"/>
                <w:b/>
                <w:bCs/>
                <w:color w:val="auto"/>
                <w:sz w:val="21"/>
                <w:szCs w:val="21"/>
                <w:lang w:val="en-US" w:eastAsia="zh-CN"/>
              </w:rPr>
              <w:t>分区管控要求相符性分析</w:t>
            </w:r>
          </w:p>
          <w:p w14:paraId="68BD6409">
            <w:pPr>
              <w:numPr>
                <w:ilvl w:val="0"/>
                <w:numId w:val="0"/>
              </w:numPr>
              <w:autoSpaceDE w:val="0"/>
              <w:autoSpaceDN w:val="0"/>
              <w:adjustRightInd w:val="0"/>
              <w:snapToGrid w:val="0"/>
              <w:spacing w:line="500" w:lineRule="exact"/>
              <w:ind w:firstLine="422" w:firstLineChars="200"/>
              <w:rPr>
                <w:rFonts w:hint="default" w:ascii="Times New Roman" w:hAnsi="Times New Roman" w:eastAsia="宋体" w:cs="Times New Roman"/>
                <w:b/>
                <w:color w:val="auto"/>
                <w:sz w:val="21"/>
                <w:szCs w:val="21"/>
              </w:rPr>
            </w:pPr>
            <w:r>
              <w:rPr>
                <w:rFonts w:hint="eastAsia" w:cs="Times New Roman"/>
                <w:b/>
                <w:color w:val="auto"/>
                <w:sz w:val="21"/>
                <w:szCs w:val="21"/>
                <w:lang w:eastAsia="zh-CN"/>
              </w:rPr>
              <w:t>（</w:t>
            </w:r>
            <w:r>
              <w:rPr>
                <w:rFonts w:hint="eastAsia" w:cs="Times New Roman"/>
                <w:b/>
                <w:color w:val="auto"/>
                <w:sz w:val="21"/>
                <w:szCs w:val="21"/>
                <w:lang w:val="en-US" w:eastAsia="zh-CN"/>
              </w:rPr>
              <w:t>1</w:t>
            </w:r>
            <w:r>
              <w:rPr>
                <w:rFonts w:hint="eastAsia" w:cs="Times New Roman"/>
                <w:b/>
                <w:color w:val="auto"/>
                <w:sz w:val="21"/>
                <w:szCs w:val="21"/>
                <w:lang w:eastAsia="zh-CN"/>
              </w:rPr>
              <w:t>）</w:t>
            </w:r>
            <w:r>
              <w:rPr>
                <w:rFonts w:hint="default" w:ascii="Times New Roman" w:hAnsi="Times New Roman" w:eastAsia="宋体" w:cs="Times New Roman"/>
                <w:b/>
                <w:color w:val="auto"/>
                <w:sz w:val="21"/>
                <w:szCs w:val="21"/>
              </w:rPr>
              <w:t>与</w:t>
            </w:r>
            <w:r>
              <w:rPr>
                <w:rFonts w:hint="default" w:ascii="Times New Roman" w:hAnsi="Times New Roman" w:cs="Times New Roman"/>
                <w:b/>
                <w:color w:val="auto"/>
                <w:sz w:val="21"/>
                <w:szCs w:val="21"/>
                <w:lang w:eastAsia="zh-CN"/>
              </w:rPr>
              <w:t>《</w:t>
            </w:r>
            <w:r>
              <w:rPr>
                <w:rFonts w:hint="default" w:ascii="Times New Roman" w:hAnsi="Times New Roman" w:cs="Times New Roman"/>
                <w:b/>
                <w:bCs w:val="0"/>
                <w:color w:val="auto"/>
                <w:sz w:val="21"/>
                <w:szCs w:val="21"/>
                <w:lang w:eastAsia="zh-CN"/>
              </w:rPr>
              <w:t>江苏省2023年度生态环境分区管控动态更新成果公告》、</w:t>
            </w:r>
            <w:r>
              <w:rPr>
                <w:rFonts w:hint="default" w:ascii="Times New Roman" w:hAnsi="Times New Roman" w:eastAsia="宋体" w:cs="Times New Roman"/>
                <w:b/>
                <w:bCs w:val="0"/>
                <w:color w:val="auto"/>
                <w:sz w:val="21"/>
                <w:szCs w:val="21"/>
              </w:rPr>
              <w:t>《江苏省政府关于印发江苏省“三线一单”生态环境分区管控方案的通知》（苏政发</w:t>
            </w:r>
            <w:r>
              <w:rPr>
                <w:rFonts w:hint="eastAsia" w:cs="Times New Roman"/>
                <w:b/>
                <w:bCs w:val="0"/>
                <w:color w:val="auto"/>
                <w:sz w:val="21"/>
                <w:szCs w:val="21"/>
                <w:lang w:eastAsia="zh-CN"/>
              </w:rPr>
              <w:t>〔2020〕49号</w:t>
            </w:r>
            <w:r>
              <w:rPr>
                <w:rFonts w:hint="default" w:ascii="Times New Roman" w:hAnsi="Times New Roman" w:eastAsia="宋体" w:cs="Times New Roman"/>
                <w:b/>
                <w:bCs w:val="0"/>
                <w:color w:val="auto"/>
                <w:sz w:val="21"/>
                <w:szCs w:val="21"/>
              </w:rPr>
              <w:t>）相符性分析</w:t>
            </w:r>
          </w:p>
          <w:p w14:paraId="64272F3D">
            <w:pPr>
              <w:autoSpaceDE w:val="0"/>
              <w:autoSpaceDN w:val="0"/>
              <w:adjustRightInd w:val="0"/>
              <w:snapToGrid w:val="0"/>
              <w:spacing w:line="500" w:lineRule="exact"/>
              <w:ind w:firstLine="420" w:firstLineChars="20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本项目位于</w:t>
            </w:r>
            <w:r>
              <w:rPr>
                <w:rFonts w:hint="eastAsia" w:cs="Times New Roman"/>
                <w:color w:val="auto"/>
                <w:sz w:val="21"/>
                <w:szCs w:val="21"/>
                <w:lang w:eastAsia="zh-CN"/>
              </w:rPr>
              <w:t>常州市金坛经济开发区南二环东路2229号</w:t>
            </w:r>
            <w:r>
              <w:rPr>
                <w:rFonts w:hint="default" w:ascii="Times New Roman" w:hAnsi="Times New Roman" w:eastAsia="宋体" w:cs="Times New Roman"/>
                <w:bCs/>
                <w:color w:val="auto"/>
                <w:sz w:val="21"/>
                <w:szCs w:val="21"/>
              </w:rPr>
              <w:t>，对照</w:t>
            </w:r>
            <w:r>
              <w:rPr>
                <w:rFonts w:hint="default" w:ascii="Times New Roman" w:hAnsi="Times New Roman" w:cs="Times New Roman"/>
                <w:bCs/>
                <w:color w:val="auto"/>
                <w:sz w:val="21"/>
                <w:szCs w:val="21"/>
                <w:lang w:eastAsia="zh-CN"/>
              </w:rPr>
              <w:t>《江苏省2023年度生态环境分区管控动态更新成果公告</w:t>
            </w:r>
            <w:r>
              <w:rPr>
                <w:rFonts w:hint="default" w:ascii="Times New Roman" w:hAnsi="Times New Roman" w:cs="Times New Roman"/>
                <w:b w:val="0"/>
                <w:bCs/>
                <w:color w:val="auto"/>
                <w:sz w:val="21"/>
                <w:szCs w:val="21"/>
                <w:lang w:eastAsia="zh-CN"/>
              </w:rPr>
              <w:t>》、</w:t>
            </w:r>
            <w:r>
              <w:rPr>
                <w:rFonts w:hint="default" w:ascii="Times New Roman" w:hAnsi="Times New Roman" w:eastAsia="宋体" w:cs="Times New Roman"/>
                <w:b w:val="0"/>
                <w:bCs/>
                <w:color w:val="auto"/>
                <w:sz w:val="21"/>
                <w:szCs w:val="21"/>
              </w:rPr>
              <w:t>《江苏省政府关于印发江苏省“三线一单”生态环境分区管控方案的通知》（苏政发</w:t>
            </w:r>
            <w:r>
              <w:rPr>
                <w:rFonts w:hint="eastAsia" w:cs="Times New Roman"/>
                <w:b w:val="0"/>
                <w:bCs/>
                <w:color w:val="auto"/>
                <w:sz w:val="21"/>
                <w:szCs w:val="21"/>
                <w:lang w:eastAsia="zh-CN"/>
              </w:rPr>
              <w:t>〔2020〕49号</w:t>
            </w:r>
            <w:r>
              <w:rPr>
                <w:rFonts w:hint="default" w:ascii="Times New Roman" w:hAnsi="Times New Roman" w:eastAsia="宋体" w:cs="Times New Roman"/>
                <w:b w:val="0"/>
                <w:bCs/>
                <w:color w:val="auto"/>
                <w:sz w:val="21"/>
                <w:szCs w:val="21"/>
              </w:rPr>
              <w:t>）可</w:t>
            </w:r>
            <w:r>
              <w:rPr>
                <w:rFonts w:hint="default" w:ascii="Times New Roman" w:hAnsi="Times New Roman" w:eastAsia="宋体" w:cs="Times New Roman"/>
                <w:bCs/>
                <w:color w:val="auto"/>
                <w:sz w:val="21"/>
                <w:szCs w:val="21"/>
              </w:rPr>
              <w:t>知，项目位于</w:t>
            </w:r>
            <w:r>
              <w:rPr>
                <w:rFonts w:hint="default" w:ascii="Times New Roman" w:hAnsi="Times New Roman" w:eastAsia="宋体" w:cs="Times New Roman"/>
                <w:bCs/>
                <w:color w:val="auto"/>
                <w:sz w:val="21"/>
                <w:szCs w:val="21"/>
                <w:highlight w:val="none"/>
              </w:rPr>
              <w:t>重点管控单元</w:t>
            </w:r>
            <w:r>
              <w:rPr>
                <w:rFonts w:hint="eastAsia" w:cs="Times New Roman"/>
                <w:bCs/>
                <w:color w:val="auto"/>
                <w:sz w:val="21"/>
                <w:szCs w:val="21"/>
                <w:highlight w:val="none"/>
                <w:lang w:eastAsia="zh-CN"/>
              </w:rPr>
              <w:t>（</w:t>
            </w:r>
            <w:r>
              <w:rPr>
                <w:rFonts w:hint="eastAsia" w:cs="Times New Roman"/>
                <w:bCs/>
                <w:color w:val="auto"/>
                <w:sz w:val="21"/>
                <w:szCs w:val="21"/>
                <w:highlight w:val="none"/>
                <w:lang w:val="en-US" w:eastAsia="zh-CN"/>
              </w:rPr>
              <w:t>长江流域、太湖流域</w:t>
            </w:r>
            <w:r>
              <w:rPr>
                <w:rFonts w:hint="eastAsia"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bCs/>
                <w:color w:val="auto"/>
                <w:sz w:val="21"/>
                <w:szCs w:val="21"/>
              </w:rPr>
              <w:t>其重点管控要求与本项目的相符性分析见</w:t>
            </w:r>
            <w:r>
              <w:rPr>
                <w:rFonts w:hint="default" w:ascii="Times New Roman" w:hAnsi="Times New Roman" w:eastAsia="宋体" w:cs="Times New Roman"/>
                <w:bCs/>
                <w:color w:val="auto"/>
                <w:sz w:val="21"/>
                <w:szCs w:val="21"/>
                <w:lang w:val="en-US" w:eastAsia="zh-CN"/>
              </w:rPr>
              <w:t>下表</w:t>
            </w:r>
            <w:r>
              <w:rPr>
                <w:rFonts w:hint="default" w:ascii="Times New Roman" w:hAnsi="Times New Roman" w:eastAsia="宋体" w:cs="Times New Roman"/>
                <w:bCs/>
                <w:color w:val="auto"/>
                <w:sz w:val="21"/>
                <w:szCs w:val="21"/>
              </w:rPr>
              <w:t>。</w:t>
            </w:r>
          </w:p>
          <w:p w14:paraId="7C774E58">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 xml:space="preserve">3 </w:t>
            </w:r>
            <w:r>
              <w:rPr>
                <w:rFonts w:hint="default" w:ascii="Times New Roman" w:hAnsi="Times New Roman" w:eastAsia="宋体" w:cs="Times New Roman"/>
                <w:b/>
                <w:bCs/>
                <w:color w:val="auto"/>
                <w:sz w:val="21"/>
                <w:szCs w:val="21"/>
              </w:rPr>
              <w:t>与</w:t>
            </w:r>
            <w:r>
              <w:rPr>
                <w:rFonts w:hint="default" w:ascii="Times New Roman" w:hAnsi="Times New Roman" w:eastAsia="宋体" w:cs="Times New Roman"/>
                <w:b/>
                <w:bCs/>
                <w:color w:val="auto"/>
                <w:sz w:val="21"/>
                <w:szCs w:val="21"/>
                <w:lang w:eastAsia="zh-CN"/>
              </w:rPr>
              <w:t>《江苏省2023年度生态环境分区管控动态更新成果公告》</w:t>
            </w:r>
            <w:r>
              <w:rPr>
                <w:rFonts w:hint="default" w:ascii="Times New Roman" w:hAnsi="Times New Roman" w:eastAsia="宋体" w:cs="Times New Roman"/>
                <w:b/>
                <w:bCs/>
                <w:color w:val="auto"/>
                <w:sz w:val="21"/>
                <w:szCs w:val="21"/>
              </w:rPr>
              <w:t>相符性分析</w:t>
            </w:r>
          </w:p>
          <w:tbl>
            <w:tblPr>
              <w:tblStyle w:val="3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28" w:type="dxa"/>
                <w:left w:w="108" w:type="dxa"/>
                <w:bottom w:w="28" w:type="dxa"/>
                <w:right w:w="108" w:type="dxa"/>
              </w:tblCellMar>
            </w:tblPr>
            <w:tblGrid>
              <w:gridCol w:w="865"/>
              <w:gridCol w:w="4844"/>
              <w:gridCol w:w="1317"/>
              <w:gridCol w:w="1323"/>
            </w:tblGrid>
            <w:tr w14:paraId="7CACB9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18" w:type="pct"/>
                  <w:vAlign w:val="center"/>
                </w:tcPr>
                <w:p w14:paraId="290DCC71">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管控类别</w:t>
                  </w:r>
                </w:p>
              </w:tc>
              <w:tc>
                <w:tcPr>
                  <w:tcW w:w="2901" w:type="pct"/>
                  <w:vAlign w:val="center"/>
                </w:tcPr>
                <w:p w14:paraId="2956148E">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重点管控要求</w:t>
                  </w:r>
                </w:p>
              </w:tc>
              <w:tc>
                <w:tcPr>
                  <w:tcW w:w="789" w:type="pct"/>
                  <w:vAlign w:val="center"/>
                </w:tcPr>
                <w:p w14:paraId="577D2D64">
                  <w:pPr>
                    <w:pStyle w:val="100"/>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rPr>
                    <w:t>本项目</w:t>
                  </w:r>
                </w:p>
              </w:tc>
              <w:tc>
                <w:tcPr>
                  <w:tcW w:w="790" w:type="pct"/>
                  <w:vAlign w:val="center"/>
                </w:tcPr>
                <w:p w14:paraId="7F77FF42">
                  <w:pPr>
                    <w:pStyle w:val="100"/>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rPr>
                    <w:t>相符性</w:t>
                  </w:r>
                </w:p>
              </w:tc>
            </w:tr>
            <w:tr w14:paraId="2C30BC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000" w:type="pct"/>
                  <w:gridSpan w:val="4"/>
                  <w:vAlign w:val="center"/>
                </w:tcPr>
                <w:p w14:paraId="797F8C4F">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长江流域</w:t>
                  </w:r>
                </w:p>
              </w:tc>
            </w:tr>
            <w:tr w14:paraId="7A4892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18" w:type="pct"/>
                  <w:vAlign w:val="center"/>
                </w:tcPr>
                <w:p w14:paraId="3854071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空间布局约束</w:t>
                  </w:r>
                </w:p>
              </w:tc>
              <w:tc>
                <w:tcPr>
                  <w:tcW w:w="2901" w:type="pct"/>
                  <w:tcBorders>
                    <w:bottom w:val="single" w:color="auto" w:sz="2" w:space="0"/>
                  </w:tcBorders>
                  <w:vAlign w:val="center"/>
                </w:tcPr>
                <w:p w14:paraId="621B1F73">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1、始终把长江生态修复放在首位，坚持共抓大保护、不搞大开发，引导长江流域产业转型升级和布局优化调整，实现科学发展、有序发展、高质量发展。</w:t>
                  </w:r>
                </w:p>
                <w:p w14:paraId="1E9DE2F1">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加强生态空间保护，禁止在国家确定的生态保护红线和永久基本农田范围内，投资建设除国家重大战略资源勘查项目、生态保护修复和地质灾害治理项目、重大基础设施项目、军事国防项目以及农民基本生产生活等必要的民生项目以外的项目。</w:t>
                  </w:r>
                </w:p>
                <w:p w14:paraId="4B8072FD">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3、禁止在沿江地区新建或扩建化学工业园区，禁止新建或扩建以大宗进口油气资源为原料的石油加工、石油化工、基础有机无机化工、煤化工项目；禁止在长江干流和主要支流岸线1公里范围内新建危化品码头。</w:t>
                  </w:r>
                </w:p>
                <w:p w14:paraId="6E0BBB23">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4、强化港口布局优化，禁止建设不符合国家港口布局规划和《江苏省沿江沿海港口布局规划（2015-2030年）》《江苏省内河港口布局规划（2017-2035年）》的码头项</w:t>
                  </w:r>
                  <w:r>
                    <w:rPr>
                      <w:rFonts w:hint="default" w:ascii="Times New Roman" w:hAnsi="Times New Roman" w:eastAsia="宋体" w:cs="Times New Roman"/>
                      <w:color w:val="auto"/>
                      <w:sz w:val="21"/>
                      <w:szCs w:val="21"/>
                      <w:lang w:eastAsia="zh-CN"/>
                    </w:rPr>
                    <w:t>目</w:t>
                  </w:r>
                  <w:r>
                    <w:rPr>
                      <w:rFonts w:hint="default" w:ascii="Times New Roman" w:hAnsi="Times New Roman" w:eastAsia="宋体" w:cs="Times New Roman"/>
                      <w:color w:val="auto"/>
                      <w:sz w:val="21"/>
                      <w:szCs w:val="21"/>
                      <w:lang w:val="en-US" w:eastAsia="zh-CN"/>
                    </w:rPr>
                    <w:t>，禁止建设未纳入《长江干线过江通道布局规划》的过江干线通道项目</w:t>
                  </w:r>
                  <w:r>
                    <w:rPr>
                      <w:rFonts w:hint="default" w:ascii="Times New Roman" w:hAnsi="Times New Roman" w:eastAsia="宋体" w:cs="Times New Roman"/>
                      <w:color w:val="auto"/>
                      <w:sz w:val="21"/>
                      <w:szCs w:val="21"/>
                    </w:rPr>
                    <w:t>。</w:t>
                  </w:r>
                </w:p>
                <w:p w14:paraId="4799FDC2">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5、禁止新建独立焦化项目。</w:t>
                  </w:r>
                </w:p>
              </w:tc>
              <w:tc>
                <w:tcPr>
                  <w:tcW w:w="789" w:type="pct"/>
                  <w:tcBorders>
                    <w:bottom w:val="single" w:color="auto" w:sz="2" w:space="0"/>
                  </w:tcBorders>
                  <w:vAlign w:val="center"/>
                </w:tcPr>
                <w:p w14:paraId="20620993">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w:t>
                  </w:r>
                  <w:r>
                    <w:rPr>
                      <w:rFonts w:hint="eastAsia" w:cs="Times New Roman"/>
                      <w:color w:val="auto"/>
                      <w:sz w:val="21"/>
                      <w:szCs w:val="21"/>
                      <w:lang w:eastAsia="zh-CN"/>
                    </w:rPr>
                    <w:t>常州市金坛经济开发区南二环东路2229号</w:t>
                  </w:r>
                  <w:r>
                    <w:rPr>
                      <w:rFonts w:hint="default" w:ascii="Times New Roman" w:hAnsi="Times New Roman" w:eastAsia="宋体" w:cs="Times New Roman"/>
                      <w:color w:val="auto"/>
                      <w:sz w:val="21"/>
                      <w:szCs w:val="21"/>
                    </w:rPr>
                    <w:t>，</w:t>
                  </w:r>
                  <w:r>
                    <w:rPr>
                      <w:rFonts w:hint="default" w:ascii="Times New Roman" w:hAnsi="Times New Roman" w:eastAsia="宋体" w:cs="Times New Roman"/>
                      <w:b w:val="0"/>
                      <w:bCs w:val="0"/>
                      <w:color w:val="auto"/>
                      <w:sz w:val="21"/>
                      <w:szCs w:val="21"/>
                      <w:lang w:eastAsia="zh-CN"/>
                    </w:rPr>
                    <w:t>属于长江流域内，选址</w:t>
                  </w:r>
                  <w:r>
                    <w:rPr>
                      <w:rFonts w:hint="default" w:ascii="Times New Roman" w:hAnsi="Times New Roman" w:eastAsia="宋体" w:cs="Times New Roman"/>
                      <w:color w:val="auto"/>
                      <w:sz w:val="21"/>
                      <w:szCs w:val="21"/>
                    </w:rPr>
                    <w:t>不在国家确定的生态保护红线和永久基本农田范围内</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本项目属于</w:t>
                  </w:r>
                  <w:r>
                    <w:rPr>
                      <w:rFonts w:hint="eastAsia" w:cs="Times New Roman"/>
                      <w:bCs/>
                      <w:color w:val="auto"/>
                      <w:sz w:val="21"/>
                      <w:szCs w:val="21"/>
                      <w:lang w:eastAsia="zh-CN"/>
                    </w:rPr>
                    <w:t>C2921塑料薄膜制造</w:t>
                  </w:r>
                  <w:r>
                    <w:rPr>
                      <w:rFonts w:hint="default" w:ascii="Times New Roman" w:hAnsi="Times New Roman" w:eastAsia="宋体" w:cs="Times New Roman"/>
                      <w:color w:val="auto"/>
                      <w:sz w:val="21"/>
                      <w:szCs w:val="21"/>
                    </w:rPr>
                    <w:t>，不属于上述禁止建设的项目。</w:t>
                  </w:r>
                </w:p>
              </w:tc>
              <w:tc>
                <w:tcPr>
                  <w:tcW w:w="790" w:type="pct"/>
                  <w:tcBorders>
                    <w:bottom w:val="single" w:color="auto" w:sz="2" w:space="0"/>
                  </w:tcBorders>
                  <w:vAlign w:val="center"/>
                </w:tcPr>
                <w:p w14:paraId="1CA7545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rPr>
                    <w:t>相符</w:t>
                  </w:r>
                </w:p>
              </w:tc>
            </w:tr>
            <w:tr w14:paraId="172E61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18" w:type="pct"/>
                  <w:vAlign w:val="center"/>
                </w:tcPr>
                <w:p w14:paraId="1C5454D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污染物排放管控</w:t>
                  </w:r>
                </w:p>
              </w:tc>
              <w:tc>
                <w:tcPr>
                  <w:tcW w:w="2901" w:type="pct"/>
                  <w:vAlign w:val="center"/>
                </w:tcPr>
                <w:p w14:paraId="5E0500BC">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1、根据《江苏省长江水污染防治条例》实施污染物总量控制制度。</w:t>
                  </w:r>
                </w:p>
                <w:p w14:paraId="67F0E0D1">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2、全面加强和规范长江入河排污口管理，有效管控入河污染物排放，形成权责清晰、监控到位、管理规范的长江入河排污口监管体系，加快改善长江水环境质量。</w:t>
                  </w:r>
                </w:p>
              </w:tc>
              <w:tc>
                <w:tcPr>
                  <w:tcW w:w="789" w:type="pct"/>
                  <w:vAlign w:val="center"/>
                </w:tcPr>
                <w:p w14:paraId="7A1299E9">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eastAsia="zh-CN"/>
                    </w:rPr>
                    <w:t>本项目</w:t>
                  </w:r>
                  <w:r>
                    <w:rPr>
                      <w:rFonts w:hint="default" w:ascii="Times New Roman" w:hAnsi="Times New Roman" w:eastAsia="宋体" w:cs="Times New Roman"/>
                      <w:b w:val="0"/>
                      <w:bCs w:val="0"/>
                      <w:color w:val="auto"/>
                      <w:sz w:val="21"/>
                      <w:szCs w:val="21"/>
                      <w:lang w:val="en-US" w:eastAsia="zh-CN"/>
                    </w:rPr>
                    <w:t>实施总量控制，不涉及长江入河排污口。</w:t>
                  </w:r>
                </w:p>
              </w:tc>
              <w:tc>
                <w:tcPr>
                  <w:tcW w:w="790" w:type="pct"/>
                  <w:vAlign w:val="center"/>
                </w:tcPr>
                <w:p w14:paraId="699FC9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相符</w:t>
                  </w:r>
                </w:p>
              </w:tc>
            </w:tr>
            <w:tr w14:paraId="3E940B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18" w:type="pct"/>
                  <w:vAlign w:val="center"/>
                </w:tcPr>
                <w:p w14:paraId="155C337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环境风险防控</w:t>
                  </w:r>
                </w:p>
              </w:tc>
              <w:tc>
                <w:tcPr>
                  <w:tcW w:w="2901" w:type="pct"/>
                  <w:vAlign w:val="center"/>
                </w:tcPr>
                <w:p w14:paraId="493FD279">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1、防范沿江环境风险。深化沿江石化、化工、医药、纺织、印染、化纤、危化品和石油类仓储、涉重金属和危险废物处置等重点企业环境风险防控。</w:t>
                  </w:r>
                </w:p>
                <w:p w14:paraId="5E37FA32">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2、加强饮用水水源保护。优化水源保护区划定，推动饮用水水源地规范化建设。</w:t>
                  </w:r>
                </w:p>
              </w:tc>
              <w:tc>
                <w:tcPr>
                  <w:tcW w:w="789" w:type="pct"/>
                  <w:vAlign w:val="center"/>
                </w:tcPr>
                <w:p w14:paraId="6A9026FC">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eastAsia="zh-CN"/>
                    </w:rPr>
                    <w:t>本项目建设单位不属于环境风险防控重点企业。</w:t>
                  </w:r>
                </w:p>
              </w:tc>
              <w:tc>
                <w:tcPr>
                  <w:tcW w:w="790" w:type="pct"/>
                  <w:vAlign w:val="center"/>
                </w:tcPr>
                <w:p w14:paraId="659A0D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相符</w:t>
                  </w:r>
                </w:p>
              </w:tc>
            </w:tr>
            <w:tr w14:paraId="35892B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18" w:type="pct"/>
                  <w:vAlign w:val="center"/>
                </w:tcPr>
                <w:p w14:paraId="222BE6E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资源利用效率要求</w:t>
                  </w:r>
                </w:p>
              </w:tc>
              <w:tc>
                <w:tcPr>
                  <w:tcW w:w="2901" w:type="pct"/>
                  <w:vAlign w:val="center"/>
                </w:tcPr>
                <w:p w14:paraId="7C985F27">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禁止在长江干支流岸线管控范围内新建、扩建化工园区和化工项目。禁止在长江干流岸线和重要支流岸线管控范围内新建、改建、扩建尾矿库，但是以提升安全、生态环境保护水平为目的的改建除外。</w:t>
                  </w:r>
                </w:p>
              </w:tc>
              <w:tc>
                <w:tcPr>
                  <w:tcW w:w="789" w:type="pct"/>
                  <w:vAlign w:val="center"/>
                </w:tcPr>
                <w:p w14:paraId="279931FC">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本项目</w:t>
                  </w:r>
                  <w:r>
                    <w:rPr>
                      <w:rFonts w:hint="default" w:ascii="Times New Roman" w:hAnsi="Times New Roman" w:eastAsia="宋体" w:cs="Times New Roman"/>
                      <w:b w:val="0"/>
                      <w:bCs w:val="0"/>
                      <w:color w:val="auto"/>
                      <w:sz w:val="21"/>
                      <w:szCs w:val="21"/>
                      <w:lang w:val="en-US" w:eastAsia="zh-CN"/>
                    </w:rPr>
                    <w:t>不属于</w:t>
                  </w:r>
                  <w:r>
                    <w:rPr>
                      <w:rFonts w:hint="default" w:ascii="Times New Roman" w:hAnsi="Times New Roman" w:eastAsia="宋体" w:cs="Times New Roman"/>
                      <w:color w:val="auto"/>
                      <w:sz w:val="21"/>
                      <w:szCs w:val="21"/>
                    </w:rPr>
                    <w:t>化工项目</w:t>
                  </w:r>
                  <w:r>
                    <w:rPr>
                      <w:rFonts w:hint="default" w:ascii="Times New Roman" w:hAnsi="Times New Roman" w:eastAsia="宋体" w:cs="Times New Roman"/>
                      <w:color w:val="auto"/>
                      <w:sz w:val="21"/>
                      <w:szCs w:val="21"/>
                      <w:lang w:val="en-US" w:eastAsia="zh-CN"/>
                    </w:rPr>
                    <w:t>和</w:t>
                  </w:r>
                  <w:r>
                    <w:rPr>
                      <w:rFonts w:hint="default" w:ascii="Times New Roman" w:hAnsi="Times New Roman" w:eastAsia="宋体" w:cs="Times New Roman"/>
                      <w:color w:val="auto"/>
                      <w:sz w:val="21"/>
                      <w:szCs w:val="21"/>
                    </w:rPr>
                    <w:t>尾矿库</w:t>
                  </w:r>
                  <w:r>
                    <w:rPr>
                      <w:rFonts w:hint="default" w:ascii="Times New Roman" w:hAnsi="Times New Roman" w:eastAsia="宋体" w:cs="Times New Roman"/>
                      <w:color w:val="auto"/>
                      <w:sz w:val="21"/>
                      <w:szCs w:val="21"/>
                      <w:lang w:val="en-US" w:eastAsia="zh-CN"/>
                    </w:rPr>
                    <w:t>项目</w:t>
                  </w:r>
                  <w:r>
                    <w:rPr>
                      <w:rFonts w:hint="default" w:ascii="Times New Roman" w:hAnsi="Times New Roman" w:eastAsia="宋体" w:cs="Times New Roman"/>
                      <w:b w:val="0"/>
                      <w:bCs w:val="0"/>
                      <w:color w:val="auto"/>
                      <w:sz w:val="21"/>
                      <w:szCs w:val="21"/>
                      <w:lang w:eastAsia="zh-CN"/>
                    </w:rPr>
                    <w:t>。</w:t>
                  </w:r>
                </w:p>
              </w:tc>
              <w:tc>
                <w:tcPr>
                  <w:tcW w:w="790" w:type="pct"/>
                  <w:vAlign w:val="center"/>
                </w:tcPr>
                <w:p w14:paraId="78591B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相符</w:t>
                  </w:r>
                </w:p>
              </w:tc>
            </w:tr>
            <w:tr w14:paraId="76A8DD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000" w:type="pct"/>
                  <w:gridSpan w:val="4"/>
                  <w:vAlign w:val="center"/>
                </w:tcPr>
                <w:p w14:paraId="38546633">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太湖流域</w:t>
                  </w:r>
                </w:p>
              </w:tc>
            </w:tr>
            <w:tr w14:paraId="2A225E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18" w:type="pct"/>
                  <w:vAlign w:val="center"/>
                </w:tcPr>
                <w:p w14:paraId="0110C20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空间布局约束</w:t>
                  </w:r>
                </w:p>
              </w:tc>
              <w:tc>
                <w:tcPr>
                  <w:tcW w:w="2901" w:type="pct"/>
                  <w:vAlign w:val="center"/>
                </w:tcPr>
                <w:p w14:paraId="168651D2">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p w14:paraId="1A774586">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在</w:t>
                  </w:r>
                  <w:r>
                    <w:rPr>
                      <w:rFonts w:hint="eastAsia" w:cs="Times New Roman"/>
                      <w:color w:val="auto"/>
                      <w:sz w:val="21"/>
                      <w:szCs w:val="21"/>
                      <w:lang w:eastAsia="zh-CN"/>
                    </w:rPr>
                    <w:t>太湖流域</w:t>
                  </w:r>
                  <w:r>
                    <w:rPr>
                      <w:rFonts w:hint="default" w:ascii="Times New Roman" w:hAnsi="Times New Roman" w:eastAsia="宋体" w:cs="Times New Roman"/>
                      <w:color w:val="auto"/>
                      <w:sz w:val="21"/>
                      <w:szCs w:val="21"/>
                    </w:rPr>
                    <w:t>一级保护区，禁止新建、扩建向水体排放污染物的建设项目，禁止新建、扩建畜禽养殖场，禁止新建、扩建高尔夫球场、水上游乐等开发项目以及设置水上餐饮经营设施。</w:t>
                  </w:r>
                </w:p>
                <w:p w14:paraId="25489068">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在太湖流域二级保护区，禁止新建、扩建化工、医药生产项目，禁止新建、扩建污水集中处理设施排污口以外的排污口。</w:t>
                  </w:r>
                </w:p>
              </w:tc>
              <w:tc>
                <w:tcPr>
                  <w:tcW w:w="789" w:type="pct"/>
                  <w:vAlign w:val="center"/>
                </w:tcPr>
                <w:p w14:paraId="621E6CD1">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w:t>
                  </w:r>
                  <w:r>
                    <w:rPr>
                      <w:rFonts w:hint="eastAsia" w:cs="Times New Roman"/>
                      <w:color w:val="auto"/>
                      <w:sz w:val="21"/>
                      <w:szCs w:val="21"/>
                      <w:lang w:eastAsia="zh-CN"/>
                    </w:rPr>
                    <w:t>常州市金坛经济开发区南二环东路2229号</w:t>
                  </w:r>
                  <w:r>
                    <w:rPr>
                      <w:rFonts w:hint="default" w:ascii="Times New Roman" w:hAnsi="Times New Roman" w:eastAsia="宋体" w:cs="Times New Roman"/>
                      <w:color w:val="auto"/>
                      <w:sz w:val="21"/>
                      <w:szCs w:val="21"/>
                    </w:rPr>
                    <w:t>，属于太湖流域三级保护区；本项目</w:t>
                  </w:r>
                  <w:r>
                    <w:rPr>
                      <w:rFonts w:hint="default" w:ascii="Times New Roman" w:hAnsi="Times New Roman" w:eastAsia="宋体" w:cs="Times New Roman"/>
                      <w:b w:val="0"/>
                      <w:bCs w:val="0"/>
                      <w:color w:val="auto"/>
                      <w:sz w:val="21"/>
                      <w:szCs w:val="21"/>
                      <w:lang w:val="en-US" w:eastAsia="zh-CN"/>
                    </w:rPr>
                    <w:t>不属于禁止新建的行业</w:t>
                  </w:r>
                  <w:r>
                    <w:rPr>
                      <w:rFonts w:hint="default" w:ascii="Times New Roman" w:hAnsi="Times New Roman" w:eastAsia="宋体" w:cs="Times New Roman"/>
                      <w:color w:val="auto"/>
                      <w:sz w:val="21"/>
                      <w:szCs w:val="21"/>
                    </w:rPr>
                    <w:t>，</w:t>
                  </w:r>
                  <w:r>
                    <w:rPr>
                      <w:rFonts w:hint="default" w:ascii="Times New Roman" w:hAnsi="Times New Roman" w:eastAsia="宋体" w:cs="Times New Roman"/>
                      <w:b w:val="0"/>
                      <w:bCs w:val="0"/>
                      <w:color w:val="auto"/>
                      <w:sz w:val="21"/>
                      <w:szCs w:val="21"/>
                      <w:lang w:val="en-US" w:eastAsia="zh-CN"/>
                    </w:rPr>
                    <w:t>无含磷、氮生产废水排放</w:t>
                  </w:r>
                  <w:r>
                    <w:rPr>
                      <w:rFonts w:hint="default" w:ascii="Times New Roman" w:hAnsi="Times New Roman" w:eastAsia="宋体" w:cs="Times New Roman"/>
                      <w:color w:val="auto"/>
                      <w:sz w:val="21"/>
                      <w:szCs w:val="21"/>
                    </w:rPr>
                    <w:t>。</w:t>
                  </w:r>
                </w:p>
              </w:tc>
              <w:tc>
                <w:tcPr>
                  <w:tcW w:w="790" w:type="pct"/>
                  <w:vAlign w:val="center"/>
                </w:tcPr>
                <w:p w14:paraId="3E56BB2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rPr>
                    <w:t>相符</w:t>
                  </w:r>
                </w:p>
              </w:tc>
            </w:tr>
            <w:tr w14:paraId="47348B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18" w:type="pct"/>
                  <w:vAlign w:val="center"/>
                </w:tcPr>
                <w:p w14:paraId="2E53690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污染物排放管控</w:t>
                  </w:r>
                </w:p>
              </w:tc>
              <w:tc>
                <w:tcPr>
                  <w:tcW w:w="2901" w:type="pct"/>
                  <w:vAlign w:val="center"/>
                </w:tcPr>
                <w:p w14:paraId="3E61925A">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城镇污水处理厂、纺织工业、化学工业、造纸工业、钢铁工业、电镀工业和食品工业的污水处理设施执行《太湖地区城镇污水处理厂及重点工业行业主要水污染物排放限值》。</w:t>
                  </w:r>
                </w:p>
              </w:tc>
              <w:tc>
                <w:tcPr>
                  <w:tcW w:w="789" w:type="pct"/>
                  <w:vAlign w:val="center"/>
                </w:tcPr>
                <w:p w14:paraId="6485CD3F">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本项目不属于上述行业。</w:t>
                  </w:r>
                </w:p>
              </w:tc>
              <w:tc>
                <w:tcPr>
                  <w:tcW w:w="790" w:type="pct"/>
                  <w:vAlign w:val="center"/>
                </w:tcPr>
                <w:p w14:paraId="48C79E0D">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rPr>
                    <w:t>相符</w:t>
                  </w:r>
                </w:p>
              </w:tc>
            </w:tr>
            <w:tr w14:paraId="13CDF8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18" w:type="pct"/>
                  <w:vAlign w:val="center"/>
                </w:tcPr>
                <w:p w14:paraId="5CAE474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环境风险防控</w:t>
                  </w:r>
                </w:p>
              </w:tc>
              <w:tc>
                <w:tcPr>
                  <w:tcW w:w="2901" w:type="pct"/>
                  <w:vAlign w:val="center"/>
                </w:tcPr>
                <w:p w14:paraId="028071F4">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1、运输剧毒物质、危险化学品的船舶不得进入太湖。</w:t>
                  </w:r>
                </w:p>
                <w:p w14:paraId="77C7B795">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2、禁止向太湖流域水体排放或者倾倒油类、酸液、碱液、剧毒废渣废液、含放射性废渣废液、含病原体污水、工业废渣以及其他废弃物。</w:t>
                  </w:r>
                </w:p>
                <w:p w14:paraId="463D5488">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3、加强太湖流域生态环境风险应急管控，着力提高防控太湖蓝藻水华风险预警和应急处置能力。</w:t>
                  </w:r>
                </w:p>
              </w:tc>
              <w:tc>
                <w:tcPr>
                  <w:tcW w:w="789" w:type="pct"/>
                  <w:vAlign w:val="center"/>
                </w:tcPr>
                <w:p w14:paraId="7F94535A">
                  <w:pP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lang w:eastAsia="zh-CN"/>
                    </w:rPr>
                    <w:t>本项目</w:t>
                  </w:r>
                  <w:r>
                    <w:rPr>
                      <w:rFonts w:hint="default" w:ascii="Times New Roman" w:hAnsi="Times New Roman" w:eastAsia="宋体" w:cs="Times New Roman"/>
                      <w:b w:val="0"/>
                      <w:bCs w:val="0"/>
                      <w:color w:val="auto"/>
                      <w:sz w:val="21"/>
                      <w:szCs w:val="21"/>
                      <w:lang w:val="en-US" w:eastAsia="zh-CN"/>
                    </w:rPr>
                    <w:t>不涉及文件中相关行为</w:t>
                  </w:r>
                  <w:r>
                    <w:rPr>
                      <w:rFonts w:hint="default" w:ascii="Times New Roman" w:hAnsi="Times New Roman" w:eastAsia="宋体" w:cs="Times New Roman"/>
                      <w:color w:val="auto"/>
                      <w:sz w:val="21"/>
                      <w:szCs w:val="21"/>
                    </w:rPr>
                    <w:t>。</w:t>
                  </w:r>
                </w:p>
              </w:tc>
              <w:tc>
                <w:tcPr>
                  <w:tcW w:w="790" w:type="pct"/>
                  <w:vAlign w:val="center"/>
                </w:tcPr>
                <w:p w14:paraId="215F2CBC">
                  <w:pPr>
                    <w:ind w:firstLine="420" w:firstLineChars="200"/>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相符</w:t>
                  </w:r>
                </w:p>
              </w:tc>
            </w:tr>
            <w:tr w14:paraId="5C257C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18" w:type="pct"/>
                  <w:vAlign w:val="center"/>
                </w:tcPr>
                <w:p w14:paraId="31BC54B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资源利用效率要求</w:t>
                  </w:r>
                </w:p>
              </w:tc>
              <w:tc>
                <w:tcPr>
                  <w:tcW w:w="2901" w:type="pct"/>
                  <w:vAlign w:val="center"/>
                </w:tcPr>
                <w:p w14:paraId="1E23B325">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1.严格用水定额管理制度，推进取用水规范化管理，科学制定用水定额并动态调整，对超过用水定额标准的企业分类分步先期实施节水改造，鼓励重点用水企业、园区建立智慧用水管理系统。</w:t>
                  </w:r>
                </w:p>
                <w:p w14:paraId="50983305">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 推进新孟河、新沟河、望虞河、走马塘等河道联合调度，科学调控太湖水位。</w:t>
                  </w:r>
                </w:p>
              </w:tc>
              <w:tc>
                <w:tcPr>
                  <w:tcW w:w="789" w:type="pct"/>
                  <w:vAlign w:val="center"/>
                </w:tcPr>
                <w:p w14:paraId="1D86F985">
                  <w:pP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当地自来水厂能够满足本项目用水需求</w:t>
                  </w:r>
                  <w:r>
                    <w:rPr>
                      <w:rFonts w:hint="default" w:ascii="Times New Roman" w:hAnsi="Times New Roman" w:eastAsia="宋体" w:cs="Times New Roman"/>
                      <w:color w:val="auto"/>
                      <w:sz w:val="21"/>
                      <w:szCs w:val="21"/>
                    </w:rPr>
                    <w:t>。</w:t>
                  </w:r>
                </w:p>
              </w:tc>
              <w:tc>
                <w:tcPr>
                  <w:tcW w:w="790" w:type="pct"/>
                  <w:vAlign w:val="center"/>
                </w:tcPr>
                <w:p w14:paraId="64BA8C74">
                  <w:pPr>
                    <w:ind w:firstLine="420" w:firstLineChars="200"/>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相符</w:t>
                  </w:r>
                </w:p>
              </w:tc>
            </w:tr>
          </w:tbl>
          <w:p w14:paraId="2D4E108B">
            <w:pPr>
              <w:autoSpaceDE w:val="0"/>
              <w:autoSpaceDN w:val="0"/>
              <w:adjustRightInd w:val="0"/>
              <w:snapToGrid w:val="0"/>
              <w:spacing w:line="500" w:lineRule="exact"/>
              <w:ind w:firstLine="420" w:firstLineChars="20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综上，本项目与</w:t>
            </w:r>
            <w:r>
              <w:rPr>
                <w:rFonts w:hint="default" w:ascii="Times New Roman" w:hAnsi="Times New Roman" w:cs="Times New Roman"/>
                <w:bCs/>
                <w:color w:val="auto"/>
                <w:sz w:val="21"/>
                <w:szCs w:val="21"/>
                <w:lang w:eastAsia="zh-CN"/>
              </w:rPr>
              <w:t>《江苏省2023年度生态环境分区管控动态更新成果公告》</w:t>
            </w:r>
            <w:r>
              <w:rPr>
                <w:rFonts w:hint="default" w:ascii="Times New Roman" w:hAnsi="Times New Roman" w:eastAsia="宋体" w:cs="Times New Roman"/>
                <w:bCs/>
                <w:color w:val="auto"/>
                <w:sz w:val="21"/>
                <w:szCs w:val="21"/>
              </w:rPr>
              <w:t>的要求相符。</w:t>
            </w:r>
          </w:p>
          <w:p w14:paraId="0837B610">
            <w:pPr>
              <w:autoSpaceDE w:val="0"/>
              <w:autoSpaceDN w:val="0"/>
              <w:snapToGrid w:val="0"/>
              <w:spacing w:line="500" w:lineRule="exact"/>
              <w:rPr>
                <w:rFonts w:hint="default" w:ascii="Times New Roman" w:hAnsi="Times New Roman" w:eastAsia="宋体" w:cs="Times New Roman"/>
                <w:b/>
                <w:color w:val="auto"/>
                <w:sz w:val="21"/>
                <w:szCs w:val="21"/>
              </w:rPr>
            </w:pPr>
            <w:r>
              <w:rPr>
                <w:rFonts w:hint="eastAsia" w:cs="Times New Roman"/>
                <w:b/>
                <w:color w:val="auto"/>
                <w:sz w:val="21"/>
                <w:szCs w:val="21"/>
                <w:lang w:val="en-US" w:eastAsia="zh-CN"/>
              </w:rPr>
              <w:t>4、</w:t>
            </w:r>
            <w:r>
              <w:rPr>
                <w:rFonts w:hint="default" w:ascii="Times New Roman" w:hAnsi="Times New Roman" w:eastAsia="宋体" w:cs="Times New Roman"/>
                <w:b/>
                <w:color w:val="auto"/>
                <w:sz w:val="21"/>
                <w:szCs w:val="21"/>
              </w:rPr>
              <w:t>与</w:t>
            </w:r>
            <w:r>
              <w:rPr>
                <w:rFonts w:hint="default" w:ascii="Times New Roman" w:hAnsi="Times New Roman" w:cs="Times New Roman"/>
                <w:b/>
                <w:color w:val="auto"/>
                <w:sz w:val="21"/>
                <w:szCs w:val="21"/>
                <w:lang w:eastAsia="zh-CN"/>
              </w:rPr>
              <w:t>《常州市生态环境分区管控动态更新成果》（2023年版）</w:t>
            </w:r>
            <w:r>
              <w:rPr>
                <w:rFonts w:hint="default" w:ascii="Times New Roman" w:hAnsi="Times New Roman" w:eastAsia="宋体" w:cs="Times New Roman"/>
                <w:b/>
                <w:color w:val="auto"/>
                <w:sz w:val="21"/>
                <w:szCs w:val="21"/>
              </w:rPr>
              <w:t>相符性分析</w:t>
            </w:r>
          </w:p>
          <w:p w14:paraId="0797407D">
            <w:pPr>
              <w:autoSpaceDE w:val="0"/>
              <w:autoSpaceDN w:val="0"/>
              <w:adjustRightInd w:val="0"/>
              <w:snapToGrid w:val="0"/>
              <w:spacing w:line="500" w:lineRule="exact"/>
              <w:ind w:firstLine="420" w:firstLineChars="20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本项目位于</w:t>
            </w:r>
            <w:r>
              <w:rPr>
                <w:rFonts w:hint="eastAsia" w:cs="Times New Roman"/>
                <w:color w:val="auto"/>
                <w:sz w:val="21"/>
                <w:szCs w:val="21"/>
                <w:lang w:val="en-US" w:eastAsia="zh-CN"/>
              </w:rPr>
              <w:t>金坛经济开发区</w:t>
            </w:r>
            <w:r>
              <w:rPr>
                <w:rFonts w:hint="default" w:ascii="Times New Roman" w:hAnsi="Times New Roman" w:eastAsia="宋体" w:cs="Times New Roman"/>
                <w:bCs/>
                <w:color w:val="auto"/>
                <w:sz w:val="21"/>
                <w:szCs w:val="21"/>
              </w:rPr>
              <w:t>，根据《</w:t>
            </w:r>
            <w:r>
              <w:rPr>
                <w:rFonts w:hint="eastAsia" w:cs="Times New Roman"/>
                <w:bCs/>
                <w:color w:val="auto"/>
                <w:sz w:val="21"/>
                <w:szCs w:val="21"/>
                <w:lang w:eastAsia="zh-CN"/>
              </w:rPr>
              <w:t>常州市生态环境分区管控动态更新成果</w:t>
            </w:r>
            <w:r>
              <w:rPr>
                <w:rFonts w:hint="default" w:ascii="Times New Roman" w:hAnsi="Times New Roman" w:eastAsia="宋体" w:cs="Times New Roman"/>
                <w:bCs/>
                <w:color w:val="auto"/>
                <w:sz w:val="21"/>
                <w:szCs w:val="21"/>
              </w:rPr>
              <w:t>》附件3中常州市环境管控单元名录，</w:t>
            </w:r>
            <w:r>
              <w:rPr>
                <w:rFonts w:hint="default" w:ascii="Times New Roman" w:hAnsi="Times New Roman" w:eastAsia="宋体" w:cs="Times New Roman"/>
                <w:color w:val="auto"/>
                <w:sz w:val="21"/>
                <w:szCs w:val="21"/>
                <w:lang w:eastAsia="zh-CN"/>
              </w:rPr>
              <w:t>属于“重点管控单元</w:t>
            </w:r>
            <w:r>
              <w:rPr>
                <w:rFonts w:hint="eastAsia" w:ascii="Times New Roman" w:hAnsi="Times New Roman" w:eastAsia="宋体" w:cs="Times New Roman"/>
                <w:bCs/>
                <w:color w:val="auto"/>
                <w:sz w:val="21"/>
                <w:szCs w:val="21"/>
                <w:lang w:val="en-US" w:eastAsia="zh-CN"/>
              </w:rPr>
              <w:t>-</w:t>
            </w:r>
            <w:r>
              <w:rPr>
                <w:rFonts w:hint="eastAsia" w:cs="Times New Roman"/>
                <w:bCs/>
                <w:color w:val="auto"/>
                <w:sz w:val="21"/>
                <w:szCs w:val="21"/>
                <w:lang w:eastAsia="zh-CN"/>
              </w:rPr>
              <w:t>金坛经济开发区</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其重点管控要求与本项目的相符性分析见</w:t>
            </w:r>
            <w:r>
              <w:rPr>
                <w:rFonts w:hint="default" w:ascii="Times New Roman" w:hAnsi="Times New Roman" w:eastAsia="宋体" w:cs="Times New Roman"/>
                <w:bCs/>
                <w:color w:val="auto"/>
                <w:sz w:val="21"/>
                <w:szCs w:val="21"/>
                <w:lang w:val="en-US" w:eastAsia="zh-CN"/>
              </w:rPr>
              <w:t>下表</w:t>
            </w:r>
            <w:r>
              <w:rPr>
                <w:rFonts w:hint="default" w:ascii="Times New Roman" w:hAnsi="Times New Roman" w:eastAsia="宋体" w:cs="Times New Roman"/>
                <w:bCs/>
                <w:color w:val="auto"/>
                <w:sz w:val="21"/>
                <w:szCs w:val="21"/>
                <w:lang w:eastAsia="zh-CN"/>
              </w:rPr>
              <w:t>。</w:t>
            </w:r>
          </w:p>
          <w:p w14:paraId="6D67AB88">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 xml:space="preserve">4 </w:t>
            </w:r>
            <w:r>
              <w:rPr>
                <w:rFonts w:hint="default" w:ascii="Times New Roman" w:hAnsi="Times New Roman" w:eastAsia="宋体" w:cs="Times New Roman"/>
                <w:b/>
                <w:bCs/>
                <w:color w:val="auto"/>
                <w:sz w:val="21"/>
                <w:szCs w:val="21"/>
              </w:rPr>
              <w:t>与</w:t>
            </w:r>
            <w:r>
              <w:rPr>
                <w:rFonts w:hint="default" w:ascii="Times New Roman" w:hAnsi="Times New Roman" w:eastAsia="宋体" w:cs="Times New Roman"/>
                <w:b/>
                <w:bCs/>
                <w:color w:val="auto"/>
                <w:sz w:val="21"/>
                <w:szCs w:val="21"/>
                <w:lang w:eastAsia="zh-CN"/>
              </w:rPr>
              <w:t>《常州市生态环境分区管控动态更新成果》（2023年版）</w:t>
            </w:r>
            <w:r>
              <w:rPr>
                <w:rFonts w:hint="default" w:ascii="Times New Roman" w:hAnsi="Times New Roman" w:eastAsia="宋体" w:cs="Times New Roman"/>
                <w:b/>
                <w:bCs/>
                <w:color w:val="auto"/>
                <w:sz w:val="21"/>
                <w:szCs w:val="21"/>
              </w:rPr>
              <w:t>相符性分析</w:t>
            </w:r>
          </w:p>
          <w:tbl>
            <w:tblPr>
              <w:tblStyle w:val="31"/>
              <w:tblW w:w="4996"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17"/>
              <w:gridCol w:w="3494"/>
              <w:gridCol w:w="2878"/>
              <w:gridCol w:w="856"/>
            </w:tblGrid>
            <w:tr w14:paraId="6F5747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noWrap w:val="0"/>
                  <w:vAlign w:val="center"/>
                </w:tcPr>
                <w:p w14:paraId="7EACDE4C">
                  <w:pPr>
                    <w:pStyle w:val="10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管控类别</w:t>
                  </w:r>
                </w:p>
              </w:tc>
              <w:tc>
                <w:tcPr>
                  <w:tcW w:w="2093" w:type="pct"/>
                  <w:noWrap w:val="0"/>
                  <w:vAlign w:val="center"/>
                </w:tcPr>
                <w:p w14:paraId="5FE97B64">
                  <w:pPr>
                    <w:pStyle w:val="10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重点管控要求（江苏金坛经济开发区）</w:t>
                  </w:r>
                </w:p>
              </w:tc>
              <w:tc>
                <w:tcPr>
                  <w:tcW w:w="1724" w:type="pct"/>
                  <w:noWrap w:val="0"/>
                  <w:vAlign w:val="center"/>
                </w:tcPr>
                <w:p w14:paraId="075524CA">
                  <w:pPr>
                    <w:pStyle w:val="10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w:t>
                  </w:r>
                </w:p>
              </w:tc>
              <w:tc>
                <w:tcPr>
                  <w:tcW w:w="512" w:type="pct"/>
                  <w:noWrap w:val="0"/>
                  <w:vAlign w:val="center"/>
                </w:tcPr>
                <w:p w14:paraId="5D1616EC">
                  <w:pPr>
                    <w:pStyle w:val="10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相符性</w:t>
                  </w:r>
                </w:p>
              </w:tc>
            </w:tr>
            <w:tr w14:paraId="19FBDA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restart"/>
                  <w:noWrap w:val="0"/>
                  <w:vAlign w:val="center"/>
                </w:tcPr>
                <w:p w14:paraId="29406265">
                  <w:pPr>
                    <w:pStyle w:val="1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空间布局约束</w:t>
                  </w:r>
                </w:p>
              </w:tc>
              <w:tc>
                <w:tcPr>
                  <w:tcW w:w="2093" w:type="pct"/>
                  <w:noWrap w:val="0"/>
                  <w:vAlign w:val="center"/>
                </w:tcPr>
                <w:p w14:paraId="76A57D7B">
                  <w:pPr>
                    <w:pStyle w:val="1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1.禁止</w:t>
                  </w:r>
                  <w:r>
                    <w:rPr>
                      <w:rFonts w:hint="default" w:ascii="Times New Roman" w:hAnsi="Times New Roman" w:eastAsia="宋体" w:cs="Times New Roman"/>
                      <w:color w:val="auto"/>
                      <w:spacing w:val="-1"/>
                      <w:sz w:val="21"/>
                      <w:szCs w:val="21"/>
                    </w:rPr>
                    <w:t>引入纺织服装中废水排放量较</w:t>
                  </w:r>
                  <w:r>
                    <w:rPr>
                      <w:rFonts w:hint="default" w:ascii="Times New Roman" w:hAnsi="Times New Roman" w:eastAsia="宋体" w:cs="Times New Roman"/>
                      <w:color w:val="auto"/>
                      <w:spacing w:val="-8"/>
                      <w:sz w:val="21"/>
                      <w:szCs w:val="21"/>
                    </w:rPr>
                    <w:t>大的纯印染和纯染整类企业</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pacing w:val="-4"/>
                      <w:sz w:val="21"/>
                      <w:szCs w:val="21"/>
                    </w:rPr>
                    <w:t>除金坛时尚</w:t>
                  </w:r>
                  <w:r>
                    <w:rPr>
                      <w:rFonts w:hint="default" w:ascii="Times New Roman" w:hAnsi="Times New Roman" w:eastAsia="宋体" w:cs="Times New Roman"/>
                      <w:color w:val="auto"/>
                      <w:sz w:val="21"/>
                      <w:szCs w:val="21"/>
                    </w:rPr>
                    <w:t>织染集聚区</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w:t>
                  </w:r>
                </w:p>
              </w:tc>
              <w:tc>
                <w:tcPr>
                  <w:tcW w:w="1724" w:type="pct"/>
                  <w:vMerge w:val="restart"/>
                  <w:noWrap w:val="0"/>
                  <w:vAlign w:val="center"/>
                </w:tcPr>
                <w:p w14:paraId="436CCB76">
                  <w:pPr>
                    <w:pStyle w:val="100"/>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本项目位于江苏金坛经济开发区，项目不属于禁止</w:t>
                  </w:r>
                  <w:r>
                    <w:rPr>
                      <w:rFonts w:hint="default" w:ascii="Times New Roman" w:hAnsi="Times New Roman" w:eastAsia="宋体" w:cs="Times New Roman"/>
                      <w:color w:val="auto"/>
                      <w:spacing w:val="-1"/>
                      <w:sz w:val="21"/>
                      <w:szCs w:val="21"/>
                    </w:rPr>
                    <w:t>引入</w:t>
                  </w:r>
                  <w:r>
                    <w:rPr>
                      <w:rFonts w:hint="default" w:ascii="Times New Roman" w:hAnsi="Times New Roman" w:eastAsia="宋体" w:cs="Times New Roman"/>
                      <w:color w:val="auto"/>
                      <w:sz w:val="21"/>
                      <w:szCs w:val="21"/>
                    </w:rPr>
                    <w:t>项目。</w:t>
                  </w:r>
                </w:p>
              </w:tc>
              <w:tc>
                <w:tcPr>
                  <w:tcW w:w="512" w:type="pct"/>
                  <w:vMerge w:val="restart"/>
                  <w:noWrap w:val="0"/>
                  <w:vAlign w:val="center"/>
                </w:tcPr>
                <w:p w14:paraId="5412646C">
                  <w:pPr>
                    <w:pStyle w:val="100"/>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符合</w:t>
                  </w:r>
                </w:p>
              </w:tc>
            </w:tr>
            <w:tr w14:paraId="7D8250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continue"/>
                  <w:noWrap w:val="0"/>
                  <w:vAlign w:val="center"/>
                </w:tcPr>
                <w:p w14:paraId="571EFF78">
                  <w:pPr>
                    <w:pStyle w:val="100"/>
                    <w:rPr>
                      <w:rFonts w:hint="default" w:ascii="Times New Roman" w:hAnsi="Times New Roman" w:eastAsia="宋体" w:cs="Times New Roman"/>
                      <w:color w:val="auto"/>
                      <w:sz w:val="21"/>
                      <w:szCs w:val="21"/>
                    </w:rPr>
                  </w:pPr>
                </w:p>
              </w:tc>
              <w:tc>
                <w:tcPr>
                  <w:tcW w:w="2093" w:type="pct"/>
                  <w:noWrap w:val="0"/>
                  <w:vAlign w:val="center"/>
                </w:tcPr>
                <w:p w14:paraId="4C952797">
                  <w:pPr>
                    <w:pStyle w:val="1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2.禁止</w:t>
                  </w:r>
                  <w:r>
                    <w:rPr>
                      <w:rFonts w:hint="default" w:ascii="Times New Roman" w:hAnsi="Times New Roman" w:eastAsia="宋体" w:cs="Times New Roman"/>
                      <w:color w:val="auto"/>
                      <w:spacing w:val="-1"/>
                      <w:sz w:val="21"/>
                      <w:szCs w:val="21"/>
                    </w:rPr>
                    <w:t>引入机械电子、高端装备制造</w:t>
                  </w:r>
                  <w:r>
                    <w:rPr>
                      <w:rFonts w:hint="default" w:ascii="Times New Roman" w:hAnsi="Times New Roman" w:eastAsia="宋体" w:cs="Times New Roman"/>
                      <w:color w:val="auto"/>
                      <w:spacing w:val="-11"/>
                      <w:sz w:val="21"/>
                      <w:szCs w:val="21"/>
                    </w:rPr>
                    <w:t>业中电镀、表面处理类企业，淘汰、限制</w:t>
                  </w:r>
                  <w:r>
                    <w:rPr>
                      <w:rFonts w:hint="default" w:ascii="Times New Roman" w:hAnsi="Times New Roman" w:eastAsia="宋体" w:cs="Times New Roman"/>
                      <w:color w:val="auto"/>
                      <w:spacing w:val="-9"/>
                      <w:sz w:val="21"/>
                      <w:szCs w:val="21"/>
                    </w:rPr>
                    <w:t>类的如普通高速钢钻头、铣刀、锯片、丝</w:t>
                  </w:r>
                  <w:r>
                    <w:rPr>
                      <w:rFonts w:hint="default" w:ascii="Times New Roman" w:hAnsi="Times New Roman" w:eastAsia="宋体" w:cs="Times New Roman"/>
                      <w:color w:val="auto"/>
                      <w:spacing w:val="-12"/>
                      <w:sz w:val="21"/>
                      <w:szCs w:val="21"/>
                    </w:rPr>
                    <w:t>锥、板牙项目、普通微小型球轴承制造项目；禁止生产国家禁止或公告停止销售的</w:t>
                  </w:r>
                  <w:r>
                    <w:rPr>
                      <w:rFonts w:hint="default" w:ascii="Times New Roman" w:hAnsi="Times New Roman" w:eastAsia="宋体" w:cs="Times New Roman"/>
                      <w:color w:val="auto"/>
                      <w:sz w:val="21"/>
                      <w:szCs w:val="21"/>
                    </w:rPr>
                    <w:t>车辆；有害物质含量超标准的汽车。</w:t>
                  </w:r>
                </w:p>
              </w:tc>
              <w:tc>
                <w:tcPr>
                  <w:tcW w:w="1724" w:type="pct"/>
                  <w:vMerge w:val="continue"/>
                  <w:noWrap w:val="0"/>
                  <w:vAlign w:val="center"/>
                </w:tcPr>
                <w:p w14:paraId="791B21DE">
                  <w:pPr>
                    <w:pStyle w:val="100"/>
                    <w:rPr>
                      <w:rFonts w:hint="default" w:ascii="Times New Roman" w:hAnsi="Times New Roman" w:eastAsia="宋体" w:cs="Times New Roman"/>
                      <w:b/>
                      <w:bCs/>
                      <w:color w:val="auto"/>
                      <w:sz w:val="21"/>
                      <w:szCs w:val="21"/>
                    </w:rPr>
                  </w:pPr>
                </w:p>
              </w:tc>
              <w:tc>
                <w:tcPr>
                  <w:tcW w:w="512" w:type="pct"/>
                  <w:vMerge w:val="continue"/>
                  <w:noWrap w:val="0"/>
                  <w:vAlign w:val="center"/>
                </w:tcPr>
                <w:p w14:paraId="3885832B">
                  <w:pPr>
                    <w:pStyle w:val="100"/>
                    <w:rPr>
                      <w:rFonts w:hint="default" w:ascii="Times New Roman" w:hAnsi="Times New Roman" w:eastAsia="宋体" w:cs="Times New Roman"/>
                      <w:b/>
                      <w:bCs/>
                      <w:color w:val="auto"/>
                      <w:sz w:val="21"/>
                      <w:szCs w:val="21"/>
                    </w:rPr>
                  </w:pPr>
                </w:p>
              </w:tc>
            </w:tr>
            <w:tr w14:paraId="5D9E84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continue"/>
                  <w:noWrap w:val="0"/>
                  <w:vAlign w:val="center"/>
                </w:tcPr>
                <w:p w14:paraId="1A9FB910">
                  <w:pPr>
                    <w:pStyle w:val="100"/>
                    <w:rPr>
                      <w:rFonts w:hint="default" w:ascii="Times New Roman" w:hAnsi="Times New Roman" w:eastAsia="宋体" w:cs="Times New Roman"/>
                      <w:color w:val="auto"/>
                      <w:sz w:val="21"/>
                      <w:szCs w:val="21"/>
                    </w:rPr>
                  </w:pPr>
                </w:p>
              </w:tc>
              <w:tc>
                <w:tcPr>
                  <w:tcW w:w="2093" w:type="pct"/>
                  <w:noWrap w:val="0"/>
                  <w:vAlign w:val="center"/>
                </w:tcPr>
                <w:p w14:paraId="1EC05C74">
                  <w:pPr>
                    <w:pStyle w:val="1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3.禁止</w:t>
                  </w:r>
                  <w:r>
                    <w:rPr>
                      <w:rFonts w:hint="default" w:ascii="Times New Roman" w:hAnsi="Times New Roman" w:eastAsia="宋体" w:cs="Times New Roman"/>
                      <w:color w:val="auto"/>
                      <w:spacing w:val="-1"/>
                      <w:sz w:val="21"/>
                      <w:szCs w:val="21"/>
                    </w:rPr>
                    <w:t>引入化工中与盐化工及下游产</w:t>
                  </w:r>
                  <w:r>
                    <w:rPr>
                      <w:rFonts w:hint="default" w:ascii="Times New Roman" w:hAnsi="Times New Roman" w:eastAsia="宋体" w:cs="Times New Roman"/>
                      <w:color w:val="auto"/>
                      <w:sz w:val="21"/>
                      <w:szCs w:val="21"/>
                    </w:rPr>
                    <w:t>品生产不相关的化工项目。</w:t>
                  </w:r>
                </w:p>
              </w:tc>
              <w:tc>
                <w:tcPr>
                  <w:tcW w:w="1724" w:type="pct"/>
                  <w:vMerge w:val="continue"/>
                  <w:noWrap w:val="0"/>
                  <w:vAlign w:val="center"/>
                </w:tcPr>
                <w:p w14:paraId="43E79C13">
                  <w:pPr>
                    <w:pStyle w:val="100"/>
                    <w:rPr>
                      <w:rFonts w:hint="default" w:ascii="Times New Roman" w:hAnsi="Times New Roman" w:eastAsia="宋体" w:cs="Times New Roman"/>
                      <w:b/>
                      <w:bCs/>
                      <w:color w:val="auto"/>
                      <w:sz w:val="21"/>
                      <w:szCs w:val="21"/>
                    </w:rPr>
                  </w:pPr>
                </w:p>
              </w:tc>
              <w:tc>
                <w:tcPr>
                  <w:tcW w:w="512" w:type="pct"/>
                  <w:vMerge w:val="continue"/>
                  <w:noWrap w:val="0"/>
                  <w:vAlign w:val="center"/>
                </w:tcPr>
                <w:p w14:paraId="3757473A">
                  <w:pPr>
                    <w:pStyle w:val="100"/>
                    <w:rPr>
                      <w:rFonts w:hint="default" w:ascii="Times New Roman" w:hAnsi="Times New Roman" w:eastAsia="宋体" w:cs="Times New Roman"/>
                      <w:b/>
                      <w:bCs/>
                      <w:color w:val="auto"/>
                      <w:sz w:val="21"/>
                      <w:szCs w:val="21"/>
                    </w:rPr>
                  </w:pPr>
                </w:p>
              </w:tc>
            </w:tr>
            <w:tr w14:paraId="23969B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continue"/>
                  <w:noWrap w:val="0"/>
                  <w:vAlign w:val="center"/>
                </w:tcPr>
                <w:p w14:paraId="330DE048">
                  <w:pPr>
                    <w:pStyle w:val="100"/>
                    <w:rPr>
                      <w:rFonts w:hint="default" w:ascii="Times New Roman" w:hAnsi="Times New Roman" w:eastAsia="宋体" w:cs="Times New Roman"/>
                      <w:color w:val="auto"/>
                      <w:sz w:val="21"/>
                      <w:szCs w:val="21"/>
                    </w:rPr>
                  </w:pPr>
                </w:p>
              </w:tc>
              <w:tc>
                <w:tcPr>
                  <w:tcW w:w="2093" w:type="pct"/>
                  <w:noWrap w:val="0"/>
                  <w:vAlign w:val="center"/>
                </w:tcPr>
                <w:p w14:paraId="2072F25B">
                  <w:pPr>
                    <w:pStyle w:val="1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4.禁止引入新材料产业中太阳能电池切片生产项目。</w:t>
                  </w:r>
                </w:p>
              </w:tc>
              <w:tc>
                <w:tcPr>
                  <w:tcW w:w="1724" w:type="pct"/>
                  <w:vMerge w:val="continue"/>
                  <w:noWrap w:val="0"/>
                  <w:vAlign w:val="center"/>
                </w:tcPr>
                <w:p w14:paraId="251DB2AD">
                  <w:pPr>
                    <w:pStyle w:val="100"/>
                    <w:rPr>
                      <w:rFonts w:hint="default" w:ascii="Times New Roman" w:hAnsi="Times New Roman" w:eastAsia="宋体" w:cs="Times New Roman"/>
                      <w:b/>
                      <w:bCs/>
                      <w:color w:val="auto"/>
                      <w:sz w:val="21"/>
                      <w:szCs w:val="21"/>
                    </w:rPr>
                  </w:pPr>
                </w:p>
              </w:tc>
              <w:tc>
                <w:tcPr>
                  <w:tcW w:w="512" w:type="pct"/>
                  <w:vMerge w:val="continue"/>
                  <w:noWrap w:val="0"/>
                  <w:vAlign w:val="center"/>
                </w:tcPr>
                <w:p w14:paraId="475EE74B">
                  <w:pPr>
                    <w:pStyle w:val="100"/>
                    <w:rPr>
                      <w:rFonts w:hint="default" w:ascii="Times New Roman" w:hAnsi="Times New Roman" w:eastAsia="宋体" w:cs="Times New Roman"/>
                      <w:b/>
                      <w:bCs/>
                      <w:color w:val="auto"/>
                      <w:sz w:val="21"/>
                      <w:szCs w:val="21"/>
                    </w:rPr>
                  </w:pPr>
                </w:p>
              </w:tc>
            </w:tr>
            <w:tr w14:paraId="1789B1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continue"/>
                  <w:noWrap w:val="0"/>
                  <w:vAlign w:val="center"/>
                </w:tcPr>
                <w:p w14:paraId="345451C1">
                  <w:pPr>
                    <w:pStyle w:val="100"/>
                    <w:rPr>
                      <w:rFonts w:hint="default" w:ascii="Times New Roman" w:hAnsi="Times New Roman" w:eastAsia="宋体" w:cs="Times New Roman"/>
                      <w:color w:val="auto"/>
                      <w:sz w:val="21"/>
                      <w:szCs w:val="21"/>
                    </w:rPr>
                  </w:pPr>
                </w:p>
              </w:tc>
              <w:tc>
                <w:tcPr>
                  <w:tcW w:w="2093" w:type="pct"/>
                  <w:noWrap w:val="0"/>
                  <w:vAlign w:val="center"/>
                </w:tcPr>
                <w:p w14:paraId="41DFF9E1">
                  <w:pPr>
                    <w:pStyle w:val="1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5.禁止引入化工新材料中钢铁等传统</w:t>
                  </w:r>
                  <w:r>
                    <w:rPr>
                      <w:rFonts w:hint="default" w:ascii="Times New Roman" w:hAnsi="Times New Roman" w:eastAsia="宋体" w:cs="Times New Roman"/>
                      <w:color w:val="auto"/>
                      <w:spacing w:val="-1"/>
                      <w:sz w:val="21"/>
                      <w:szCs w:val="21"/>
                    </w:rPr>
                    <w:t>型金属材料；水泥等传统型非金属材料</w:t>
                  </w:r>
                  <w:r>
                    <w:rPr>
                      <w:rFonts w:hint="default" w:ascii="Times New Roman" w:hAnsi="Times New Roman" w:eastAsia="宋体" w:cs="Times New Roman"/>
                      <w:color w:val="auto"/>
                      <w:sz w:val="21"/>
                      <w:szCs w:val="21"/>
                    </w:rPr>
                    <w:t>。</w:t>
                  </w:r>
                </w:p>
              </w:tc>
              <w:tc>
                <w:tcPr>
                  <w:tcW w:w="1724" w:type="pct"/>
                  <w:vMerge w:val="continue"/>
                  <w:noWrap w:val="0"/>
                  <w:vAlign w:val="center"/>
                </w:tcPr>
                <w:p w14:paraId="02C3D6AE">
                  <w:pPr>
                    <w:pStyle w:val="100"/>
                    <w:rPr>
                      <w:rFonts w:hint="default" w:ascii="Times New Roman" w:hAnsi="Times New Roman" w:eastAsia="宋体" w:cs="Times New Roman"/>
                      <w:b/>
                      <w:bCs/>
                      <w:color w:val="auto"/>
                      <w:sz w:val="21"/>
                      <w:szCs w:val="21"/>
                    </w:rPr>
                  </w:pPr>
                </w:p>
              </w:tc>
              <w:tc>
                <w:tcPr>
                  <w:tcW w:w="512" w:type="pct"/>
                  <w:vMerge w:val="continue"/>
                  <w:noWrap w:val="0"/>
                  <w:vAlign w:val="center"/>
                </w:tcPr>
                <w:p w14:paraId="39484EE4">
                  <w:pPr>
                    <w:pStyle w:val="100"/>
                    <w:rPr>
                      <w:rFonts w:hint="default" w:ascii="Times New Roman" w:hAnsi="Times New Roman" w:eastAsia="宋体" w:cs="Times New Roman"/>
                      <w:b/>
                      <w:bCs/>
                      <w:color w:val="auto"/>
                      <w:sz w:val="21"/>
                      <w:szCs w:val="21"/>
                    </w:rPr>
                  </w:pPr>
                </w:p>
              </w:tc>
            </w:tr>
            <w:tr w14:paraId="30C1FE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9" w:type="pct"/>
                  <w:vMerge w:val="continue"/>
                  <w:noWrap w:val="0"/>
                  <w:vAlign w:val="center"/>
                </w:tcPr>
                <w:p w14:paraId="362F9A81">
                  <w:pPr>
                    <w:pStyle w:val="100"/>
                    <w:rPr>
                      <w:rFonts w:hint="default" w:ascii="Times New Roman" w:hAnsi="Times New Roman" w:eastAsia="宋体" w:cs="Times New Roman"/>
                      <w:color w:val="auto"/>
                      <w:sz w:val="21"/>
                      <w:szCs w:val="21"/>
                    </w:rPr>
                  </w:pPr>
                </w:p>
              </w:tc>
              <w:tc>
                <w:tcPr>
                  <w:tcW w:w="2093" w:type="pct"/>
                  <w:noWrap w:val="0"/>
                  <w:vAlign w:val="center"/>
                </w:tcPr>
                <w:p w14:paraId="128BC5BF">
                  <w:pPr>
                    <w:pStyle w:val="61"/>
                    <w:tabs>
                      <w:tab w:val="left" w:pos="608"/>
                    </w:tabs>
                    <w:spacing w:line="255" w:lineRule="exact"/>
                    <w:ind w:left="106"/>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6.禁止</w:t>
                  </w:r>
                  <w:r>
                    <w:rPr>
                      <w:rFonts w:hint="default" w:ascii="Times New Roman" w:hAnsi="Times New Roman" w:eastAsia="宋体" w:cs="Times New Roman"/>
                      <w:color w:val="auto"/>
                      <w:spacing w:val="-4"/>
                      <w:sz w:val="21"/>
                      <w:szCs w:val="21"/>
                      <w:lang w:eastAsia="zh-CN"/>
                    </w:rPr>
                    <w:t>引入新医药产业中不符合</w:t>
                  </w:r>
                  <w:r>
                    <w:rPr>
                      <w:rFonts w:hint="eastAsia" w:ascii="Times New Roman" w:hAnsi="Times New Roman" w:cs="Times New Roman"/>
                      <w:color w:val="auto"/>
                      <w:spacing w:val="-4"/>
                      <w:sz w:val="21"/>
                      <w:szCs w:val="21"/>
                      <w:lang w:eastAsia="zh-CN"/>
                    </w:rPr>
                    <w:t>GMP</w:t>
                  </w:r>
                  <w:r>
                    <w:rPr>
                      <w:rFonts w:hint="default" w:ascii="Times New Roman" w:hAnsi="Times New Roman" w:eastAsia="宋体" w:cs="Times New Roman"/>
                      <w:color w:val="auto"/>
                      <w:spacing w:val="-9"/>
                      <w:sz w:val="21"/>
                      <w:szCs w:val="21"/>
                      <w:lang w:eastAsia="zh-CN"/>
                    </w:rPr>
                    <w:t>要求的安瓿拉丝灌封机、劳动保护、安瓿</w:t>
                  </w:r>
                  <w:r>
                    <w:rPr>
                      <w:rFonts w:hint="default" w:ascii="Times New Roman" w:hAnsi="Times New Roman" w:eastAsia="宋体" w:cs="Times New Roman"/>
                      <w:color w:val="auto"/>
                      <w:sz w:val="21"/>
                      <w:szCs w:val="21"/>
                      <w:lang w:eastAsia="zh-CN"/>
                    </w:rPr>
                    <w:t>灌装注射用无菌粉末、非易折安瓿等。</w:t>
                  </w:r>
                </w:p>
              </w:tc>
              <w:tc>
                <w:tcPr>
                  <w:tcW w:w="1724" w:type="pct"/>
                  <w:vMerge w:val="continue"/>
                  <w:noWrap w:val="0"/>
                  <w:vAlign w:val="center"/>
                </w:tcPr>
                <w:p w14:paraId="5466E192">
                  <w:pPr>
                    <w:pStyle w:val="100"/>
                    <w:rPr>
                      <w:rFonts w:hint="default" w:ascii="Times New Roman" w:hAnsi="Times New Roman" w:eastAsia="宋体" w:cs="Times New Roman"/>
                      <w:b/>
                      <w:bCs/>
                      <w:color w:val="auto"/>
                      <w:sz w:val="21"/>
                      <w:szCs w:val="21"/>
                    </w:rPr>
                  </w:pPr>
                </w:p>
              </w:tc>
              <w:tc>
                <w:tcPr>
                  <w:tcW w:w="512" w:type="pct"/>
                  <w:vMerge w:val="continue"/>
                  <w:noWrap w:val="0"/>
                  <w:vAlign w:val="center"/>
                </w:tcPr>
                <w:p w14:paraId="3EDC1B8A">
                  <w:pPr>
                    <w:pStyle w:val="100"/>
                    <w:rPr>
                      <w:rFonts w:hint="default" w:ascii="Times New Roman" w:hAnsi="Times New Roman" w:eastAsia="宋体" w:cs="Times New Roman"/>
                      <w:b/>
                      <w:bCs/>
                      <w:color w:val="auto"/>
                      <w:sz w:val="21"/>
                      <w:szCs w:val="21"/>
                    </w:rPr>
                  </w:pPr>
                </w:p>
              </w:tc>
            </w:tr>
            <w:tr w14:paraId="3132EB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restart"/>
                  <w:noWrap w:val="0"/>
                  <w:vAlign w:val="center"/>
                </w:tcPr>
                <w:p w14:paraId="52902606">
                  <w:pPr>
                    <w:pStyle w:val="1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污染物排放管控</w:t>
                  </w:r>
                </w:p>
              </w:tc>
              <w:tc>
                <w:tcPr>
                  <w:tcW w:w="2093" w:type="pct"/>
                  <w:noWrap w:val="0"/>
                  <w:vAlign w:val="center"/>
                </w:tcPr>
                <w:p w14:paraId="55DF7A2E">
                  <w:pPr>
                    <w:pStyle w:val="1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1.严格实施污染物总量</w:t>
                  </w:r>
                  <w:r>
                    <w:rPr>
                      <w:rFonts w:hint="default" w:ascii="Times New Roman" w:hAnsi="Times New Roman" w:eastAsia="宋体" w:cs="Times New Roman"/>
                      <w:color w:val="auto"/>
                      <w:spacing w:val="2"/>
                      <w:sz w:val="21"/>
                      <w:szCs w:val="21"/>
                    </w:rPr>
                    <w:t>控制制度，根据区域环境质</w:t>
                  </w:r>
                  <w:r>
                    <w:rPr>
                      <w:rFonts w:hint="default" w:ascii="Times New Roman" w:hAnsi="Times New Roman" w:eastAsia="宋体" w:cs="Times New Roman"/>
                      <w:color w:val="auto"/>
                      <w:spacing w:val="3"/>
                      <w:sz w:val="21"/>
                      <w:szCs w:val="21"/>
                    </w:rPr>
                    <w:t xml:space="preserve">量改善目标，采取有效措施减少主要污染物排放总量， </w:t>
                  </w:r>
                  <w:r>
                    <w:rPr>
                      <w:rFonts w:hint="default" w:ascii="Times New Roman" w:hAnsi="Times New Roman" w:eastAsia="宋体" w:cs="Times New Roman"/>
                      <w:color w:val="auto"/>
                      <w:sz w:val="21"/>
                      <w:szCs w:val="21"/>
                    </w:rPr>
                    <w:t>确保区域环境质量持续改善。</w:t>
                  </w:r>
                </w:p>
              </w:tc>
              <w:tc>
                <w:tcPr>
                  <w:tcW w:w="2781" w:type="dxa"/>
                  <w:vMerge w:val="restart"/>
                  <w:noWrap w:val="0"/>
                  <w:vAlign w:val="center"/>
                </w:tcPr>
                <w:p w14:paraId="2F928C29">
                  <w:pPr>
                    <w:pStyle w:val="100"/>
                    <w:rPr>
                      <w:rFonts w:hint="default" w:ascii="Times New Roman" w:hAnsi="Times New Roman" w:eastAsia="宋体" w:cs="Times New Roman"/>
                      <w:color w:val="auto"/>
                      <w:sz w:val="21"/>
                      <w:szCs w:val="21"/>
                    </w:rPr>
                  </w:pPr>
                  <w:r>
                    <w:rPr>
                      <w:color w:val="auto"/>
                      <w:szCs w:val="21"/>
                    </w:rPr>
                    <w:t>本项目</w:t>
                  </w:r>
                  <w:r>
                    <w:rPr>
                      <w:rFonts w:hint="eastAsia" w:ascii="Times New Roman" w:hAnsi="Times New Roman" w:eastAsia="宋体"/>
                      <w:color w:val="auto"/>
                      <w:sz w:val="21"/>
                      <w:szCs w:val="21"/>
                      <w:lang w:val="en-US" w:eastAsia="zh-CN"/>
                    </w:rPr>
                    <w:t>不新增废水排放</w:t>
                  </w:r>
                  <w:r>
                    <w:rPr>
                      <w:color w:val="auto"/>
                      <w:szCs w:val="21"/>
                    </w:rPr>
                    <w:t>；项目废气经处理后达标排放，废气排放总量不会突破园区环评报告及批复的总量。</w:t>
                  </w:r>
                </w:p>
              </w:tc>
              <w:tc>
                <w:tcPr>
                  <w:tcW w:w="827" w:type="dxa"/>
                  <w:vMerge w:val="restart"/>
                  <w:noWrap w:val="0"/>
                  <w:vAlign w:val="center"/>
                </w:tcPr>
                <w:p w14:paraId="4276F5FD">
                  <w:pPr>
                    <w:pStyle w:val="100"/>
                    <w:rPr>
                      <w:rFonts w:hint="default" w:ascii="Times New Roman" w:hAnsi="Times New Roman" w:eastAsia="宋体" w:cs="Times New Roman"/>
                      <w:b/>
                      <w:bCs/>
                      <w:color w:val="auto"/>
                      <w:sz w:val="21"/>
                      <w:szCs w:val="21"/>
                    </w:rPr>
                  </w:pPr>
                  <w:r>
                    <w:rPr>
                      <w:color w:val="auto"/>
                      <w:szCs w:val="21"/>
                    </w:rPr>
                    <w:t>符合</w:t>
                  </w:r>
                </w:p>
              </w:tc>
            </w:tr>
            <w:tr w14:paraId="4864ED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continue"/>
                  <w:noWrap w:val="0"/>
                  <w:vAlign w:val="center"/>
                </w:tcPr>
                <w:p w14:paraId="1A305CD7">
                  <w:pPr>
                    <w:pStyle w:val="100"/>
                    <w:rPr>
                      <w:rFonts w:hint="default" w:ascii="Times New Roman" w:hAnsi="Times New Roman" w:eastAsia="宋体" w:cs="Times New Roman"/>
                      <w:color w:val="auto"/>
                      <w:sz w:val="21"/>
                      <w:szCs w:val="21"/>
                    </w:rPr>
                  </w:pPr>
                </w:p>
              </w:tc>
              <w:tc>
                <w:tcPr>
                  <w:tcW w:w="2093" w:type="pct"/>
                  <w:noWrap w:val="0"/>
                  <w:vAlign w:val="center"/>
                </w:tcPr>
                <w:p w14:paraId="78462E0C">
                  <w:pPr>
                    <w:pStyle w:val="1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2.园区污染物排放总量不得突破环评报告及批复的总量。</w:t>
                  </w:r>
                </w:p>
              </w:tc>
              <w:tc>
                <w:tcPr>
                  <w:tcW w:w="1724" w:type="pct"/>
                  <w:vMerge w:val="continue"/>
                  <w:noWrap w:val="0"/>
                  <w:vAlign w:val="center"/>
                </w:tcPr>
                <w:p w14:paraId="0B9C1F64">
                  <w:pPr>
                    <w:pStyle w:val="100"/>
                    <w:rPr>
                      <w:rFonts w:hint="default" w:ascii="Times New Roman" w:hAnsi="Times New Roman" w:eastAsia="宋体" w:cs="Times New Roman"/>
                      <w:color w:val="auto"/>
                      <w:sz w:val="21"/>
                      <w:szCs w:val="21"/>
                    </w:rPr>
                  </w:pPr>
                </w:p>
              </w:tc>
              <w:tc>
                <w:tcPr>
                  <w:tcW w:w="512" w:type="pct"/>
                  <w:vMerge w:val="continue"/>
                  <w:noWrap w:val="0"/>
                  <w:vAlign w:val="center"/>
                </w:tcPr>
                <w:p w14:paraId="407797C8">
                  <w:pPr>
                    <w:pStyle w:val="100"/>
                    <w:rPr>
                      <w:rFonts w:hint="default" w:ascii="Times New Roman" w:hAnsi="Times New Roman" w:eastAsia="宋体" w:cs="Times New Roman"/>
                      <w:b/>
                      <w:bCs/>
                      <w:color w:val="auto"/>
                      <w:sz w:val="21"/>
                      <w:szCs w:val="21"/>
                    </w:rPr>
                  </w:pPr>
                </w:p>
              </w:tc>
            </w:tr>
            <w:tr w14:paraId="4E9DCA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restart"/>
                  <w:noWrap w:val="0"/>
                  <w:vAlign w:val="center"/>
                </w:tcPr>
                <w:p w14:paraId="16585F5F">
                  <w:pPr>
                    <w:pStyle w:val="1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环境风险防控</w:t>
                  </w:r>
                </w:p>
              </w:tc>
              <w:tc>
                <w:tcPr>
                  <w:tcW w:w="2093" w:type="pct"/>
                  <w:noWrap w:val="0"/>
                  <w:vAlign w:val="center"/>
                </w:tcPr>
                <w:p w14:paraId="344BE8B3">
                  <w:pPr>
                    <w:pStyle w:val="1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1.园区建立环境应急体系，完善事故应急救援体系，加强应急物资装备储备，编制突发环境事件应急预案，定期开展演练。</w:t>
                  </w:r>
                </w:p>
              </w:tc>
              <w:tc>
                <w:tcPr>
                  <w:tcW w:w="2781" w:type="dxa"/>
                  <w:vMerge w:val="restart"/>
                  <w:noWrap w:val="0"/>
                  <w:vAlign w:val="center"/>
                </w:tcPr>
                <w:p w14:paraId="32B86762">
                  <w:pPr>
                    <w:pStyle w:val="100"/>
                    <w:rPr>
                      <w:rFonts w:hint="default" w:ascii="Times New Roman" w:hAnsi="Times New Roman" w:eastAsia="宋体" w:cs="Times New Roman"/>
                      <w:color w:val="auto"/>
                      <w:sz w:val="21"/>
                      <w:szCs w:val="21"/>
                    </w:rPr>
                  </w:pPr>
                  <w:r>
                    <w:rPr>
                      <w:color w:val="auto"/>
                      <w:szCs w:val="21"/>
                    </w:rPr>
                    <w:t>本项目所在园区已建立环境应急体系，已加强应急物资装备储备，已编制突发环境事件应急预案并定期开展演练；项目建设单位已委托专业单位编制突发环境事件应急预案并在金坛生态环境局备案；项目建成后将加强环境影响跟踪监测，建立健全各环境要素监控体系，完善并落实园区日常环境监测与污染源监控计划。</w:t>
                  </w:r>
                </w:p>
              </w:tc>
              <w:tc>
                <w:tcPr>
                  <w:tcW w:w="827" w:type="dxa"/>
                  <w:vMerge w:val="restart"/>
                  <w:noWrap w:val="0"/>
                  <w:vAlign w:val="center"/>
                </w:tcPr>
                <w:p w14:paraId="464A83FF">
                  <w:pPr>
                    <w:pStyle w:val="100"/>
                    <w:rPr>
                      <w:rFonts w:hint="default" w:ascii="Times New Roman" w:hAnsi="Times New Roman" w:eastAsia="宋体" w:cs="Times New Roman"/>
                      <w:b/>
                      <w:bCs/>
                      <w:color w:val="auto"/>
                      <w:sz w:val="21"/>
                      <w:szCs w:val="21"/>
                    </w:rPr>
                  </w:pPr>
                  <w:r>
                    <w:rPr>
                      <w:color w:val="auto"/>
                      <w:szCs w:val="21"/>
                    </w:rPr>
                    <w:t>符合</w:t>
                  </w:r>
                </w:p>
              </w:tc>
            </w:tr>
            <w:tr w14:paraId="2581A8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continue"/>
                  <w:noWrap w:val="0"/>
                  <w:vAlign w:val="center"/>
                </w:tcPr>
                <w:p w14:paraId="1D06E4D9">
                  <w:pPr>
                    <w:pStyle w:val="100"/>
                    <w:rPr>
                      <w:rFonts w:hint="default" w:ascii="Times New Roman" w:hAnsi="Times New Roman" w:eastAsia="宋体" w:cs="Times New Roman"/>
                      <w:color w:val="auto"/>
                      <w:sz w:val="21"/>
                      <w:szCs w:val="21"/>
                    </w:rPr>
                  </w:pPr>
                </w:p>
              </w:tc>
              <w:tc>
                <w:tcPr>
                  <w:tcW w:w="2093" w:type="pct"/>
                  <w:noWrap w:val="0"/>
                  <w:vAlign w:val="center"/>
                </w:tcPr>
                <w:p w14:paraId="07C0CDBB">
                  <w:pPr>
                    <w:pStyle w:val="1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2.生产、使用、储存危险化学品或其他存在环境风险的企事业单位，应当制定风险防范措施，编制完善突发环境事件应急预案，防止发生环境污染事故。</w:t>
                  </w:r>
                </w:p>
              </w:tc>
              <w:tc>
                <w:tcPr>
                  <w:tcW w:w="1724" w:type="pct"/>
                  <w:vMerge w:val="continue"/>
                  <w:noWrap w:val="0"/>
                  <w:vAlign w:val="center"/>
                </w:tcPr>
                <w:p w14:paraId="61AB337C">
                  <w:pPr>
                    <w:pStyle w:val="100"/>
                    <w:rPr>
                      <w:rFonts w:hint="default" w:ascii="Times New Roman" w:hAnsi="Times New Roman" w:eastAsia="宋体" w:cs="Times New Roman"/>
                      <w:b/>
                      <w:bCs/>
                      <w:color w:val="auto"/>
                      <w:sz w:val="21"/>
                      <w:szCs w:val="21"/>
                    </w:rPr>
                  </w:pPr>
                </w:p>
              </w:tc>
              <w:tc>
                <w:tcPr>
                  <w:tcW w:w="512" w:type="pct"/>
                  <w:vMerge w:val="continue"/>
                  <w:noWrap w:val="0"/>
                  <w:vAlign w:val="center"/>
                </w:tcPr>
                <w:p w14:paraId="01B7BE3D">
                  <w:pPr>
                    <w:pStyle w:val="100"/>
                    <w:rPr>
                      <w:rFonts w:hint="default" w:ascii="Times New Roman" w:hAnsi="Times New Roman" w:eastAsia="宋体" w:cs="Times New Roman"/>
                      <w:b/>
                      <w:bCs/>
                      <w:color w:val="auto"/>
                      <w:sz w:val="21"/>
                      <w:szCs w:val="21"/>
                    </w:rPr>
                  </w:pPr>
                </w:p>
              </w:tc>
            </w:tr>
            <w:tr w14:paraId="00A768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continue"/>
                  <w:noWrap w:val="0"/>
                  <w:vAlign w:val="center"/>
                </w:tcPr>
                <w:p w14:paraId="4D64105B">
                  <w:pPr>
                    <w:pStyle w:val="100"/>
                    <w:rPr>
                      <w:rFonts w:hint="default" w:ascii="Times New Roman" w:hAnsi="Times New Roman" w:eastAsia="宋体" w:cs="Times New Roman"/>
                      <w:color w:val="auto"/>
                      <w:sz w:val="21"/>
                      <w:szCs w:val="21"/>
                    </w:rPr>
                  </w:pPr>
                </w:p>
              </w:tc>
              <w:tc>
                <w:tcPr>
                  <w:tcW w:w="2093" w:type="pct"/>
                  <w:noWrap w:val="0"/>
                  <w:vAlign w:val="center"/>
                </w:tcPr>
                <w:p w14:paraId="495E79E3">
                  <w:pPr>
                    <w:pStyle w:val="1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3.加强环境影响跟踪监测，建立健全各环境要素监控体系，完善并落实园区日常环境监测与污染源监控计划。</w:t>
                  </w:r>
                </w:p>
              </w:tc>
              <w:tc>
                <w:tcPr>
                  <w:tcW w:w="1724" w:type="pct"/>
                  <w:vMerge w:val="continue"/>
                  <w:noWrap w:val="0"/>
                  <w:vAlign w:val="center"/>
                </w:tcPr>
                <w:p w14:paraId="3998DCA8">
                  <w:pPr>
                    <w:pStyle w:val="100"/>
                    <w:rPr>
                      <w:rFonts w:hint="default" w:ascii="Times New Roman" w:hAnsi="Times New Roman" w:eastAsia="宋体" w:cs="Times New Roman"/>
                      <w:b/>
                      <w:bCs/>
                      <w:color w:val="auto"/>
                      <w:sz w:val="21"/>
                      <w:szCs w:val="21"/>
                    </w:rPr>
                  </w:pPr>
                </w:p>
              </w:tc>
              <w:tc>
                <w:tcPr>
                  <w:tcW w:w="512" w:type="pct"/>
                  <w:vMerge w:val="continue"/>
                  <w:noWrap w:val="0"/>
                  <w:vAlign w:val="center"/>
                </w:tcPr>
                <w:p w14:paraId="64CCE0BF">
                  <w:pPr>
                    <w:pStyle w:val="100"/>
                    <w:rPr>
                      <w:rFonts w:hint="default" w:ascii="Times New Roman" w:hAnsi="Times New Roman" w:eastAsia="宋体" w:cs="Times New Roman"/>
                      <w:b/>
                      <w:bCs/>
                      <w:color w:val="auto"/>
                      <w:sz w:val="21"/>
                      <w:szCs w:val="21"/>
                    </w:rPr>
                  </w:pPr>
                </w:p>
              </w:tc>
            </w:tr>
            <w:tr w14:paraId="2D41FF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restart"/>
                  <w:noWrap w:val="0"/>
                  <w:vAlign w:val="center"/>
                </w:tcPr>
                <w:p w14:paraId="4DC49DCC">
                  <w:pPr>
                    <w:pStyle w:val="1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资源开发效率要求</w:t>
                  </w:r>
                </w:p>
              </w:tc>
              <w:tc>
                <w:tcPr>
                  <w:tcW w:w="2093" w:type="pct"/>
                  <w:noWrap w:val="0"/>
                  <w:vAlign w:val="center"/>
                </w:tcPr>
                <w:p w14:paraId="27C5D937">
                  <w:pPr>
                    <w:pStyle w:val="1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1.大力倡导使用清洁能源。</w:t>
                  </w:r>
                </w:p>
              </w:tc>
              <w:tc>
                <w:tcPr>
                  <w:tcW w:w="1724" w:type="pct"/>
                  <w:noWrap w:val="0"/>
                  <w:vAlign w:val="center"/>
                </w:tcPr>
                <w:p w14:paraId="1A078A2A">
                  <w:pPr>
                    <w:pStyle w:val="1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项目使用清洁能源电力。</w:t>
                  </w:r>
                </w:p>
              </w:tc>
              <w:tc>
                <w:tcPr>
                  <w:tcW w:w="512" w:type="pct"/>
                  <w:vMerge w:val="restart"/>
                  <w:noWrap w:val="0"/>
                  <w:vAlign w:val="center"/>
                </w:tcPr>
                <w:p w14:paraId="6DB5C46C">
                  <w:pPr>
                    <w:pStyle w:val="1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6436B6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continue"/>
                  <w:noWrap w:val="0"/>
                  <w:vAlign w:val="center"/>
                </w:tcPr>
                <w:p w14:paraId="57705395">
                  <w:pPr>
                    <w:pStyle w:val="100"/>
                    <w:rPr>
                      <w:rFonts w:hint="default" w:ascii="Times New Roman" w:hAnsi="Times New Roman" w:eastAsia="宋体" w:cs="Times New Roman"/>
                      <w:color w:val="auto"/>
                      <w:sz w:val="21"/>
                      <w:szCs w:val="21"/>
                    </w:rPr>
                  </w:pPr>
                </w:p>
              </w:tc>
              <w:tc>
                <w:tcPr>
                  <w:tcW w:w="2093" w:type="pct"/>
                  <w:noWrap w:val="0"/>
                  <w:vAlign w:val="center"/>
                </w:tcPr>
                <w:p w14:paraId="6A9E0FB0">
                  <w:pPr>
                    <w:pStyle w:val="1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2.提升废水资源化技术，提高水资源回用率。</w:t>
                  </w:r>
                </w:p>
              </w:tc>
              <w:tc>
                <w:tcPr>
                  <w:tcW w:w="1724" w:type="pct"/>
                  <w:noWrap w:val="0"/>
                  <w:vAlign w:val="center"/>
                </w:tcPr>
                <w:p w14:paraId="29286C84">
                  <w:pPr>
                    <w:pStyle w:val="100"/>
                    <w:rPr>
                      <w:rFonts w:hint="default" w:ascii="Times New Roman" w:hAnsi="Times New Roman" w:eastAsia="宋体" w:cs="Times New Roman"/>
                      <w:color w:val="auto"/>
                      <w:sz w:val="21"/>
                      <w:szCs w:val="21"/>
                    </w:rPr>
                  </w:pPr>
                  <w:r>
                    <w:rPr>
                      <w:color w:val="auto"/>
                      <w:szCs w:val="21"/>
                    </w:rPr>
                    <w:t>项目</w:t>
                  </w:r>
                  <w:r>
                    <w:rPr>
                      <w:rFonts w:hint="eastAsia"/>
                      <w:color w:val="auto"/>
                      <w:szCs w:val="21"/>
                      <w:lang w:val="en-US" w:eastAsia="zh-CN"/>
                    </w:rPr>
                    <w:t>不新增工艺用水</w:t>
                  </w:r>
                  <w:r>
                    <w:rPr>
                      <w:rFonts w:hint="default" w:ascii="Times New Roman" w:hAnsi="Times New Roman" w:eastAsia="宋体" w:cs="Times New Roman"/>
                      <w:color w:val="auto"/>
                      <w:sz w:val="21"/>
                      <w:szCs w:val="21"/>
                    </w:rPr>
                    <w:t>。</w:t>
                  </w:r>
                </w:p>
              </w:tc>
              <w:tc>
                <w:tcPr>
                  <w:tcW w:w="512" w:type="pct"/>
                  <w:vMerge w:val="continue"/>
                  <w:noWrap w:val="0"/>
                  <w:vAlign w:val="center"/>
                </w:tcPr>
                <w:p w14:paraId="02793FC9">
                  <w:pPr>
                    <w:pStyle w:val="100"/>
                    <w:rPr>
                      <w:rFonts w:hint="default" w:ascii="Times New Roman" w:hAnsi="Times New Roman" w:eastAsia="宋体" w:cs="Times New Roman"/>
                      <w:color w:val="auto"/>
                      <w:sz w:val="21"/>
                      <w:szCs w:val="21"/>
                    </w:rPr>
                  </w:pPr>
                </w:p>
              </w:tc>
            </w:tr>
            <w:tr w14:paraId="15F3B0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continue"/>
                  <w:noWrap w:val="0"/>
                  <w:vAlign w:val="center"/>
                </w:tcPr>
                <w:p w14:paraId="674A4832">
                  <w:pPr>
                    <w:pStyle w:val="100"/>
                    <w:rPr>
                      <w:rFonts w:hint="default" w:ascii="Times New Roman" w:hAnsi="Times New Roman" w:eastAsia="宋体" w:cs="Times New Roman"/>
                      <w:color w:val="auto"/>
                      <w:sz w:val="21"/>
                      <w:szCs w:val="21"/>
                    </w:rPr>
                  </w:pPr>
                </w:p>
              </w:tc>
              <w:tc>
                <w:tcPr>
                  <w:tcW w:w="2093" w:type="pct"/>
                  <w:noWrap w:val="0"/>
                  <w:vAlign w:val="center"/>
                </w:tcPr>
                <w:p w14:paraId="1CE784DC">
                  <w:pPr>
                    <w:pStyle w:val="1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3.严禁自建燃煤设施。</w:t>
                  </w:r>
                </w:p>
              </w:tc>
              <w:tc>
                <w:tcPr>
                  <w:tcW w:w="1724" w:type="pct"/>
                  <w:noWrap w:val="0"/>
                  <w:vAlign w:val="center"/>
                </w:tcPr>
                <w:p w14:paraId="0B5AFA09">
                  <w:pPr>
                    <w:pStyle w:val="1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项目无燃煤设施。</w:t>
                  </w:r>
                </w:p>
              </w:tc>
              <w:tc>
                <w:tcPr>
                  <w:tcW w:w="512" w:type="pct"/>
                  <w:vMerge w:val="continue"/>
                  <w:noWrap w:val="0"/>
                  <w:vAlign w:val="center"/>
                </w:tcPr>
                <w:p w14:paraId="7E4FA393">
                  <w:pPr>
                    <w:pStyle w:val="100"/>
                    <w:rPr>
                      <w:rFonts w:hint="default" w:ascii="Times New Roman" w:hAnsi="Times New Roman" w:eastAsia="宋体" w:cs="Times New Roman"/>
                      <w:color w:val="auto"/>
                      <w:sz w:val="21"/>
                      <w:szCs w:val="21"/>
                    </w:rPr>
                  </w:pPr>
                </w:p>
              </w:tc>
            </w:tr>
          </w:tbl>
          <w:p w14:paraId="4664D873">
            <w:pPr>
              <w:autoSpaceDE w:val="0"/>
              <w:autoSpaceDN w:val="0"/>
              <w:adjustRightInd w:val="0"/>
              <w:snapToGrid w:val="0"/>
              <w:spacing w:line="500" w:lineRule="exact"/>
              <w:ind w:firstLine="420" w:firstLineChars="20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Cs/>
                <w:color w:val="auto"/>
                <w:sz w:val="21"/>
                <w:szCs w:val="21"/>
              </w:rPr>
              <w:t>综上，本项目与</w:t>
            </w:r>
            <w:r>
              <w:rPr>
                <w:rFonts w:hint="default" w:ascii="Times New Roman" w:hAnsi="Times New Roman" w:cs="Times New Roman"/>
                <w:bCs/>
                <w:color w:val="auto"/>
                <w:sz w:val="21"/>
                <w:szCs w:val="21"/>
                <w:lang w:eastAsia="zh-CN"/>
              </w:rPr>
              <w:t>《常州市生态环境分区管控动态更新成果》（2023年版）</w:t>
            </w:r>
            <w:r>
              <w:rPr>
                <w:rFonts w:hint="default" w:ascii="Times New Roman" w:hAnsi="Times New Roman" w:eastAsia="宋体" w:cs="Times New Roman"/>
                <w:bCs/>
                <w:color w:val="auto"/>
                <w:sz w:val="21"/>
                <w:szCs w:val="21"/>
              </w:rPr>
              <w:t>的要求相符。</w:t>
            </w:r>
          </w:p>
          <w:p w14:paraId="1139C6C0">
            <w:pPr>
              <w:autoSpaceDE w:val="0"/>
              <w:autoSpaceDN w:val="0"/>
              <w:adjustRightInd w:val="0"/>
              <w:snapToGrid w:val="0"/>
              <w:spacing w:line="500" w:lineRule="exact"/>
              <w:rPr>
                <w:rFonts w:hint="default" w:ascii="Times New Roman" w:hAnsi="Times New Roman" w:eastAsia="宋体" w:cs="Times New Roman"/>
                <w:b/>
                <w:bCs/>
                <w:color w:val="auto"/>
                <w:sz w:val="21"/>
                <w:szCs w:val="21"/>
              </w:rPr>
            </w:pPr>
            <w:r>
              <w:rPr>
                <w:rFonts w:hint="eastAsia" w:cs="Times New Roman"/>
                <w:b/>
                <w:bCs/>
                <w:color w:val="auto"/>
                <w:sz w:val="21"/>
                <w:szCs w:val="21"/>
                <w:lang w:val="en-US" w:eastAsia="zh-CN"/>
              </w:rPr>
              <w:t>5、</w:t>
            </w:r>
            <w:r>
              <w:rPr>
                <w:rFonts w:hint="default" w:ascii="Times New Roman" w:hAnsi="Times New Roman" w:eastAsia="宋体" w:cs="Times New Roman"/>
                <w:b/>
                <w:bCs/>
                <w:color w:val="auto"/>
                <w:sz w:val="21"/>
                <w:szCs w:val="21"/>
              </w:rPr>
              <w:t>产业政策相符性分析</w:t>
            </w:r>
          </w:p>
          <w:p w14:paraId="4A1C5F11">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 xml:space="preserve">5  </w:t>
            </w:r>
            <w:r>
              <w:rPr>
                <w:rFonts w:hint="default" w:ascii="Times New Roman" w:hAnsi="Times New Roman" w:eastAsia="宋体" w:cs="Times New Roman"/>
                <w:b/>
                <w:bCs/>
                <w:color w:val="auto"/>
                <w:sz w:val="21"/>
                <w:szCs w:val="21"/>
              </w:rPr>
              <w:t>与</w:t>
            </w:r>
            <w:r>
              <w:rPr>
                <w:rFonts w:hint="eastAsia" w:cs="Times New Roman"/>
                <w:b/>
                <w:bCs/>
                <w:color w:val="auto"/>
                <w:sz w:val="21"/>
                <w:szCs w:val="21"/>
                <w:lang w:val="en-US" w:eastAsia="zh-CN"/>
              </w:rPr>
              <w:t>产业政策</w:t>
            </w:r>
            <w:r>
              <w:rPr>
                <w:rFonts w:hint="default" w:ascii="Times New Roman" w:hAnsi="Times New Roman" w:eastAsia="宋体" w:cs="Times New Roman"/>
                <w:b/>
                <w:bCs/>
                <w:color w:val="auto"/>
                <w:sz w:val="21"/>
                <w:szCs w:val="21"/>
              </w:rPr>
              <w:t>相符性分析</w:t>
            </w:r>
          </w:p>
          <w:tbl>
            <w:tblPr>
              <w:tblStyle w:val="3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4"/>
              <w:gridCol w:w="6877"/>
              <w:gridCol w:w="1008"/>
            </w:tblGrid>
            <w:tr w14:paraId="66FCB6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pct"/>
                  <w:vAlign w:val="center"/>
                </w:tcPr>
                <w:p w14:paraId="5769706E">
                  <w:pPr>
                    <w:adjustRightInd w:val="0"/>
                    <w:snapToGrid w:val="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val="en-US" w:eastAsia="zh-CN"/>
                    </w:rPr>
                    <w:t>序号</w:t>
                  </w:r>
                </w:p>
              </w:tc>
              <w:tc>
                <w:tcPr>
                  <w:tcW w:w="4117" w:type="pct"/>
                  <w:vAlign w:val="center"/>
                </w:tcPr>
                <w:p w14:paraId="4481EE41">
                  <w:pPr>
                    <w:adjustRightInd w:val="0"/>
                    <w:snapToGrid w:val="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val="en-US" w:eastAsia="zh-CN"/>
                    </w:rPr>
                    <w:t>对照简析</w:t>
                  </w:r>
                </w:p>
              </w:tc>
              <w:tc>
                <w:tcPr>
                  <w:tcW w:w="603" w:type="pct"/>
                  <w:vAlign w:val="center"/>
                </w:tcPr>
                <w:p w14:paraId="1BD870CB">
                  <w:pPr>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bCs/>
                      <w:color w:val="auto"/>
                      <w:sz w:val="21"/>
                      <w:szCs w:val="21"/>
                    </w:rPr>
                    <w:t>相符性</w:t>
                  </w:r>
                </w:p>
              </w:tc>
            </w:tr>
            <w:tr w14:paraId="36EAFE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pct"/>
                  <w:tcBorders>
                    <w:bottom w:val="single" w:color="auto" w:sz="2" w:space="0"/>
                  </w:tcBorders>
                  <w:vAlign w:val="center"/>
                </w:tcPr>
                <w:p w14:paraId="7209FF0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4117" w:type="pct"/>
                  <w:tcBorders>
                    <w:bottom w:val="single" w:color="auto" w:sz="2" w:space="0"/>
                  </w:tcBorders>
                  <w:vAlign w:val="center"/>
                </w:tcPr>
                <w:p w14:paraId="4B6F45D6">
                  <w:pPr>
                    <w:ind w:firstLine="420" w:firstLineChars="20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本项目不属于</w:t>
                  </w:r>
                  <w:r>
                    <w:rPr>
                      <w:rFonts w:hint="eastAsia" w:cs="Times New Roman"/>
                      <w:color w:val="auto"/>
                      <w:kern w:val="2"/>
                      <w:sz w:val="21"/>
                      <w:szCs w:val="21"/>
                      <w:lang w:val="en-US" w:eastAsia="zh-CN" w:bidi="ar-SA"/>
                    </w:rPr>
                    <w:t>国家发展改革委</w:t>
                  </w:r>
                  <w:r>
                    <w:rPr>
                      <w:rFonts w:hint="default" w:ascii="Times New Roman" w:hAnsi="Times New Roman" w:eastAsia="宋体" w:cs="Times New Roman"/>
                      <w:color w:val="auto"/>
                      <w:kern w:val="2"/>
                      <w:sz w:val="21"/>
                      <w:szCs w:val="21"/>
                      <w:lang w:val="en-US" w:eastAsia="zh-CN" w:bidi="ar-SA"/>
                    </w:rPr>
                    <w:t>《产业结构调整指导目录（2024年本）》中限制类和淘汰类项目</w:t>
                  </w:r>
                </w:p>
              </w:tc>
              <w:tc>
                <w:tcPr>
                  <w:tcW w:w="603" w:type="pct"/>
                  <w:tcBorders>
                    <w:bottom w:val="single" w:color="auto" w:sz="2" w:space="0"/>
                  </w:tcBorders>
                  <w:vAlign w:val="center"/>
                </w:tcPr>
                <w:p w14:paraId="55E8553C">
                  <w:pPr>
                    <w:jc w:val="center"/>
                    <w:rPr>
                      <w:rFonts w:hint="default" w:ascii="Times New Roman" w:hAnsi="Times New Roman" w:eastAsia="宋体" w:cs="Times New Roman"/>
                      <w:color w:val="auto"/>
                      <w:sz w:val="21"/>
                      <w:szCs w:val="21"/>
                      <w:lang w:val="en-US"/>
                    </w:rPr>
                  </w:pPr>
                  <w:r>
                    <w:rPr>
                      <w:rFonts w:hint="eastAsia" w:cs="Times New Roman"/>
                      <w:color w:val="auto"/>
                      <w:kern w:val="2"/>
                      <w:sz w:val="21"/>
                      <w:szCs w:val="21"/>
                      <w:lang w:val="en-US" w:eastAsia="zh-CN" w:bidi="ar-SA"/>
                    </w:rPr>
                    <w:t>相符</w:t>
                  </w:r>
                </w:p>
              </w:tc>
            </w:tr>
            <w:tr w14:paraId="3B88AD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pct"/>
                  <w:tcBorders>
                    <w:top w:val="single" w:color="auto" w:sz="2" w:space="0"/>
                    <w:bottom w:val="single" w:color="auto" w:sz="2" w:space="0"/>
                  </w:tcBorders>
                  <w:vAlign w:val="center"/>
                </w:tcPr>
                <w:p w14:paraId="00F4BC38">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4117" w:type="pct"/>
                  <w:tcBorders>
                    <w:top w:val="single" w:color="auto" w:sz="2" w:space="0"/>
                    <w:bottom w:val="single" w:color="auto" w:sz="2" w:space="0"/>
                  </w:tcBorders>
                  <w:vAlign w:val="center"/>
                </w:tcPr>
                <w:p w14:paraId="17126025">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kern w:val="2"/>
                      <w:sz w:val="21"/>
                      <w:szCs w:val="21"/>
                      <w:lang w:val="en-US" w:eastAsia="zh-CN" w:bidi="ar-SA"/>
                    </w:rPr>
                    <w:t>不属于《长江经济带发展负面清单指南（试行，2022年版）》未列入长江经济带发展负面清单，也不属于《市场准入负面清单（202</w:t>
                  </w:r>
                  <w:r>
                    <w:rPr>
                      <w:rFonts w:hint="eastAsia" w:cs="Times New Roman"/>
                      <w:color w:val="auto"/>
                      <w:kern w:val="2"/>
                      <w:sz w:val="21"/>
                      <w:szCs w:val="21"/>
                      <w:lang w:val="en-US" w:eastAsia="zh-CN" w:bidi="ar-SA"/>
                    </w:rPr>
                    <w:t>5</w:t>
                  </w:r>
                  <w:r>
                    <w:rPr>
                      <w:rFonts w:hint="default" w:ascii="Times New Roman" w:hAnsi="Times New Roman" w:eastAsia="宋体" w:cs="Times New Roman"/>
                      <w:color w:val="auto"/>
                      <w:kern w:val="2"/>
                      <w:sz w:val="21"/>
                      <w:szCs w:val="21"/>
                      <w:lang w:val="en-US" w:eastAsia="zh-CN" w:bidi="ar-SA"/>
                    </w:rPr>
                    <w:t>年版）》中禁止准入类</w:t>
                  </w:r>
                </w:p>
              </w:tc>
              <w:tc>
                <w:tcPr>
                  <w:tcW w:w="603" w:type="pct"/>
                  <w:tcBorders>
                    <w:top w:val="single" w:color="auto" w:sz="2" w:space="0"/>
                    <w:bottom w:val="single" w:color="auto" w:sz="2" w:space="0"/>
                  </w:tcBorders>
                  <w:vAlign w:val="center"/>
                </w:tcPr>
                <w:p w14:paraId="505AA9F5">
                  <w:pPr>
                    <w:jc w:val="center"/>
                    <w:rPr>
                      <w:rFonts w:hint="default" w:ascii="Times New Roman" w:hAnsi="Times New Roman" w:eastAsia="宋体" w:cs="Times New Roman"/>
                      <w:color w:val="auto"/>
                      <w:sz w:val="21"/>
                      <w:szCs w:val="21"/>
                    </w:rPr>
                  </w:pPr>
                  <w:r>
                    <w:rPr>
                      <w:rFonts w:hint="eastAsia" w:cs="Times New Roman"/>
                      <w:color w:val="auto"/>
                      <w:kern w:val="2"/>
                      <w:sz w:val="21"/>
                      <w:szCs w:val="21"/>
                      <w:lang w:val="en-US" w:eastAsia="zh-CN" w:bidi="ar-SA"/>
                    </w:rPr>
                    <w:t>相符</w:t>
                  </w:r>
                </w:p>
              </w:tc>
            </w:tr>
            <w:tr w14:paraId="1B56AA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pct"/>
                  <w:tcBorders>
                    <w:top w:val="single" w:color="auto" w:sz="2" w:space="0"/>
                    <w:bottom w:val="single" w:color="auto" w:sz="2" w:space="0"/>
                  </w:tcBorders>
                  <w:vAlign w:val="center"/>
                </w:tcPr>
                <w:p w14:paraId="0D16E007">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4117" w:type="pct"/>
                  <w:tcBorders>
                    <w:top w:val="single" w:color="auto" w:sz="2" w:space="0"/>
                    <w:bottom w:val="single" w:color="auto" w:sz="2" w:space="0"/>
                  </w:tcBorders>
                  <w:vAlign w:val="center"/>
                </w:tcPr>
                <w:p w14:paraId="3B047451">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本项目产品不在《江苏省太湖流域禁止和限制的产品目录（2024年本）》（苏发改规发〔2024〕3号）中禁止和限制的产业产品目录范围</w:t>
                  </w:r>
                  <w:r>
                    <w:rPr>
                      <w:rFonts w:hint="default" w:ascii="Times New Roman" w:hAnsi="Times New Roman" w:eastAsia="宋体" w:cs="Times New Roman"/>
                      <w:color w:val="auto"/>
                      <w:kern w:val="2"/>
                      <w:sz w:val="21"/>
                      <w:szCs w:val="21"/>
                      <w:lang w:val="en-US" w:eastAsia="zh-CN" w:bidi="ar-SA"/>
                    </w:rPr>
                    <w:tab/>
                  </w:r>
                </w:p>
              </w:tc>
              <w:tc>
                <w:tcPr>
                  <w:tcW w:w="603" w:type="pct"/>
                  <w:tcBorders>
                    <w:top w:val="single" w:color="auto" w:sz="2" w:space="0"/>
                    <w:bottom w:val="single" w:color="auto" w:sz="2" w:space="0"/>
                  </w:tcBorders>
                  <w:vAlign w:val="center"/>
                </w:tcPr>
                <w:p w14:paraId="0AB94AD6">
                  <w:pPr>
                    <w:jc w:val="center"/>
                    <w:rPr>
                      <w:rFonts w:hint="default" w:ascii="Times New Roman" w:hAnsi="Times New Roman" w:eastAsia="宋体" w:cs="Times New Roman"/>
                      <w:color w:val="auto"/>
                      <w:sz w:val="21"/>
                      <w:szCs w:val="21"/>
                    </w:rPr>
                  </w:pPr>
                  <w:r>
                    <w:rPr>
                      <w:rFonts w:hint="eastAsia" w:cs="Times New Roman"/>
                      <w:color w:val="auto"/>
                      <w:kern w:val="2"/>
                      <w:sz w:val="21"/>
                      <w:szCs w:val="21"/>
                      <w:lang w:val="en-US" w:eastAsia="zh-CN" w:bidi="ar-SA"/>
                    </w:rPr>
                    <w:t>相符</w:t>
                  </w:r>
                </w:p>
              </w:tc>
            </w:tr>
            <w:tr w14:paraId="0BA46F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pct"/>
                  <w:tcBorders>
                    <w:top w:val="single" w:color="auto" w:sz="2" w:space="0"/>
                    <w:bottom w:val="single" w:color="auto" w:sz="2" w:space="0"/>
                  </w:tcBorders>
                  <w:vAlign w:val="center"/>
                </w:tcPr>
                <w:p w14:paraId="415C5A4A">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4117" w:type="pct"/>
                  <w:tcBorders>
                    <w:top w:val="single" w:color="auto" w:sz="2" w:space="0"/>
                    <w:bottom w:val="single" w:color="auto" w:sz="2" w:space="0"/>
                  </w:tcBorders>
                  <w:vAlign w:val="center"/>
                </w:tcPr>
                <w:p w14:paraId="2FA87A61">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本项目产品</w:t>
                  </w:r>
                  <w:r>
                    <w:rPr>
                      <w:rFonts w:hint="eastAsia" w:cs="Times New Roman"/>
                      <w:color w:val="auto"/>
                      <w:kern w:val="2"/>
                      <w:sz w:val="21"/>
                      <w:szCs w:val="21"/>
                      <w:lang w:val="en-US" w:eastAsia="zh-CN" w:bidi="ar-SA"/>
                    </w:rPr>
                    <w:t>为塑料薄膜，</w:t>
                  </w:r>
                  <w:r>
                    <w:rPr>
                      <w:rFonts w:hint="default" w:ascii="Times New Roman" w:hAnsi="Times New Roman" w:eastAsia="宋体" w:cs="Times New Roman"/>
                      <w:color w:val="auto"/>
                      <w:kern w:val="2"/>
                      <w:sz w:val="21"/>
                      <w:szCs w:val="21"/>
                      <w:lang w:val="en-US" w:eastAsia="zh-CN" w:bidi="ar-SA"/>
                    </w:rPr>
                    <w:t>不属于《环境保护综合名录》（2021年版）中“高污染、高环境风险”产品名录范围</w:t>
                  </w:r>
                  <w:r>
                    <w:rPr>
                      <w:rFonts w:hint="default" w:ascii="Times New Roman" w:hAnsi="Times New Roman" w:eastAsia="宋体" w:cs="Times New Roman"/>
                      <w:color w:val="auto"/>
                      <w:kern w:val="2"/>
                      <w:sz w:val="21"/>
                      <w:szCs w:val="21"/>
                      <w:lang w:val="en-US" w:eastAsia="zh-CN" w:bidi="ar-SA"/>
                    </w:rPr>
                    <w:tab/>
                  </w:r>
                </w:p>
              </w:tc>
              <w:tc>
                <w:tcPr>
                  <w:tcW w:w="603" w:type="pct"/>
                  <w:tcBorders>
                    <w:top w:val="single" w:color="auto" w:sz="2" w:space="0"/>
                    <w:bottom w:val="single" w:color="auto" w:sz="2" w:space="0"/>
                  </w:tcBorders>
                  <w:vAlign w:val="center"/>
                </w:tcPr>
                <w:p w14:paraId="52EBE04D">
                  <w:pPr>
                    <w:jc w:val="center"/>
                    <w:rPr>
                      <w:rFonts w:hint="default"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相符</w:t>
                  </w:r>
                </w:p>
              </w:tc>
            </w:tr>
            <w:tr w14:paraId="32A884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pct"/>
                  <w:tcBorders>
                    <w:top w:val="single" w:color="auto" w:sz="2" w:space="0"/>
                    <w:bottom w:val="single" w:color="auto" w:sz="2" w:space="0"/>
                  </w:tcBorders>
                  <w:vAlign w:val="center"/>
                </w:tcPr>
                <w:p w14:paraId="7C2BEF1A">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4117" w:type="pct"/>
                  <w:tcBorders>
                    <w:top w:val="single" w:color="auto" w:sz="2" w:space="0"/>
                    <w:bottom w:val="single" w:color="auto" w:sz="2" w:space="0"/>
                  </w:tcBorders>
                  <w:vAlign w:val="center"/>
                </w:tcPr>
                <w:p w14:paraId="7C60328D">
                  <w:pPr>
                    <w:ind w:firstLine="420" w:firstLineChars="20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本项目不属于《江苏省 “两高” 项目管理目录（202</w:t>
                  </w:r>
                  <w:r>
                    <w:rPr>
                      <w:rFonts w:hint="eastAsia" w:eastAsia="宋体" w:cs="Times New Roman"/>
                      <w:color w:val="auto"/>
                      <w:kern w:val="2"/>
                      <w:sz w:val="21"/>
                      <w:szCs w:val="21"/>
                      <w:lang w:val="en-US" w:eastAsia="zh-CN" w:bidi="ar-SA"/>
                    </w:rPr>
                    <w:t>5</w:t>
                  </w:r>
                  <w:r>
                    <w:rPr>
                      <w:rFonts w:hint="default" w:ascii="Times New Roman" w:hAnsi="Times New Roman" w:eastAsia="宋体" w:cs="Times New Roman"/>
                      <w:color w:val="auto"/>
                      <w:kern w:val="2"/>
                      <w:sz w:val="21"/>
                      <w:szCs w:val="21"/>
                      <w:lang w:val="en-US" w:eastAsia="zh-CN" w:bidi="ar-SA"/>
                    </w:rPr>
                    <w:t xml:space="preserve"> 年版）》中“两高” 项目范围</w:t>
                  </w:r>
                  <w:r>
                    <w:rPr>
                      <w:rFonts w:hint="default" w:ascii="Times New Roman" w:hAnsi="Times New Roman" w:eastAsia="宋体" w:cs="Times New Roman"/>
                      <w:color w:val="auto"/>
                      <w:kern w:val="2"/>
                      <w:sz w:val="21"/>
                      <w:szCs w:val="21"/>
                      <w:lang w:val="en-US" w:eastAsia="zh-CN" w:bidi="ar-SA"/>
                    </w:rPr>
                    <w:tab/>
                  </w:r>
                </w:p>
              </w:tc>
              <w:tc>
                <w:tcPr>
                  <w:tcW w:w="603" w:type="pct"/>
                  <w:tcBorders>
                    <w:top w:val="single" w:color="auto" w:sz="2" w:space="0"/>
                    <w:bottom w:val="single" w:color="auto" w:sz="2" w:space="0"/>
                  </w:tcBorders>
                  <w:vAlign w:val="center"/>
                </w:tcPr>
                <w:p w14:paraId="46E7662F">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相符</w:t>
                  </w:r>
                </w:p>
              </w:tc>
            </w:tr>
            <w:tr w14:paraId="00D646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pct"/>
                  <w:tcBorders>
                    <w:top w:val="single" w:color="auto" w:sz="2" w:space="0"/>
                    <w:bottom w:val="single" w:color="auto" w:sz="2" w:space="0"/>
                  </w:tcBorders>
                  <w:vAlign w:val="center"/>
                </w:tcPr>
                <w:p w14:paraId="3D5C21AE">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w:t>
                  </w:r>
                </w:p>
              </w:tc>
              <w:tc>
                <w:tcPr>
                  <w:tcW w:w="4117" w:type="pct"/>
                  <w:tcBorders>
                    <w:top w:val="single" w:color="auto" w:sz="2" w:space="0"/>
                    <w:bottom w:val="single" w:color="auto" w:sz="2" w:space="0"/>
                  </w:tcBorders>
                  <w:vAlign w:val="center"/>
                </w:tcPr>
                <w:p w14:paraId="52F9BA91">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本项目已</w:t>
                  </w:r>
                  <w:r>
                    <w:rPr>
                      <w:rFonts w:hint="default" w:ascii="Times New Roman" w:hAnsi="Times New Roman" w:eastAsia="宋体" w:cs="Times New Roman"/>
                      <w:b w:val="0"/>
                      <w:bCs/>
                      <w:color w:val="auto"/>
                      <w:sz w:val="21"/>
                      <w:szCs w:val="21"/>
                      <w:lang w:val="en-US" w:eastAsia="zh-CN"/>
                    </w:rPr>
                    <w:t>于</w:t>
                  </w:r>
                  <w:r>
                    <w:rPr>
                      <w:rFonts w:hint="default" w:ascii="Times New Roman" w:hAnsi="Times New Roman" w:eastAsia="宋体" w:cs="Times New Roman"/>
                      <w:color w:val="auto"/>
                      <w:sz w:val="21"/>
                      <w:szCs w:val="21"/>
                      <w:lang w:eastAsia="zh-CN"/>
                    </w:rPr>
                    <w:t>202</w:t>
                  </w: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lang w:eastAsia="zh-CN"/>
                    </w:rPr>
                    <w:t>年</w:t>
                  </w: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月</w:t>
                  </w:r>
                  <w:r>
                    <w:rPr>
                      <w:rFonts w:hint="eastAsia" w:cs="Times New Roman"/>
                      <w:color w:val="auto"/>
                      <w:sz w:val="21"/>
                      <w:szCs w:val="21"/>
                      <w:lang w:val="en-US" w:eastAsia="zh-CN"/>
                    </w:rPr>
                    <w:t>8</w:t>
                  </w:r>
                  <w:r>
                    <w:rPr>
                      <w:rFonts w:hint="default" w:ascii="Times New Roman" w:hAnsi="Times New Roman" w:eastAsia="宋体" w:cs="Times New Roman"/>
                      <w:color w:val="auto"/>
                      <w:sz w:val="21"/>
                      <w:szCs w:val="21"/>
                      <w:lang w:val="en-US" w:eastAsia="zh-CN"/>
                    </w:rPr>
                    <w:t>日</w:t>
                  </w:r>
                  <w:r>
                    <w:rPr>
                      <w:rFonts w:hint="default" w:ascii="Times New Roman" w:hAnsi="Times New Roman" w:eastAsia="宋体" w:cs="Times New Roman"/>
                      <w:color w:val="auto"/>
                      <w:kern w:val="2"/>
                      <w:sz w:val="21"/>
                      <w:szCs w:val="21"/>
                      <w:lang w:val="en-US" w:eastAsia="zh-CN" w:bidi="ar-SA"/>
                    </w:rPr>
                    <w:t>在</w:t>
                  </w:r>
                  <w:r>
                    <w:rPr>
                      <w:rFonts w:hint="eastAsia" w:cs="Times New Roman"/>
                      <w:color w:val="auto"/>
                      <w:sz w:val="21"/>
                      <w:szCs w:val="21"/>
                      <w:lang w:val="en-US" w:eastAsia="zh-CN"/>
                    </w:rPr>
                    <w:t>江苏</w:t>
                  </w:r>
                  <w:r>
                    <w:rPr>
                      <w:rFonts w:hint="eastAsia" w:cs="Times New Roman"/>
                      <w:color w:val="auto"/>
                      <w:sz w:val="21"/>
                      <w:szCs w:val="21"/>
                      <w:lang w:eastAsia="zh-CN"/>
                    </w:rPr>
                    <w:t>金坛经济开发区经济发展局</w:t>
                  </w:r>
                  <w:r>
                    <w:rPr>
                      <w:rFonts w:hint="default" w:ascii="Times New Roman" w:hAnsi="Times New Roman" w:eastAsia="宋体" w:cs="Times New Roman"/>
                      <w:color w:val="auto"/>
                      <w:kern w:val="2"/>
                      <w:sz w:val="21"/>
                      <w:szCs w:val="21"/>
                      <w:lang w:val="en-US" w:eastAsia="zh-CN" w:bidi="ar-SA"/>
                    </w:rPr>
                    <w:t>进行了备案（</w:t>
                  </w:r>
                  <w:r>
                    <w:rPr>
                      <w:rFonts w:hint="eastAsia" w:cs="Times New Roman"/>
                      <w:color w:val="auto"/>
                      <w:sz w:val="21"/>
                      <w:szCs w:val="21"/>
                      <w:lang w:eastAsia="zh-CN"/>
                    </w:rPr>
                    <w:t>坛</w:t>
                  </w:r>
                  <w:r>
                    <w:rPr>
                      <w:rFonts w:hint="eastAsia" w:cs="Times New Roman"/>
                      <w:color w:val="auto"/>
                      <w:sz w:val="21"/>
                      <w:szCs w:val="21"/>
                      <w:lang w:val="en-US" w:eastAsia="zh-CN"/>
                    </w:rPr>
                    <w:t>开经</w:t>
                  </w:r>
                  <w:r>
                    <w:rPr>
                      <w:rFonts w:hint="eastAsia" w:cs="Times New Roman"/>
                      <w:color w:val="auto"/>
                      <w:sz w:val="21"/>
                      <w:szCs w:val="21"/>
                      <w:lang w:eastAsia="zh-CN"/>
                    </w:rPr>
                    <w:t>发备</w:t>
                  </w:r>
                  <w:r>
                    <w:rPr>
                      <w:rFonts w:hint="eastAsia" w:cs="Times New Roman"/>
                      <w:color w:val="auto"/>
                      <w:sz w:val="21"/>
                      <w:szCs w:val="21"/>
                      <w:lang w:val="en-US" w:eastAsia="zh-CN"/>
                    </w:rPr>
                    <w:t>字</w:t>
                  </w:r>
                  <w:r>
                    <w:rPr>
                      <w:rFonts w:hint="eastAsia" w:cs="Times New Roman"/>
                      <w:color w:val="auto"/>
                      <w:sz w:val="21"/>
                      <w:szCs w:val="21"/>
                      <w:lang w:eastAsia="zh-CN"/>
                    </w:rPr>
                    <w:t>〔202</w:t>
                  </w:r>
                  <w:r>
                    <w:rPr>
                      <w:rFonts w:hint="eastAsia" w:cs="Times New Roman"/>
                      <w:color w:val="auto"/>
                      <w:sz w:val="21"/>
                      <w:szCs w:val="21"/>
                      <w:lang w:val="en-US" w:eastAsia="zh-CN"/>
                    </w:rPr>
                    <w:t>5</w:t>
                  </w:r>
                  <w:r>
                    <w:rPr>
                      <w:rFonts w:hint="eastAsia" w:cs="Times New Roman"/>
                      <w:color w:val="auto"/>
                      <w:sz w:val="21"/>
                      <w:szCs w:val="21"/>
                      <w:lang w:eastAsia="zh-CN"/>
                    </w:rPr>
                    <w:t>〕</w:t>
                  </w:r>
                  <w:r>
                    <w:rPr>
                      <w:rFonts w:hint="eastAsia" w:cs="Times New Roman"/>
                      <w:color w:val="auto"/>
                      <w:sz w:val="21"/>
                      <w:szCs w:val="21"/>
                      <w:lang w:val="en-US" w:eastAsia="zh-CN"/>
                    </w:rPr>
                    <w:t>5</w:t>
                  </w:r>
                  <w:r>
                    <w:rPr>
                      <w:rFonts w:hint="eastAsia" w:cs="Times New Roman"/>
                      <w:color w:val="auto"/>
                      <w:sz w:val="21"/>
                      <w:szCs w:val="21"/>
                      <w:lang w:eastAsia="zh-CN"/>
                    </w:rPr>
                    <w:t>号</w:t>
                  </w:r>
                  <w:r>
                    <w:rPr>
                      <w:rFonts w:hint="default" w:ascii="Times New Roman" w:hAnsi="Times New Roman" w:eastAsia="宋体" w:cs="Times New Roman"/>
                      <w:color w:val="auto"/>
                      <w:kern w:val="2"/>
                      <w:sz w:val="21"/>
                      <w:szCs w:val="21"/>
                      <w:lang w:val="en-US" w:eastAsia="zh-CN" w:bidi="ar-SA"/>
                    </w:rPr>
                    <w:t>，见附件1），符合区域产业政策</w:t>
                  </w:r>
                  <w:r>
                    <w:rPr>
                      <w:rFonts w:hint="default" w:ascii="Times New Roman" w:hAnsi="Times New Roman" w:eastAsia="宋体" w:cs="Times New Roman"/>
                      <w:color w:val="auto"/>
                      <w:kern w:val="2"/>
                      <w:sz w:val="21"/>
                      <w:szCs w:val="21"/>
                      <w:lang w:val="en-US" w:eastAsia="zh-CN" w:bidi="ar-SA"/>
                    </w:rPr>
                    <w:tab/>
                  </w:r>
                </w:p>
              </w:tc>
              <w:tc>
                <w:tcPr>
                  <w:tcW w:w="603" w:type="pct"/>
                  <w:tcBorders>
                    <w:top w:val="single" w:color="auto" w:sz="2" w:space="0"/>
                    <w:bottom w:val="single" w:color="auto" w:sz="2" w:space="0"/>
                  </w:tcBorders>
                  <w:vAlign w:val="center"/>
                </w:tcPr>
                <w:p w14:paraId="1F5487D2">
                  <w:pPr>
                    <w:jc w:val="center"/>
                    <w:rPr>
                      <w:rFonts w:hint="default"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相符</w:t>
                  </w:r>
                </w:p>
              </w:tc>
            </w:tr>
          </w:tbl>
          <w:p w14:paraId="7CE7359F">
            <w:pPr>
              <w:autoSpaceDE w:val="0"/>
              <w:autoSpaceDN w:val="0"/>
              <w:adjustRightInd w:val="0"/>
              <w:snapToGrid w:val="0"/>
              <w:spacing w:line="500" w:lineRule="exact"/>
              <w:jc w:val="left"/>
              <w:rPr>
                <w:rFonts w:hint="default" w:ascii="Times New Roman" w:hAnsi="Times New Roman" w:eastAsia="宋体" w:cs="Times New Roman"/>
                <w:b/>
                <w:bCs/>
                <w:color w:val="auto"/>
                <w:sz w:val="21"/>
                <w:szCs w:val="21"/>
              </w:rPr>
            </w:pPr>
            <w:r>
              <w:rPr>
                <w:rFonts w:hint="eastAsia" w:cs="Times New Roman"/>
                <w:b/>
                <w:color w:val="auto"/>
                <w:sz w:val="21"/>
                <w:szCs w:val="21"/>
                <w:lang w:val="en-US" w:eastAsia="zh-CN"/>
              </w:rPr>
              <w:t>6、本项目位于</w:t>
            </w:r>
            <w:r>
              <w:rPr>
                <w:rFonts w:hint="default" w:ascii="Times New Roman" w:hAnsi="Times New Roman" w:eastAsia="宋体" w:cs="Times New Roman"/>
                <w:b/>
                <w:bCs w:val="0"/>
                <w:color w:val="auto"/>
                <w:sz w:val="21"/>
                <w:szCs w:val="21"/>
              </w:rPr>
              <w:t>太湖流域</w:t>
            </w:r>
            <w:r>
              <w:rPr>
                <w:rFonts w:hint="eastAsia" w:cs="Times New Roman"/>
                <w:b/>
                <w:bCs w:val="0"/>
                <w:color w:val="auto"/>
                <w:sz w:val="21"/>
                <w:szCs w:val="21"/>
                <w:lang w:val="en-US" w:eastAsia="zh-CN"/>
              </w:rPr>
              <w:t>三级保护区，项目</w:t>
            </w:r>
            <w:r>
              <w:rPr>
                <w:rFonts w:hint="default" w:ascii="Times New Roman" w:hAnsi="Times New Roman" w:eastAsia="宋体" w:cs="Times New Roman"/>
                <w:b/>
                <w:color w:val="auto"/>
                <w:sz w:val="21"/>
                <w:szCs w:val="21"/>
              </w:rPr>
              <w:t>与</w:t>
            </w:r>
            <w:r>
              <w:rPr>
                <w:rFonts w:hint="default" w:ascii="Times New Roman" w:hAnsi="Times New Roman" w:eastAsia="宋体" w:cs="Times New Roman"/>
                <w:b/>
                <w:bCs w:val="0"/>
                <w:color w:val="auto"/>
                <w:sz w:val="21"/>
                <w:szCs w:val="21"/>
              </w:rPr>
              <w:t>《太湖流域管理条例》（国务院令第604号）</w:t>
            </w:r>
            <w:r>
              <w:rPr>
                <w:rFonts w:hint="eastAsia" w:cs="Times New Roman"/>
                <w:b/>
                <w:color w:val="auto"/>
                <w:sz w:val="21"/>
                <w:szCs w:val="21"/>
                <w:lang w:eastAsia="zh-CN"/>
              </w:rPr>
              <w:t>、</w:t>
            </w:r>
            <w:r>
              <w:rPr>
                <w:rFonts w:hint="default" w:ascii="Times New Roman" w:hAnsi="Times New Roman" w:eastAsia="宋体" w:cs="Times New Roman"/>
                <w:b/>
                <w:bCs/>
                <w:color w:val="auto"/>
                <w:sz w:val="21"/>
                <w:szCs w:val="21"/>
              </w:rPr>
              <w:t>《江苏省太湖水污染防治条例》</w:t>
            </w:r>
            <w:r>
              <w:rPr>
                <w:rFonts w:hint="default" w:ascii="Times New Roman" w:hAnsi="Times New Roman" w:eastAsia="宋体" w:cs="Times New Roman"/>
                <w:b/>
                <w:color w:val="auto"/>
                <w:sz w:val="21"/>
                <w:szCs w:val="21"/>
              </w:rPr>
              <w:t>相符性分析</w:t>
            </w:r>
            <w:r>
              <w:rPr>
                <w:rFonts w:hint="eastAsia" w:cs="Times New Roman"/>
                <w:b/>
                <w:color w:val="auto"/>
                <w:sz w:val="21"/>
                <w:szCs w:val="21"/>
                <w:lang w:val="en-US" w:eastAsia="zh-CN"/>
              </w:rPr>
              <w:t>如下</w:t>
            </w:r>
          </w:p>
          <w:p w14:paraId="493BDA13">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 xml:space="preserve">6 </w:t>
            </w:r>
            <w:r>
              <w:rPr>
                <w:rFonts w:hint="default" w:ascii="Times New Roman" w:hAnsi="Times New Roman" w:eastAsia="宋体" w:cs="Times New Roman"/>
                <w:b/>
                <w:bCs/>
                <w:color w:val="auto"/>
                <w:sz w:val="21"/>
                <w:szCs w:val="21"/>
              </w:rPr>
              <w:t>与《太湖流域管理条例》相符性分析</w:t>
            </w:r>
          </w:p>
          <w:tbl>
            <w:tblPr>
              <w:tblStyle w:val="3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6"/>
              <w:gridCol w:w="5300"/>
              <w:gridCol w:w="1361"/>
              <w:gridCol w:w="1042"/>
            </w:tblGrid>
            <w:tr w14:paraId="608600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Align w:val="center"/>
                </w:tcPr>
                <w:p w14:paraId="4F54C87B">
                  <w:pPr>
                    <w:adjustRightInd w:val="0"/>
                    <w:snapToGrid w:val="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条款</w:t>
                  </w:r>
                </w:p>
              </w:tc>
              <w:tc>
                <w:tcPr>
                  <w:tcW w:w="3173" w:type="pct"/>
                  <w:vAlign w:val="center"/>
                </w:tcPr>
                <w:p w14:paraId="0EE5E7F1">
                  <w:pPr>
                    <w:adjustRightInd w:val="0"/>
                    <w:snapToGrid w:val="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内容</w:t>
                  </w:r>
                </w:p>
              </w:tc>
              <w:tc>
                <w:tcPr>
                  <w:tcW w:w="815" w:type="pct"/>
                  <w:vAlign w:val="center"/>
                </w:tcPr>
                <w:p w14:paraId="292E8A3B">
                  <w:pPr>
                    <w:jc w:val="center"/>
                    <w:rPr>
                      <w:rFonts w:hint="eastAsia" w:ascii="Times New Roman" w:hAnsi="Times New Roman" w:eastAsia="宋体" w:cs="Times New Roman"/>
                      <w:b/>
                      <w:color w:val="auto"/>
                      <w:sz w:val="21"/>
                      <w:szCs w:val="21"/>
                      <w:lang w:eastAsia="zh-CN"/>
                    </w:rPr>
                  </w:pPr>
                  <w:r>
                    <w:rPr>
                      <w:rFonts w:hint="eastAsia" w:cs="Times New Roman"/>
                      <w:b/>
                      <w:color w:val="auto"/>
                      <w:sz w:val="21"/>
                      <w:szCs w:val="21"/>
                      <w:lang w:val="en-US" w:eastAsia="zh-CN"/>
                    </w:rPr>
                    <w:t>本项目</w:t>
                  </w:r>
                </w:p>
              </w:tc>
              <w:tc>
                <w:tcPr>
                  <w:tcW w:w="624" w:type="pct"/>
                  <w:vAlign w:val="center"/>
                </w:tcPr>
                <w:p w14:paraId="24654030">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相符性</w:t>
                  </w:r>
                </w:p>
              </w:tc>
            </w:tr>
            <w:tr w14:paraId="17AB3F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387" w:type="pct"/>
                  <w:tcBorders>
                    <w:bottom w:val="single" w:color="auto" w:sz="2" w:space="0"/>
                  </w:tcBorders>
                  <w:vAlign w:val="center"/>
                </w:tcPr>
                <w:p w14:paraId="43795248">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第二十八条</w:t>
                  </w:r>
                </w:p>
              </w:tc>
              <w:tc>
                <w:tcPr>
                  <w:tcW w:w="3173" w:type="pct"/>
                  <w:tcBorders>
                    <w:bottom w:val="single" w:color="auto" w:sz="2" w:space="0"/>
                  </w:tcBorders>
                  <w:vAlign w:val="center"/>
                </w:tcPr>
                <w:p w14:paraId="59EDD2F3">
                  <w:pPr>
                    <w:adjustRightInd w:val="0"/>
                    <w:snapToGrid w:val="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排污单位排放水污染物，不得超过经核定的水污染物排放总量，并应当按照规定设置便于检查、采样的规范化排污口，悬挂标志牌；不得私设暗管或者采取其他规避监管的方式排放水污染物。</w:t>
                  </w:r>
                </w:p>
                <w:p w14:paraId="11FC9E86">
                  <w:pPr>
                    <w:adjustRightInd w:val="0"/>
                    <w:snapToGrid w:val="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禁止在太湖流域设置不符合国家产业政策和水环境综合治理要求的造纸、制革、</w:t>
                  </w:r>
                  <w:r>
                    <w:rPr>
                      <w:rFonts w:hint="eastAsia" w:cs="Times New Roman"/>
                      <w:color w:val="auto"/>
                      <w:sz w:val="21"/>
                      <w:szCs w:val="21"/>
                      <w:lang w:eastAsia="zh-CN"/>
                    </w:rPr>
                    <w:t>乙醇</w:t>
                  </w:r>
                  <w:r>
                    <w:rPr>
                      <w:rFonts w:hint="default" w:ascii="Times New Roman" w:hAnsi="Times New Roman" w:eastAsia="宋体" w:cs="Times New Roman"/>
                      <w:color w:val="auto"/>
                      <w:sz w:val="21"/>
                      <w:szCs w:val="21"/>
                    </w:rPr>
                    <w:t>、淀粉、冶金、酿造、印染、电镀等排放水污染物的生产项目，现有的生产项目不能实现达标排放的，应当依法关闭。</w:t>
                  </w:r>
                </w:p>
                <w:p w14:paraId="44BF69EB">
                  <w:pPr>
                    <w:ind w:firstLine="420" w:firstLineChars="20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在太湖流域新设企业应当符合国家规定的清洁生产要求，现有的企业尚未达到清洁生产要求的，应当按照清洁生产规划要求进行技术改造，两省一市人民政府应当加强监督检查。</w:t>
                  </w:r>
                </w:p>
              </w:tc>
              <w:tc>
                <w:tcPr>
                  <w:tcW w:w="815" w:type="pct"/>
                  <w:tcBorders>
                    <w:bottom w:val="single" w:color="auto" w:sz="2" w:space="0"/>
                  </w:tcBorders>
                  <w:vAlign w:val="center"/>
                </w:tcPr>
                <w:p w14:paraId="37F6E163">
                  <w:pPr>
                    <w:ind w:firstLine="420" w:firstLineChars="20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本项目属于</w:t>
                  </w:r>
                  <w:r>
                    <w:rPr>
                      <w:rFonts w:hint="eastAsia" w:cs="Times New Roman"/>
                      <w:color w:val="auto"/>
                      <w:kern w:val="2"/>
                      <w:sz w:val="21"/>
                      <w:szCs w:val="21"/>
                      <w:lang w:val="en-US" w:eastAsia="zh-CN" w:bidi="ar-SA"/>
                    </w:rPr>
                    <w:t>C2921塑料薄膜制造</w:t>
                  </w:r>
                  <w:r>
                    <w:rPr>
                      <w:rFonts w:hint="default" w:ascii="Times New Roman" w:hAnsi="Times New Roman" w:eastAsia="宋体" w:cs="Times New Roman"/>
                      <w:color w:val="auto"/>
                      <w:sz w:val="21"/>
                      <w:szCs w:val="21"/>
                    </w:rPr>
                    <w:t>，不属于禁止类项目。</w:t>
                  </w:r>
                </w:p>
              </w:tc>
              <w:tc>
                <w:tcPr>
                  <w:tcW w:w="624" w:type="pct"/>
                  <w:tcBorders>
                    <w:bottom w:val="single" w:color="auto" w:sz="2" w:space="0"/>
                  </w:tcBorders>
                  <w:vAlign w:val="center"/>
                </w:tcPr>
                <w:p w14:paraId="034A57D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rPr>
                    <w:t>相符</w:t>
                  </w:r>
                </w:p>
              </w:tc>
            </w:tr>
            <w:tr w14:paraId="17888D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43" w:hRule="atLeast"/>
                <w:jc w:val="center"/>
              </w:trPr>
              <w:tc>
                <w:tcPr>
                  <w:tcW w:w="387" w:type="pct"/>
                  <w:tcBorders>
                    <w:top w:val="single" w:color="auto" w:sz="2" w:space="0"/>
                    <w:bottom w:val="single" w:color="auto" w:sz="2" w:space="0"/>
                  </w:tcBorders>
                  <w:vAlign w:val="center"/>
                </w:tcPr>
                <w:p w14:paraId="456B333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第二十九条</w:t>
                  </w:r>
                </w:p>
              </w:tc>
              <w:tc>
                <w:tcPr>
                  <w:tcW w:w="3173" w:type="pct"/>
                  <w:tcBorders>
                    <w:top w:val="single" w:color="auto" w:sz="2" w:space="0"/>
                    <w:bottom w:val="single" w:color="auto" w:sz="2" w:space="0"/>
                  </w:tcBorders>
                  <w:vAlign w:val="center"/>
                </w:tcPr>
                <w:p w14:paraId="4E8CEBED">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新孟河、望虞河以外的其他主要入太湖河道，自河口1万米上溯至5万米河道岸线内及其岸线两侧各1000米范围内，禁止下列行为：</w:t>
                  </w:r>
                </w:p>
                <w:p w14:paraId="7039B320">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（一）新建、扩建化工、医药生产项目；</w:t>
                  </w:r>
                </w:p>
                <w:p w14:paraId="1A40BF55">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（二）新建、扩建污水集中处理设施排污口以外的排污口；</w:t>
                  </w:r>
                </w:p>
                <w:p w14:paraId="0BDAE0D4">
                  <w:pPr>
                    <w:ind w:firstLine="420" w:firstLineChars="20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（三）扩大水产养殖规模。</w:t>
                  </w:r>
                </w:p>
              </w:tc>
              <w:tc>
                <w:tcPr>
                  <w:tcW w:w="815" w:type="pct"/>
                  <w:tcBorders>
                    <w:top w:val="single" w:color="auto" w:sz="2" w:space="0"/>
                    <w:bottom w:val="single" w:color="auto" w:sz="2" w:space="0"/>
                  </w:tcBorders>
                  <w:vAlign w:val="center"/>
                </w:tcPr>
                <w:p w14:paraId="637E0EA5">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本项目周边不涉及入太湖河道。</w:t>
                  </w:r>
                </w:p>
              </w:tc>
              <w:tc>
                <w:tcPr>
                  <w:tcW w:w="624" w:type="pct"/>
                  <w:tcBorders>
                    <w:top w:val="single" w:color="auto" w:sz="2" w:space="0"/>
                    <w:bottom w:val="single" w:color="auto" w:sz="2" w:space="0"/>
                  </w:tcBorders>
                  <w:vAlign w:val="center"/>
                </w:tcPr>
                <w:p w14:paraId="46A20DF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rPr>
                    <w:t>相符</w:t>
                  </w:r>
                </w:p>
              </w:tc>
            </w:tr>
            <w:tr w14:paraId="7BB561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387" w:type="pct"/>
                  <w:tcBorders>
                    <w:top w:val="single" w:color="auto" w:sz="2" w:space="0"/>
                  </w:tcBorders>
                  <w:vAlign w:val="center"/>
                </w:tcPr>
                <w:p w14:paraId="07D18F2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第三十条</w:t>
                  </w:r>
                </w:p>
              </w:tc>
              <w:tc>
                <w:tcPr>
                  <w:tcW w:w="3173" w:type="pct"/>
                  <w:tcBorders>
                    <w:top w:val="single" w:color="auto" w:sz="2" w:space="0"/>
                  </w:tcBorders>
                  <w:vAlign w:val="center"/>
                </w:tcPr>
                <w:p w14:paraId="43D2D728">
                  <w:pPr>
                    <w:ind w:firstLine="420" w:firstLineChars="20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一）设置剧毒物质、危险化学品的贮存、输送设施和废物回收场、垃圾场；（二）设置水上餐饮经营设施；（三）新建、扩建高尔夫球场；（四）新建、扩建畜禽养殖场；（五）新建、扩建向水体排放污染物的建设项目；（六）本条例第二十九条规定的行为。已经设置前款第一项、第二项规定设施的，当地县级人民政府应当责令拆除或者关闭的项目。</w:t>
                  </w:r>
                </w:p>
              </w:tc>
              <w:tc>
                <w:tcPr>
                  <w:tcW w:w="815" w:type="pct"/>
                  <w:tcBorders>
                    <w:top w:val="single" w:color="auto" w:sz="2" w:space="0"/>
                  </w:tcBorders>
                  <w:vAlign w:val="center"/>
                </w:tcPr>
                <w:p w14:paraId="6BF42F30">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本项目不属于上述区域内。</w:t>
                  </w:r>
                </w:p>
              </w:tc>
              <w:tc>
                <w:tcPr>
                  <w:tcW w:w="624" w:type="pct"/>
                  <w:tcBorders>
                    <w:top w:val="single" w:color="auto" w:sz="2" w:space="0"/>
                  </w:tcBorders>
                  <w:vAlign w:val="center"/>
                </w:tcPr>
                <w:p w14:paraId="6C41E4D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rPr>
                    <w:t>相符</w:t>
                  </w:r>
                </w:p>
              </w:tc>
            </w:tr>
          </w:tbl>
          <w:p w14:paraId="043BA86F">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 xml:space="preserve">7 </w:t>
            </w:r>
            <w:r>
              <w:rPr>
                <w:rFonts w:hint="default" w:ascii="Times New Roman" w:hAnsi="Times New Roman" w:eastAsia="宋体" w:cs="Times New Roman"/>
                <w:b/>
                <w:bCs/>
                <w:color w:val="auto"/>
                <w:sz w:val="21"/>
                <w:szCs w:val="21"/>
              </w:rPr>
              <w:t>《江苏省太湖水污染防治条例》分析对照表</w:t>
            </w:r>
          </w:p>
          <w:tbl>
            <w:tblPr>
              <w:tblStyle w:val="3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5296"/>
              <w:gridCol w:w="1510"/>
              <w:gridCol w:w="898"/>
            </w:tblGrid>
            <w:tr w14:paraId="5CEE36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6" w:type="pct"/>
                  <w:noWrap w:val="0"/>
                  <w:vAlign w:val="center"/>
                </w:tcPr>
                <w:p w14:paraId="13FA458F">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条款</w:t>
                  </w:r>
                </w:p>
              </w:tc>
              <w:tc>
                <w:tcPr>
                  <w:tcW w:w="3170" w:type="pct"/>
                  <w:noWrap w:val="0"/>
                  <w:vAlign w:val="center"/>
                </w:tcPr>
                <w:p w14:paraId="04CAC49D">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内容</w:t>
                  </w:r>
                </w:p>
              </w:tc>
              <w:tc>
                <w:tcPr>
                  <w:tcW w:w="904" w:type="pct"/>
                  <w:noWrap w:val="0"/>
                  <w:vAlign w:val="center"/>
                </w:tcPr>
                <w:p w14:paraId="0686CE29">
                  <w:pPr>
                    <w:adjustRightInd w:val="0"/>
                    <w:snapToGrid w:val="0"/>
                    <w:jc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本项目</w:t>
                  </w:r>
                </w:p>
              </w:tc>
              <w:tc>
                <w:tcPr>
                  <w:tcW w:w="537" w:type="pct"/>
                  <w:noWrap w:val="0"/>
                  <w:vAlign w:val="center"/>
                </w:tcPr>
                <w:p w14:paraId="708C37E6">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相符性</w:t>
                  </w:r>
                </w:p>
              </w:tc>
            </w:tr>
            <w:tr w14:paraId="4503E0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86" w:type="pct"/>
                  <w:noWrap w:val="0"/>
                  <w:vAlign w:val="center"/>
                </w:tcPr>
                <w:p w14:paraId="4B87E8C7">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第四十三条</w:t>
                  </w:r>
                </w:p>
              </w:tc>
              <w:tc>
                <w:tcPr>
                  <w:tcW w:w="3170" w:type="pct"/>
                  <w:noWrap w:val="0"/>
                  <w:vAlign w:val="center"/>
                </w:tcPr>
                <w:p w14:paraId="7F766F4F">
                  <w:pPr>
                    <w:spacing w:line="24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太湖流域一、二、三级保护区禁止下列行为：</w:t>
                  </w:r>
                </w:p>
                <w:p w14:paraId="4F8A813C">
                  <w:pPr>
                    <w:spacing w:line="240" w:lineRule="auto"/>
                    <w:ind w:firstLine="420" w:firstLineChars="200"/>
                    <w:rPr>
                      <w:rFonts w:hint="default" w:ascii="Times New Roman" w:hAnsi="Times New Roman" w:eastAsia="宋体" w:cs="Times New Roman"/>
                      <w:i w:val="0"/>
                      <w:iCs w:val="0"/>
                      <w:caps w:val="0"/>
                      <w:color w:val="auto"/>
                      <w:spacing w:val="0"/>
                      <w:kern w:val="0"/>
                      <w:sz w:val="21"/>
                      <w:szCs w:val="21"/>
                      <w:lang w:val="en-US" w:eastAsia="zh-CN" w:bidi="ar"/>
                    </w:rPr>
                  </w:pPr>
                  <w:r>
                    <w:rPr>
                      <w:rFonts w:hint="default" w:ascii="Times New Roman" w:hAnsi="Times New Roman" w:eastAsia="宋体" w:cs="Times New Roman"/>
                      <w:color w:val="auto"/>
                      <w:sz w:val="21"/>
                      <w:szCs w:val="21"/>
                    </w:rPr>
                    <w:t>（一）</w:t>
                  </w:r>
                  <w:r>
                    <w:rPr>
                      <w:rFonts w:hint="default" w:ascii="Times New Roman" w:hAnsi="Times New Roman" w:eastAsia="宋体" w:cs="Times New Roman"/>
                      <w:i w:val="0"/>
                      <w:iCs w:val="0"/>
                      <w:caps w:val="0"/>
                      <w:color w:val="auto"/>
                      <w:spacing w:val="0"/>
                      <w:kern w:val="0"/>
                      <w:sz w:val="21"/>
                      <w:szCs w:val="21"/>
                      <w:lang w:val="en-US" w:eastAsia="zh-CN" w:bidi="ar"/>
                    </w:rPr>
                    <w:t>新建、改建、扩建化学制浆造纸、制革、酿造、染料、印染、电镀以及其他排放含磷、氮等污染物的企业和项目，城镇污水集中处理等环境基础设施项目和第四十六条规定的情形除外；</w:t>
                  </w:r>
                </w:p>
                <w:p w14:paraId="442F052D">
                  <w:pPr>
                    <w:spacing w:line="240" w:lineRule="auto"/>
                    <w:ind w:firstLine="420" w:firstLineChars="200"/>
                    <w:rPr>
                      <w:rFonts w:hint="default" w:ascii="Times New Roman" w:hAnsi="Times New Roman" w:eastAsia="宋体" w:cs="Times New Roman"/>
                      <w:i w:val="0"/>
                      <w:iCs w:val="0"/>
                      <w:caps w:val="0"/>
                      <w:color w:val="auto"/>
                      <w:spacing w:val="0"/>
                      <w:kern w:val="0"/>
                      <w:sz w:val="21"/>
                      <w:szCs w:val="21"/>
                      <w:lang w:val="en-US" w:eastAsia="zh-CN" w:bidi="ar"/>
                    </w:rPr>
                  </w:pPr>
                  <w:r>
                    <w:rPr>
                      <w:rFonts w:hint="default" w:ascii="Times New Roman" w:hAnsi="Times New Roman" w:eastAsia="宋体" w:cs="Times New Roman"/>
                      <w:i w:val="0"/>
                      <w:iCs w:val="0"/>
                      <w:caps w:val="0"/>
                      <w:color w:val="auto"/>
                      <w:spacing w:val="0"/>
                      <w:kern w:val="0"/>
                      <w:sz w:val="21"/>
                      <w:szCs w:val="21"/>
                      <w:lang w:val="en-US" w:eastAsia="zh-CN" w:bidi="ar"/>
                    </w:rPr>
                    <w:t>（二）销售、使用含磷洗涤用品；</w:t>
                  </w:r>
                </w:p>
                <w:p w14:paraId="42201273">
                  <w:pPr>
                    <w:spacing w:line="240" w:lineRule="auto"/>
                    <w:ind w:firstLine="420" w:firstLineChars="200"/>
                    <w:rPr>
                      <w:rFonts w:hint="default" w:ascii="Times New Roman" w:hAnsi="Times New Roman" w:eastAsia="宋体" w:cs="Times New Roman"/>
                      <w:i w:val="0"/>
                      <w:iCs w:val="0"/>
                      <w:caps w:val="0"/>
                      <w:color w:val="auto"/>
                      <w:spacing w:val="0"/>
                      <w:kern w:val="0"/>
                      <w:sz w:val="21"/>
                      <w:szCs w:val="21"/>
                      <w:lang w:val="en-US" w:eastAsia="zh-CN" w:bidi="ar"/>
                    </w:rPr>
                  </w:pPr>
                  <w:r>
                    <w:rPr>
                      <w:rFonts w:hint="default" w:ascii="Times New Roman" w:hAnsi="Times New Roman" w:eastAsia="宋体" w:cs="Times New Roman"/>
                      <w:i w:val="0"/>
                      <w:iCs w:val="0"/>
                      <w:caps w:val="0"/>
                      <w:color w:val="auto"/>
                      <w:spacing w:val="0"/>
                      <w:kern w:val="0"/>
                      <w:sz w:val="21"/>
                      <w:szCs w:val="21"/>
                      <w:lang w:val="en-US" w:eastAsia="zh-CN" w:bidi="ar"/>
                    </w:rPr>
                    <w:t>（三）向水体排放或者倾倒油类、酸液、碱液、剧毒废渣废液、含放射性废渣废液、含病原体污水、工业废渣以及其他废弃物；</w:t>
                  </w:r>
                </w:p>
                <w:p w14:paraId="118E1886">
                  <w:pPr>
                    <w:spacing w:line="24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（四）在水体清洗装贮过油类或者有毒有害污染物的车辆、船舶和容器等</w:t>
                  </w:r>
                  <w:r>
                    <w:rPr>
                      <w:rFonts w:hint="default" w:ascii="Times New Roman" w:hAnsi="Times New Roman" w:eastAsia="宋体" w:cs="Times New Roman"/>
                      <w:color w:val="auto"/>
                      <w:sz w:val="21"/>
                      <w:szCs w:val="21"/>
                    </w:rPr>
                    <w:t>；</w:t>
                  </w:r>
                </w:p>
                <w:p w14:paraId="1162FC13">
                  <w:pPr>
                    <w:spacing w:line="24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（五）使用农药等有毒物毒杀水生生物；</w:t>
                  </w:r>
                </w:p>
                <w:p w14:paraId="4D99483C">
                  <w:pPr>
                    <w:spacing w:line="24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（六）向水体直接排放人畜粪便、倾倒垃圾；</w:t>
                  </w:r>
                </w:p>
                <w:p w14:paraId="73E97F5C">
                  <w:pPr>
                    <w:spacing w:line="24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（七）围湖造地；</w:t>
                  </w:r>
                </w:p>
                <w:p w14:paraId="1E9F2ECC">
                  <w:pPr>
                    <w:spacing w:line="24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（八）违法开山采石，或者进行破坏林木、植被、水生生物的活动；</w:t>
                  </w:r>
                </w:p>
                <w:p w14:paraId="596ECE39">
                  <w:pPr>
                    <w:adjustRightInd w:val="0"/>
                    <w:snapToGrid w:val="0"/>
                    <w:spacing w:line="240" w:lineRule="auto"/>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（九）法律、法规禁止的其他行为。</w:t>
                  </w:r>
                </w:p>
              </w:tc>
              <w:tc>
                <w:tcPr>
                  <w:tcW w:w="904" w:type="pct"/>
                  <w:noWrap w:val="0"/>
                  <w:vAlign w:val="center"/>
                </w:tcPr>
                <w:p w14:paraId="543E8832">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本项目属于</w:t>
                  </w:r>
                  <w:r>
                    <w:rPr>
                      <w:rFonts w:hint="eastAsia" w:cs="Times New Roman"/>
                      <w:color w:val="auto"/>
                      <w:kern w:val="2"/>
                      <w:sz w:val="21"/>
                      <w:szCs w:val="21"/>
                      <w:lang w:val="en-US" w:eastAsia="zh-CN" w:bidi="ar-SA"/>
                    </w:rPr>
                    <w:t>C2921塑料薄膜制造</w:t>
                  </w:r>
                  <w:r>
                    <w:rPr>
                      <w:rFonts w:hint="default" w:ascii="Times New Roman" w:hAnsi="Times New Roman" w:eastAsia="宋体" w:cs="Times New Roman"/>
                      <w:color w:val="auto"/>
                      <w:sz w:val="21"/>
                      <w:szCs w:val="21"/>
                    </w:rPr>
                    <w:t>，位于太湖流域三级保护区内，生产过程中无含磷、氮生产废水排放</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不属于禁止类。</w:t>
                  </w:r>
                </w:p>
              </w:tc>
              <w:tc>
                <w:tcPr>
                  <w:tcW w:w="537" w:type="pct"/>
                  <w:noWrap w:val="0"/>
                  <w:vAlign w:val="center"/>
                </w:tcPr>
                <w:p w14:paraId="3BE36684">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rPr>
                    <w:t>相符</w:t>
                  </w:r>
                </w:p>
              </w:tc>
            </w:tr>
          </w:tbl>
          <w:p w14:paraId="5CED9C0C">
            <w:pPr>
              <w:keepNext w:val="0"/>
              <w:keepLines w:val="0"/>
              <w:pageBreakBefore w:val="0"/>
              <w:widowControl w:val="0"/>
              <w:kinsoku/>
              <w:wordWrap/>
              <w:overflowPunct/>
              <w:topLinePunct w:val="0"/>
              <w:autoSpaceDE w:val="0"/>
              <w:autoSpaceDN w:val="0"/>
              <w:bidi w:val="0"/>
              <w:adjustRightInd w:val="0"/>
              <w:snapToGrid w:val="0"/>
              <w:spacing w:line="500" w:lineRule="exact"/>
              <w:jc w:val="left"/>
              <w:textAlignment w:val="auto"/>
              <w:rPr>
                <w:rFonts w:hint="default" w:ascii="Times New Roman" w:hAnsi="Times New Roman" w:eastAsia="宋体" w:cs="Times New Roman"/>
                <w:b/>
                <w:bCs/>
                <w:color w:val="auto"/>
                <w:sz w:val="21"/>
                <w:szCs w:val="21"/>
              </w:rPr>
            </w:pPr>
            <w:r>
              <w:rPr>
                <w:rFonts w:hint="eastAsia" w:cs="Times New Roman"/>
                <w:b/>
                <w:color w:val="auto"/>
                <w:sz w:val="21"/>
                <w:szCs w:val="21"/>
                <w:lang w:val="en-US" w:eastAsia="zh-CN"/>
              </w:rPr>
              <w:t>7</w:t>
            </w:r>
            <w:r>
              <w:rPr>
                <w:rFonts w:hint="default" w:ascii="Times New Roman" w:hAnsi="Times New Roman" w:eastAsia="宋体" w:cs="Times New Roman"/>
                <w:b/>
                <w:color w:val="auto"/>
                <w:sz w:val="21"/>
                <w:szCs w:val="21"/>
              </w:rPr>
              <w:t>、</w:t>
            </w:r>
            <w:r>
              <w:rPr>
                <w:rFonts w:hint="default" w:ascii="Times New Roman" w:hAnsi="Times New Roman" w:eastAsia="宋体" w:cs="Times New Roman"/>
                <w:b/>
                <w:bCs/>
                <w:color w:val="auto"/>
                <w:sz w:val="21"/>
                <w:szCs w:val="21"/>
              </w:rPr>
              <w:t>与其他环境保护管理要求的相符性分析</w:t>
            </w:r>
          </w:p>
          <w:p w14:paraId="1FBAF975">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w:t>
            </w:r>
            <w:r>
              <w:rPr>
                <w:rFonts w:hint="eastAsia" w:cs="Times New Roman"/>
                <w:b/>
                <w:bCs/>
                <w:color w:val="auto"/>
                <w:sz w:val="21"/>
                <w:szCs w:val="21"/>
                <w:lang w:val="en-US" w:eastAsia="zh-CN"/>
              </w:rPr>
              <w:t>1</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lang w:val="en-US" w:eastAsia="zh-CN"/>
              </w:rPr>
              <w:t>与《</w:t>
            </w:r>
            <w:r>
              <w:rPr>
                <w:rFonts w:hint="default" w:ascii="Times New Roman" w:hAnsi="Times New Roman" w:eastAsia="宋体" w:cs="Times New Roman"/>
                <w:b/>
                <w:bCs/>
                <w:color w:val="auto"/>
                <w:sz w:val="21"/>
                <w:szCs w:val="21"/>
              </w:rPr>
              <w:t>关于印发</w:t>
            </w:r>
            <w:r>
              <w:rPr>
                <w:rFonts w:hint="default" w:ascii="Times New Roman" w:hAnsi="Times New Roman" w:eastAsia="宋体" w:cs="Times New Roman"/>
                <w:b/>
                <w:bCs/>
                <w:color w:val="auto"/>
                <w:sz w:val="21"/>
                <w:szCs w:val="21"/>
                <w:lang w:val="en-US" w:eastAsia="zh-CN"/>
              </w:rPr>
              <w:t>&lt;</w:t>
            </w:r>
            <w:r>
              <w:rPr>
                <w:rFonts w:hint="default" w:ascii="Times New Roman" w:hAnsi="Times New Roman" w:eastAsia="宋体" w:cs="Times New Roman"/>
                <w:b/>
                <w:bCs/>
                <w:color w:val="auto"/>
                <w:sz w:val="21"/>
                <w:szCs w:val="21"/>
              </w:rPr>
              <w:t>深入打好重污染天气消除、臭氧污染防治和柴油货车污染治理攻坚战行动方案</w:t>
            </w:r>
            <w:r>
              <w:rPr>
                <w:rFonts w:hint="default" w:ascii="Times New Roman" w:hAnsi="Times New Roman" w:eastAsia="宋体" w:cs="Times New Roman"/>
                <w:b/>
                <w:bCs/>
                <w:color w:val="auto"/>
                <w:sz w:val="21"/>
                <w:szCs w:val="21"/>
                <w:lang w:val="en-US" w:eastAsia="zh-CN"/>
              </w:rPr>
              <w:t>&gt;</w:t>
            </w:r>
            <w:r>
              <w:rPr>
                <w:rFonts w:hint="default" w:ascii="Times New Roman" w:hAnsi="Times New Roman" w:eastAsia="宋体" w:cs="Times New Roman"/>
                <w:b/>
                <w:bCs/>
                <w:color w:val="auto"/>
                <w:sz w:val="21"/>
                <w:szCs w:val="21"/>
              </w:rPr>
              <w:t>的通知</w:t>
            </w:r>
            <w:r>
              <w:rPr>
                <w:rFonts w:hint="default" w:ascii="Times New Roman" w:hAnsi="Times New Roman" w:eastAsia="宋体" w:cs="Times New Roman"/>
                <w:b/>
                <w:bCs/>
                <w:color w:val="auto"/>
                <w:sz w:val="21"/>
                <w:szCs w:val="21"/>
                <w:lang w:val="en-US" w:eastAsia="zh-CN"/>
              </w:rPr>
              <w:t>》（</w:t>
            </w:r>
            <w:r>
              <w:rPr>
                <w:rFonts w:hint="default" w:ascii="Times New Roman" w:hAnsi="Times New Roman" w:eastAsia="宋体" w:cs="Times New Roman"/>
                <w:b/>
                <w:bCs/>
                <w:color w:val="auto"/>
                <w:sz w:val="21"/>
                <w:szCs w:val="21"/>
              </w:rPr>
              <w:t>环大气〔2022〕68号</w:t>
            </w:r>
            <w:r>
              <w:rPr>
                <w:rFonts w:hint="default" w:ascii="Times New Roman" w:hAnsi="Times New Roman" w:eastAsia="宋体" w:cs="Times New Roman"/>
                <w:b/>
                <w:bCs/>
                <w:color w:val="auto"/>
                <w:sz w:val="21"/>
                <w:szCs w:val="21"/>
                <w:lang w:val="en-US" w:eastAsia="zh-CN"/>
              </w:rPr>
              <w:t>）</w:t>
            </w:r>
            <w:r>
              <w:rPr>
                <w:rFonts w:hint="default" w:ascii="Times New Roman" w:hAnsi="Times New Roman" w:eastAsia="宋体" w:cs="Times New Roman"/>
                <w:b/>
                <w:bCs/>
                <w:color w:val="auto"/>
                <w:sz w:val="21"/>
                <w:szCs w:val="21"/>
              </w:rPr>
              <w:t>相符性分析</w:t>
            </w:r>
          </w:p>
          <w:p w14:paraId="4FA46CBD">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表1-</w:t>
            </w:r>
            <w:r>
              <w:rPr>
                <w:rFonts w:hint="eastAsia" w:cs="Times New Roman"/>
                <w:b/>
                <w:bCs/>
                <w:color w:val="auto"/>
                <w:sz w:val="21"/>
                <w:szCs w:val="21"/>
                <w:lang w:val="en-US" w:eastAsia="zh-CN"/>
              </w:rPr>
              <w:t xml:space="preserve">8 </w:t>
            </w:r>
            <w:r>
              <w:rPr>
                <w:rFonts w:hint="default" w:ascii="Times New Roman" w:hAnsi="Times New Roman" w:cs="Times New Roman"/>
                <w:b/>
                <w:bCs/>
                <w:color w:val="auto"/>
                <w:sz w:val="21"/>
                <w:szCs w:val="21"/>
              </w:rPr>
              <w:t>与</w:t>
            </w:r>
            <w:r>
              <w:rPr>
                <w:rFonts w:hint="default" w:ascii="Times New Roman" w:hAnsi="Times New Roman" w:eastAsia="宋体" w:cs="Times New Roman"/>
                <w:b/>
                <w:bCs/>
                <w:color w:val="auto"/>
                <w:sz w:val="21"/>
                <w:szCs w:val="21"/>
              </w:rPr>
              <w:t>环大气〔2022〕68号</w:t>
            </w:r>
            <w:r>
              <w:rPr>
                <w:rFonts w:hint="default" w:ascii="Times New Roman" w:hAnsi="Times New Roman" w:cs="Times New Roman"/>
                <w:b/>
                <w:bCs/>
                <w:color w:val="auto"/>
                <w:sz w:val="21"/>
                <w:szCs w:val="21"/>
              </w:rPr>
              <w:t>的相符性分析</w:t>
            </w:r>
          </w:p>
          <w:tbl>
            <w:tblPr>
              <w:tblStyle w:val="3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1"/>
              <w:gridCol w:w="3606"/>
              <w:gridCol w:w="3208"/>
              <w:gridCol w:w="1094"/>
            </w:tblGrid>
            <w:tr w14:paraId="3EDBE4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23" w:type="pct"/>
                  <w:gridSpan w:val="2"/>
                  <w:noWrap w:val="0"/>
                  <w:vAlign w:val="center"/>
                </w:tcPr>
                <w:p w14:paraId="3F3CA0F7">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rPr>
                  </w:pPr>
                  <w:r>
                    <w:rPr>
                      <w:rFonts w:hint="eastAsia" w:cs="Times New Roman"/>
                      <w:b/>
                      <w:color w:val="auto"/>
                      <w:sz w:val="21"/>
                      <w:szCs w:val="21"/>
                      <w:lang w:val="en-US" w:eastAsia="zh-CN"/>
                    </w:rPr>
                    <w:t>文件</w:t>
                  </w:r>
                  <w:r>
                    <w:rPr>
                      <w:rFonts w:hint="default" w:ascii="Times New Roman" w:hAnsi="Times New Roman" w:cs="Times New Roman"/>
                      <w:b/>
                      <w:color w:val="auto"/>
                      <w:sz w:val="21"/>
                      <w:szCs w:val="21"/>
                    </w:rPr>
                    <w:t>要求</w:t>
                  </w:r>
                </w:p>
              </w:tc>
              <w:tc>
                <w:tcPr>
                  <w:tcW w:w="1921" w:type="pct"/>
                  <w:noWrap w:val="0"/>
                  <w:vAlign w:val="center"/>
                </w:tcPr>
                <w:p w14:paraId="332409F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color w:val="auto"/>
                      <w:sz w:val="21"/>
                      <w:szCs w:val="21"/>
                    </w:rPr>
                  </w:pPr>
                  <w:r>
                    <w:rPr>
                      <w:rFonts w:hint="default" w:ascii="Times New Roman" w:hAnsi="Times New Roman" w:eastAsia="宋体" w:cs="Times New Roman"/>
                      <w:b/>
                      <w:bCs/>
                      <w:color w:val="auto"/>
                      <w:sz w:val="21"/>
                      <w:szCs w:val="21"/>
                    </w:rPr>
                    <w:t>本项目</w:t>
                  </w:r>
                </w:p>
              </w:tc>
              <w:tc>
                <w:tcPr>
                  <w:tcW w:w="655" w:type="pct"/>
                  <w:noWrap w:val="0"/>
                  <w:vAlign w:val="center"/>
                </w:tcPr>
                <w:p w14:paraId="78DF7B0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color w:val="auto"/>
                      <w:sz w:val="21"/>
                      <w:szCs w:val="21"/>
                    </w:rPr>
                  </w:pPr>
                  <w:r>
                    <w:rPr>
                      <w:rFonts w:hint="default" w:ascii="Times New Roman" w:hAnsi="Times New Roman" w:eastAsia="宋体" w:cs="Times New Roman"/>
                      <w:b/>
                      <w:bCs/>
                      <w:color w:val="auto"/>
                      <w:sz w:val="21"/>
                      <w:szCs w:val="21"/>
                      <w:lang w:val="en-US" w:eastAsia="zh-CN"/>
                    </w:rPr>
                    <w:t>相符性</w:t>
                  </w:r>
                </w:p>
              </w:tc>
            </w:tr>
            <w:tr w14:paraId="4D6FA7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vMerge w:val="restart"/>
                  <w:noWrap w:val="0"/>
                  <w:vAlign w:val="center"/>
                </w:tcPr>
                <w:p w14:paraId="06680188">
                  <w:pPr>
                    <w:keepNext w:val="0"/>
                    <w:keepLines w:val="0"/>
                    <w:widowControl/>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推进重点工程</w:t>
                  </w:r>
                </w:p>
              </w:tc>
              <w:tc>
                <w:tcPr>
                  <w:tcW w:w="2159" w:type="pct"/>
                  <w:noWrap w:val="0"/>
                  <w:vAlign w:val="center"/>
                </w:tcPr>
                <w:p w14:paraId="48D4ACC2">
                  <w:pPr>
                    <w:keepNext w:val="0"/>
                    <w:keepLines w:val="0"/>
                    <w:widowControl/>
                    <w:suppressLineNumbers w:val="0"/>
                    <w:adjustRightInd w:val="0"/>
                    <w:snapToGrid w:val="0"/>
                    <w:spacing w:before="0" w:beforeAutospacing="0" w:after="0" w:afterAutospacing="0"/>
                    <w:ind w:left="0" w:right="0" w:firstLine="420" w:firstLineChars="200"/>
                    <w:jc w:val="both"/>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促进产业绿色转型升级，坚决遏制高耗能、高排放、低水平项目盲目发展，开展传统产业集群升级改造。推动能源清洁低碳转型，开展分散、低效煤炭综合治理。</w:t>
                  </w:r>
                </w:p>
              </w:tc>
              <w:tc>
                <w:tcPr>
                  <w:tcW w:w="1921" w:type="pct"/>
                  <w:noWrap w:val="0"/>
                  <w:vAlign w:val="center"/>
                </w:tcPr>
                <w:p w14:paraId="1FA8CE4E">
                  <w:pPr>
                    <w:keepNext w:val="0"/>
                    <w:keepLines w:val="0"/>
                    <w:widowControl/>
                    <w:suppressLineNumbers w:val="0"/>
                    <w:adjustRightInd w:val="0"/>
                    <w:snapToGrid w:val="0"/>
                    <w:spacing w:before="0" w:beforeAutospacing="0" w:after="0" w:afterAutospacing="0"/>
                    <w:ind w:left="0" w:right="0" w:firstLine="420" w:firstLineChars="200"/>
                    <w:jc w:val="both"/>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本项目</w:t>
                  </w:r>
                  <w:r>
                    <w:rPr>
                      <w:rFonts w:hint="default" w:ascii="Times New Roman" w:hAnsi="Times New Roman" w:eastAsia="宋体" w:cs="Times New Roman"/>
                      <w:bCs/>
                      <w:color w:val="auto"/>
                      <w:sz w:val="21"/>
                      <w:szCs w:val="21"/>
                      <w:lang w:val="en-US" w:eastAsia="zh-CN"/>
                    </w:rPr>
                    <w:t>采用清洁能源，不属于</w:t>
                  </w:r>
                  <w:r>
                    <w:rPr>
                      <w:rFonts w:hint="default" w:ascii="Times New Roman" w:hAnsi="Times New Roman" w:eastAsia="宋体" w:cs="Times New Roman"/>
                      <w:bCs/>
                      <w:color w:val="auto"/>
                      <w:sz w:val="21"/>
                      <w:szCs w:val="21"/>
                    </w:rPr>
                    <w:t>高耗能、高排放、低水平</w:t>
                  </w:r>
                  <w:r>
                    <w:rPr>
                      <w:rFonts w:hint="default" w:ascii="Times New Roman" w:hAnsi="Times New Roman" w:eastAsia="宋体" w:cs="Times New Roman"/>
                      <w:bCs/>
                      <w:color w:val="auto"/>
                      <w:sz w:val="21"/>
                      <w:szCs w:val="21"/>
                      <w:lang w:val="en-US" w:eastAsia="zh-CN"/>
                    </w:rPr>
                    <w:t>项目</w:t>
                  </w:r>
                  <w:r>
                    <w:rPr>
                      <w:rFonts w:hint="default" w:ascii="Times New Roman" w:hAnsi="Times New Roman" w:eastAsia="宋体" w:cs="Times New Roman"/>
                      <w:bCs/>
                      <w:color w:val="auto"/>
                      <w:sz w:val="21"/>
                      <w:szCs w:val="21"/>
                    </w:rPr>
                    <w:t>。</w:t>
                  </w:r>
                </w:p>
              </w:tc>
              <w:tc>
                <w:tcPr>
                  <w:tcW w:w="655" w:type="pct"/>
                  <w:noWrap w:val="0"/>
                  <w:vAlign w:val="center"/>
                </w:tcPr>
                <w:p w14:paraId="4DFBD2CD">
                  <w:pPr>
                    <w:keepNext w:val="0"/>
                    <w:keepLines w:val="0"/>
                    <w:widowControl/>
                    <w:suppressLineNumbers w:val="0"/>
                    <w:adjustRightInd w:val="0"/>
                    <w:snapToGrid w:val="0"/>
                    <w:spacing w:before="0" w:beforeAutospacing="0" w:after="0" w:afterAutospacing="0"/>
                    <w:ind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相符</w:t>
                  </w:r>
                </w:p>
              </w:tc>
            </w:tr>
            <w:tr w14:paraId="491E2A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vMerge w:val="continue"/>
                  <w:noWrap w:val="0"/>
                  <w:vAlign w:val="center"/>
                </w:tcPr>
                <w:p w14:paraId="282BA9EB">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color w:val="auto"/>
                      <w:sz w:val="21"/>
                      <w:szCs w:val="21"/>
                    </w:rPr>
                  </w:pPr>
                </w:p>
              </w:tc>
              <w:tc>
                <w:tcPr>
                  <w:tcW w:w="2159" w:type="pct"/>
                  <w:noWrap w:val="0"/>
                  <w:vAlign w:val="center"/>
                </w:tcPr>
                <w:p w14:paraId="70E9C6D0">
                  <w:pPr>
                    <w:keepNext w:val="0"/>
                    <w:keepLines w:val="0"/>
                    <w:widowControl/>
                    <w:suppressLineNumbers w:val="0"/>
                    <w:adjustRightInd w:val="0"/>
                    <w:snapToGrid w:val="0"/>
                    <w:spacing w:before="0" w:beforeAutospacing="0" w:after="0" w:afterAutospacing="0"/>
                    <w:ind w:left="0" w:right="0" w:firstLine="420" w:firstLineChars="200"/>
                    <w:jc w:val="both"/>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强化挥发性有机物（VOCs）、氮氧化物等多污染物协同减排，以石化、化工、涂装、制药、包装印刷和油品储运销等为重点，加强VOCs源头、过程、末端全流程治理</w:t>
                  </w:r>
                  <w:r>
                    <w:rPr>
                      <w:rFonts w:hint="default" w:ascii="Times New Roman" w:hAnsi="Times New Roman" w:eastAsia="宋体" w:cs="Times New Roman"/>
                      <w:bCs/>
                      <w:color w:val="auto"/>
                      <w:sz w:val="21"/>
                      <w:szCs w:val="21"/>
                      <w:lang w:eastAsia="zh-CN"/>
                    </w:rPr>
                    <w:t>。</w:t>
                  </w:r>
                </w:p>
              </w:tc>
              <w:tc>
                <w:tcPr>
                  <w:tcW w:w="1921" w:type="pct"/>
                  <w:noWrap w:val="0"/>
                  <w:vAlign w:val="center"/>
                </w:tcPr>
                <w:p w14:paraId="0D8A20B9">
                  <w:pPr>
                    <w:keepNext w:val="0"/>
                    <w:keepLines w:val="0"/>
                    <w:widowControl/>
                    <w:suppressLineNumbers w:val="0"/>
                    <w:adjustRightInd w:val="0"/>
                    <w:snapToGrid w:val="0"/>
                    <w:spacing w:before="0" w:beforeAutospacing="0" w:after="0" w:afterAutospacing="0"/>
                    <w:ind w:left="0" w:right="0" w:firstLine="420" w:firstLineChars="200"/>
                    <w:jc w:val="both"/>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本项目</w:t>
                  </w:r>
                  <w:r>
                    <w:rPr>
                      <w:rFonts w:hint="eastAsia" w:cs="Times New Roman"/>
                      <w:bCs/>
                      <w:color w:val="auto"/>
                      <w:sz w:val="21"/>
                      <w:szCs w:val="21"/>
                      <w:lang w:val="en-US" w:eastAsia="zh-CN"/>
                    </w:rPr>
                    <w:t>有机废气</w:t>
                  </w:r>
                  <w:r>
                    <w:rPr>
                      <w:rFonts w:hint="eastAsia" w:ascii="Times New Roman" w:hAnsi="Times New Roman" w:eastAsia="宋体" w:cs="Times New Roman"/>
                      <w:bCs/>
                      <w:color w:val="auto"/>
                      <w:sz w:val="21"/>
                      <w:szCs w:val="21"/>
                      <w:lang w:val="en-US" w:eastAsia="zh-CN"/>
                    </w:rPr>
                    <w:t>经集气罩收集后，统一送二级活性炭吸附装置处理</w:t>
                  </w:r>
                </w:p>
              </w:tc>
              <w:tc>
                <w:tcPr>
                  <w:tcW w:w="655" w:type="pct"/>
                  <w:noWrap w:val="0"/>
                  <w:vAlign w:val="center"/>
                </w:tcPr>
                <w:p w14:paraId="71C09AB3">
                  <w:pPr>
                    <w:keepNext w:val="0"/>
                    <w:keepLines w:val="0"/>
                    <w:widowControl/>
                    <w:suppressLineNumbers w:val="0"/>
                    <w:adjustRightInd w:val="0"/>
                    <w:snapToGrid w:val="0"/>
                    <w:spacing w:before="0" w:beforeAutospacing="0" w:after="0" w:afterAutospacing="0"/>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相符</w:t>
                  </w:r>
                </w:p>
              </w:tc>
            </w:tr>
          </w:tbl>
          <w:p w14:paraId="25E2D54C">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cs="Times New Roman"/>
                <w:b/>
                <w:bCs/>
                <w:color w:val="auto"/>
                <w:sz w:val="21"/>
                <w:szCs w:val="21"/>
                <w:lang w:val="en-US" w:eastAsia="zh-CN"/>
              </w:rPr>
              <w:t>（</w:t>
            </w:r>
            <w:r>
              <w:rPr>
                <w:rFonts w:hint="eastAsia" w:cs="Times New Roman"/>
                <w:b/>
                <w:bCs/>
                <w:color w:val="auto"/>
                <w:sz w:val="21"/>
                <w:szCs w:val="21"/>
                <w:lang w:val="en-US" w:eastAsia="zh-CN"/>
              </w:rPr>
              <w:t>2</w:t>
            </w:r>
            <w:r>
              <w:rPr>
                <w:rFonts w:hint="default" w:ascii="Times New Roman" w:hAnsi="Times New Roman" w:cs="Times New Roman"/>
                <w:b/>
                <w:bCs/>
                <w:color w:val="auto"/>
                <w:sz w:val="21"/>
                <w:szCs w:val="21"/>
                <w:lang w:val="en-US" w:eastAsia="zh-CN"/>
              </w:rPr>
              <w:t>）</w:t>
            </w:r>
            <w:r>
              <w:rPr>
                <w:rFonts w:hint="default" w:ascii="Times New Roman" w:hAnsi="Times New Roman" w:eastAsia="宋体" w:cs="Times New Roman"/>
                <w:b/>
                <w:bCs/>
                <w:color w:val="auto"/>
                <w:sz w:val="21"/>
                <w:szCs w:val="21"/>
                <w:lang w:val="en-US" w:eastAsia="zh-CN"/>
              </w:rPr>
              <w:t>与《</w:t>
            </w:r>
            <w:r>
              <w:rPr>
                <w:rFonts w:hint="default" w:ascii="Times New Roman" w:hAnsi="Times New Roman" w:cs="Times New Roman"/>
                <w:b/>
                <w:bCs/>
                <w:color w:val="auto"/>
                <w:sz w:val="21"/>
                <w:szCs w:val="21"/>
                <w:lang w:val="en-US" w:eastAsia="zh-CN"/>
              </w:rPr>
              <w:t>江苏省</w:t>
            </w:r>
            <w:r>
              <w:rPr>
                <w:rFonts w:hint="default" w:ascii="Times New Roman" w:hAnsi="Times New Roman" w:eastAsia="宋体" w:cs="Times New Roman"/>
                <w:b/>
                <w:bCs/>
                <w:color w:val="auto"/>
                <w:sz w:val="21"/>
                <w:szCs w:val="21"/>
              </w:rPr>
              <w:t>深入打好重污染天气消除、臭氧污染防治和柴油货车污染治理攻坚战行动</w:t>
            </w:r>
            <w:r>
              <w:rPr>
                <w:rFonts w:hint="default" w:ascii="Times New Roman" w:hAnsi="Times New Roman" w:cs="Times New Roman"/>
                <w:b/>
                <w:bCs/>
                <w:color w:val="auto"/>
                <w:sz w:val="21"/>
                <w:szCs w:val="21"/>
                <w:lang w:eastAsia="zh-CN"/>
              </w:rPr>
              <w:t>实施</w:t>
            </w:r>
            <w:r>
              <w:rPr>
                <w:rFonts w:hint="default" w:ascii="Times New Roman" w:hAnsi="Times New Roman" w:eastAsia="宋体" w:cs="Times New Roman"/>
                <w:b/>
                <w:bCs/>
                <w:color w:val="auto"/>
                <w:sz w:val="21"/>
                <w:szCs w:val="21"/>
              </w:rPr>
              <w:t>方案</w:t>
            </w:r>
            <w:r>
              <w:rPr>
                <w:rFonts w:hint="default" w:ascii="Times New Roman" w:hAnsi="Times New Roman" w:eastAsia="宋体" w:cs="Times New Roman"/>
                <w:b/>
                <w:bCs/>
                <w:color w:val="auto"/>
                <w:sz w:val="21"/>
                <w:szCs w:val="21"/>
                <w:lang w:val="en-US" w:eastAsia="zh-CN"/>
              </w:rPr>
              <w:t>》（</w:t>
            </w:r>
            <w:r>
              <w:rPr>
                <w:rFonts w:hint="default" w:ascii="Times New Roman" w:hAnsi="Times New Roman" w:eastAsia="宋体" w:cs="Times New Roman"/>
                <w:b/>
                <w:bCs/>
                <w:color w:val="auto"/>
                <w:sz w:val="21"/>
                <w:szCs w:val="21"/>
              </w:rPr>
              <w:t>苏环办</w:t>
            </w:r>
            <w:r>
              <w:rPr>
                <w:rFonts w:hint="eastAsia" w:cs="Times New Roman"/>
                <w:b/>
                <w:bCs/>
                <w:color w:val="auto"/>
                <w:sz w:val="21"/>
                <w:szCs w:val="21"/>
                <w:lang w:eastAsia="zh-CN"/>
              </w:rPr>
              <w:t>〔2023〕35号</w:t>
            </w:r>
            <w:r>
              <w:rPr>
                <w:rFonts w:hint="default" w:ascii="Times New Roman" w:hAnsi="Times New Roman" w:eastAsia="宋体" w:cs="Times New Roman"/>
                <w:b/>
                <w:bCs/>
                <w:color w:val="auto"/>
                <w:sz w:val="21"/>
                <w:szCs w:val="21"/>
              </w:rPr>
              <w:t>文</w:t>
            </w:r>
            <w:r>
              <w:rPr>
                <w:rFonts w:hint="default" w:ascii="Times New Roman" w:hAnsi="Times New Roman" w:eastAsia="宋体" w:cs="Times New Roman"/>
                <w:b/>
                <w:bCs/>
                <w:color w:val="auto"/>
                <w:sz w:val="21"/>
                <w:szCs w:val="21"/>
                <w:lang w:val="en-US" w:eastAsia="zh-CN"/>
              </w:rPr>
              <w:t>）</w:t>
            </w:r>
            <w:r>
              <w:rPr>
                <w:rFonts w:hint="default" w:ascii="Times New Roman" w:hAnsi="Times New Roman" w:eastAsia="宋体" w:cs="Times New Roman"/>
                <w:b/>
                <w:bCs/>
                <w:color w:val="auto"/>
                <w:sz w:val="21"/>
                <w:szCs w:val="21"/>
              </w:rPr>
              <w:t>相符性分析</w:t>
            </w:r>
          </w:p>
          <w:p w14:paraId="07F1ECA6">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 xml:space="preserve">9 </w:t>
            </w:r>
            <w:r>
              <w:rPr>
                <w:rFonts w:hint="default" w:ascii="Times New Roman" w:hAnsi="Times New Roman" w:eastAsia="宋体" w:cs="Times New Roman"/>
                <w:b/>
                <w:bCs/>
                <w:color w:val="auto"/>
                <w:sz w:val="21"/>
                <w:szCs w:val="21"/>
              </w:rPr>
              <w:t>与苏环办</w:t>
            </w:r>
            <w:r>
              <w:rPr>
                <w:rFonts w:hint="eastAsia" w:cs="Times New Roman"/>
                <w:b/>
                <w:bCs/>
                <w:color w:val="auto"/>
                <w:sz w:val="21"/>
                <w:szCs w:val="21"/>
                <w:lang w:eastAsia="zh-CN"/>
              </w:rPr>
              <w:t>〔2023〕35号</w:t>
            </w:r>
            <w:r>
              <w:rPr>
                <w:rFonts w:hint="default" w:ascii="Times New Roman" w:hAnsi="Times New Roman" w:cs="Times New Roman"/>
                <w:b/>
                <w:bCs/>
                <w:color w:val="auto"/>
                <w:sz w:val="21"/>
                <w:szCs w:val="21"/>
                <w:lang w:eastAsia="zh-CN"/>
              </w:rPr>
              <w:t>文</w:t>
            </w:r>
            <w:r>
              <w:rPr>
                <w:rFonts w:hint="default" w:ascii="Times New Roman" w:hAnsi="Times New Roman" w:eastAsia="宋体" w:cs="Times New Roman"/>
                <w:b/>
                <w:bCs/>
                <w:color w:val="auto"/>
                <w:sz w:val="21"/>
                <w:szCs w:val="21"/>
              </w:rPr>
              <w:t>的相符性分析</w:t>
            </w:r>
          </w:p>
          <w:tbl>
            <w:tblPr>
              <w:tblStyle w:val="3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71"/>
              <w:gridCol w:w="2442"/>
              <w:gridCol w:w="1136"/>
            </w:tblGrid>
            <w:tr w14:paraId="519F85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57" w:type="pct"/>
                  <w:noWrap w:val="0"/>
                  <w:vAlign w:val="center"/>
                </w:tcPr>
                <w:p w14:paraId="27786DA7">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eastAsia" w:cs="Times New Roman"/>
                      <w:b/>
                      <w:color w:val="auto"/>
                      <w:sz w:val="21"/>
                      <w:szCs w:val="21"/>
                      <w:lang w:val="en-US" w:eastAsia="zh-CN"/>
                    </w:rPr>
                    <w:t>文件</w:t>
                  </w:r>
                  <w:r>
                    <w:rPr>
                      <w:rFonts w:hint="default" w:ascii="Times New Roman" w:hAnsi="Times New Roman" w:cs="Times New Roman"/>
                      <w:b/>
                      <w:color w:val="auto"/>
                      <w:sz w:val="21"/>
                      <w:szCs w:val="21"/>
                    </w:rPr>
                    <w:t>要求</w:t>
                  </w:r>
                </w:p>
              </w:tc>
              <w:tc>
                <w:tcPr>
                  <w:tcW w:w="1462" w:type="pct"/>
                  <w:noWrap w:val="0"/>
                  <w:vAlign w:val="center"/>
                </w:tcPr>
                <w:p w14:paraId="7E1E79AC">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rPr>
                    <w:t>本项目</w:t>
                  </w:r>
                </w:p>
              </w:tc>
              <w:tc>
                <w:tcPr>
                  <w:tcW w:w="680" w:type="pct"/>
                  <w:noWrap w:val="0"/>
                  <w:vAlign w:val="center"/>
                </w:tcPr>
                <w:p w14:paraId="50A20C75">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lang w:val="en-US" w:eastAsia="zh-CN"/>
                    </w:rPr>
                    <w:t>相符性</w:t>
                  </w:r>
                </w:p>
              </w:tc>
            </w:tr>
            <w:tr w14:paraId="147BB3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2" w:hRule="atLeast"/>
                <w:jc w:val="center"/>
              </w:trPr>
              <w:tc>
                <w:tcPr>
                  <w:tcW w:w="2857" w:type="pct"/>
                  <w:noWrap w:val="0"/>
                  <w:vAlign w:val="center"/>
                </w:tcPr>
                <w:p w14:paraId="089900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right="0"/>
                    <w:jc w:val="both"/>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大气减污降碳协同增效行动。大力推动产业转型升级和布局调整优化。坚决遏制高耗能、高排放、低水平项目盲目发展，严格落实国家和省产业规划、产业政策、“三线一单”、规划环评，以及</w:t>
                  </w:r>
                </w:p>
                <w:p w14:paraId="666DB1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right="0"/>
                    <w:jc w:val="both"/>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val="en-US" w:eastAsia="zh-CN"/>
                    </w:rPr>
                    <w:t>产能置换、煤炭消费减量替代、污染物排放总量控制、区域污染物削减、碳排放达峰目标等要求，坚决叫停不符合要求的高耗能、高排放、低水平项目。……严格依法依规淘汰落后产能。强化法规标准等约束，利用能耗、环保、安全、质量、技术等综合标准，依法依规淘汰落后产能、落后工艺、落后产品，持续推进化工行业安全环保整治提升，大幅提升行业整体绿色发展水平</w:t>
                  </w:r>
                </w:p>
              </w:tc>
              <w:tc>
                <w:tcPr>
                  <w:tcW w:w="1462" w:type="pct"/>
                  <w:noWrap w:val="0"/>
                  <w:vAlign w:val="center"/>
                </w:tcPr>
                <w:p w14:paraId="792038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right="0"/>
                    <w:jc w:val="both"/>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本项目属于</w:t>
                  </w:r>
                  <w:r>
                    <w:rPr>
                      <w:rFonts w:hint="eastAsia" w:cs="Times New Roman"/>
                      <w:color w:val="auto"/>
                      <w:kern w:val="2"/>
                      <w:sz w:val="21"/>
                      <w:szCs w:val="21"/>
                      <w:lang w:val="en-US" w:eastAsia="zh-CN" w:bidi="ar-SA"/>
                    </w:rPr>
                    <w:t>C2921塑料薄膜制造</w:t>
                  </w:r>
                  <w:r>
                    <w:rPr>
                      <w:rFonts w:hint="default" w:ascii="Times New Roman" w:hAnsi="Times New Roman" w:eastAsia="宋体" w:cs="Times New Roman"/>
                      <w:bCs/>
                      <w:color w:val="auto"/>
                      <w:sz w:val="21"/>
                      <w:szCs w:val="21"/>
                      <w:lang w:val="en-US" w:eastAsia="zh-CN"/>
                    </w:rPr>
                    <w:t>，不属于高耗能、高排放、低水平项目。本项目产品为</w:t>
                  </w:r>
                  <w:r>
                    <w:rPr>
                      <w:rFonts w:hint="eastAsia" w:cs="Times New Roman"/>
                      <w:bCs/>
                      <w:color w:val="auto"/>
                      <w:sz w:val="21"/>
                      <w:szCs w:val="21"/>
                      <w:lang w:val="en-US" w:eastAsia="zh-CN"/>
                    </w:rPr>
                    <w:t>塑料薄膜</w:t>
                  </w:r>
                  <w:r>
                    <w:rPr>
                      <w:rFonts w:hint="default" w:ascii="Times New Roman" w:hAnsi="Times New Roman" w:eastAsia="宋体" w:cs="Times New Roman"/>
                      <w:bCs/>
                      <w:color w:val="auto"/>
                      <w:sz w:val="21"/>
                      <w:szCs w:val="21"/>
                      <w:lang w:val="en-US" w:eastAsia="zh-CN"/>
                    </w:rPr>
                    <w:t>，不涉及落后工艺、落后产品。</w:t>
                  </w:r>
                </w:p>
              </w:tc>
              <w:tc>
                <w:tcPr>
                  <w:tcW w:w="680" w:type="pct"/>
                  <w:noWrap w:val="0"/>
                  <w:vAlign w:val="center"/>
                </w:tcPr>
                <w:p w14:paraId="525013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相符</w:t>
                  </w:r>
                </w:p>
              </w:tc>
            </w:tr>
          </w:tbl>
          <w:p w14:paraId="75A4B4DD">
            <w:pPr>
              <w:pStyle w:val="25"/>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422" w:firstLineChars="200"/>
              <w:jc w:val="left"/>
              <w:textAlignment w:val="auto"/>
              <w:rPr>
                <w:rFonts w:hint="eastAsia" w:ascii="Times New Roman" w:hAnsi="Times New Roman" w:cs="Times New Roman"/>
                <w:b/>
                <w:bCs/>
                <w:color w:val="auto"/>
                <w:sz w:val="21"/>
                <w:szCs w:val="21"/>
                <w:lang w:val="en-US" w:eastAsia="zh-CN"/>
              </w:rPr>
            </w:pPr>
            <w:r>
              <w:rPr>
                <w:rFonts w:hint="default" w:ascii="Times New Roman" w:hAnsi="Times New Roman" w:eastAsia="宋体" w:cs="Times New Roman"/>
                <w:b/>
                <w:bCs/>
                <w:color w:val="auto"/>
                <w:kern w:val="2"/>
                <w:sz w:val="21"/>
                <w:szCs w:val="21"/>
                <w:lang w:val="en-US" w:eastAsia="zh-CN" w:bidi="ar-SA"/>
              </w:rPr>
              <w:t>与</w:t>
            </w:r>
            <w:r>
              <w:rPr>
                <w:rFonts w:hint="eastAsia" w:ascii="Times New Roman" w:hAnsi="Times New Roman" w:eastAsia="宋体" w:cs="Times New Roman"/>
                <w:b/>
                <w:bCs/>
                <w:color w:val="auto"/>
                <w:kern w:val="2"/>
                <w:sz w:val="21"/>
                <w:szCs w:val="21"/>
                <w:lang w:val="en-US" w:eastAsia="zh-CN" w:bidi="ar-SA"/>
              </w:rPr>
              <w:t>《省政府关于印发江苏省空气质量持续改善行动计划实施方案的通知》（</w:t>
            </w:r>
            <w:r>
              <w:rPr>
                <w:rFonts w:hint="default" w:ascii="Times New Roman" w:hAnsi="Times New Roman" w:eastAsia="宋体" w:cs="Times New Roman"/>
                <w:b/>
                <w:bCs/>
                <w:color w:val="auto"/>
                <w:kern w:val="2"/>
                <w:sz w:val="21"/>
                <w:szCs w:val="21"/>
                <w:lang w:val="en-US" w:eastAsia="zh-CN" w:bidi="ar-SA"/>
              </w:rPr>
              <w:t>苏政发〔2024〕53号</w:t>
            </w:r>
            <w:r>
              <w:rPr>
                <w:rFonts w:hint="eastAsia" w:ascii="Times New Roman" w:hAnsi="Times New Roman" w:eastAsia="宋体" w:cs="Times New Roman"/>
                <w:b/>
                <w:bCs/>
                <w:color w:val="auto"/>
                <w:kern w:val="2"/>
                <w:sz w:val="21"/>
                <w:szCs w:val="21"/>
                <w:lang w:val="en-US" w:eastAsia="zh-CN" w:bidi="ar-SA"/>
              </w:rPr>
              <w:t>）</w:t>
            </w:r>
            <w:r>
              <w:rPr>
                <w:rFonts w:hint="default" w:ascii="Times New Roman" w:hAnsi="Times New Roman" w:eastAsia="宋体" w:cs="Times New Roman"/>
                <w:b/>
                <w:bCs/>
                <w:color w:val="auto"/>
                <w:kern w:val="2"/>
                <w:sz w:val="21"/>
                <w:szCs w:val="21"/>
                <w:lang w:val="en-US" w:eastAsia="zh-CN" w:bidi="ar-SA"/>
              </w:rPr>
              <w:t>的对照分析</w:t>
            </w:r>
          </w:p>
          <w:p w14:paraId="20576FFC">
            <w:pPr>
              <w:pStyle w:val="2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right="0" w:right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SA"/>
              </w:rPr>
              <w:t>表1-</w:t>
            </w:r>
            <w:r>
              <w:rPr>
                <w:rFonts w:hint="eastAsia" w:cs="Times New Roman"/>
                <w:b/>
                <w:bCs/>
                <w:color w:val="auto"/>
                <w:kern w:val="0"/>
                <w:sz w:val="21"/>
                <w:szCs w:val="21"/>
                <w:lang w:val="en-US" w:eastAsia="zh-CN" w:bidi="ar-SA"/>
              </w:rPr>
              <w:t>10</w:t>
            </w:r>
            <w:r>
              <w:rPr>
                <w:rFonts w:hint="default" w:ascii="Times New Roman" w:hAnsi="Times New Roman" w:eastAsia="宋体" w:cs="Times New Roman"/>
                <w:b/>
                <w:bCs/>
                <w:color w:val="auto"/>
                <w:kern w:val="0"/>
                <w:sz w:val="21"/>
                <w:szCs w:val="21"/>
                <w:lang w:val="en-US" w:eastAsia="zh-CN" w:bidi="ar-SA"/>
              </w:rPr>
              <w:t>与苏政发〔2024〕53号</w:t>
            </w:r>
            <w:r>
              <w:rPr>
                <w:rFonts w:hint="eastAsia" w:ascii="Times New Roman" w:hAnsi="Times New Roman" w:eastAsia="宋体" w:cs="Times New Roman"/>
                <w:b/>
                <w:bCs/>
                <w:color w:val="auto"/>
                <w:kern w:val="0"/>
                <w:sz w:val="21"/>
                <w:szCs w:val="21"/>
                <w:lang w:val="en-US" w:eastAsia="zh-CN" w:bidi="ar-SA"/>
              </w:rPr>
              <w:t>文</w:t>
            </w:r>
            <w:r>
              <w:rPr>
                <w:rFonts w:hint="default" w:ascii="Times New Roman" w:hAnsi="Times New Roman" w:eastAsia="宋体" w:cs="Times New Roman"/>
                <w:b/>
                <w:bCs/>
                <w:color w:val="auto"/>
                <w:kern w:val="0"/>
                <w:sz w:val="21"/>
                <w:szCs w:val="21"/>
                <w:lang w:val="en-US" w:eastAsia="zh-CN" w:bidi="ar-SA"/>
              </w:rPr>
              <w:t>相符性分析</w:t>
            </w:r>
          </w:p>
          <w:tbl>
            <w:tblPr>
              <w:tblStyle w:val="3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933"/>
              <w:gridCol w:w="2701"/>
              <w:gridCol w:w="715"/>
            </w:tblGrid>
            <w:tr w14:paraId="3B03BC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953" w:type="pct"/>
                  <w:noWrap w:val="0"/>
                  <w:tcMar>
                    <w:top w:w="0" w:type="dxa"/>
                    <w:left w:w="28" w:type="dxa"/>
                    <w:bottom w:w="0" w:type="dxa"/>
                    <w:right w:w="28" w:type="dxa"/>
                  </w:tcMar>
                  <w:vAlign w:val="center"/>
                </w:tcPr>
                <w:p w14:paraId="109BD572">
                  <w:pPr>
                    <w:pStyle w:val="9"/>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bCs/>
                      <w:color w:val="auto"/>
                      <w:sz w:val="21"/>
                      <w:szCs w:val="21"/>
                    </w:rPr>
                    <w:t>文件要求</w:t>
                  </w:r>
                </w:p>
              </w:tc>
              <w:tc>
                <w:tcPr>
                  <w:tcW w:w="1617" w:type="pct"/>
                  <w:noWrap w:val="0"/>
                  <w:tcMar>
                    <w:top w:w="0" w:type="dxa"/>
                    <w:left w:w="28" w:type="dxa"/>
                    <w:bottom w:w="0" w:type="dxa"/>
                    <w:right w:w="28" w:type="dxa"/>
                  </w:tcMar>
                  <w:vAlign w:val="center"/>
                </w:tcPr>
                <w:p w14:paraId="0F24F486">
                  <w:pPr>
                    <w:pStyle w:val="9"/>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bCs/>
                      <w:color w:val="auto"/>
                      <w:sz w:val="21"/>
                      <w:szCs w:val="21"/>
                    </w:rPr>
                    <w:t>本项目</w:t>
                  </w:r>
                </w:p>
              </w:tc>
              <w:tc>
                <w:tcPr>
                  <w:tcW w:w="428" w:type="pct"/>
                  <w:noWrap w:val="0"/>
                  <w:tcMar>
                    <w:top w:w="0" w:type="dxa"/>
                    <w:left w:w="28" w:type="dxa"/>
                    <w:bottom w:w="0" w:type="dxa"/>
                    <w:right w:w="28" w:type="dxa"/>
                  </w:tcMar>
                  <w:vAlign w:val="center"/>
                </w:tcPr>
                <w:p w14:paraId="1A51C1C5">
                  <w:pPr>
                    <w:pStyle w:val="9"/>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color w:val="auto"/>
                      <w:sz w:val="21"/>
                      <w:szCs w:val="21"/>
                      <w:lang w:val="en-US" w:eastAsia="zh-CN"/>
                    </w:rPr>
                    <w:t>相符性</w:t>
                  </w:r>
                </w:p>
              </w:tc>
            </w:tr>
            <w:tr w14:paraId="2C1437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953" w:type="pct"/>
                  <w:noWrap w:val="0"/>
                  <w:tcMar>
                    <w:top w:w="0" w:type="dxa"/>
                    <w:left w:w="28" w:type="dxa"/>
                    <w:bottom w:w="0" w:type="dxa"/>
                    <w:right w:w="28" w:type="dxa"/>
                  </w:tcMar>
                  <w:vAlign w:val="center"/>
                </w:tcPr>
                <w:p w14:paraId="6E67C65C">
                  <w:pPr>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一）坚决遏制高耗能、高排放、低水平项目盲目上马。研究制定“两高”项目管理目录。严禁核准或备案钢铁（炼钢、炼铁）、焦化、电解铝、水泥（熟料）、平板玻璃（不含光伏压延玻璃）和炼化（纳入国家产业规划除外）等行业新增产能的项目。到2025年，短流程炼钢产量占比力争达20%以上。</w:t>
                  </w:r>
                </w:p>
              </w:tc>
              <w:tc>
                <w:tcPr>
                  <w:tcW w:w="1617" w:type="pct"/>
                  <w:noWrap w:val="0"/>
                  <w:tcMar>
                    <w:top w:w="0" w:type="dxa"/>
                    <w:left w:w="28" w:type="dxa"/>
                    <w:bottom w:w="0" w:type="dxa"/>
                    <w:right w:w="28" w:type="dxa"/>
                  </w:tcMar>
                  <w:vAlign w:val="center"/>
                </w:tcPr>
                <w:p w14:paraId="18ABAABC">
                  <w:pPr>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本项目为</w:t>
                  </w:r>
                  <w:r>
                    <w:rPr>
                      <w:rFonts w:hint="eastAsia" w:cs="Times New Roman"/>
                      <w:color w:val="auto"/>
                      <w:kern w:val="2"/>
                      <w:sz w:val="21"/>
                      <w:szCs w:val="21"/>
                      <w:lang w:val="en-US" w:eastAsia="zh-CN" w:bidi="ar-SA"/>
                    </w:rPr>
                    <w:t>C2921塑料薄膜制造</w:t>
                  </w:r>
                  <w:r>
                    <w:rPr>
                      <w:rFonts w:hint="default" w:ascii="Times New Roman" w:hAnsi="Times New Roman" w:eastAsia="宋体" w:cs="Times New Roman"/>
                      <w:b w:val="0"/>
                      <w:bCs w:val="0"/>
                      <w:color w:val="auto"/>
                      <w:kern w:val="0"/>
                      <w:sz w:val="21"/>
                      <w:szCs w:val="21"/>
                      <w:vertAlign w:val="baseline"/>
                      <w:lang w:val="en-US" w:eastAsia="zh-CN" w:bidi="ar-SA"/>
                    </w:rPr>
                    <w:t>，不属于</w:t>
                  </w:r>
                  <w:r>
                    <w:rPr>
                      <w:rFonts w:hint="eastAsia" w:cs="Times New Roman"/>
                      <w:b w:val="0"/>
                      <w:bCs w:val="0"/>
                      <w:color w:val="auto"/>
                      <w:kern w:val="0"/>
                      <w:sz w:val="21"/>
                      <w:szCs w:val="21"/>
                      <w:vertAlign w:val="baseline"/>
                      <w:lang w:val="en-US" w:eastAsia="zh-CN" w:bidi="ar-SA"/>
                    </w:rPr>
                    <w:t>“</w:t>
                  </w:r>
                  <w:r>
                    <w:rPr>
                      <w:rFonts w:hint="default" w:ascii="Times New Roman" w:hAnsi="Times New Roman" w:eastAsia="宋体" w:cs="Times New Roman"/>
                      <w:b w:val="0"/>
                      <w:bCs w:val="0"/>
                      <w:color w:val="auto"/>
                      <w:kern w:val="0"/>
                      <w:sz w:val="21"/>
                      <w:szCs w:val="21"/>
                      <w:vertAlign w:val="baseline"/>
                      <w:lang w:val="en-US" w:eastAsia="zh-CN" w:bidi="ar-SA"/>
                    </w:rPr>
                    <w:t>两高</w:t>
                  </w:r>
                  <w:r>
                    <w:rPr>
                      <w:rFonts w:hint="eastAsia" w:cs="Times New Roman"/>
                      <w:b w:val="0"/>
                      <w:bCs w:val="0"/>
                      <w:color w:val="auto"/>
                      <w:kern w:val="0"/>
                      <w:sz w:val="21"/>
                      <w:szCs w:val="21"/>
                      <w:vertAlign w:val="baseline"/>
                      <w:lang w:val="en-US" w:eastAsia="zh-CN" w:bidi="ar-SA"/>
                    </w:rPr>
                    <w:t>”</w:t>
                  </w:r>
                  <w:r>
                    <w:rPr>
                      <w:rFonts w:hint="default" w:ascii="Times New Roman" w:hAnsi="Times New Roman" w:eastAsia="宋体" w:cs="Times New Roman"/>
                      <w:b w:val="0"/>
                      <w:bCs w:val="0"/>
                      <w:color w:val="auto"/>
                      <w:kern w:val="0"/>
                      <w:sz w:val="21"/>
                      <w:szCs w:val="21"/>
                      <w:vertAlign w:val="baseline"/>
                      <w:lang w:val="en-US" w:eastAsia="zh-CN" w:bidi="ar-SA"/>
                    </w:rPr>
                    <w:t>项目。</w:t>
                  </w:r>
                </w:p>
              </w:tc>
              <w:tc>
                <w:tcPr>
                  <w:tcW w:w="428" w:type="pct"/>
                  <w:noWrap w:val="0"/>
                  <w:tcMar>
                    <w:top w:w="0" w:type="dxa"/>
                    <w:left w:w="28" w:type="dxa"/>
                    <w:bottom w:w="0" w:type="dxa"/>
                    <w:right w:w="28" w:type="dxa"/>
                  </w:tcMar>
                  <w:vAlign w:val="center"/>
                </w:tcPr>
                <w:p w14:paraId="008C4B99">
                  <w:pPr>
                    <w:pStyle w:val="9"/>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相符</w:t>
                  </w:r>
                </w:p>
              </w:tc>
            </w:tr>
            <w:tr w14:paraId="187E1B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953" w:type="pct"/>
                  <w:noWrap w:val="0"/>
                  <w:tcMar>
                    <w:top w:w="0" w:type="dxa"/>
                    <w:left w:w="28" w:type="dxa"/>
                    <w:bottom w:w="0" w:type="dxa"/>
                    <w:right w:w="28" w:type="dxa"/>
                  </w:tcMar>
                  <w:vAlign w:val="center"/>
                </w:tcPr>
                <w:p w14:paraId="2CB9C275">
                  <w:pPr>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（四）优化含VOCs原辅材料和产品结构。严格控制生产和使用高VOCs含量涂料、</w:t>
                  </w:r>
                  <w:r>
                    <w:rPr>
                      <w:rFonts w:hint="eastAsia" w:cs="Times New Roman"/>
                      <w:b w:val="0"/>
                      <w:bCs w:val="0"/>
                      <w:color w:val="auto"/>
                      <w:kern w:val="0"/>
                      <w:sz w:val="21"/>
                      <w:szCs w:val="21"/>
                      <w:vertAlign w:val="baseline"/>
                      <w:lang w:val="en-US" w:eastAsia="zh-CN" w:bidi="ar-SA"/>
                    </w:rPr>
                    <w:t>机油</w:t>
                  </w:r>
                  <w:r>
                    <w:rPr>
                      <w:rFonts w:hint="default" w:ascii="Times New Roman" w:hAnsi="Times New Roman" w:eastAsia="宋体" w:cs="Times New Roman"/>
                      <w:b w:val="0"/>
                      <w:bCs w:val="0"/>
                      <w:color w:val="auto"/>
                      <w:kern w:val="0"/>
                      <w:sz w:val="21"/>
                      <w:szCs w:val="21"/>
                      <w:vertAlign w:val="baseline"/>
                      <w:lang w:val="en-US" w:eastAsia="zh-CN" w:bidi="ar-SA"/>
                    </w:rPr>
                    <w:t>、胶粘剂、清洗剂等建设项目。加大工业涂装、包装印刷和电子行业清洁原料替代力度。鼓励和推进汽车4S店、大型汽修厂实施水性涂料替代。</w:t>
                  </w:r>
                </w:p>
              </w:tc>
              <w:tc>
                <w:tcPr>
                  <w:tcW w:w="1617" w:type="pct"/>
                  <w:noWrap w:val="0"/>
                  <w:tcMar>
                    <w:top w:w="0" w:type="dxa"/>
                    <w:left w:w="28" w:type="dxa"/>
                    <w:bottom w:w="0" w:type="dxa"/>
                    <w:right w:w="28" w:type="dxa"/>
                  </w:tcMar>
                  <w:vAlign w:val="center"/>
                </w:tcPr>
                <w:p w14:paraId="48219C95">
                  <w:pPr>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本项目不涉及</w:t>
                  </w:r>
                  <w:r>
                    <w:rPr>
                      <w:rFonts w:hint="default" w:ascii="Times New Roman" w:hAnsi="Times New Roman" w:eastAsia="宋体" w:cs="Times New Roman"/>
                      <w:b w:val="0"/>
                      <w:bCs w:val="0"/>
                      <w:color w:val="auto"/>
                      <w:kern w:val="0"/>
                      <w:sz w:val="21"/>
                      <w:szCs w:val="21"/>
                      <w:vertAlign w:val="baseline"/>
                      <w:lang w:val="en-US" w:eastAsia="zh-CN" w:bidi="ar-SA"/>
                    </w:rPr>
                    <w:t>涂料、</w:t>
                  </w:r>
                  <w:r>
                    <w:rPr>
                      <w:rFonts w:hint="eastAsia" w:cs="Times New Roman"/>
                      <w:b w:val="0"/>
                      <w:bCs w:val="0"/>
                      <w:color w:val="auto"/>
                      <w:kern w:val="0"/>
                      <w:sz w:val="21"/>
                      <w:szCs w:val="21"/>
                      <w:vertAlign w:val="baseline"/>
                      <w:lang w:val="en-US" w:eastAsia="zh-CN" w:bidi="ar-SA"/>
                    </w:rPr>
                    <w:t>机油</w:t>
                  </w:r>
                  <w:r>
                    <w:rPr>
                      <w:rFonts w:hint="default" w:ascii="Times New Roman" w:hAnsi="Times New Roman" w:eastAsia="宋体" w:cs="Times New Roman"/>
                      <w:b w:val="0"/>
                      <w:bCs w:val="0"/>
                      <w:color w:val="auto"/>
                      <w:kern w:val="0"/>
                      <w:sz w:val="21"/>
                      <w:szCs w:val="21"/>
                      <w:vertAlign w:val="baseline"/>
                      <w:lang w:val="en-US" w:eastAsia="zh-CN" w:bidi="ar-SA"/>
                    </w:rPr>
                    <w:t>、胶粘剂、清洗剂</w:t>
                  </w:r>
                  <w:r>
                    <w:rPr>
                      <w:rFonts w:hint="default" w:cs="Times New Roman"/>
                      <w:color w:val="auto"/>
                      <w:kern w:val="2"/>
                      <w:sz w:val="21"/>
                      <w:szCs w:val="21"/>
                      <w:lang w:val="en-US" w:eastAsia="zh-CN" w:bidi="ar-SA"/>
                    </w:rPr>
                    <w:t>。</w:t>
                  </w:r>
                </w:p>
              </w:tc>
              <w:tc>
                <w:tcPr>
                  <w:tcW w:w="428" w:type="pct"/>
                  <w:noWrap w:val="0"/>
                  <w:tcMar>
                    <w:top w:w="0" w:type="dxa"/>
                    <w:left w:w="28" w:type="dxa"/>
                    <w:bottom w:w="0" w:type="dxa"/>
                    <w:right w:w="28" w:type="dxa"/>
                  </w:tcMar>
                  <w:vAlign w:val="center"/>
                </w:tcPr>
                <w:p w14:paraId="62F7BC34">
                  <w:pPr>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cs="Times New Roman"/>
                      <w:color w:val="auto"/>
                      <w:kern w:val="2"/>
                      <w:sz w:val="21"/>
                      <w:szCs w:val="21"/>
                      <w:lang w:val="en-US" w:eastAsia="zh-CN" w:bidi="ar-SA"/>
                    </w:rPr>
                  </w:pPr>
                  <w:r>
                    <w:rPr>
                      <w:rFonts w:hint="default" w:cs="Times New Roman"/>
                      <w:color w:val="auto"/>
                      <w:kern w:val="2"/>
                      <w:sz w:val="21"/>
                      <w:szCs w:val="21"/>
                      <w:lang w:val="en-US" w:eastAsia="zh-CN" w:bidi="ar-SA"/>
                    </w:rPr>
                    <w:t>相符</w:t>
                  </w:r>
                </w:p>
              </w:tc>
            </w:tr>
          </w:tbl>
          <w:p w14:paraId="32794087">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rPr>
                <w:rFonts w:hint="default" w:ascii="Times New Roman" w:hAnsi="Times New Roman" w:eastAsia="宋体" w:cs="Times New Roman"/>
                <w:b/>
                <w:bCs/>
                <w:color w:val="auto"/>
                <w:sz w:val="21"/>
                <w:szCs w:val="21"/>
              </w:rPr>
            </w:pPr>
            <w:r>
              <w:rPr>
                <w:rFonts w:hint="eastAsia" w:cs="Times New Roman"/>
                <w:b/>
                <w:bCs w:val="0"/>
                <w:color w:val="auto"/>
                <w:sz w:val="21"/>
                <w:szCs w:val="21"/>
                <w:lang w:eastAsia="zh-CN"/>
              </w:rPr>
              <w:t>（</w:t>
            </w:r>
            <w:r>
              <w:rPr>
                <w:rFonts w:hint="eastAsia" w:cs="Times New Roman"/>
                <w:b/>
                <w:bCs w:val="0"/>
                <w:color w:val="auto"/>
                <w:sz w:val="21"/>
                <w:szCs w:val="21"/>
                <w:lang w:val="en-US" w:eastAsia="zh-CN"/>
              </w:rPr>
              <w:t>4</w:t>
            </w:r>
            <w:r>
              <w:rPr>
                <w:rFonts w:hint="eastAsia" w:cs="Times New Roman"/>
                <w:b/>
                <w:bCs w:val="0"/>
                <w:color w:val="auto"/>
                <w:sz w:val="21"/>
                <w:szCs w:val="21"/>
                <w:lang w:eastAsia="zh-CN"/>
              </w:rPr>
              <w:t>）</w:t>
            </w:r>
            <w:r>
              <w:rPr>
                <w:rFonts w:hint="default" w:ascii="Times New Roman" w:hAnsi="Times New Roman" w:eastAsia="宋体" w:cs="Times New Roman"/>
                <w:b/>
                <w:bCs/>
                <w:color w:val="auto"/>
                <w:sz w:val="21"/>
                <w:szCs w:val="21"/>
                <w:lang w:val="en-US" w:eastAsia="zh-CN"/>
              </w:rPr>
              <w:t>与</w:t>
            </w:r>
            <w:r>
              <w:rPr>
                <w:rFonts w:hint="default" w:ascii="Times New Roman" w:hAnsi="Times New Roman" w:eastAsia="宋体" w:cs="Times New Roman"/>
                <w:b/>
                <w:bCs/>
                <w:color w:val="auto"/>
                <w:sz w:val="21"/>
                <w:szCs w:val="21"/>
              </w:rPr>
              <w:t>《挥发性有机物无组织排放控制标准》（GB37822-2019）相符性分析</w:t>
            </w:r>
          </w:p>
          <w:p w14:paraId="4C2568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 xml:space="preserve">11 </w:t>
            </w:r>
            <w:r>
              <w:rPr>
                <w:rFonts w:hint="default" w:ascii="Times New Roman" w:hAnsi="Times New Roman" w:eastAsia="宋体" w:cs="Times New Roman"/>
                <w:b/>
                <w:bCs/>
                <w:color w:val="auto"/>
                <w:sz w:val="21"/>
                <w:szCs w:val="21"/>
              </w:rPr>
              <w:t>与《挥发性有机物无组织排放控制标准》相符性分析</w:t>
            </w:r>
          </w:p>
          <w:tbl>
            <w:tblPr>
              <w:tblStyle w:val="31"/>
              <w:tblW w:w="9007"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4"/>
              <w:gridCol w:w="1010"/>
              <w:gridCol w:w="3050"/>
              <w:gridCol w:w="2515"/>
              <w:gridCol w:w="1518"/>
            </w:tblGrid>
            <w:tr w14:paraId="37D8FF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74" w:type="dxa"/>
                  <w:gridSpan w:val="3"/>
                  <w:noWrap w:val="0"/>
                  <w:vAlign w:val="center"/>
                </w:tcPr>
                <w:p w14:paraId="2F97E1F9">
                  <w:pPr>
                    <w:pStyle w:val="9"/>
                    <w:spacing w:before="0" w:after="0" w:line="240" w:lineRule="auto"/>
                    <w:ind w:right="0"/>
                    <w:jc w:val="center"/>
                    <w:rPr>
                      <w:color w:val="auto"/>
                      <w:sz w:val="21"/>
                      <w:szCs w:val="21"/>
                    </w:rPr>
                  </w:pPr>
                  <w:r>
                    <w:rPr>
                      <w:color w:val="auto"/>
                      <w:sz w:val="21"/>
                      <w:szCs w:val="21"/>
                    </w:rPr>
                    <w:t>相关控制要求</w:t>
                  </w:r>
                </w:p>
              </w:tc>
              <w:tc>
                <w:tcPr>
                  <w:tcW w:w="2515" w:type="dxa"/>
                  <w:noWrap w:val="0"/>
                  <w:vAlign w:val="center"/>
                </w:tcPr>
                <w:p w14:paraId="5036C67A">
                  <w:pPr>
                    <w:pStyle w:val="9"/>
                    <w:spacing w:before="0" w:after="0" w:line="240" w:lineRule="auto"/>
                    <w:ind w:right="0"/>
                    <w:jc w:val="center"/>
                    <w:rPr>
                      <w:color w:val="auto"/>
                      <w:sz w:val="21"/>
                      <w:szCs w:val="21"/>
                    </w:rPr>
                  </w:pPr>
                  <w:r>
                    <w:rPr>
                      <w:color w:val="auto"/>
                      <w:sz w:val="21"/>
                      <w:szCs w:val="21"/>
                    </w:rPr>
                    <w:t>本项目情况</w:t>
                  </w:r>
                </w:p>
              </w:tc>
              <w:tc>
                <w:tcPr>
                  <w:tcW w:w="1518" w:type="dxa"/>
                  <w:noWrap w:val="0"/>
                  <w:vAlign w:val="center"/>
                </w:tcPr>
                <w:p w14:paraId="02BBB73A">
                  <w:pPr>
                    <w:pStyle w:val="9"/>
                    <w:spacing w:before="0" w:after="0" w:line="240" w:lineRule="auto"/>
                    <w:ind w:right="0"/>
                    <w:jc w:val="center"/>
                    <w:rPr>
                      <w:color w:val="auto"/>
                      <w:sz w:val="21"/>
                      <w:szCs w:val="21"/>
                    </w:rPr>
                  </w:pPr>
                  <w:r>
                    <w:rPr>
                      <w:color w:val="auto"/>
                      <w:sz w:val="21"/>
                      <w:szCs w:val="21"/>
                    </w:rPr>
                    <w:t>是否满足要求</w:t>
                  </w:r>
                </w:p>
              </w:tc>
            </w:tr>
            <w:tr w14:paraId="7D3312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14" w:type="dxa"/>
                  <w:vMerge w:val="restart"/>
                  <w:noWrap w:val="0"/>
                  <w:vAlign w:val="center"/>
                </w:tcPr>
                <w:p w14:paraId="4498BE9A">
                  <w:pPr>
                    <w:widowControl/>
                    <w:jc w:val="center"/>
                    <w:rPr>
                      <w:color w:val="auto"/>
                      <w:sz w:val="21"/>
                      <w:szCs w:val="21"/>
                    </w:rPr>
                  </w:pPr>
                  <w:r>
                    <w:rPr>
                      <w:color w:val="auto"/>
                      <w:kern w:val="0"/>
                      <w:sz w:val="21"/>
                      <w:szCs w:val="21"/>
                      <w:lang w:bidi="ar"/>
                    </w:rPr>
                    <w:t>7 工艺过程VOCs无组织排放控制要求</w:t>
                  </w:r>
                </w:p>
              </w:tc>
              <w:tc>
                <w:tcPr>
                  <w:tcW w:w="1010" w:type="dxa"/>
                  <w:noWrap w:val="0"/>
                  <w:vAlign w:val="center"/>
                </w:tcPr>
                <w:p w14:paraId="0C1CAC93">
                  <w:pPr>
                    <w:widowControl/>
                    <w:jc w:val="center"/>
                    <w:rPr>
                      <w:color w:val="auto"/>
                      <w:sz w:val="21"/>
                      <w:szCs w:val="21"/>
                    </w:rPr>
                  </w:pPr>
                  <w:r>
                    <w:rPr>
                      <w:color w:val="auto"/>
                      <w:kern w:val="0"/>
                      <w:sz w:val="21"/>
                      <w:szCs w:val="21"/>
                      <w:lang w:bidi="ar"/>
                    </w:rPr>
                    <w:t>7.2</w:t>
                  </w:r>
                  <w:r>
                    <w:rPr>
                      <w:color w:val="auto"/>
                      <w:sz w:val="21"/>
                      <w:szCs w:val="21"/>
                    </w:rPr>
                    <w:t xml:space="preserve"> </w:t>
                  </w:r>
                  <w:r>
                    <w:rPr>
                      <w:color w:val="auto"/>
                      <w:kern w:val="0"/>
                      <w:sz w:val="21"/>
                      <w:szCs w:val="21"/>
                      <w:lang w:bidi="ar"/>
                    </w:rPr>
                    <w:t>含VOCs产品的使用过程</w:t>
                  </w:r>
                </w:p>
              </w:tc>
              <w:tc>
                <w:tcPr>
                  <w:tcW w:w="3050" w:type="dxa"/>
                  <w:noWrap w:val="0"/>
                  <w:vAlign w:val="center"/>
                </w:tcPr>
                <w:p w14:paraId="002573E1">
                  <w:pPr>
                    <w:widowControl/>
                    <w:rPr>
                      <w:color w:val="auto"/>
                      <w:sz w:val="21"/>
                      <w:szCs w:val="21"/>
                    </w:rPr>
                  </w:pPr>
                  <w:r>
                    <w:rPr>
                      <w:color w:val="auto"/>
                      <w:kern w:val="0"/>
                      <w:sz w:val="21"/>
                      <w:szCs w:val="21"/>
                      <w:lang w:bidi="ar"/>
                    </w:rPr>
                    <w:t>7.2.1 VOCs质量占比大于等于10%的含VOCs产品，其使用过程应采用密闭设备或在密闭空间内操作，废气应排至VOCs废气收集处理系统；无法密闭的，应采取局部气体收集措施，废气应排至VOCs废气收集处理系统。含VOCs产品的使用过程包括但不限于以下作业：a）调配（混合、搅拌等）；b）涂装（喷涂、浸涂、淋涂、辊涂、刷涂、涂布等）；f）干燥（烘干、风干、晾干等）；</w:t>
                  </w:r>
                </w:p>
              </w:tc>
              <w:tc>
                <w:tcPr>
                  <w:tcW w:w="2515" w:type="dxa"/>
                  <w:noWrap w:val="0"/>
                  <w:vAlign w:val="center"/>
                </w:tcPr>
                <w:p w14:paraId="6EED4F75">
                  <w:pPr>
                    <w:rPr>
                      <w:color w:val="auto"/>
                      <w:kern w:val="0"/>
                      <w:sz w:val="21"/>
                      <w:szCs w:val="21"/>
                      <w:lang w:bidi="ar"/>
                    </w:rPr>
                  </w:pPr>
                  <w:r>
                    <w:rPr>
                      <w:rFonts w:hint="default" w:ascii="Times New Roman" w:hAnsi="Times New Roman" w:eastAsia="宋体" w:cs="Times New Roman"/>
                      <w:bCs/>
                      <w:color w:val="auto"/>
                      <w:sz w:val="21"/>
                      <w:szCs w:val="21"/>
                      <w:lang w:val="en-US" w:eastAsia="zh-CN"/>
                    </w:rPr>
                    <w:t>本项目</w:t>
                  </w:r>
                  <w:r>
                    <w:rPr>
                      <w:rFonts w:hint="eastAsia" w:cs="Times New Roman"/>
                      <w:bCs/>
                      <w:color w:val="auto"/>
                      <w:sz w:val="21"/>
                      <w:szCs w:val="21"/>
                      <w:lang w:val="en-US" w:eastAsia="zh-CN"/>
                    </w:rPr>
                    <w:t>有机废气</w:t>
                  </w:r>
                  <w:r>
                    <w:rPr>
                      <w:rFonts w:hint="eastAsia" w:ascii="Times New Roman" w:hAnsi="Times New Roman" w:eastAsia="宋体" w:cs="Times New Roman"/>
                      <w:bCs/>
                      <w:color w:val="auto"/>
                      <w:sz w:val="21"/>
                      <w:szCs w:val="21"/>
                      <w:lang w:val="en-US" w:eastAsia="zh-CN"/>
                    </w:rPr>
                    <w:t>经集气罩收集后，统一送二级活性炭吸附装置处理</w:t>
                  </w:r>
                </w:p>
              </w:tc>
              <w:tc>
                <w:tcPr>
                  <w:tcW w:w="1518" w:type="dxa"/>
                  <w:noWrap w:val="0"/>
                  <w:vAlign w:val="center"/>
                </w:tcPr>
                <w:p w14:paraId="72EDB683">
                  <w:pPr>
                    <w:jc w:val="center"/>
                    <w:rPr>
                      <w:color w:val="auto"/>
                      <w:sz w:val="21"/>
                      <w:szCs w:val="21"/>
                    </w:rPr>
                  </w:pPr>
                  <w:r>
                    <w:rPr>
                      <w:color w:val="auto"/>
                      <w:sz w:val="21"/>
                      <w:szCs w:val="21"/>
                    </w:rPr>
                    <w:t>是</w:t>
                  </w:r>
                </w:p>
              </w:tc>
            </w:tr>
            <w:tr w14:paraId="474826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14" w:type="dxa"/>
                  <w:vMerge w:val="continue"/>
                  <w:noWrap w:val="0"/>
                  <w:vAlign w:val="center"/>
                </w:tcPr>
                <w:p w14:paraId="50E10CE4">
                  <w:pPr>
                    <w:pStyle w:val="9"/>
                    <w:spacing w:line="240" w:lineRule="auto"/>
                    <w:jc w:val="center"/>
                    <w:rPr>
                      <w:color w:val="auto"/>
                      <w:sz w:val="21"/>
                      <w:szCs w:val="21"/>
                    </w:rPr>
                  </w:pPr>
                </w:p>
              </w:tc>
              <w:tc>
                <w:tcPr>
                  <w:tcW w:w="1010" w:type="dxa"/>
                  <w:noWrap w:val="0"/>
                  <w:vAlign w:val="center"/>
                </w:tcPr>
                <w:p w14:paraId="668421D1">
                  <w:pPr>
                    <w:widowControl/>
                    <w:jc w:val="center"/>
                    <w:rPr>
                      <w:color w:val="auto"/>
                      <w:sz w:val="21"/>
                      <w:szCs w:val="21"/>
                    </w:rPr>
                  </w:pPr>
                  <w:r>
                    <w:rPr>
                      <w:color w:val="auto"/>
                      <w:kern w:val="0"/>
                      <w:sz w:val="21"/>
                      <w:szCs w:val="21"/>
                      <w:lang w:bidi="ar"/>
                    </w:rPr>
                    <w:t>7.3 其他要求</w:t>
                  </w:r>
                </w:p>
              </w:tc>
              <w:tc>
                <w:tcPr>
                  <w:tcW w:w="3050" w:type="dxa"/>
                  <w:noWrap w:val="0"/>
                  <w:vAlign w:val="center"/>
                </w:tcPr>
                <w:p w14:paraId="1363798D">
                  <w:pPr>
                    <w:widowControl/>
                    <w:rPr>
                      <w:color w:val="auto"/>
                      <w:sz w:val="21"/>
                      <w:szCs w:val="21"/>
                    </w:rPr>
                  </w:pPr>
                  <w:r>
                    <w:rPr>
                      <w:color w:val="auto"/>
                      <w:kern w:val="0"/>
                      <w:sz w:val="21"/>
                      <w:szCs w:val="21"/>
                      <w:lang w:bidi="ar"/>
                    </w:rPr>
                    <w:t>7.3.1 企业应建立台账，记录含VOCs原辅材料和含VOCs产品的名称、使用量、回收量、废弃量、去向以及VOCs含量等信息。台账保存期限不少于3年。</w:t>
                  </w:r>
                </w:p>
              </w:tc>
              <w:tc>
                <w:tcPr>
                  <w:tcW w:w="2515" w:type="dxa"/>
                  <w:noWrap w:val="0"/>
                  <w:vAlign w:val="center"/>
                </w:tcPr>
                <w:p w14:paraId="5AC716B7">
                  <w:pPr>
                    <w:widowControl/>
                    <w:rPr>
                      <w:color w:val="auto"/>
                      <w:kern w:val="0"/>
                      <w:sz w:val="21"/>
                      <w:szCs w:val="21"/>
                      <w:lang w:bidi="ar"/>
                    </w:rPr>
                  </w:pPr>
                  <w:r>
                    <w:rPr>
                      <w:color w:val="auto"/>
                      <w:kern w:val="0"/>
                      <w:sz w:val="21"/>
                      <w:szCs w:val="21"/>
                      <w:lang w:bidi="ar"/>
                    </w:rPr>
                    <w:t>项目建成后将严格遵照执行</w:t>
                  </w:r>
                </w:p>
              </w:tc>
              <w:tc>
                <w:tcPr>
                  <w:tcW w:w="1518" w:type="dxa"/>
                  <w:noWrap w:val="0"/>
                  <w:vAlign w:val="center"/>
                </w:tcPr>
                <w:p w14:paraId="62E5A7FA">
                  <w:pPr>
                    <w:jc w:val="center"/>
                    <w:rPr>
                      <w:color w:val="auto"/>
                      <w:sz w:val="21"/>
                      <w:szCs w:val="21"/>
                    </w:rPr>
                  </w:pPr>
                  <w:r>
                    <w:rPr>
                      <w:color w:val="auto"/>
                      <w:sz w:val="21"/>
                      <w:szCs w:val="21"/>
                    </w:rPr>
                    <w:t>是</w:t>
                  </w:r>
                </w:p>
              </w:tc>
            </w:tr>
            <w:tr w14:paraId="45E816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1" w:hRule="atLeast"/>
              </w:trPr>
              <w:tc>
                <w:tcPr>
                  <w:tcW w:w="914" w:type="dxa"/>
                  <w:vMerge w:val="restart"/>
                  <w:noWrap w:val="0"/>
                  <w:vAlign w:val="center"/>
                </w:tcPr>
                <w:p w14:paraId="298AF917">
                  <w:pPr>
                    <w:widowControl/>
                    <w:jc w:val="center"/>
                    <w:rPr>
                      <w:color w:val="auto"/>
                      <w:sz w:val="21"/>
                      <w:szCs w:val="21"/>
                    </w:rPr>
                  </w:pPr>
                  <w:r>
                    <w:rPr>
                      <w:color w:val="auto"/>
                      <w:kern w:val="0"/>
                      <w:sz w:val="21"/>
                      <w:szCs w:val="21"/>
                      <w:lang w:bidi="ar"/>
                    </w:rPr>
                    <w:t>10 VOCs</w:t>
                  </w:r>
                </w:p>
                <w:p w14:paraId="1514079E">
                  <w:pPr>
                    <w:widowControl/>
                    <w:jc w:val="center"/>
                    <w:rPr>
                      <w:color w:val="auto"/>
                      <w:sz w:val="21"/>
                      <w:szCs w:val="21"/>
                    </w:rPr>
                  </w:pPr>
                  <w:r>
                    <w:rPr>
                      <w:color w:val="auto"/>
                      <w:kern w:val="0"/>
                      <w:sz w:val="21"/>
                      <w:szCs w:val="21"/>
                      <w:lang w:bidi="ar"/>
                    </w:rPr>
                    <w:t>无组织排放废气收集处理系统要求</w:t>
                  </w:r>
                </w:p>
              </w:tc>
              <w:tc>
                <w:tcPr>
                  <w:tcW w:w="1010" w:type="dxa"/>
                  <w:noWrap w:val="0"/>
                  <w:vAlign w:val="center"/>
                </w:tcPr>
                <w:p w14:paraId="2B48774A">
                  <w:pPr>
                    <w:widowControl/>
                    <w:jc w:val="center"/>
                    <w:rPr>
                      <w:color w:val="auto"/>
                      <w:sz w:val="21"/>
                      <w:szCs w:val="21"/>
                    </w:rPr>
                  </w:pPr>
                  <w:r>
                    <w:rPr>
                      <w:color w:val="auto"/>
                      <w:kern w:val="0"/>
                      <w:sz w:val="21"/>
                      <w:szCs w:val="21"/>
                      <w:lang w:bidi="ar"/>
                    </w:rPr>
                    <w:t>10.1基本要求</w:t>
                  </w:r>
                </w:p>
              </w:tc>
              <w:tc>
                <w:tcPr>
                  <w:tcW w:w="3050" w:type="dxa"/>
                  <w:noWrap w:val="0"/>
                  <w:vAlign w:val="center"/>
                </w:tcPr>
                <w:p w14:paraId="409CF427">
                  <w:pPr>
                    <w:widowControl/>
                    <w:rPr>
                      <w:color w:val="auto"/>
                      <w:sz w:val="21"/>
                      <w:szCs w:val="21"/>
                    </w:rPr>
                  </w:pPr>
                  <w:r>
                    <w:rPr>
                      <w:color w:val="auto"/>
                      <w:kern w:val="0"/>
                      <w:sz w:val="21"/>
                      <w:szCs w:val="21"/>
                      <w:lang w:bidi="ar"/>
                    </w:rPr>
                    <w:t>10.1.2 VOCs废气收集处理系统应与生产工艺设备同步运行。VOCs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2515" w:type="dxa"/>
                  <w:noWrap w:val="0"/>
                  <w:vAlign w:val="center"/>
                </w:tcPr>
                <w:p w14:paraId="01ED2A60">
                  <w:pPr>
                    <w:widowControl/>
                    <w:rPr>
                      <w:color w:val="auto"/>
                      <w:kern w:val="0"/>
                      <w:sz w:val="21"/>
                      <w:szCs w:val="21"/>
                      <w:lang w:bidi="ar"/>
                    </w:rPr>
                  </w:pPr>
                  <w:r>
                    <w:rPr>
                      <w:color w:val="auto"/>
                      <w:kern w:val="0"/>
                      <w:sz w:val="21"/>
                      <w:szCs w:val="21"/>
                      <w:lang w:bidi="ar"/>
                    </w:rPr>
                    <w:t>本项目VOCs废气收集处理系统将先于各生产设施运转前开启，后于生产设施关闭而关闭。当VOCs废气收集处理系统发生故障或检修时，建设单位立即停止生产作业</w:t>
                  </w:r>
                </w:p>
              </w:tc>
              <w:tc>
                <w:tcPr>
                  <w:tcW w:w="1518" w:type="dxa"/>
                  <w:noWrap w:val="0"/>
                  <w:vAlign w:val="center"/>
                </w:tcPr>
                <w:p w14:paraId="09922044">
                  <w:pPr>
                    <w:jc w:val="center"/>
                    <w:rPr>
                      <w:color w:val="auto"/>
                      <w:sz w:val="21"/>
                      <w:szCs w:val="21"/>
                    </w:rPr>
                  </w:pPr>
                  <w:r>
                    <w:rPr>
                      <w:color w:val="auto"/>
                      <w:sz w:val="21"/>
                      <w:szCs w:val="21"/>
                    </w:rPr>
                    <w:t>是</w:t>
                  </w:r>
                </w:p>
              </w:tc>
            </w:tr>
            <w:tr w14:paraId="51A1BF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14" w:type="dxa"/>
                  <w:vMerge w:val="continue"/>
                  <w:noWrap w:val="0"/>
                  <w:vAlign w:val="center"/>
                </w:tcPr>
                <w:p w14:paraId="356AAE97">
                  <w:pPr>
                    <w:pStyle w:val="9"/>
                    <w:spacing w:line="240" w:lineRule="auto"/>
                    <w:jc w:val="center"/>
                    <w:rPr>
                      <w:color w:val="auto"/>
                      <w:sz w:val="21"/>
                      <w:szCs w:val="21"/>
                    </w:rPr>
                  </w:pPr>
                </w:p>
              </w:tc>
              <w:tc>
                <w:tcPr>
                  <w:tcW w:w="1010" w:type="dxa"/>
                  <w:vMerge w:val="restart"/>
                  <w:noWrap w:val="0"/>
                  <w:vAlign w:val="center"/>
                </w:tcPr>
                <w:p w14:paraId="452DE5DD">
                  <w:pPr>
                    <w:widowControl/>
                    <w:jc w:val="center"/>
                    <w:rPr>
                      <w:color w:val="auto"/>
                      <w:sz w:val="21"/>
                      <w:szCs w:val="21"/>
                    </w:rPr>
                  </w:pPr>
                  <w:r>
                    <w:rPr>
                      <w:color w:val="auto"/>
                      <w:kern w:val="0"/>
                      <w:sz w:val="21"/>
                      <w:szCs w:val="21"/>
                      <w:lang w:bidi="ar"/>
                    </w:rPr>
                    <w:t>10.2废气收集系统要求</w:t>
                  </w:r>
                </w:p>
              </w:tc>
              <w:tc>
                <w:tcPr>
                  <w:tcW w:w="3050" w:type="dxa"/>
                  <w:noWrap w:val="0"/>
                  <w:vAlign w:val="center"/>
                </w:tcPr>
                <w:p w14:paraId="3090CB73">
                  <w:pPr>
                    <w:widowControl/>
                    <w:rPr>
                      <w:color w:val="auto"/>
                      <w:sz w:val="21"/>
                      <w:szCs w:val="21"/>
                    </w:rPr>
                  </w:pPr>
                  <w:r>
                    <w:rPr>
                      <w:color w:val="auto"/>
                      <w:kern w:val="0"/>
                      <w:sz w:val="21"/>
                      <w:szCs w:val="21"/>
                      <w:lang w:bidi="ar"/>
                    </w:rPr>
                    <w:t>10.2.1 企业应考虑生产工艺、操作方式、废气性质、处理方法等因素，对VOCs废气进行分类收集。</w:t>
                  </w:r>
                </w:p>
              </w:tc>
              <w:tc>
                <w:tcPr>
                  <w:tcW w:w="2515" w:type="dxa"/>
                  <w:noWrap w:val="0"/>
                  <w:vAlign w:val="center"/>
                </w:tcPr>
                <w:p w14:paraId="4301D926">
                  <w:pPr>
                    <w:pStyle w:val="9"/>
                    <w:spacing w:before="0" w:after="0" w:line="240" w:lineRule="auto"/>
                    <w:ind w:right="0"/>
                    <w:rPr>
                      <w:color w:val="auto"/>
                      <w:sz w:val="21"/>
                      <w:szCs w:val="21"/>
                    </w:rPr>
                  </w:pPr>
                  <w:r>
                    <w:rPr>
                      <w:rFonts w:hint="default" w:ascii="Times New Roman" w:hAnsi="Times New Roman" w:eastAsia="宋体" w:cs="Times New Roman"/>
                      <w:bCs/>
                      <w:color w:val="auto"/>
                      <w:sz w:val="21"/>
                      <w:szCs w:val="21"/>
                      <w:lang w:val="en-US" w:eastAsia="zh-CN"/>
                    </w:rPr>
                    <w:t>本项目</w:t>
                  </w:r>
                  <w:r>
                    <w:rPr>
                      <w:rFonts w:hint="eastAsia" w:cs="Times New Roman"/>
                      <w:bCs/>
                      <w:color w:val="auto"/>
                      <w:sz w:val="21"/>
                      <w:szCs w:val="21"/>
                      <w:lang w:val="en-US" w:eastAsia="zh-CN"/>
                    </w:rPr>
                    <w:t>有机废气</w:t>
                  </w:r>
                  <w:r>
                    <w:rPr>
                      <w:rFonts w:hint="eastAsia" w:ascii="Times New Roman" w:hAnsi="Times New Roman" w:eastAsia="宋体" w:cs="Times New Roman"/>
                      <w:bCs/>
                      <w:color w:val="auto"/>
                      <w:sz w:val="21"/>
                      <w:szCs w:val="21"/>
                      <w:lang w:val="en-US" w:eastAsia="zh-CN"/>
                    </w:rPr>
                    <w:t>经集气罩收集后，统一送二级活性炭吸附装置处理</w:t>
                  </w:r>
                </w:p>
              </w:tc>
              <w:tc>
                <w:tcPr>
                  <w:tcW w:w="1518" w:type="dxa"/>
                  <w:noWrap w:val="0"/>
                  <w:vAlign w:val="center"/>
                </w:tcPr>
                <w:p w14:paraId="671B71A6">
                  <w:pPr>
                    <w:jc w:val="center"/>
                    <w:rPr>
                      <w:color w:val="auto"/>
                      <w:sz w:val="21"/>
                      <w:szCs w:val="21"/>
                    </w:rPr>
                  </w:pPr>
                  <w:r>
                    <w:rPr>
                      <w:color w:val="auto"/>
                      <w:sz w:val="21"/>
                      <w:szCs w:val="21"/>
                    </w:rPr>
                    <w:t>是</w:t>
                  </w:r>
                </w:p>
              </w:tc>
            </w:tr>
            <w:tr w14:paraId="3BF535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14" w:type="dxa"/>
                  <w:vMerge w:val="continue"/>
                  <w:noWrap w:val="0"/>
                  <w:vAlign w:val="center"/>
                </w:tcPr>
                <w:p w14:paraId="7A476CE4">
                  <w:pPr>
                    <w:pStyle w:val="9"/>
                    <w:spacing w:line="240" w:lineRule="auto"/>
                    <w:jc w:val="center"/>
                    <w:rPr>
                      <w:color w:val="auto"/>
                      <w:sz w:val="21"/>
                      <w:szCs w:val="21"/>
                    </w:rPr>
                  </w:pPr>
                </w:p>
              </w:tc>
              <w:tc>
                <w:tcPr>
                  <w:tcW w:w="1010" w:type="dxa"/>
                  <w:vMerge w:val="continue"/>
                  <w:noWrap w:val="0"/>
                  <w:vAlign w:val="center"/>
                </w:tcPr>
                <w:p w14:paraId="4E263469">
                  <w:pPr>
                    <w:pStyle w:val="9"/>
                    <w:spacing w:line="240" w:lineRule="auto"/>
                    <w:jc w:val="center"/>
                    <w:rPr>
                      <w:color w:val="auto"/>
                      <w:sz w:val="21"/>
                      <w:szCs w:val="21"/>
                    </w:rPr>
                  </w:pPr>
                </w:p>
              </w:tc>
              <w:tc>
                <w:tcPr>
                  <w:tcW w:w="3050" w:type="dxa"/>
                  <w:noWrap w:val="0"/>
                  <w:vAlign w:val="center"/>
                </w:tcPr>
                <w:p w14:paraId="1AE5537A">
                  <w:pPr>
                    <w:widowControl/>
                    <w:rPr>
                      <w:color w:val="auto"/>
                      <w:sz w:val="21"/>
                      <w:szCs w:val="21"/>
                    </w:rPr>
                  </w:pPr>
                  <w:r>
                    <w:rPr>
                      <w:color w:val="auto"/>
                      <w:kern w:val="0"/>
                      <w:sz w:val="21"/>
                      <w:szCs w:val="21"/>
                      <w:lang w:bidi="ar"/>
                    </w:rPr>
                    <w:t>10.2.2 废气收集系统排风罩（集气罩）的设置应符合GB/T 16758的规定。采用外部排风罩的，应按GB/T 16758、AQT 4274- 2016规定的方法测量控制风速，测量点应选取在距排风罩开口面最远处的VOCs无组织排放位置，控制风速不应低于0.3 m/s（行业相关规范有具体规定的，按相关规定执行）。</w:t>
                  </w:r>
                </w:p>
              </w:tc>
              <w:tc>
                <w:tcPr>
                  <w:tcW w:w="2515" w:type="dxa"/>
                  <w:noWrap w:val="0"/>
                  <w:vAlign w:val="center"/>
                </w:tcPr>
                <w:p w14:paraId="2D39771F">
                  <w:pPr>
                    <w:pStyle w:val="9"/>
                    <w:spacing w:line="240" w:lineRule="auto"/>
                    <w:rPr>
                      <w:rFonts w:hint="default" w:eastAsia="宋体"/>
                      <w:color w:val="auto"/>
                      <w:sz w:val="21"/>
                      <w:szCs w:val="21"/>
                      <w:lang w:val="en-US" w:eastAsia="zh-CN"/>
                    </w:rPr>
                  </w:pPr>
                  <w:r>
                    <w:rPr>
                      <w:rFonts w:hint="eastAsia"/>
                      <w:color w:val="auto"/>
                      <w:sz w:val="21"/>
                      <w:szCs w:val="21"/>
                      <w:lang w:val="en-US" w:eastAsia="zh-CN"/>
                    </w:rPr>
                    <w:t>项目拟设置的集气罩</w:t>
                  </w:r>
                  <w:r>
                    <w:rPr>
                      <w:color w:val="auto"/>
                      <w:kern w:val="0"/>
                      <w:sz w:val="21"/>
                      <w:szCs w:val="21"/>
                      <w:lang w:bidi="ar"/>
                    </w:rPr>
                    <w:t>符合GB/T 16758的规定</w:t>
                  </w:r>
                  <w:r>
                    <w:rPr>
                      <w:rFonts w:hint="eastAsia"/>
                      <w:color w:val="auto"/>
                      <w:kern w:val="0"/>
                      <w:sz w:val="21"/>
                      <w:szCs w:val="21"/>
                      <w:lang w:eastAsia="zh-CN" w:bidi="ar"/>
                    </w:rPr>
                    <w:t>，</w:t>
                  </w:r>
                  <w:r>
                    <w:rPr>
                      <w:color w:val="auto"/>
                      <w:kern w:val="0"/>
                      <w:sz w:val="21"/>
                      <w:szCs w:val="21"/>
                      <w:lang w:bidi="ar"/>
                    </w:rPr>
                    <w:t>在距排风罩开口面最远处的VOCs无组织排放位置控制风速不低于0.3 m/s</w:t>
                  </w:r>
                </w:p>
              </w:tc>
              <w:tc>
                <w:tcPr>
                  <w:tcW w:w="1518" w:type="dxa"/>
                  <w:noWrap w:val="0"/>
                  <w:vAlign w:val="center"/>
                </w:tcPr>
                <w:p w14:paraId="29E47713">
                  <w:pPr>
                    <w:jc w:val="center"/>
                    <w:rPr>
                      <w:color w:val="auto"/>
                      <w:sz w:val="21"/>
                      <w:szCs w:val="21"/>
                    </w:rPr>
                  </w:pPr>
                  <w:r>
                    <w:rPr>
                      <w:color w:val="auto"/>
                      <w:sz w:val="21"/>
                      <w:szCs w:val="21"/>
                    </w:rPr>
                    <w:t>是</w:t>
                  </w:r>
                </w:p>
              </w:tc>
            </w:tr>
            <w:tr w14:paraId="2A8762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14" w:type="dxa"/>
                  <w:vMerge w:val="continue"/>
                  <w:noWrap w:val="0"/>
                  <w:vAlign w:val="center"/>
                </w:tcPr>
                <w:p w14:paraId="4DFBB669">
                  <w:pPr>
                    <w:pStyle w:val="9"/>
                    <w:spacing w:line="240" w:lineRule="auto"/>
                    <w:jc w:val="center"/>
                    <w:rPr>
                      <w:color w:val="auto"/>
                      <w:sz w:val="21"/>
                      <w:szCs w:val="21"/>
                    </w:rPr>
                  </w:pPr>
                </w:p>
              </w:tc>
              <w:tc>
                <w:tcPr>
                  <w:tcW w:w="1010" w:type="dxa"/>
                  <w:vMerge w:val="restart"/>
                  <w:noWrap w:val="0"/>
                  <w:vAlign w:val="center"/>
                </w:tcPr>
                <w:p w14:paraId="333C78B6">
                  <w:pPr>
                    <w:widowControl/>
                    <w:jc w:val="center"/>
                    <w:rPr>
                      <w:color w:val="auto"/>
                      <w:sz w:val="21"/>
                      <w:szCs w:val="21"/>
                    </w:rPr>
                  </w:pPr>
                  <w:r>
                    <w:rPr>
                      <w:color w:val="auto"/>
                      <w:kern w:val="0"/>
                      <w:sz w:val="21"/>
                      <w:szCs w:val="21"/>
                      <w:lang w:bidi="ar"/>
                    </w:rPr>
                    <w:t>10.3</w:t>
                  </w:r>
                </w:p>
                <w:p w14:paraId="2C0DCBE1">
                  <w:pPr>
                    <w:widowControl/>
                    <w:rPr>
                      <w:color w:val="auto"/>
                      <w:sz w:val="21"/>
                      <w:szCs w:val="21"/>
                    </w:rPr>
                  </w:pPr>
                  <w:r>
                    <w:rPr>
                      <w:color w:val="auto"/>
                      <w:kern w:val="0"/>
                      <w:sz w:val="21"/>
                      <w:szCs w:val="21"/>
                      <w:lang w:bidi="ar"/>
                    </w:rPr>
                    <w:t>VOCs排放控制要求</w:t>
                  </w:r>
                </w:p>
              </w:tc>
              <w:tc>
                <w:tcPr>
                  <w:tcW w:w="3050" w:type="dxa"/>
                  <w:noWrap w:val="0"/>
                  <w:vAlign w:val="center"/>
                </w:tcPr>
                <w:p w14:paraId="09D8C712">
                  <w:pPr>
                    <w:widowControl/>
                    <w:rPr>
                      <w:color w:val="auto"/>
                      <w:sz w:val="21"/>
                      <w:szCs w:val="21"/>
                    </w:rPr>
                  </w:pPr>
                  <w:r>
                    <w:rPr>
                      <w:color w:val="auto"/>
                      <w:kern w:val="0"/>
                      <w:sz w:val="21"/>
                      <w:szCs w:val="21"/>
                      <w:lang w:bidi="ar"/>
                    </w:rPr>
                    <w:t>10.3.1 VOCs废气收集处理系统污染物排放应符合GB 16297或相关行业排放标准的规定。</w:t>
                  </w:r>
                </w:p>
              </w:tc>
              <w:tc>
                <w:tcPr>
                  <w:tcW w:w="2515" w:type="dxa"/>
                  <w:noWrap w:val="0"/>
                  <w:vAlign w:val="center"/>
                </w:tcPr>
                <w:p w14:paraId="2BC0346B">
                  <w:pPr>
                    <w:rPr>
                      <w:color w:val="auto"/>
                      <w:kern w:val="0"/>
                      <w:sz w:val="21"/>
                      <w:szCs w:val="21"/>
                      <w:lang w:bidi="ar"/>
                    </w:rPr>
                  </w:pPr>
                  <w:r>
                    <w:rPr>
                      <w:color w:val="auto"/>
                      <w:kern w:val="0"/>
                      <w:sz w:val="21"/>
                      <w:szCs w:val="21"/>
                      <w:lang w:bidi="ar"/>
                    </w:rPr>
                    <w:t>本项目有机废气排放满足</w:t>
                  </w:r>
                  <w:r>
                    <w:rPr>
                      <w:rFonts w:hint="eastAsia"/>
                      <w:color w:val="auto"/>
                      <w:kern w:val="0"/>
                      <w:sz w:val="21"/>
                      <w:szCs w:val="21"/>
                      <w:lang w:val="en-US" w:eastAsia="zh-CN" w:bidi="ar"/>
                    </w:rPr>
                    <w:t>《合成树脂工业污染物排放标准》（GB 31572-2015，含2024年修改单）</w:t>
                  </w:r>
                  <w:r>
                    <w:rPr>
                      <w:color w:val="auto"/>
                      <w:kern w:val="0"/>
                      <w:sz w:val="21"/>
                      <w:szCs w:val="21"/>
                      <w:lang w:bidi="ar"/>
                    </w:rPr>
                    <w:t>要求</w:t>
                  </w:r>
                </w:p>
              </w:tc>
              <w:tc>
                <w:tcPr>
                  <w:tcW w:w="1518" w:type="dxa"/>
                  <w:noWrap w:val="0"/>
                  <w:vAlign w:val="center"/>
                </w:tcPr>
                <w:p w14:paraId="35249714">
                  <w:pPr>
                    <w:rPr>
                      <w:color w:val="auto"/>
                      <w:kern w:val="0"/>
                      <w:sz w:val="21"/>
                      <w:szCs w:val="21"/>
                      <w:lang w:bidi="ar"/>
                    </w:rPr>
                  </w:pPr>
                  <w:r>
                    <w:rPr>
                      <w:color w:val="auto"/>
                      <w:kern w:val="0"/>
                      <w:sz w:val="21"/>
                      <w:szCs w:val="21"/>
                      <w:lang w:bidi="ar"/>
                    </w:rPr>
                    <w:t>是</w:t>
                  </w:r>
                </w:p>
              </w:tc>
            </w:tr>
            <w:tr w14:paraId="1377E2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14" w:type="dxa"/>
                  <w:vMerge w:val="continue"/>
                  <w:noWrap w:val="0"/>
                  <w:vAlign w:val="center"/>
                </w:tcPr>
                <w:p w14:paraId="4C17DF24">
                  <w:pPr>
                    <w:pStyle w:val="9"/>
                    <w:spacing w:line="240" w:lineRule="auto"/>
                    <w:jc w:val="center"/>
                    <w:rPr>
                      <w:color w:val="auto"/>
                      <w:sz w:val="21"/>
                      <w:szCs w:val="21"/>
                    </w:rPr>
                  </w:pPr>
                </w:p>
              </w:tc>
              <w:tc>
                <w:tcPr>
                  <w:tcW w:w="1010" w:type="dxa"/>
                  <w:vMerge w:val="continue"/>
                  <w:noWrap w:val="0"/>
                  <w:vAlign w:val="center"/>
                </w:tcPr>
                <w:p w14:paraId="004091FC">
                  <w:pPr>
                    <w:pStyle w:val="9"/>
                    <w:spacing w:line="240" w:lineRule="auto"/>
                    <w:jc w:val="center"/>
                    <w:rPr>
                      <w:color w:val="auto"/>
                      <w:sz w:val="21"/>
                      <w:szCs w:val="21"/>
                    </w:rPr>
                  </w:pPr>
                </w:p>
              </w:tc>
              <w:tc>
                <w:tcPr>
                  <w:tcW w:w="3050" w:type="dxa"/>
                  <w:noWrap w:val="0"/>
                  <w:vAlign w:val="center"/>
                </w:tcPr>
                <w:p w14:paraId="52EA89AD">
                  <w:pPr>
                    <w:widowControl/>
                    <w:rPr>
                      <w:color w:val="auto"/>
                      <w:sz w:val="21"/>
                      <w:szCs w:val="21"/>
                    </w:rPr>
                  </w:pPr>
                  <w:r>
                    <w:rPr>
                      <w:color w:val="auto"/>
                      <w:kern w:val="0"/>
                      <w:sz w:val="21"/>
                      <w:szCs w:val="21"/>
                      <w:lang w:bidi="ar"/>
                    </w:rPr>
                    <w:t>10.3.2 收集废气NMHC初始排放速率≥3kg/h时，应配置VOCs处理设施，处理效率不应低于90%；对于重点地区，收集的废气中NMHC初始排放速率≥2kg/h时，应配置VOCs处理设施，处理效率不应低于80%；采用的原辅材料符合国家有关低VOCs含量产品规定除外。</w:t>
                  </w:r>
                </w:p>
              </w:tc>
              <w:tc>
                <w:tcPr>
                  <w:tcW w:w="2515" w:type="dxa"/>
                  <w:noWrap w:val="0"/>
                  <w:vAlign w:val="center"/>
                </w:tcPr>
                <w:p w14:paraId="47E97F19">
                  <w:pPr>
                    <w:rPr>
                      <w:color w:val="auto"/>
                      <w:sz w:val="21"/>
                      <w:szCs w:val="21"/>
                    </w:rPr>
                  </w:pPr>
                  <w:r>
                    <w:rPr>
                      <w:color w:val="auto"/>
                      <w:kern w:val="0"/>
                      <w:sz w:val="21"/>
                      <w:szCs w:val="21"/>
                      <w:lang w:bidi="ar"/>
                    </w:rPr>
                    <w:t>本项目位于重点区域，非甲烷总烃初始排放速率</w:t>
                  </w:r>
                  <w:r>
                    <w:rPr>
                      <w:rFonts w:hint="eastAsia"/>
                      <w:color w:val="auto"/>
                      <w:kern w:val="0"/>
                      <w:sz w:val="21"/>
                      <w:szCs w:val="21"/>
                      <w:lang w:val="en-US" w:eastAsia="zh-CN" w:bidi="ar"/>
                    </w:rPr>
                    <w:t>小于</w:t>
                  </w:r>
                  <w:r>
                    <w:rPr>
                      <w:color w:val="auto"/>
                      <w:kern w:val="0"/>
                      <w:sz w:val="21"/>
                      <w:szCs w:val="21"/>
                      <w:lang w:bidi="ar"/>
                    </w:rPr>
                    <w:t>2kg/h，配备</w:t>
                  </w:r>
                  <w:r>
                    <w:rPr>
                      <w:color w:val="auto"/>
                      <w:sz w:val="21"/>
                      <w:szCs w:val="21"/>
                    </w:rPr>
                    <w:t>“</w:t>
                  </w:r>
                  <w:r>
                    <w:rPr>
                      <w:rFonts w:hint="eastAsia"/>
                      <w:color w:val="auto"/>
                      <w:sz w:val="21"/>
                      <w:szCs w:val="21"/>
                      <w:lang w:eastAsia="zh-CN"/>
                    </w:rPr>
                    <w:t>二级活性炭吸附装置</w:t>
                  </w:r>
                  <w:r>
                    <w:rPr>
                      <w:color w:val="auto"/>
                      <w:sz w:val="21"/>
                      <w:szCs w:val="21"/>
                    </w:rPr>
                    <w:t>”装置</w:t>
                  </w:r>
                  <w:r>
                    <w:rPr>
                      <w:color w:val="auto"/>
                      <w:kern w:val="0"/>
                      <w:sz w:val="21"/>
                      <w:szCs w:val="21"/>
                      <w:lang w:bidi="ar"/>
                    </w:rPr>
                    <w:t>，处理效率不低于90%</w:t>
                  </w:r>
                </w:p>
              </w:tc>
              <w:tc>
                <w:tcPr>
                  <w:tcW w:w="1518" w:type="dxa"/>
                  <w:noWrap w:val="0"/>
                  <w:vAlign w:val="center"/>
                </w:tcPr>
                <w:p w14:paraId="712675D5">
                  <w:pPr>
                    <w:jc w:val="center"/>
                    <w:rPr>
                      <w:color w:val="auto"/>
                      <w:sz w:val="21"/>
                      <w:szCs w:val="21"/>
                    </w:rPr>
                  </w:pPr>
                  <w:r>
                    <w:rPr>
                      <w:color w:val="auto"/>
                      <w:sz w:val="21"/>
                      <w:szCs w:val="21"/>
                    </w:rPr>
                    <w:t>是</w:t>
                  </w:r>
                </w:p>
              </w:tc>
            </w:tr>
            <w:tr w14:paraId="069AD3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14" w:type="dxa"/>
                  <w:vMerge w:val="continue"/>
                  <w:noWrap w:val="0"/>
                  <w:vAlign w:val="center"/>
                </w:tcPr>
                <w:p w14:paraId="78971BDE">
                  <w:pPr>
                    <w:pStyle w:val="9"/>
                    <w:spacing w:line="240" w:lineRule="auto"/>
                    <w:jc w:val="center"/>
                    <w:rPr>
                      <w:color w:val="auto"/>
                      <w:sz w:val="21"/>
                      <w:szCs w:val="21"/>
                    </w:rPr>
                  </w:pPr>
                </w:p>
              </w:tc>
              <w:tc>
                <w:tcPr>
                  <w:tcW w:w="1010" w:type="dxa"/>
                  <w:vMerge w:val="continue"/>
                  <w:noWrap w:val="0"/>
                  <w:vAlign w:val="center"/>
                </w:tcPr>
                <w:p w14:paraId="661FA004">
                  <w:pPr>
                    <w:pStyle w:val="9"/>
                    <w:spacing w:line="240" w:lineRule="auto"/>
                    <w:jc w:val="center"/>
                    <w:rPr>
                      <w:color w:val="auto"/>
                      <w:sz w:val="21"/>
                      <w:szCs w:val="21"/>
                    </w:rPr>
                  </w:pPr>
                </w:p>
              </w:tc>
              <w:tc>
                <w:tcPr>
                  <w:tcW w:w="3050" w:type="dxa"/>
                  <w:noWrap w:val="0"/>
                  <w:vAlign w:val="center"/>
                </w:tcPr>
                <w:p w14:paraId="3E05707B">
                  <w:pPr>
                    <w:widowControl/>
                    <w:rPr>
                      <w:color w:val="auto"/>
                      <w:sz w:val="21"/>
                      <w:szCs w:val="21"/>
                    </w:rPr>
                  </w:pPr>
                  <w:r>
                    <w:rPr>
                      <w:color w:val="auto"/>
                      <w:kern w:val="0"/>
                      <w:sz w:val="21"/>
                      <w:szCs w:val="21"/>
                      <w:lang w:bidi="ar"/>
                    </w:rPr>
                    <w:t>10.3.4 排气筒高度不低于15m（因安全考虑或有特殊工艺要求的除外），具体高度以及与周围建筑物的相对高度关系应根据环境影响评价文件确定。</w:t>
                  </w:r>
                </w:p>
              </w:tc>
              <w:tc>
                <w:tcPr>
                  <w:tcW w:w="2515" w:type="dxa"/>
                  <w:noWrap w:val="0"/>
                  <w:vAlign w:val="center"/>
                </w:tcPr>
                <w:p w14:paraId="1F3FBB4B">
                  <w:pPr>
                    <w:widowControl/>
                    <w:rPr>
                      <w:color w:val="auto"/>
                      <w:kern w:val="0"/>
                      <w:sz w:val="21"/>
                      <w:szCs w:val="21"/>
                      <w:lang w:bidi="ar"/>
                    </w:rPr>
                  </w:pPr>
                  <w:r>
                    <w:rPr>
                      <w:color w:val="auto"/>
                      <w:kern w:val="0"/>
                      <w:sz w:val="21"/>
                      <w:szCs w:val="21"/>
                      <w:lang w:bidi="ar"/>
                    </w:rPr>
                    <w:t>本项目排气筒高度为</w:t>
                  </w:r>
                  <w:r>
                    <w:rPr>
                      <w:rFonts w:hint="eastAsia"/>
                      <w:color w:val="auto"/>
                      <w:kern w:val="0"/>
                      <w:sz w:val="21"/>
                      <w:szCs w:val="21"/>
                      <w:lang w:val="en-US" w:eastAsia="zh-CN" w:bidi="ar"/>
                    </w:rPr>
                    <w:t>2</w:t>
                  </w:r>
                  <w:r>
                    <w:rPr>
                      <w:color w:val="auto"/>
                      <w:kern w:val="0"/>
                      <w:sz w:val="21"/>
                      <w:szCs w:val="21"/>
                      <w:lang w:bidi="ar"/>
                    </w:rPr>
                    <w:t>5m</w:t>
                  </w:r>
                </w:p>
              </w:tc>
              <w:tc>
                <w:tcPr>
                  <w:tcW w:w="1518" w:type="dxa"/>
                  <w:noWrap w:val="0"/>
                  <w:vAlign w:val="center"/>
                </w:tcPr>
                <w:p w14:paraId="3D217B27">
                  <w:pPr>
                    <w:jc w:val="center"/>
                    <w:rPr>
                      <w:color w:val="auto"/>
                      <w:sz w:val="21"/>
                      <w:szCs w:val="21"/>
                    </w:rPr>
                  </w:pPr>
                  <w:r>
                    <w:rPr>
                      <w:color w:val="auto"/>
                      <w:sz w:val="21"/>
                      <w:szCs w:val="21"/>
                    </w:rPr>
                    <w:t>是</w:t>
                  </w:r>
                </w:p>
              </w:tc>
            </w:tr>
          </w:tbl>
          <w:p w14:paraId="60C97F1F">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cs="Times New Roman"/>
                <w:b/>
                <w:bCs w:val="0"/>
                <w:color w:val="auto"/>
                <w:sz w:val="21"/>
                <w:szCs w:val="21"/>
                <w:lang w:eastAsia="zh-CN"/>
              </w:rPr>
            </w:pPr>
            <w:r>
              <w:rPr>
                <w:rFonts w:hint="default" w:ascii="Times New Roman" w:hAnsi="Times New Roman" w:eastAsia="宋体" w:cs="Times New Roman"/>
                <w:color w:val="auto"/>
                <w:sz w:val="21"/>
                <w:szCs w:val="21"/>
              </w:rPr>
              <w:t>综上，本项目建设与《挥发性有机物无组织排放控制标准》（GB37822-2019）相符。</w:t>
            </w:r>
          </w:p>
          <w:p w14:paraId="166DE38D">
            <w:pPr>
              <w:keepNext w:val="0"/>
              <w:keepLines w:val="0"/>
              <w:pageBreakBefore w:val="0"/>
              <w:widowControl w:val="0"/>
              <w:kinsoku/>
              <w:wordWrap/>
              <w:overflowPunct/>
              <w:topLinePunct w:val="0"/>
              <w:autoSpaceDE w:val="0"/>
              <w:autoSpaceDN w:val="0"/>
              <w:bidi w:val="0"/>
              <w:adjustRightInd w:val="0"/>
              <w:snapToGrid w:val="0"/>
              <w:spacing w:line="500" w:lineRule="exact"/>
              <w:ind w:firstLine="422" w:firstLineChars="200"/>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与</w:t>
            </w:r>
            <w:r>
              <w:rPr>
                <w:rFonts w:hint="eastAsia" w:ascii="Times New Roman" w:hAnsi="Times New Roman" w:eastAsia="宋体" w:cs="Times New Roman"/>
                <w:b/>
                <w:bCs/>
                <w:color w:val="auto"/>
                <w:sz w:val="21"/>
                <w:szCs w:val="21"/>
                <w:lang w:val="en-US" w:eastAsia="zh-CN"/>
              </w:rPr>
              <w:t>《省生态环境厅关于加强重点管控新污染物及优先控制化学品环境管理工作的通知》（苏环办〔2023〕314号）、《关于加强重点行业涉新污染物建设项目环境影响评价工作的意见》（环环评〔2025〕28号）、</w:t>
            </w:r>
            <w:r>
              <w:rPr>
                <w:rFonts w:hint="default" w:ascii="Times New Roman" w:hAnsi="Times New Roman" w:cs="Times New Roman" w:eastAsiaTheme="minorEastAsia"/>
                <w:i w:val="0"/>
                <w:iCs w:val="0"/>
                <w:caps w:val="0"/>
                <w:color w:val="FF0000"/>
                <w:spacing w:val="0"/>
                <w:sz w:val="21"/>
                <w:szCs w:val="21"/>
                <w:shd w:val="clear" w:fill="FFFFFF"/>
              </w:rPr>
              <w:t>《江苏省重点管控新污染物补充清单（第一批）》</w:t>
            </w:r>
            <w:r>
              <w:rPr>
                <w:rFonts w:hint="eastAsia" w:ascii="Times New Roman" w:hAnsi="Times New Roman" w:cs="Times New Roman" w:eastAsiaTheme="minorEastAsia"/>
                <w:i w:val="0"/>
                <w:iCs w:val="0"/>
                <w:caps w:val="0"/>
                <w:color w:val="FF0000"/>
                <w:spacing w:val="0"/>
                <w:sz w:val="21"/>
                <w:szCs w:val="21"/>
                <w:shd w:val="clear" w:fill="FFFFFF"/>
                <w:lang w:eastAsia="zh-CN"/>
              </w:rPr>
              <w:t>（</w:t>
            </w:r>
            <w:r>
              <w:rPr>
                <w:rFonts w:hint="default" w:ascii="Times New Roman" w:hAnsi="Times New Roman" w:cs="Times New Roman" w:eastAsiaTheme="minorEastAsia"/>
                <w:i w:val="0"/>
                <w:iCs w:val="0"/>
                <w:caps w:val="0"/>
                <w:color w:val="FF0000"/>
                <w:spacing w:val="0"/>
                <w:sz w:val="21"/>
                <w:szCs w:val="21"/>
                <w:shd w:val="clear" w:fill="FFFFFF"/>
              </w:rPr>
              <w:t>苏环办〔2026〕</w:t>
            </w:r>
            <w:r>
              <w:rPr>
                <w:rFonts w:hint="eastAsia" w:cs="Times New Roman" w:eastAsiaTheme="minorEastAsia"/>
                <w:i w:val="0"/>
                <w:iCs w:val="0"/>
                <w:caps w:val="0"/>
                <w:color w:val="FF0000"/>
                <w:spacing w:val="0"/>
                <w:sz w:val="21"/>
                <w:szCs w:val="21"/>
                <w:shd w:val="clear" w:fill="FFFFFF"/>
                <w:lang w:val="en-US" w:eastAsia="zh-CN"/>
              </w:rPr>
              <w:t>19</w:t>
            </w:r>
            <w:r>
              <w:rPr>
                <w:rFonts w:hint="default" w:ascii="Times New Roman" w:hAnsi="Times New Roman" w:cs="Times New Roman" w:eastAsiaTheme="minorEastAsia"/>
                <w:i w:val="0"/>
                <w:iCs w:val="0"/>
                <w:caps w:val="0"/>
                <w:color w:val="FF0000"/>
                <w:spacing w:val="0"/>
                <w:sz w:val="21"/>
                <w:szCs w:val="21"/>
                <w:shd w:val="clear" w:fill="FFFFFF"/>
              </w:rPr>
              <w:t xml:space="preserve"> 号</w:t>
            </w:r>
            <w:r>
              <w:rPr>
                <w:rFonts w:hint="eastAsia" w:ascii="Times New Roman" w:hAnsi="Times New Roman" w:cs="Times New Roman" w:eastAsiaTheme="minorEastAsia"/>
                <w:i w:val="0"/>
                <w:iCs w:val="0"/>
                <w:caps w:val="0"/>
                <w:color w:val="FF0000"/>
                <w:spacing w:val="0"/>
                <w:sz w:val="21"/>
                <w:szCs w:val="21"/>
                <w:shd w:val="clear" w:fill="FFFFFF"/>
                <w:lang w:eastAsia="zh-CN"/>
              </w:rPr>
              <w:t>）</w:t>
            </w:r>
            <w:r>
              <w:rPr>
                <w:rFonts w:hint="default" w:ascii="Times New Roman" w:hAnsi="Times New Roman" w:eastAsia="宋体" w:cs="Times New Roman"/>
                <w:b/>
                <w:bCs/>
                <w:color w:val="auto"/>
                <w:sz w:val="21"/>
                <w:szCs w:val="21"/>
                <w:lang w:val="en-US" w:eastAsia="zh-CN"/>
              </w:rPr>
              <w:t>的对照分析</w:t>
            </w:r>
          </w:p>
          <w:p w14:paraId="0BBA0CAD">
            <w:pPr>
              <w:pStyle w:val="90"/>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SA"/>
              </w:rPr>
              <w:t>表1-</w:t>
            </w:r>
            <w:r>
              <w:rPr>
                <w:rFonts w:hint="eastAsia" w:cs="Times New Roman"/>
                <w:b/>
                <w:bCs/>
                <w:color w:val="auto"/>
                <w:kern w:val="0"/>
                <w:sz w:val="21"/>
                <w:szCs w:val="21"/>
                <w:lang w:val="en-US" w:eastAsia="zh-CN" w:bidi="ar-SA"/>
              </w:rPr>
              <w:t xml:space="preserve">12 </w:t>
            </w:r>
            <w:r>
              <w:rPr>
                <w:rFonts w:hint="default" w:ascii="Times New Roman" w:hAnsi="Times New Roman" w:eastAsia="宋体" w:cs="Times New Roman"/>
                <w:b/>
                <w:bCs/>
                <w:color w:val="auto"/>
                <w:kern w:val="0"/>
                <w:sz w:val="21"/>
                <w:szCs w:val="21"/>
                <w:lang w:val="en-US" w:eastAsia="zh-CN" w:bidi="ar-SA"/>
              </w:rPr>
              <w:t>与</w:t>
            </w:r>
            <w:r>
              <w:rPr>
                <w:rFonts w:hint="eastAsia" w:ascii="Times New Roman" w:hAnsi="Times New Roman" w:eastAsia="宋体" w:cs="Times New Roman"/>
                <w:b/>
                <w:bCs/>
                <w:color w:val="auto"/>
                <w:kern w:val="0"/>
                <w:sz w:val="21"/>
                <w:szCs w:val="21"/>
                <w:lang w:val="en-US" w:eastAsia="zh-CN" w:bidi="ar-SA"/>
              </w:rPr>
              <w:t>苏环办〔2023〕314号、环环评〔2025〕28号文</w:t>
            </w:r>
            <w:r>
              <w:rPr>
                <w:rFonts w:hint="default" w:ascii="Times New Roman" w:hAnsi="Times New Roman" w:eastAsia="宋体" w:cs="Times New Roman"/>
                <w:b/>
                <w:bCs/>
                <w:color w:val="auto"/>
                <w:kern w:val="0"/>
                <w:sz w:val="21"/>
                <w:szCs w:val="21"/>
                <w:lang w:val="en-US" w:eastAsia="zh-CN" w:bidi="ar-SA"/>
              </w:rPr>
              <w:t>相符性分析</w:t>
            </w:r>
          </w:p>
          <w:tbl>
            <w:tblPr>
              <w:tblStyle w:val="3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97"/>
              <w:gridCol w:w="3317"/>
              <w:gridCol w:w="1831"/>
              <w:gridCol w:w="904"/>
            </w:tblGrid>
            <w:tr w14:paraId="33F687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62" w:type="pct"/>
                  <w:gridSpan w:val="2"/>
                  <w:noWrap w:val="0"/>
                  <w:tcMar>
                    <w:top w:w="0" w:type="dxa"/>
                    <w:left w:w="28" w:type="dxa"/>
                    <w:bottom w:w="0" w:type="dxa"/>
                    <w:right w:w="28" w:type="dxa"/>
                  </w:tcMar>
                  <w:vAlign w:val="center"/>
                </w:tcPr>
                <w:p w14:paraId="38285BAE">
                  <w:pPr>
                    <w:pStyle w:val="9"/>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cs="Times New Roman" w:eastAsiaTheme="minorEastAsia"/>
                      <w:b/>
                      <w:bCs/>
                      <w:color w:val="auto"/>
                      <w:kern w:val="0"/>
                      <w:sz w:val="21"/>
                      <w:szCs w:val="21"/>
                      <w:vertAlign w:val="baseline"/>
                      <w:lang w:val="en-US" w:eastAsia="zh-CN" w:bidi="ar-SA"/>
                    </w:rPr>
                  </w:pPr>
                  <w:r>
                    <w:rPr>
                      <w:rFonts w:hint="default" w:ascii="Times New Roman" w:hAnsi="Times New Roman" w:cs="Times New Roman" w:eastAsiaTheme="minorEastAsia"/>
                      <w:b/>
                      <w:bCs/>
                      <w:color w:val="auto"/>
                      <w:sz w:val="21"/>
                      <w:szCs w:val="21"/>
                    </w:rPr>
                    <w:t>文件要求</w:t>
                  </w:r>
                </w:p>
              </w:tc>
              <w:tc>
                <w:tcPr>
                  <w:tcW w:w="1096" w:type="pct"/>
                  <w:noWrap w:val="0"/>
                  <w:tcMar>
                    <w:top w:w="0" w:type="dxa"/>
                    <w:left w:w="28" w:type="dxa"/>
                    <w:bottom w:w="0" w:type="dxa"/>
                    <w:right w:w="28" w:type="dxa"/>
                  </w:tcMar>
                  <w:vAlign w:val="center"/>
                </w:tcPr>
                <w:p w14:paraId="4B2B8697">
                  <w:pPr>
                    <w:pStyle w:val="9"/>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cs="Times New Roman" w:eastAsiaTheme="minorEastAsia"/>
                      <w:b/>
                      <w:bCs/>
                      <w:color w:val="auto"/>
                      <w:kern w:val="0"/>
                      <w:sz w:val="21"/>
                      <w:szCs w:val="21"/>
                      <w:vertAlign w:val="baseline"/>
                      <w:lang w:val="en-US" w:eastAsia="zh-CN" w:bidi="ar-SA"/>
                    </w:rPr>
                  </w:pPr>
                  <w:r>
                    <w:rPr>
                      <w:rFonts w:hint="default" w:ascii="Times New Roman" w:hAnsi="Times New Roman" w:cs="Times New Roman" w:eastAsiaTheme="minorEastAsia"/>
                      <w:b/>
                      <w:bCs/>
                      <w:color w:val="auto"/>
                      <w:sz w:val="21"/>
                      <w:szCs w:val="21"/>
                    </w:rPr>
                    <w:t>本项目</w:t>
                  </w:r>
                </w:p>
              </w:tc>
              <w:tc>
                <w:tcPr>
                  <w:tcW w:w="541" w:type="pct"/>
                  <w:noWrap w:val="0"/>
                  <w:tcMar>
                    <w:top w:w="0" w:type="dxa"/>
                    <w:left w:w="28" w:type="dxa"/>
                    <w:bottom w:w="0" w:type="dxa"/>
                    <w:right w:w="28" w:type="dxa"/>
                  </w:tcMar>
                  <w:vAlign w:val="center"/>
                </w:tcPr>
                <w:p w14:paraId="6F58E822">
                  <w:pPr>
                    <w:pStyle w:val="9"/>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cs="Times New Roman" w:eastAsiaTheme="minorEastAsia"/>
                      <w:b/>
                      <w:bCs/>
                      <w:color w:val="auto"/>
                      <w:kern w:val="0"/>
                      <w:sz w:val="21"/>
                      <w:szCs w:val="21"/>
                      <w:vertAlign w:val="baseline"/>
                      <w:lang w:val="en-US" w:eastAsia="zh-CN" w:bidi="ar-SA"/>
                    </w:rPr>
                  </w:pPr>
                  <w:r>
                    <w:rPr>
                      <w:rFonts w:hint="default" w:ascii="Times New Roman" w:hAnsi="Times New Roman" w:cs="Times New Roman" w:eastAsiaTheme="minorEastAsia"/>
                      <w:b/>
                      <w:bCs/>
                      <w:color w:val="auto"/>
                      <w:sz w:val="21"/>
                      <w:szCs w:val="21"/>
                      <w:lang w:val="en-US" w:eastAsia="zh-CN"/>
                    </w:rPr>
                    <w:t>相符性</w:t>
                  </w:r>
                </w:p>
              </w:tc>
            </w:tr>
            <w:tr w14:paraId="6A511E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376" w:type="pct"/>
                  <w:vMerge w:val="restart"/>
                  <w:noWrap w:val="0"/>
                  <w:tcMar>
                    <w:top w:w="0" w:type="dxa"/>
                    <w:left w:w="28" w:type="dxa"/>
                    <w:bottom w:w="0" w:type="dxa"/>
                    <w:right w:w="28" w:type="dxa"/>
                  </w:tcMar>
                  <w:vAlign w:val="center"/>
                </w:tcPr>
                <w:p w14:paraId="1A9294EF">
                  <w:pPr>
                    <w:pStyle w:val="9"/>
                    <w:keepNext w:val="0"/>
                    <w:keepLines w:val="0"/>
                    <w:pageBreakBefore w:val="0"/>
                    <w:numPr>
                      <w:ilvl w:val="0"/>
                      <w:numId w:val="0"/>
                    </w:numPr>
                    <w:kinsoku/>
                    <w:wordWrap/>
                    <w:overflowPunct/>
                    <w:topLinePunct w:val="0"/>
                    <w:bidi w:val="0"/>
                    <w:spacing w:line="240" w:lineRule="exact"/>
                    <w:ind w:right="113" w:rightChars="0"/>
                    <w:jc w:val="left"/>
                    <w:textAlignment w:val="auto"/>
                    <w:rPr>
                      <w:rFonts w:hint="default" w:ascii="Times New Roman" w:hAnsi="Times New Roman" w:cs="Times New Roman" w:eastAsiaTheme="minorEastAsia"/>
                      <w:b w:val="0"/>
                      <w:bCs w:val="0"/>
                      <w:i w:val="0"/>
                      <w:iCs w:val="0"/>
                      <w:caps w:val="0"/>
                      <w:color w:val="auto"/>
                      <w:spacing w:val="0"/>
                      <w:sz w:val="21"/>
                      <w:szCs w:val="21"/>
                      <w:shd w:val="clear" w:fill="FFFFFF"/>
                    </w:rPr>
                  </w:pPr>
                  <w:r>
                    <w:rPr>
                      <w:rFonts w:hint="default" w:ascii="Times New Roman" w:hAnsi="Times New Roman" w:cs="Times New Roman" w:eastAsiaTheme="minorEastAsia"/>
                      <w:b w:val="0"/>
                      <w:bCs w:val="0"/>
                      <w:color w:val="auto"/>
                      <w:sz w:val="21"/>
                      <w:szCs w:val="21"/>
                      <w:lang w:val="en-US" w:eastAsia="zh-CN"/>
                    </w:rPr>
                    <w:t>《省生态环境厅关于加强重点管控新污染物及优先控制化学品环境管理工作的通知》（苏环办〔2023〕314号）、《关于加强重点行业涉新污染物建设项目环境影响评价工作的意见》（环环评〔2025〕28号）</w:t>
                  </w:r>
                </w:p>
              </w:tc>
              <w:tc>
                <w:tcPr>
                  <w:tcW w:w="1985" w:type="pct"/>
                  <w:noWrap w:val="0"/>
                  <w:tcMar>
                    <w:top w:w="0" w:type="dxa"/>
                    <w:left w:w="28" w:type="dxa"/>
                    <w:bottom w:w="0" w:type="dxa"/>
                    <w:right w:w="28" w:type="dxa"/>
                  </w:tcMar>
                  <w:vAlign w:val="center"/>
                </w:tcPr>
                <w:p w14:paraId="57964B26">
                  <w:pPr>
                    <w:pStyle w:val="9"/>
                    <w:keepNext w:val="0"/>
                    <w:keepLines w:val="0"/>
                    <w:pageBreakBefore w:val="0"/>
                    <w:numPr>
                      <w:ilvl w:val="0"/>
                      <w:numId w:val="0"/>
                    </w:numPr>
                    <w:kinsoku/>
                    <w:wordWrap/>
                    <w:overflowPunct/>
                    <w:topLinePunct w:val="0"/>
                    <w:bidi w:val="0"/>
                    <w:spacing w:line="240" w:lineRule="exact"/>
                    <w:ind w:left="0" w:leftChars="0" w:right="113" w:rightChars="0" w:firstLine="0" w:firstLineChars="0"/>
                    <w:jc w:val="left"/>
                    <w:textAlignment w:val="auto"/>
                    <w:rPr>
                      <w:rFonts w:hint="default" w:ascii="Times New Roman" w:hAnsi="Times New Roman" w:cs="Times New Roman" w:eastAsiaTheme="minorEastAsia"/>
                      <w:b w:val="0"/>
                      <w:bCs w:val="0"/>
                      <w:i w:val="0"/>
                      <w:iCs w:val="0"/>
                      <w:caps w:val="0"/>
                      <w:color w:val="auto"/>
                      <w:spacing w:val="0"/>
                      <w:sz w:val="21"/>
                      <w:szCs w:val="21"/>
                      <w:shd w:val="clear" w:fill="FFFFFF"/>
                    </w:rPr>
                  </w:pPr>
                  <w:r>
                    <w:rPr>
                      <w:rFonts w:hint="default" w:ascii="Times New Roman" w:hAnsi="Times New Roman" w:cs="Times New Roman" w:eastAsiaTheme="minorEastAsia"/>
                      <w:b w:val="0"/>
                      <w:bCs w:val="0"/>
                      <w:i w:val="0"/>
                      <w:iCs w:val="0"/>
                      <w:caps w:val="0"/>
                      <w:color w:val="auto"/>
                      <w:spacing w:val="0"/>
                      <w:sz w:val="21"/>
                      <w:szCs w:val="21"/>
                      <w:shd w:val="clear" w:fill="FFFFFF"/>
                    </w:rPr>
                    <w:t>各级环评审批部门在受理和审批建设项目环评文件时，应落实重点管控新污染物清单、产业结构调整指导目录、《斯德哥尔摩公约》、生态环境分区管控方案和项目所在园区规划环评等有关管控要求。对照</w:t>
                  </w:r>
                  <w:r>
                    <w:rPr>
                      <w:rFonts w:hint="default" w:ascii="Times New Roman" w:hAnsi="Times New Roman" w:cs="Times New Roman" w:eastAsiaTheme="minorEastAsia"/>
                      <w:b w:val="0"/>
                      <w:bCs w:val="0"/>
                      <w:i w:val="0"/>
                      <w:iCs w:val="0"/>
                      <w:caps w:val="0"/>
                      <w:color w:val="auto"/>
                      <w:spacing w:val="0"/>
                      <w:sz w:val="21"/>
                      <w:szCs w:val="21"/>
                      <w:u w:val="none"/>
                      <w:shd w:val="clear" w:fill="FFFFFF"/>
                    </w:rPr>
                    <w:fldChar w:fldCharType="begin"/>
                  </w:r>
                  <w:r>
                    <w:rPr>
                      <w:rFonts w:hint="default" w:ascii="Times New Roman" w:hAnsi="Times New Roman" w:cs="Times New Roman" w:eastAsiaTheme="minorEastAsia"/>
                      <w:b w:val="0"/>
                      <w:bCs w:val="0"/>
                      <w:i w:val="0"/>
                      <w:iCs w:val="0"/>
                      <w:caps w:val="0"/>
                      <w:color w:val="auto"/>
                      <w:spacing w:val="0"/>
                      <w:sz w:val="21"/>
                      <w:szCs w:val="21"/>
                      <w:u w:val="none"/>
                      <w:shd w:val="clear" w:fill="FFFFFF"/>
                    </w:rPr>
                    <w:instrText xml:space="preserve"> HYPERLINK "https://www.gov.cn/zhengce/zhengceku/202504/P020250415726910785034.pdf" \o "不予审批环评的项目类别.pdf" </w:instrText>
                  </w:r>
                  <w:r>
                    <w:rPr>
                      <w:rFonts w:hint="default" w:ascii="Times New Roman" w:hAnsi="Times New Roman" w:cs="Times New Roman" w:eastAsiaTheme="minorEastAsia"/>
                      <w:b w:val="0"/>
                      <w:bCs w:val="0"/>
                      <w:i w:val="0"/>
                      <w:iCs w:val="0"/>
                      <w:caps w:val="0"/>
                      <w:color w:val="auto"/>
                      <w:spacing w:val="0"/>
                      <w:sz w:val="21"/>
                      <w:szCs w:val="21"/>
                      <w:u w:val="none"/>
                      <w:shd w:val="clear" w:fill="FFFFFF"/>
                    </w:rPr>
                    <w:fldChar w:fldCharType="separate"/>
                  </w:r>
                  <w:r>
                    <w:rPr>
                      <w:rStyle w:val="37"/>
                      <w:rFonts w:hint="default" w:ascii="Times New Roman" w:hAnsi="Times New Roman" w:cs="Times New Roman" w:eastAsiaTheme="minorEastAsia"/>
                      <w:b w:val="0"/>
                      <w:bCs w:val="0"/>
                      <w:i w:val="0"/>
                      <w:iCs w:val="0"/>
                      <w:caps w:val="0"/>
                      <w:color w:val="auto"/>
                      <w:spacing w:val="0"/>
                      <w:sz w:val="21"/>
                      <w:szCs w:val="21"/>
                      <w:u w:val="none"/>
                      <w:shd w:val="clear" w:fill="FFFFFF"/>
                    </w:rPr>
                    <w:t>不予审批环评的项目类别</w:t>
                  </w:r>
                  <w:r>
                    <w:rPr>
                      <w:rFonts w:hint="default" w:ascii="Times New Roman" w:hAnsi="Times New Roman" w:cs="Times New Roman" w:eastAsiaTheme="minorEastAsia"/>
                      <w:b w:val="0"/>
                      <w:bCs w:val="0"/>
                      <w:i w:val="0"/>
                      <w:iCs w:val="0"/>
                      <w:caps w:val="0"/>
                      <w:color w:val="auto"/>
                      <w:spacing w:val="0"/>
                      <w:sz w:val="21"/>
                      <w:szCs w:val="21"/>
                      <w:u w:val="none"/>
                      <w:shd w:val="clear" w:fill="FFFFFF"/>
                    </w:rPr>
                    <w:fldChar w:fldCharType="end"/>
                  </w:r>
                  <w:r>
                    <w:rPr>
                      <w:rFonts w:hint="default" w:ascii="Times New Roman" w:hAnsi="Times New Roman" w:cs="Times New Roman" w:eastAsiaTheme="minorEastAsia"/>
                      <w:b w:val="0"/>
                      <w:bCs w:val="0"/>
                      <w:i w:val="0"/>
                      <w:iCs w:val="0"/>
                      <w:caps w:val="0"/>
                      <w:color w:val="auto"/>
                      <w:spacing w:val="0"/>
                      <w:sz w:val="21"/>
                      <w:szCs w:val="21"/>
                      <w:shd w:val="clear" w:fill="FFFFFF"/>
                    </w:rPr>
                    <w:t>，严格审核建设项目原辅材料和产品，对于以禁止生产、加工使用的新污染物作为原辅料或产品的建设项目，依法不予审批。</w:t>
                  </w:r>
                </w:p>
              </w:tc>
              <w:tc>
                <w:tcPr>
                  <w:tcW w:w="1096" w:type="pct"/>
                  <w:noWrap w:val="0"/>
                  <w:tcMar>
                    <w:top w:w="0" w:type="dxa"/>
                    <w:left w:w="28" w:type="dxa"/>
                    <w:bottom w:w="0" w:type="dxa"/>
                    <w:right w:w="28" w:type="dxa"/>
                  </w:tcMar>
                  <w:vAlign w:val="center"/>
                </w:tcPr>
                <w:p w14:paraId="70E35D17">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eastAsiaTheme="minorEastAsia"/>
                      <w:b w:val="0"/>
                      <w:bCs w:val="0"/>
                      <w:i w:val="0"/>
                      <w:iCs w:val="0"/>
                      <w:caps w:val="0"/>
                      <w:color w:val="auto"/>
                      <w:spacing w:val="0"/>
                      <w:sz w:val="21"/>
                      <w:szCs w:val="21"/>
                      <w:shd w:val="clear" w:fill="FFFFFF"/>
                      <w:lang w:val="en-US" w:eastAsia="zh-CN"/>
                    </w:rPr>
                  </w:pPr>
                  <w:r>
                    <w:rPr>
                      <w:rFonts w:hint="default" w:ascii="Times New Roman" w:hAnsi="Times New Roman" w:cs="Times New Roman" w:eastAsiaTheme="minorEastAsia"/>
                      <w:b w:val="0"/>
                      <w:bCs w:val="0"/>
                      <w:i w:val="0"/>
                      <w:iCs w:val="0"/>
                      <w:caps w:val="0"/>
                      <w:color w:val="auto"/>
                      <w:spacing w:val="0"/>
                      <w:sz w:val="21"/>
                      <w:szCs w:val="21"/>
                      <w:shd w:val="clear" w:fill="FFFFFF"/>
                    </w:rPr>
                    <w:t>本项目为</w:t>
                  </w:r>
                  <w:r>
                    <w:rPr>
                      <w:rFonts w:hint="eastAsia" w:cs="Times New Roman"/>
                      <w:color w:val="auto"/>
                      <w:kern w:val="2"/>
                      <w:sz w:val="21"/>
                      <w:szCs w:val="21"/>
                      <w:lang w:val="en-US" w:eastAsia="zh-CN" w:bidi="ar-SA"/>
                    </w:rPr>
                    <w:t>C2921塑料薄膜制造</w:t>
                  </w:r>
                  <w:r>
                    <w:rPr>
                      <w:rFonts w:hint="default" w:ascii="Times New Roman" w:hAnsi="Times New Roman" w:cs="Times New Roman" w:eastAsiaTheme="minorEastAsia"/>
                      <w:b w:val="0"/>
                      <w:bCs w:val="0"/>
                      <w:i w:val="0"/>
                      <w:iCs w:val="0"/>
                      <w:caps w:val="0"/>
                      <w:color w:val="auto"/>
                      <w:spacing w:val="0"/>
                      <w:sz w:val="21"/>
                      <w:szCs w:val="21"/>
                      <w:shd w:val="clear" w:fill="FFFFFF"/>
                    </w:rPr>
                    <w:t>，</w:t>
                  </w:r>
                  <w:r>
                    <w:rPr>
                      <w:rFonts w:hint="default" w:ascii="Times New Roman" w:hAnsi="Times New Roman" w:cs="Times New Roman" w:eastAsiaTheme="minorEastAsia"/>
                      <w:b w:val="0"/>
                      <w:bCs w:val="0"/>
                      <w:i w:val="0"/>
                      <w:iCs w:val="0"/>
                      <w:caps w:val="0"/>
                      <w:color w:val="auto"/>
                      <w:spacing w:val="0"/>
                      <w:sz w:val="21"/>
                      <w:szCs w:val="21"/>
                      <w:shd w:val="clear" w:fill="FFFFFF"/>
                      <w:lang w:val="en-US" w:eastAsia="zh-CN"/>
                    </w:rPr>
                    <w:t>符合《产业结构调整指导目录（2024年本）》</w:t>
                  </w:r>
                  <w:r>
                    <w:rPr>
                      <w:rFonts w:hint="default" w:ascii="Times New Roman" w:hAnsi="Times New Roman" w:cs="Times New Roman" w:eastAsiaTheme="minorEastAsia"/>
                      <w:b w:val="0"/>
                      <w:bCs w:val="0"/>
                      <w:i w:val="0"/>
                      <w:iCs w:val="0"/>
                      <w:caps w:val="0"/>
                      <w:color w:val="auto"/>
                      <w:spacing w:val="0"/>
                      <w:sz w:val="21"/>
                      <w:szCs w:val="21"/>
                      <w:shd w:val="clear" w:fill="FFFFFF"/>
                      <w:lang w:eastAsia="zh-CN"/>
                    </w:rPr>
                    <w:t>、</w:t>
                  </w:r>
                  <w:r>
                    <w:rPr>
                      <w:rFonts w:hint="default" w:ascii="Times New Roman" w:hAnsi="Times New Roman" w:cs="Times New Roman" w:eastAsiaTheme="minorEastAsia"/>
                      <w:b w:val="0"/>
                      <w:bCs w:val="0"/>
                      <w:i w:val="0"/>
                      <w:iCs w:val="0"/>
                      <w:caps w:val="0"/>
                      <w:color w:val="auto"/>
                      <w:spacing w:val="0"/>
                      <w:sz w:val="21"/>
                      <w:szCs w:val="21"/>
                      <w:shd w:val="clear" w:fill="FFFFFF"/>
                    </w:rPr>
                    <w:t>《斯德哥尔摩公约》、</w:t>
                  </w:r>
                  <w:r>
                    <w:rPr>
                      <w:rFonts w:hint="default" w:ascii="Times New Roman" w:hAnsi="Times New Roman" w:cs="Times New Roman" w:eastAsiaTheme="minorEastAsia"/>
                      <w:b w:val="0"/>
                      <w:bCs w:val="0"/>
                      <w:i w:val="0"/>
                      <w:iCs w:val="0"/>
                      <w:caps w:val="0"/>
                      <w:color w:val="auto"/>
                      <w:spacing w:val="0"/>
                      <w:sz w:val="21"/>
                      <w:szCs w:val="21"/>
                      <w:shd w:val="clear" w:fill="FFFFFF"/>
                      <w:lang w:val="en-US" w:eastAsia="zh-CN"/>
                    </w:rPr>
                    <w:t>江苏省</w:t>
                  </w:r>
                  <w:r>
                    <w:rPr>
                      <w:rFonts w:hint="default" w:ascii="Times New Roman" w:hAnsi="Times New Roman" w:cs="Times New Roman" w:eastAsiaTheme="minorEastAsia"/>
                      <w:b w:val="0"/>
                      <w:bCs w:val="0"/>
                      <w:i w:val="0"/>
                      <w:iCs w:val="0"/>
                      <w:caps w:val="0"/>
                      <w:color w:val="auto"/>
                      <w:spacing w:val="0"/>
                      <w:sz w:val="21"/>
                      <w:szCs w:val="21"/>
                      <w:shd w:val="clear" w:fill="FFFFFF"/>
                    </w:rPr>
                    <w:t>生态环境分区管控方案</w:t>
                  </w:r>
                  <w:r>
                    <w:rPr>
                      <w:rFonts w:hint="default" w:ascii="Times New Roman" w:hAnsi="Times New Roman" w:cs="Times New Roman" w:eastAsiaTheme="minorEastAsia"/>
                      <w:b w:val="0"/>
                      <w:bCs w:val="0"/>
                      <w:i w:val="0"/>
                      <w:iCs w:val="0"/>
                      <w:caps w:val="0"/>
                      <w:color w:val="auto"/>
                      <w:spacing w:val="0"/>
                      <w:sz w:val="21"/>
                      <w:szCs w:val="21"/>
                      <w:shd w:val="clear" w:fill="FFFFFF"/>
                      <w:lang w:eastAsia="zh-CN"/>
                    </w:rPr>
                    <w:t>；</w:t>
                  </w:r>
                  <w:r>
                    <w:rPr>
                      <w:rFonts w:hint="default" w:ascii="Times New Roman" w:hAnsi="Times New Roman" w:cs="Times New Roman" w:eastAsiaTheme="minorEastAsia"/>
                      <w:b w:val="0"/>
                      <w:bCs w:val="0"/>
                      <w:i w:val="0"/>
                      <w:iCs w:val="0"/>
                      <w:caps w:val="0"/>
                      <w:color w:val="auto"/>
                      <w:spacing w:val="0"/>
                      <w:sz w:val="21"/>
                      <w:szCs w:val="21"/>
                      <w:shd w:val="clear" w:fill="FFFFFF"/>
                      <w:lang w:val="en-US" w:eastAsia="zh-CN"/>
                    </w:rPr>
                    <w:t>项目</w:t>
                  </w:r>
                  <w:r>
                    <w:rPr>
                      <w:rFonts w:hint="eastAsia" w:ascii="Times New Roman" w:hAnsi="Times New Roman" w:cs="Times New Roman" w:eastAsiaTheme="minorEastAsia"/>
                      <w:b w:val="0"/>
                      <w:bCs w:val="0"/>
                      <w:i w:val="0"/>
                      <w:iCs w:val="0"/>
                      <w:caps w:val="0"/>
                      <w:color w:val="auto"/>
                      <w:spacing w:val="0"/>
                      <w:sz w:val="21"/>
                      <w:szCs w:val="21"/>
                      <w:shd w:val="clear" w:fill="FFFFFF"/>
                      <w:lang w:val="en-US" w:eastAsia="zh-CN"/>
                    </w:rPr>
                    <w:t>不</w:t>
                  </w:r>
                  <w:r>
                    <w:rPr>
                      <w:rFonts w:hint="default" w:ascii="Times New Roman" w:hAnsi="Times New Roman" w:cs="Times New Roman" w:eastAsiaTheme="minorEastAsia"/>
                      <w:b w:val="0"/>
                      <w:bCs w:val="0"/>
                      <w:i w:val="0"/>
                      <w:iCs w:val="0"/>
                      <w:caps w:val="0"/>
                      <w:color w:val="auto"/>
                      <w:spacing w:val="0"/>
                      <w:sz w:val="21"/>
                      <w:szCs w:val="21"/>
                      <w:shd w:val="clear" w:fill="FFFFFF"/>
                      <w:lang w:val="en-US" w:eastAsia="zh-CN"/>
                    </w:rPr>
                    <w:t>涉及</w:t>
                  </w:r>
                  <w:r>
                    <w:rPr>
                      <w:rFonts w:hint="default" w:ascii="Times New Roman" w:hAnsi="Times New Roman" w:cs="Times New Roman" w:eastAsiaTheme="minorEastAsia"/>
                      <w:b w:val="0"/>
                      <w:bCs w:val="0"/>
                      <w:i w:val="0"/>
                      <w:iCs w:val="0"/>
                      <w:caps w:val="0"/>
                      <w:color w:val="auto"/>
                      <w:spacing w:val="0"/>
                      <w:sz w:val="21"/>
                      <w:szCs w:val="21"/>
                      <w:shd w:val="clear" w:fill="FFFFFF"/>
                    </w:rPr>
                    <w:t>新污染物</w:t>
                  </w:r>
                </w:p>
              </w:tc>
              <w:tc>
                <w:tcPr>
                  <w:tcW w:w="541" w:type="pct"/>
                  <w:noWrap w:val="0"/>
                  <w:tcMar>
                    <w:top w:w="0" w:type="dxa"/>
                    <w:left w:w="28" w:type="dxa"/>
                    <w:bottom w:w="0" w:type="dxa"/>
                    <w:right w:w="28" w:type="dxa"/>
                  </w:tcMar>
                  <w:vAlign w:val="center"/>
                </w:tcPr>
                <w:p w14:paraId="1AEB1A7B">
                  <w:pPr>
                    <w:keepNext w:val="0"/>
                    <w:keepLines w:val="0"/>
                    <w:pageBreakBefore w:val="0"/>
                    <w:kinsoku/>
                    <w:wordWrap/>
                    <w:overflowPunct/>
                    <w:topLinePunct w:val="0"/>
                    <w:bidi w:val="0"/>
                    <w:spacing w:line="240" w:lineRule="exact"/>
                    <w:ind w:left="0" w:leftChars="0" w:firstLine="0" w:firstLineChars="0"/>
                    <w:jc w:val="center"/>
                    <w:textAlignment w:val="auto"/>
                    <w:rPr>
                      <w:rFonts w:hint="default" w:ascii="Times New Roman" w:hAnsi="Times New Roman" w:cs="Times New Roman" w:eastAsiaTheme="minorEastAsia"/>
                      <w:b w:val="0"/>
                      <w:bCs w:val="0"/>
                      <w:i w:val="0"/>
                      <w:iCs w:val="0"/>
                      <w:caps w:val="0"/>
                      <w:color w:val="auto"/>
                      <w:spacing w:val="0"/>
                      <w:sz w:val="21"/>
                      <w:szCs w:val="21"/>
                      <w:shd w:val="clear" w:fill="FFFFFF"/>
                      <w:lang w:val="en-US" w:eastAsia="zh-CN"/>
                    </w:rPr>
                  </w:pPr>
                  <w:r>
                    <w:rPr>
                      <w:rFonts w:hint="default" w:ascii="Times New Roman" w:hAnsi="Times New Roman" w:cs="Times New Roman" w:eastAsiaTheme="minorEastAsia"/>
                      <w:b w:val="0"/>
                      <w:bCs w:val="0"/>
                      <w:i w:val="0"/>
                      <w:iCs w:val="0"/>
                      <w:caps w:val="0"/>
                      <w:color w:val="auto"/>
                      <w:spacing w:val="0"/>
                      <w:sz w:val="21"/>
                      <w:szCs w:val="21"/>
                      <w:shd w:val="clear" w:fill="FFFFFF"/>
                      <w:lang w:val="en-US" w:eastAsia="zh-CN"/>
                    </w:rPr>
                    <w:t>相符</w:t>
                  </w:r>
                </w:p>
              </w:tc>
            </w:tr>
            <w:tr w14:paraId="764376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376" w:type="pct"/>
                  <w:vMerge w:val="continue"/>
                  <w:noWrap w:val="0"/>
                  <w:tcMar>
                    <w:top w:w="0" w:type="dxa"/>
                    <w:left w:w="28" w:type="dxa"/>
                    <w:bottom w:w="0" w:type="dxa"/>
                    <w:right w:w="28" w:type="dxa"/>
                  </w:tcMar>
                  <w:vAlign w:val="center"/>
                </w:tcPr>
                <w:p w14:paraId="5EEA5A5E">
                  <w:pPr>
                    <w:pStyle w:val="9"/>
                    <w:keepNext w:val="0"/>
                    <w:keepLines w:val="0"/>
                    <w:pageBreakBefore w:val="0"/>
                    <w:numPr>
                      <w:ilvl w:val="0"/>
                      <w:numId w:val="0"/>
                    </w:numPr>
                    <w:kinsoku/>
                    <w:wordWrap/>
                    <w:overflowPunct/>
                    <w:topLinePunct w:val="0"/>
                    <w:bidi w:val="0"/>
                    <w:spacing w:line="240" w:lineRule="exact"/>
                    <w:ind w:right="113" w:rightChars="0"/>
                    <w:jc w:val="left"/>
                    <w:textAlignment w:val="auto"/>
                    <w:rPr>
                      <w:rFonts w:hint="default" w:ascii="Times New Roman" w:hAnsi="Times New Roman" w:cs="Times New Roman" w:eastAsiaTheme="minorEastAsia"/>
                      <w:b w:val="0"/>
                      <w:bCs w:val="0"/>
                      <w:color w:val="auto"/>
                      <w:sz w:val="21"/>
                      <w:szCs w:val="21"/>
                      <w:lang w:val="en-US" w:eastAsia="zh-CN"/>
                    </w:rPr>
                  </w:pPr>
                </w:p>
              </w:tc>
              <w:tc>
                <w:tcPr>
                  <w:tcW w:w="1985" w:type="pct"/>
                  <w:noWrap w:val="0"/>
                  <w:tcMar>
                    <w:top w:w="0" w:type="dxa"/>
                    <w:left w:w="28" w:type="dxa"/>
                    <w:bottom w:w="0" w:type="dxa"/>
                    <w:right w:w="28" w:type="dxa"/>
                  </w:tcMar>
                  <w:vAlign w:val="center"/>
                </w:tcPr>
                <w:p w14:paraId="025664A7">
                  <w:pPr>
                    <w:pStyle w:val="9"/>
                    <w:keepNext w:val="0"/>
                    <w:keepLines w:val="0"/>
                    <w:pageBreakBefore w:val="0"/>
                    <w:numPr>
                      <w:ilvl w:val="0"/>
                      <w:numId w:val="0"/>
                    </w:numPr>
                    <w:kinsoku/>
                    <w:wordWrap/>
                    <w:overflowPunct/>
                    <w:topLinePunct w:val="0"/>
                    <w:bidi w:val="0"/>
                    <w:spacing w:line="240" w:lineRule="exact"/>
                    <w:ind w:left="0" w:leftChars="0" w:right="113" w:rightChars="0" w:firstLine="0" w:firstLineChars="0"/>
                    <w:jc w:val="left"/>
                    <w:textAlignment w:val="auto"/>
                    <w:rPr>
                      <w:rFonts w:hint="default" w:ascii="Times New Roman" w:hAnsi="Times New Roman" w:cs="Times New Roman" w:eastAsiaTheme="minorEastAsia"/>
                      <w:b w:val="0"/>
                      <w:bCs w:val="0"/>
                      <w:i w:val="0"/>
                      <w:iCs w:val="0"/>
                      <w:caps w:val="0"/>
                      <w:color w:val="auto"/>
                      <w:spacing w:val="0"/>
                      <w:sz w:val="21"/>
                      <w:szCs w:val="21"/>
                      <w:shd w:val="clear" w:fill="FFFFFF"/>
                    </w:rPr>
                  </w:pPr>
                  <w:r>
                    <w:rPr>
                      <w:rFonts w:hint="default" w:ascii="Times New Roman" w:hAnsi="Times New Roman" w:cs="Times New Roman" w:eastAsiaTheme="minorEastAsia"/>
                      <w:i w:val="0"/>
                      <w:iCs w:val="0"/>
                      <w:caps w:val="0"/>
                      <w:color w:val="auto"/>
                      <w:spacing w:val="0"/>
                      <w:sz w:val="21"/>
                      <w:szCs w:val="21"/>
                      <w:shd w:val="clear" w:fill="FFFFFF"/>
                    </w:rPr>
                    <w:t>优化原料、工艺和治理措施，从源头减少新污染物产生。建设项目应尽可能开发、使用低毒低害和无毒无害原料，减少产品中有毒有害物质含量；应采用清洁的生产工艺，提高资源利用率，从源头避免或削减新污染物产生。强化治理措施，已有污染防治技术的新污染物，应采取可行污染防治技术，加大治理力度，减轻新污染物排放对环境的影响。</w:t>
                  </w:r>
                </w:p>
              </w:tc>
              <w:tc>
                <w:tcPr>
                  <w:tcW w:w="1096" w:type="pct"/>
                  <w:noWrap w:val="0"/>
                  <w:tcMar>
                    <w:top w:w="0" w:type="dxa"/>
                    <w:left w:w="28" w:type="dxa"/>
                    <w:bottom w:w="0" w:type="dxa"/>
                    <w:right w:w="28" w:type="dxa"/>
                  </w:tcMar>
                  <w:vAlign w:val="center"/>
                </w:tcPr>
                <w:p w14:paraId="2D7CC10C">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eastAsiaTheme="minorEastAsia"/>
                      <w:b w:val="0"/>
                      <w:bCs w:val="0"/>
                      <w:i w:val="0"/>
                      <w:iCs w:val="0"/>
                      <w:caps w:val="0"/>
                      <w:color w:val="auto"/>
                      <w:spacing w:val="0"/>
                      <w:sz w:val="21"/>
                      <w:szCs w:val="21"/>
                      <w:shd w:val="clear" w:fill="FFFFFF"/>
                      <w:lang w:val="en-US"/>
                    </w:rPr>
                  </w:pPr>
                  <w:r>
                    <w:rPr>
                      <w:rFonts w:hint="default" w:ascii="Times New Roman" w:hAnsi="Times New Roman" w:eastAsia="宋体" w:cs="Times New Roman"/>
                      <w:color w:val="auto"/>
                      <w:kern w:val="2"/>
                      <w:sz w:val="21"/>
                      <w:szCs w:val="21"/>
                      <w:highlight w:val="none"/>
                      <w:lang w:val="en-US" w:eastAsia="zh-CN" w:bidi="ar-SA"/>
                    </w:rPr>
                    <w:t>项目</w:t>
                  </w:r>
                  <w:r>
                    <w:rPr>
                      <w:rFonts w:hint="eastAsia" w:ascii="Times New Roman" w:hAnsi="Times New Roman" w:cs="Times New Roman" w:eastAsiaTheme="minorEastAsia"/>
                      <w:b w:val="0"/>
                      <w:bCs w:val="0"/>
                      <w:i w:val="0"/>
                      <w:iCs w:val="0"/>
                      <w:caps w:val="0"/>
                      <w:color w:val="auto"/>
                      <w:spacing w:val="0"/>
                      <w:sz w:val="21"/>
                      <w:szCs w:val="21"/>
                      <w:shd w:val="clear" w:fill="FFFFFF"/>
                      <w:lang w:val="en-US" w:eastAsia="zh-CN"/>
                    </w:rPr>
                    <w:t>不</w:t>
                  </w:r>
                  <w:r>
                    <w:rPr>
                      <w:rFonts w:hint="default" w:ascii="Times New Roman" w:hAnsi="Times New Roman" w:cs="Times New Roman" w:eastAsiaTheme="minorEastAsia"/>
                      <w:b w:val="0"/>
                      <w:bCs w:val="0"/>
                      <w:i w:val="0"/>
                      <w:iCs w:val="0"/>
                      <w:caps w:val="0"/>
                      <w:color w:val="auto"/>
                      <w:spacing w:val="0"/>
                      <w:sz w:val="21"/>
                      <w:szCs w:val="21"/>
                      <w:shd w:val="clear" w:fill="FFFFFF"/>
                      <w:lang w:val="en-US" w:eastAsia="zh-CN"/>
                    </w:rPr>
                    <w:t>涉及</w:t>
                  </w:r>
                  <w:r>
                    <w:rPr>
                      <w:rFonts w:hint="default" w:ascii="Times New Roman" w:hAnsi="Times New Roman" w:cs="Times New Roman" w:eastAsiaTheme="minorEastAsia"/>
                      <w:b w:val="0"/>
                      <w:bCs w:val="0"/>
                      <w:i w:val="0"/>
                      <w:iCs w:val="0"/>
                      <w:caps w:val="0"/>
                      <w:color w:val="auto"/>
                      <w:spacing w:val="0"/>
                      <w:sz w:val="21"/>
                      <w:szCs w:val="21"/>
                      <w:shd w:val="clear" w:fill="FFFFFF"/>
                    </w:rPr>
                    <w:t>新污染物</w:t>
                  </w:r>
                </w:p>
              </w:tc>
              <w:tc>
                <w:tcPr>
                  <w:tcW w:w="541" w:type="pct"/>
                  <w:noWrap w:val="0"/>
                  <w:tcMar>
                    <w:top w:w="0" w:type="dxa"/>
                    <w:left w:w="28" w:type="dxa"/>
                    <w:bottom w:w="0" w:type="dxa"/>
                    <w:right w:w="28" w:type="dxa"/>
                  </w:tcMar>
                  <w:vAlign w:val="center"/>
                </w:tcPr>
                <w:p w14:paraId="2E8AB86E">
                  <w:pPr>
                    <w:keepNext w:val="0"/>
                    <w:keepLines w:val="0"/>
                    <w:pageBreakBefore w:val="0"/>
                    <w:kinsoku/>
                    <w:wordWrap/>
                    <w:overflowPunct/>
                    <w:topLinePunct w:val="0"/>
                    <w:bidi w:val="0"/>
                    <w:spacing w:line="240" w:lineRule="exact"/>
                    <w:ind w:left="0" w:leftChars="0" w:firstLine="0" w:firstLineChars="0"/>
                    <w:jc w:val="center"/>
                    <w:textAlignment w:val="auto"/>
                    <w:rPr>
                      <w:rFonts w:hint="default" w:ascii="Times New Roman" w:hAnsi="Times New Roman" w:cs="Times New Roman" w:eastAsiaTheme="minorEastAsia"/>
                      <w:b w:val="0"/>
                      <w:bCs w:val="0"/>
                      <w:i w:val="0"/>
                      <w:iCs w:val="0"/>
                      <w:caps w:val="0"/>
                      <w:color w:val="auto"/>
                      <w:spacing w:val="0"/>
                      <w:sz w:val="21"/>
                      <w:szCs w:val="21"/>
                      <w:shd w:val="clear" w:fill="FFFFFF"/>
                      <w:lang w:val="en-US" w:eastAsia="zh-CN"/>
                    </w:rPr>
                  </w:pPr>
                  <w:r>
                    <w:rPr>
                      <w:rFonts w:hint="default" w:ascii="Times New Roman" w:hAnsi="Times New Roman" w:cs="Times New Roman" w:eastAsiaTheme="minorEastAsia"/>
                      <w:b w:val="0"/>
                      <w:bCs w:val="0"/>
                      <w:i w:val="0"/>
                      <w:iCs w:val="0"/>
                      <w:caps w:val="0"/>
                      <w:color w:val="auto"/>
                      <w:spacing w:val="0"/>
                      <w:sz w:val="21"/>
                      <w:szCs w:val="21"/>
                      <w:shd w:val="clear" w:fill="FFFFFF"/>
                      <w:lang w:val="en-US" w:eastAsia="zh-CN"/>
                    </w:rPr>
                    <w:t>相符</w:t>
                  </w:r>
                </w:p>
              </w:tc>
            </w:tr>
            <w:tr w14:paraId="08741D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376" w:type="pct"/>
                  <w:vMerge w:val="continue"/>
                  <w:noWrap w:val="0"/>
                  <w:tcMar>
                    <w:top w:w="0" w:type="dxa"/>
                    <w:left w:w="28" w:type="dxa"/>
                    <w:bottom w:w="0" w:type="dxa"/>
                    <w:right w:w="28" w:type="dxa"/>
                  </w:tcMar>
                  <w:vAlign w:val="center"/>
                </w:tcPr>
                <w:p w14:paraId="2E3219EE">
                  <w:pPr>
                    <w:pStyle w:val="9"/>
                    <w:keepNext w:val="0"/>
                    <w:keepLines w:val="0"/>
                    <w:pageBreakBefore w:val="0"/>
                    <w:numPr>
                      <w:ilvl w:val="0"/>
                      <w:numId w:val="0"/>
                    </w:numPr>
                    <w:kinsoku/>
                    <w:wordWrap/>
                    <w:overflowPunct/>
                    <w:topLinePunct w:val="0"/>
                    <w:bidi w:val="0"/>
                    <w:spacing w:line="240" w:lineRule="exact"/>
                    <w:ind w:right="113" w:rightChars="0"/>
                    <w:jc w:val="left"/>
                    <w:textAlignment w:val="auto"/>
                    <w:rPr>
                      <w:rFonts w:hint="default" w:ascii="Times New Roman" w:hAnsi="Times New Roman" w:cs="Times New Roman" w:eastAsiaTheme="minorEastAsia"/>
                      <w:b w:val="0"/>
                      <w:bCs w:val="0"/>
                      <w:color w:val="auto"/>
                      <w:sz w:val="21"/>
                      <w:szCs w:val="21"/>
                      <w:lang w:val="en-US" w:eastAsia="zh-CN"/>
                    </w:rPr>
                  </w:pPr>
                </w:p>
              </w:tc>
              <w:tc>
                <w:tcPr>
                  <w:tcW w:w="1985" w:type="pct"/>
                  <w:noWrap w:val="0"/>
                  <w:tcMar>
                    <w:top w:w="0" w:type="dxa"/>
                    <w:left w:w="28" w:type="dxa"/>
                    <w:bottom w:w="0" w:type="dxa"/>
                    <w:right w:w="28" w:type="dxa"/>
                  </w:tcMar>
                  <w:vAlign w:val="center"/>
                </w:tcPr>
                <w:p w14:paraId="47E382C3">
                  <w:pPr>
                    <w:pStyle w:val="9"/>
                    <w:keepNext w:val="0"/>
                    <w:keepLines w:val="0"/>
                    <w:pageBreakBefore w:val="0"/>
                    <w:numPr>
                      <w:ilvl w:val="0"/>
                      <w:numId w:val="0"/>
                    </w:numPr>
                    <w:kinsoku/>
                    <w:wordWrap/>
                    <w:overflowPunct/>
                    <w:topLinePunct w:val="0"/>
                    <w:bidi w:val="0"/>
                    <w:spacing w:line="240" w:lineRule="exact"/>
                    <w:ind w:left="0" w:leftChars="0" w:right="113" w:rightChars="0" w:firstLine="0" w:firstLineChars="0"/>
                    <w:jc w:val="left"/>
                    <w:textAlignment w:val="auto"/>
                    <w:rPr>
                      <w:rFonts w:hint="default" w:ascii="Times New Roman" w:hAnsi="Times New Roman" w:cs="Times New Roman" w:eastAsiaTheme="minorEastAsia"/>
                      <w:i w:val="0"/>
                      <w:iCs w:val="0"/>
                      <w:caps w:val="0"/>
                      <w:color w:val="auto"/>
                      <w:spacing w:val="0"/>
                      <w:sz w:val="21"/>
                      <w:szCs w:val="21"/>
                      <w:shd w:val="clear" w:fill="FFFFFF"/>
                    </w:rPr>
                  </w:pPr>
                  <w:r>
                    <w:rPr>
                      <w:rFonts w:hint="default" w:ascii="Times New Roman" w:hAnsi="Times New Roman" w:cs="Times New Roman" w:eastAsiaTheme="minorEastAsia"/>
                      <w:i w:val="0"/>
                      <w:iCs w:val="0"/>
                      <w:caps w:val="0"/>
                      <w:color w:val="auto"/>
                      <w:spacing w:val="0"/>
                      <w:sz w:val="21"/>
                      <w:szCs w:val="21"/>
                      <w:shd w:val="clear" w:fill="FFFFFF"/>
                    </w:rPr>
                    <w:t>核算新污染物产排污情况。环评文件应给出所有列入重点管控新污染物清单、有毒有害污染物名录和优先控制化学品名录的化学物质生产或使用的数量、品种、用途，涉及化学反应的，分析主副反应中新污染物的迁移转化情况；将涉及的新污染物纳入评价因子；核算各环节新污染物的产生和排放情况。</w:t>
                  </w:r>
                </w:p>
              </w:tc>
              <w:tc>
                <w:tcPr>
                  <w:tcW w:w="1096" w:type="pct"/>
                  <w:noWrap w:val="0"/>
                  <w:tcMar>
                    <w:top w:w="0" w:type="dxa"/>
                    <w:left w:w="28" w:type="dxa"/>
                    <w:bottom w:w="0" w:type="dxa"/>
                    <w:right w:w="28" w:type="dxa"/>
                  </w:tcMar>
                  <w:vAlign w:val="center"/>
                </w:tcPr>
                <w:p w14:paraId="19BED915">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eastAsiaTheme="minorEastAsia"/>
                      <w:b w:val="0"/>
                      <w:bCs w:val="0"/>
                      <w:i w:val="0"/>
                      <w:iCs w:val="0"/>
                      <w:caps w:val="0"/>
                      <w:color w:val="auto"/>
                      <w:spacing w:val="0"/>
                      <w:sz w:val="21"/>
                      <w:szCs w:val="21"/>
                      <w:shd w:val="clear" w:fill="FFFFFF"/>
                      <w:lang w:val="en-US" w:eastAsia="zh-CN"/>
                    </w:rPr>
                  </w:pPr>
                  <w:r>
                    <w:rPr>
                      <w:rFonts w:hint="default" w:ascii="Times New Roman" w:hAnsi="Times New Roman" w:eastAsia="宋体" w:cs="Times New Roman"/>
                      <w:color w:val="auto"/>
                      <w:kern w:val="2"/>
                      <w:sz w:val="21"/>
                      <w:szCs w:val="21"/>
                      <w:highlight w:val="none"/>
                      <w:lang w:val="en-US" w:eastAsia="zh-CN" w:bidi="ar-SA"/>
                    </w:rPr>
                    <w:t>项目</w:t>
                  </w:r>
                  <w:r>
                    <w:rPr>
                      <w:rFonts w:hint="eastAsia" w:ascii="Times New Roman" w:hAnsi="Times New Roman" w:cs="Times New Roman" w:eastAsiaTheme="minorEastAsia"/>
                      <w:b w:val="0"/>
                      <w:bCs w:val="0"/>
                      <w:i w:val="0"/>
                      <w:iCs w:val="0"/>
                      <w:caps w:val="0"/>
                      <w:color w:val="auto"/>
                      <w:spacing w:val="0"/>
                      <w:sz w:val="21"/>
                      <w:szCs w:val="21"/>
                      <w:shd w:val="clear" w:fill="FFFFFF"/>
                      <w:lang w:val="en-US" w:eastAsia="zh-CN"/>
                    </w:rPr>
                    <w:t>不</w:t>
                  </w:r>
                  <w:r>
                    <w:rPr>
                      <w:rFonts w:hint="default" w:ascii="Times New Roman" w:hAnsi="Times New Roman" w:cs="Times New Roman" w:eastAsiaTheme="minorEastAsia"/>
                      <w:b w:val="0"/>
                      <w:bCs w:val="0"/>
                      <w:i w:val="0"/>
                      <w:iCs w:val="0"/>
                      <w:caps w:val="0"/>
                      <w:color w:val="auto"/>
                      <w:spacing w:val="0"/>
                      <w:sz w:val="21"/>
                      <w:szCs w:val="21"/>
                      <w:shd w:val="clear" w:fill="FFFFFF"/>
                      <w:lang w:val="en-US" w:eastAsia="zh-CN"/>
                    </w:rPr>
                    <w:t>涉及</w:t>
                  </w:r>
                  <w:r>
                    <w:rPr>
                      <w:rFonts w:hint="default" w:ascii="Times New Roman" w:hAnsi="Times New Roman" w:cs="Times New Roman" w:eastAsiaTheme="minorEastAsia"/>
                      <w:b w:val="0"/>
                      <w:bCs w:val="0"/>
                      <w:i w:val="0"/>
                      <w:iCs w:val="0"/>
                      <w:caps w:val="0"/>
                      <w:color w:val="auto"/>
                      <w:spacing w:val="0"/>
                      <w:sz w:val="21"/>
                      <w:szCs w:val="21"/>
                      <w:shd w:val="clear" w:fill="FFFFFF"/>
                    </w:rPr>
                    <w:t>新污染物</w:t>
                  </w:r>
                </w:p>
              </w:tc>
              <w:tc>
                <w:tcPr>
                  <w:tcW w:w="541" w:type="pct"/>
                  <w:noWrap w:val="0"/>
                  <w:tcMar>
                    <w:top w:w="0" w:type="dxa"/>
                    <w:left w:w="28" w:type="dxa"/>
                    <w:bottom w:w="0" w:type="dxa"/>
                    <w:right w:w="28" w:type="dxa"/>
                  </w:tcMar>
                  <w:vAlign w:val="center"/>
                </w:tcPr>
                <w:p w14:paraId="4EFC3725">
                  <w:pPr>
                    <w:keepNext w:val="0"/>
                    <w:keepLines w:val="0"/>
                    <w:pageBreakBefore w:val="0"/>
                    <w:kinsoku/>
                    <w:wordWrap/>
                    <w:overflowPunct/>
                    <w:topLinePunct w:val="0"/>
                    <w:bidi w:val="0"/>
                    <w:spacing w:line="240" w:lineRule="exact"/>
                    <w:ind w:left="0" w:leftChars="0" w:firstLine="0" w:firstLineChars="0"/>
                    <w:jc w:val="center"/>
                    <w:textAlignment w:val="auto"/>
                    <w:rPr>
                      <w:rFonts w:hint="default" w:ascii="Times New Roman" w:hAnsi="Times New Roman" w:cs="Times New Roman" w:eastAsiaTheme="minorEastAsia"/>
                      <w:b w:val="0"/>
                      <w:bCs w:val="0"/>
                      <w:i w:val="0"/>
                      <w:iCs w:val="0"/>
                      <w:caps w:val="0"/>
                      <w:color w:val="auto"/>
                      <w:spacing w:val="0"/>
                      <w:sz w:val="21"/>
                      <w:szCs w:val="21"/>
                      <w:shd w:val="clear" w:fill="FFFFFF"/>
                      <w:lang w:val="en-US" w:eastAsia="zh-CN"/>
                    </w:rPr>
                  </w:pPr>
                  <w:r>
                    <w:rPr>
                      <w:rFonts w:hint="default" w:ascii="Times New Roman" w:hAnsi="Times New Roman" w:cs="Times New Roman" w:eastAsiaTheme="minorEastAsia"/>
                      <w:b w:val="0"/>
                      <w:bCs w:val="0"/>
                      <w:i w:val="0"/>
                      <w:iCs w:val="0"/>
                      <w:caps w:val="0"/>
                      <w:color w:val="auto"/>
                      <w:spacing w:val="0"/>
                      <w:sz w:val="21"/>
                      <w:szCs w:val="21"/>
                      <w:shd w:val="clear" w:fill="FFFFFF"/>
                      <w:lang w:val="en-US" w:eastAsia="zh-CN"/>
                    </w:rPr>
                    <w:t>相符</w:t>
                  </w:r>
                </w:p>
              </w:tc>
            </w:tr>
            <w:tr w14:paraId="079EE3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376" w:type="pct"/>
                  <w:vMerge w:val="continue"/>
                  <w:noWrap w:val="0"/>
                  <w:tcMar>
                    <w:top w:w="0" w:type="dxa"/>
                    <w:left w:w="28" w:type="dxa"/>
                    <w:bottom w:w="0" w:type="dxa"/>
                    <w:right w:w="28" w:type="dxa"/>
                  </w:tcMar>
                  <w:vAlign w:val="center"/>
                </w:tcPr>
                <w:p w14:paraId="5E901241">
                  <w:pPr>
                    <w:pStyle w:val="9"/>
                    <w:keepNext w:val="0"/>
                    <w:keepLines w:val="0"/>
                    <w:pageBreakBefore w:val="0"/>
                    <w:numPr>
                      <w:ilvl w:val="0"/>
                      <w:numId w:val="0"/>
                    </w:numPr>
                    <w:kinsoku/>
                    <w:wordWrap/>
                    <w:overflowPunct/>
                    <w:topLinePunct w:val="0"/>
                    <w:bidi w:val="0"/>
                    <w:spacing w:line="240" w:lineRule="exact"/>
                    <w:ind w:right="113" w:rightChars="0"/>
                    <w:jc w:val="left"/>
                    <w:textAlignment w:val="auto"/>
                    <w:rPr>
                      <w:rFonts w:hint="default" w:ascii="Times New Roman" w:hAnsi="Times New Roman" w:cs="Times New Roman" w:eastAsiaTheme="minorEastAsia"/>
                      <w:b w:val="0"/>
                      <w:bCs w:val="0"/>
                      <w:color w:val="auto"/>
                      <w:sz w:val="21"/>
                      <w:szCs w:val="21"/>
                      <w:lang w:val="en-US" w:eastAsia="zh-CN"/>
                    </w:rPr>
                  </w:pPr>
                </w:p>
              </w:tc>
              <w:tc>
                <w:tcPr>
                  <w:tcW w:w="1985" w:type="pct"/>
                  <w:noWrap w:val="0"/>
                  <w:tcMar>
                    <w:top w:w="0" w:type="dxa"/>
                    <w:left w:w="28" w:type="dxa"/>
                    <w:bottom w:w="0" w:type="dxa"/>
                    <w:right w:w="28" w:type="dxa"/>
                  </w:tcMar>
                  <w:vAlign w:val="center"/>
                </w:tcPr>
                <w:p w14:paraId="203BC411">
                  <w:pPr>
                    <w:pStyle w:val="9"/>
                    <w:keepNext w:val="0"/>
                    <w:keepLines w:val="0"/>
                    <w:pageBreakBefore w:val="0"/>
                    <w:numPr>
                      <w:ilvl w:val="0"/>
                      <w:numId w:val="0"/>
                    </w:numPr>
                    <w:kinsoku/>
                    <w:wordWrap/>
                    <w:overflowPunct/>
                    <w:topLinePunct w:val="0"/>
                    <w:bidi w:val="0"/>
                    <w:spacing w:line="240" w:lineRule="exact"/>
                    <w:ind w:left="0" w:leftChars="0" w:right="113" w:rightChars="0" w:firstLine="0" w:firstLineChars="0"/>
                    <w:jc w:val="left"/>
                    <w:textAlignment w:val="auto"/>
                    <w:rPr>
                      <w:rFonts w:hint="default" w:ascii="Times New Roman" w:hAnsi="Times New Roman" w:cs="Times New Roman" w:eastAsiaTheme="minorEastAsia"/>
                      <w:i w:val="0"/>
                      <w:iCs w:val="0"/>
                      <w:caps w:val="0"/>
                      <w:color w:val="auto"/>
                      <w:spacing w:val="0"/>
                      <w:sz w:val="21"/>
                      <w:szCs w:val="21"/>
                      <w:shd w:val="clear" w:fill="FFFFFF"/>
                    </w:rPr>
                  </w:pPr>
                  <w:r>
                    <w:rPr>
                      <w:rFonts w:hint="default" w:ascii="Times New Roman" w:hAnsi="Times New Roman" w:cs="Times New Roman" w:eastAsiaTheme="minorEastAsia"/>
                      <w:i w:val="0"/>
                      <w:iCs w:val="0"/>
                      <w:caps w:val="0"/>
                      <w:color w:val="auto"/>
                      <w:spacing w:val="0"/>
                      <w:sz w:val="21"/>
                      <w:szCs w:val="21"/>
                      <w:shd w:val="clear" w:fill="FFFFFF"/>
                    </w:rPr>
                    <w:t>对已发布污染物排放标准的新污染物严格排放达标要求。新建项目产生并排放已有排放标准新污染物的，应采取措施确保排放达标。</w:t>
                  </w:r>
                </w:p>
              </w:tc>
              <w:tc>
                <w:tcPr>
                  <w:tcW w:w="1096" w:type="pct"/>
                  <w:noWrap w:val="0"/>
                  <w:tcMar>
                    <w:top w:w="0" w:type="dxa"/>
                    <w:left w:w="28" w:type="dxa"/>
                    <w:bottom w:w="0" w:type="dxa"/>
                    <w:right w:w="28" w:type="dxa"/>
                  </w:tcMar>
                  <w:vAlign w:val="center"/>
                </w:tcPr>
                <w:p w14:paraId="3880D920">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eastAsiaTheme="minorEastAsia"/>
                      <w:i w:val="0"/>
                      <w:iCs w:val="0"/>
                      <w:caps w:val="0"/>
                      <w:color w:val="auto"/>
                      <w:spacing w:val="0"/>
                      <w:kern w:val="2"/>
                      <w:sz w:val="21"/>
                      <w:szCs w:val="21"/>
                      <w:shd w:val="clear" w:fill="FFFFFF"/>
                      <w:lang w:val="en-US" w:eastAsia="zh-CN" w:bidi="ar-SA"/>
                    </w:rPr>
                  </w:pPr>
                  <w:r>
                    <w:rPr>
                      <w:rFonts w:hint="default" w:ascii="Times New Roman" w:hAnsi="Times New Roman" w:eastAsia="宋体" w:cs="Times New Roman"/>
                      <w:color w:val="auto"/>
                      <w:kern w:val="2"/>
                      <w:sz w:val="21"/>
                      <w:szCs w:val="21"/>
                      <w:highlight w:val="none"/>
                      <w:lang w:val="en-US" w:eastAsia="zh-CN" w:bidi="ar-SA"/>
                    </w:rPr>
                    <w:t>项目</w:t>
                  </w:r>
                  <w:r>
                    <w:rPr>
                      <w:rFonts w:hint="eastAsia" w:ascii="Times New Roman" w:hAnsi="Times New Roman" w:cs="Times New Roman" w:eastAsiaTheme="minorEastAsia"/>
                      <w:b w:val="0"/>
                      <w:bCs w:val="0"/>
                      <w:i w:val="0"/>
                      <w:iCs w:val="0"/>
                      <w:caps w:val="0"/>
                      <w:color w:val="auto"/>
                      <w:spacing w:val="0"/>
                      <w:sz w:val="21"/>
                      <w:szCs w:val="21"/>
                      <w:shd w:val="clear" w:fill="FFFFFF"/>
                      <w:lang w:val="en-US" w:eastAsia="zh-CN"/>
                    </w:rPr>
                    <w:t>不</w:t>
                  </w:r>
                  <w:r>
                    <w:rPr>
                      <w:rFonts w:hint="default" w:ascii="Times New Roman" w:hAnsi="Times New Roman" w:cs="Times New Roman" w:eastAsiaTheme="minorEastAsia"/>
                      <w:b w:val="0"/>
                      <w:bCs w:val="0"/>
                      <w:i w:val="0"/>
                      <w:iCs w:val="0"/>
                      <w:caps w:val="0"/>
                      <w:color w:val="auto"/>
                      <w:spacing w:val="0"/>
                      <w:sz w:val="21"/>
                      <w:szCs w:val="21"/>
                      <w:shd w:val="clear" w:fill="FFFFFF"/>
                      <w:lang w:val="en-US" w:eastAsia="zh-CN"/>
                    </w:rPr>
                    <w:t>涉及</w:t>
                  </w:r>
                  <w:r>
                    <w:rPr>
                      <w:rFonts w:hint="default" w:ascii="Times New Roman" w:hAnsi="Times New Roman" w:cs="Times New Roman" w:eastAsiaTheme="minorEastAsia"/>
                      <w:b w:val="0"/>
                      <w:bCs w:val="0"/>
                      <w:i w:val="0"/>
                      <w:iCs w:val="0"/>
                      <w:caps w:val="0"/>
                      <w:color w:val="auto"/>
                      <w:spacing w:val="0"/>
                      <w:sz w:val="21"/>
                      <w:szCs w:val="21"/>
                      <w:shd w:val="clear" w:fill="FFFFFF"/>
                    </w:rPr>
                    <w:t>新污染物</w:t>
                  </w:r>
                </w:p>
              </w:tc>
              <w:tc>
                <w:tcPr>
                  <w:tcW w:w="541" w:type="pct"/>
                  <w:noWrap w:val="0"/>
                  <w:tcMar>
                    <w:top w:w="0" w:type="dxa"/>
                    <w:left w:w="28" w:type="dxa"/>
                    <w:bottom w:w="0" w:type="dxa"/>
                    <w:right w:w="28" w:type="dxa"/>
                  </w:tcMar>
                  <w:vAlign w:val="center"/>
                </w:tcPr>
                <w:p w14:paraId="13B5319F">
                  <w:pPr>
                    <w:keepNext w:val="0"/>
                    <w:keepLines w:val="0"/>
                    <w:pageBreakBefore w:val="0"/>
                    <w:kinsoku/>
                    <w:wordWrap/>
                    <w:overflowPunct/>
                    <w:topLinePunct w:val="0"/>
                    <w:bidi w:val="0"/>
                    <w:spacing w:line="240" w:lineRule="exact"/>
                    <w:ind w:left="0" w:leftChars="0" w:firstLine="0" w:firstLineChars="0"/>
                    <w:jc w:val="center"/>
                    <w:textAlignment w:val="auto"/>
                    <w:rPr>
                      <w:rFonts w:hint="default" w:ascii="Times New Roman" w:hAnsi="Times New Roman" w:cs="Times New Roman" w:eastAsiaTheme="minorEastAsia"/>
                      <w:i w:val="0"/>
                      <w:iCs w:val="0"/>
                      <w:caps w:val="0"/>
                      <w:color w:val="auto"/>
                      <w:spacing w:val="0"/>
                      <w:kern w:val="2"/>
                      <w:sz w:val="21"/>
                      <w:szCs w:val="21"/>
                      <w:shd w:val="clear" w:fill="FFFFFF"/>
                      <w:lang w:val="en-US" w:eastAsia="zh-CN" w:bidi="ar-SA"/>
                    </w:rPr>
                  </w:pPr>
                  <w:r>
                    <w:rPr>
                      <w:rFonts w:hint="default" w:ascii="Times New Roman" w:hAnsi="Times New Roman" w:cs="Times New Roman" w:eastAsiaTheme="minorEastAsia"/>
                      <w:i w:val="0"/>
                      <w:iCs w:val="0"/>
                      <w:caps w:val="0"/>
                      <w:color w:val="auto"/>
                      <w:spacing w:val="0"/>
                      <w:kern w:val="2"/>
                      <w:sz w:val="21"/>
                      <w:szCs w:val="21"/>
                      <w:shd w:val="clear" w:fill="FFFFFF"/>
                      <w:lang w:val="en-US" w:eastAsia="zh-CN" w:bidi="ar-SA"/>
                    </w:rPr>
                    <w:t>相符</w:t>
                  </w:r>
                </w:p>
              </w:tc>
            </w:tr>
            <w:tr w14:paraId="477612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297" w:type="dxa"/>
                  <w:noWrap w:val="0"/>
                  <w:tcMar>
                    <w:top w:w="0" w:type="dxa"/>
                    <w:left w:w="28" w:type="dxa"/>
                    <w:bottom w:w="0" w:type="dxa"/>
                    <w:right w:w="28" w:type="dxa"/>
                  </w:tcMar>
                  <w:vAlign w:val="center"/>
                </w:tcPr>
                <w:p w14:paraId="1B0CD6F7">
                  <w:pPr>
                    <w:pStyle w:val="9"/>
                    <w:keepNext w:val="0"/>
                    <w:keepLines w:val="0"/>
                    <w:pageBreakBefore w:val="0"/>
                    <w:numPr>
                      <w:ilvl w:val="0"/>
                      <w:numId w:val="0"/>
                    </w:numPr>
                    <w:kinsoku/>
                    <w:wordWrap/>
                    <w:overflowPunct/>
                    <w:topLinePunct w:val="0"/>
                    <w:bidi w:val="0"/>
                    <w:spacing w:line="240" w:lineRule="exact"/>
                    <w:ind w:left="0" w:leftChars="0" w:right="113" w:rightChars="0" w:firstLine="0" w:firstLineChars="0"/>
                    <w:jc w:val="left"/>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i w:val="0"/>
                      <w:iCs w:val="0"/>
                      <w:caps w:val="0"/>
                      <w:color w:val="FF0000"/>
                      <w:spacing w:val="0"/>
                      <w:sz w:val="21"/>
                      <w:szCs w:val="21"/>
                      <w:shd w:val="clear" w:fill="FFFFFF"/>
                    </w:rPr>
                    <w:t>《江苏省重点管控新污染物补充清单（第一批）》</w:t>
                  </w:r>
                  <w:r>
                    <w:rPr>
                      <w:rFonts w:hint="eastAsia" w:ascii="Times New Roman" w:hAnsi="Times New Roman" w:cs="Times New Roman" w:eastAsiaTheme="minorEastAsia"/>
                      <w:i w:val="0"/>
                      <w:iCs w:val="0"/>
                      <w:caps w:val="0"/>
                      <w:color w:val="FF0000"/>
                      <w:spacing w:val="0"/>
                      <w:sz w:val="21"/>
                      <w:szCs w:val="21"/>
                      <w:shd w:val="clear" w:fill="FFFFFF"/>
                      <w:lang w:eastAsia="zh-CN"/>
                    </w:rPr>
                    <w:t>（</w:t>
                  </w:r>
                  <w:r>
                    <w:rPr>
                      <w:rFonts w:hint="default" w:ascii="Times New Roman" w:hAnsi="Times New Roman" w:cs="Times New Roman" w:eastAsiaTheme="minorEastAsia"/>
                      <w:i w:val="0"/>
                      <w:iCs w:val="0"/>
                      <w:caps w:val="0"/>
                      <w:color w:val="FF0000"/>
                      <w:spacing w:val="0"/>
                      <w:sz w:val="21"/>
                      <w:szCs w:val="21"/>
                      <w:shd w:val="clear" w:fill="FFFFFF"/>
                    </w:rPr>
                    <w:t>苏环办〔2026〕</w:t>
                  </w:r>
                  <w:r>
                    <w:rPr>
                      <w:rFonts w:hint="eastAsia" w:cs="Times New Roman" w:eastAsiaTheme="minorEastAsia"/>
                      <w:i w:val="0"/>
                      <w:iCs w:val="0"/>
                      <w:caps w:val="0"/>
                      <w:color w:val="FF0000"/>
                      <w:spacing w:val="0"/>
                      <w:sz w:val="21"/>
                      <w:szCs w:val="21"/>
                      <w:shd w:val="clear" w:fill="FFFFFF"/>
                      <w:lang w:val="en-US" w:eastAsia="zh-CN"/>
                    </w:rPr>
                    <w:t>19</w:t>
                  </w:r>
                  <w:r>
                    <w:rPr>
                      <w:rFonts w:hint="default" w:ascii="Times New Roman" w:hAnsi="Times New Roman" w:cs="Times New Roman" w:eastAsiaTheme="minorEastAsia"/>
                      <w:i w:val="0"/>
                      <w:iCs w:val="0"/>
                      <w:caps w:val="0"/>
                      <w:color w:val="FF0000"/>
                      <w:spacing w:val="0"/>
                      <w:sz w:val="21"/>
                      <w:szCs w:val="21"/>
                      <w:shd w:val="clear" w:fill="FFFFFF"/>
                    </w:rPr>
                    <w:t xml:space="preserve"> 号</w:t>
                  </w:r>
                  <w:r>
                    <w:rPr>
                      <w:rFonts w:hint="eastAsia" w:ascii="Times New Roman" w:hAnsi="Times New Roman" w:cs="Times New Roman" w:eastAsiaTheme="minorEastAsia"/>
                      <w:i w:val="0"/>
                      <w:iCs w:val="0"/>
                      <w:caps w:val="0"/>
                      <w:color w:val="FF0000"/>
                      <w:spacing w:val="0"/>
                      <w:sz w:val="21"/>
                      <w:szCs w:val="21"/>
                      <w:shd w:val="clear" w:fill="FFFFFF"/>
                      <w:lang w:eastAsia="zh-CN"/>
                    </w:rPr>
                    <w:t>）</w:t>
                  </w:r>
                </w:p>
              </w:tc>
              <w:tc>
                <w:tcPr>
                  <w:tcW w:w="3317" w:type="dxa"/>
                  <w:noWrap w:val="0"/>
                  <w:tcMar>
                    <w:top w:w="0" w:type="dxa"/>
                    <w:left w:w="28" w:type="dxa"/>
                    <w:bottom w:w="0" w:type="dxa"/>
                    <w:right w:w="28" w:type="dxa"/>
                  </w:tcMar>
                  <w:vAlign w:val="center"/>
                </w:tcPr>
                <w:p w14:paraId="2C84DDAB">
                  <w:pPr>
                    <w:pStyle w:val="9"/>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left"/>
                    <w:textAlignment w:val="auto"/>
                    <w:rPr>
                      <w:rFonts w:hint="default" w:ascii="Times New Roman" w:hAnsi="Times New Roman" w:cs="Times New Roman" w:eastAsiaTheme="minorEastAsia"/>
                      <w:i w:val="0"/>
                      <w:iCs w:val="0"/>
                      <w:caps w:val="0"/>
                      <w:color w:val="FF0000"/>
                      <w:spacing w:val="0"/>
                      <w:sz w:val="21"/>
                      <w:szCs w:val="21"/>
                      <w:shd w:val="clear" w:fill="FFFFFF"/>
                    </w:rPr>
                  </w:pPr>
                  <w:r>
                    <w:rPr>
                      <w:rFonts w:hint="eastAsia" w:ascii="Times New Roman" w:hAnsi="Times New Roman" w:cs="Times New Roman" w:eastAsiaTheme="minorEastAsia"/>
                      <w:i w:val="0"/>
                      <w:iCs w:val="0"/>
                      <w:caps w:val="0"/>
                      <w:color w:val="FF0000"/>
                      <w:spacing w:val="0"/>
                      <w:sz w:val="21"/>
                      <w:szCs w:val="21"/>
                      <w:shd w:val="clear" w:fill="FFFFFF"/>
                    </w:rPr>
                    <w:t>1. 依据《卫生部等6部门关于禁止双酚A用于婴幼儿奶瓶的公告》（卫生部公告2011年15号），禁止生产、进口和销售含双酚A的婴幼儿奶瓶。</w:t>
                  </w:r>
                </w:p>
                <w:p w14:paraId="0B2F009C">
                  <w:pPr>
                    <w:pStyle w:val="9"/>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left"/>
                    <w:textAlignment w:val="auto"/>
                    <w:rPr>
                      <w:rFonts w:hint="eastAsia" w:ascii="Times New Roman" w:hAnsi="Times New Roman" w:cs="Times New Roman" w:eastAsiaTheme="minorEastAsia"/>
                      <w:i w:val="0"/>
                      <w:iCs w:val="0"/>
                      <w:caps w:val="0"/>
                      <w:color w:val="FF0000"/>
                      <w:spacing w:val="0"/>
                      <w:sz w:val="21"/>
                      <w:szCs w:val="21"/>
                      <w:shd w:val="clear" w:fill="FFFFFF"/>
                    </w:rPr>
                  </w:pPr>
                  <w:r>
                    <w:rPr>
                      <w:rFonts w:hint="eastAsia" w:ascii="Times New Roman" w:hAnsi="Times New Roman" w:cs="Times New Roman" w:eastAsiaTheme="minorEastAsia"/>
                      <w:i w:val="0"/>
                      <w:iCs w:val="0"/>
                      <w:caps w:val="0"/>
                      <w:color w:val="FF0000"/>
                      <w:spacing w:val="0"/>
                      <w:sz w:val="21"/>
                      <w:szCs w:val="21"/>
                      <w:shd w:val="clear" w:fill="FFFFFF"/>
                    </w:rPr>
                    <w:t>2. 依据《石油化学工业污染物排放标准》（GB 31571-2015）、《合成树脂工业污染物排放标准》（GB 31572-2015），对涉双酚A的相关企业，实施达标排放。</w:t>
                  </w:r>
                </w:p>
                <w:p w14:paraId="69EB2870">
                  <w:pPr>
                    <w:pStyle w:val="9"/>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left"/>
                    <w:textAlignment w:val="auto"/>
                    <w:rPr>
                      <w:rFonts w:hint="eastAsia" w:ascii="Times New Roman" w:hAnsi="Times New Roman" w:cs="Times New Roman" w:eastAsiaTheme="minorEastAsia"/>
                      <w:i w:val="0"/>
                      <w:iCs w:val="0"/>
                      <w:caps w:val="0"/>
                      <w:color w:val="FF0000"/>
                      <w:spacing w:val="0"/>
                      <w:sz w:val="21"/>
                      <w:szCs w:val="21"/>
                      <w:shd w:val="clear" w:fill="FFFFFF"/>
                    </w:rPr>
                  </w:pPr>
                  <w:r>
                    <w:rPr>
                      <w:rFonts w:hint="eastAsia" w:ascii="Times New Roman" w:hAnsi="Times New Roman" w:cs="Times New Roman" w:eastAsiaTheme="minorEastAsia"/>
                      <w:i w:val="0"/>
                      <w:iCs w:val="0"/>
                      <w:caps w:val="0"/>
                      <w:color w:val="FF0000"/>
                      <w:spacing w:val="0"/>
                      <w:sz w:val="21"/>
                      <w:szCs w:val="21"/>
                      <w:shd w:val="clear" w:fill="FFFFFF"/>
                    </w:rPr>
                    <w:t>3. 依据《食品安全国家标准 食品接触用塑料材料及制品》（GB 4806.7-2023）、《食品安全国家标准 食品接触用涂料及涂层》（GB 4806.10-2025），食品接触材料中的双酚A迁移量必须低于设定的安全限值。</w:t>
                  </w:r>
                </w:p>
                <w:p w14:paraId="1ABF74E3">
                  <w:pPr>
                    <w:pStyle w:val="9"/>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left"/>
                    <w:textAlignment w:val="auto"/>
                    <w:rPr>
                      <w:rFonts w:hint="eastAsia" w:ascii="Times New Roman" w:hAnsi="Times New Roman" w:cs="Times New Roman" w:eastAsiaTheme="minorEastAsia"/>
                      <w:i w:val="0"/>
                      <w:iCs w:val="0"/>
                      <w:caps w:val="0"/>
                      <w:color w:val="FF0000"/>
                      <w:spacing w:val="0"/>
                      <w:sz w:val="21"/>
                      <w:szCs w:val="21"/>
                      <w:shd w:val="clear" w:fill="FFFFFF"/>
                    </w:rPr>
                  </w:pPr>
                  <w:r>
                    <w:rPr>
                      <w:rFonts w:hint="eastAsia" w:ascii="Times New Roman" w:hAnsi="Times New Roman" w:cs="Times New Roman" w:eastAsiaTheme="minorEastAsia"/>
                      <w:i w:val="0"/>
                      <w:iCs w:val="0"/>
                      <w:caps w:val="0"/>
                      <w:color w:val="FF0000"/>
                      <w:spacing w:val="0"/>
                      <w:sz w:val="21"/>
                      <w:szCs w:val="21"/>
                      <w:shd w:val="clear" w:fill="FFFFFF"/>
                    </w:rPr>
                    <w:t>4. 依据《生活饮用水卫生标准》（GB 5749-2022），落实生活饮用水中双酚A限值要求。</w:t>
                  </w:r>
                </w:p>
                <w:p w14:paraId="37540283">
                  <w:pPr>
                    <w:pStyle w:val="9"/>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left"/>
                    <w:textAlignment w:val="auto"/>
                    <w:rPr>
                      <w:rFonts w:hint="eastAsia" w:ascii="Times New Roman" w:hAnsi="Times New Roman" w:cs="Times New Roman" w:eastAsiaTheme="minorEastAsia"/>
                      <w:i w:val="0"/>
                      <w:iCs w:val="0"/>
                      <w:caps w:val="0"/>
                      <w:color w:val="FF0000"/>
                      <w:spacing w:val="0"/>
                      <w:sz w:val="21"/>
                      <w:szCs w:val="21"/>
                      <w:shd w:val="clear" w:fill="FFFFFF"/>
                    </w:rPr>
                  </w:pPr>
                  <w:r>
                    <w:rPr>
                      <w:rFonts w:hint="eastAsia" w:ascii="Times New Roman" w:hAnsi="Times New Roman" w:cs="Times New Roman" w:eastAsiaTheme="minorEastAsia"/>
                      <w:i w:val="0"/>
                      <w:iCs w:val="0"/>
                      <w:caps w:val="0"/>
                      <w:color w:val="FF0000"/>
                      <w:spacing w:val="0"/>
                      <w:sz w:val="21"/>
                      <w:szCs w:val="21"/>
                      <w:shd w:val="clear" w:fill="FFFFFF"/>
                    </w:rPr>
                    <w:t>5. 依据《化学物质环境信息统计调查制度》和《第一批化学物质环境风险优先评估计划》（环办固体〔2022〕32号）有关要求，开展化学物质环境信息统计调查，配合做好环境风险评估等工作。</w:t>
                  </w:r>
                </w:p>
                <w:p w14:paraId="7E6A96F0">
                  <w:pPr>
                    <w:pStyle w:val="9"/>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left"/>
                    <w:textAlignment w:val="auto"/>
                    <w:rPr>
                      <w:rFonts w:hint="default" w:ascii="Times New Roman" w:hAnsi="Times New Roman" w:cs="Times New Roman" w:eastAsiaTheme="minorEastAsia"/>
                      <w:i w:val="0"/>
                      <w:iCs w:val="0"/>
                      <w:caps w:val="0"/>
                      <w:color w:val="auto"/>
                      <w:spacing w:val="0"/>
                      <w:sz w:val="21"/>
                      <w:szCs w:val="21"/>
                      <w:shd w:val="clear" w:fill="FFFFFF"/>
                    </w:rPr>
                  </w:pPr>
                  <w:r>
                    <w:rPr>
                      <w:rFonts w:hint="eastAsia" w:ascii="Times New Roman" w:hAnsi="Times New Roman" w:cs="Times New Roman" w:eastAsiaTheme="minorEastAsia"/>
                      <w:i w:val="0"/>
                      <w:iCs w:val="0"/>
                      <w:caps w:val="0"/>
                      <w:color w:val="FF0000"/>
                      <w:spacing w:val="0"/>
                      <w:sz w:val="21"/>
                      <w:szCs w:val="21"/>
                      <w:shd w:val="clear" w:fill="FFFFFF"/>
                    </w:rPr>
                    <w:t>6. 依据《关于加强重点行业涉新污染物建设项目环境影响评价工作的意见》（环环评〔2025〕28号），在开展建设项目环评工作时，核算双酚A产排污情况，强化双酚A排放情况跟踪监测；在核发排污许可证时，将双酚A管控要求依法纳入排污许可管理。</w:t>
                  </w:r>
                </w:p>
              </w:tc>
              <w:tc>
                <w:tcPr>
                  <w:tcW w:w="1831" w:type="dxa"/>
                  <w:noWrap w:val="0"/>
                  <w:tcMar>
                    <w:top w:w="0" w:type="dxa"/>
                    <w:left w:w="28" w:type="dxa"/>
                    <w:bottom w:w="0" w:type="dxa"/>
                    <w:right w:w="28" w:type="dxa"/>
                  </w:tcMar>
                  <w:vAlign w:val="center"/>
                </w:tcPr>
                <w:p w14:paraId="2C742D03">
                  <w:pPr>
                    <w:pStyle w:val="9"/>
                    <w:keepNext w:val="0"/>
                    <w:keepLines w:val="0"/>
                    <w:pageBreakBefore w:val="0"/>
                    <w:numPr>
                      <w:ilvl w:val="0"/>
                      <w:numId w:val="0"/>
                    </w:numPr>
                    <w:kinsoku/>
                    <w:wordWrap/>
                    <w:overflowPunct/>
                    <w:topLinePunct w:val="0"/>
                    <w:bidi w:val="0"/>
                    <w:spacing w:line="240" w:lineRule="exact"/>
                    <w:ind w:left="0" w:leftChars="0" w:right="113"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eastAsiaTheme="minorEastAsia"/>
                      <w:i w:val="0"/>
                      <w:iCs w:val="0"/>
                      <w:caps w:val="0"/>
                      <w:color w:val="FF0000"/>
                      <w:spacing w:val="0"/>
                      <w:sz w:val="21"/>
                      <w:szCs w:val="21"/>
                      <w:shd w:val="clear" w:fill="FFFFFF"/>
                      <w:lang w:val="en-US" w:eastAsia="zh-CN"/>
                    </w:rPr>
                    <w:t>项目</w:t>
                  </w:r>
                  <w:r>
                    <w:rPr>
                      <w:rFonts w:hint="eastAsia" w:ascii="Times New Roman" w:hAnsi="Times New Roman" w:cs="Times New Roman" w:eastAsiaTheme="minorEastAsia"/>
                      <w:i w:val="0"/>
                      <w:iCs w:val="0"/>
                      <w:caps w:val="0"/>
                      <w:color w:val="FF0000"/>
                      <w:spacing w:val="0"/>
                      <w:sz w:val="21"/>
                      <w:szCs w:val="21"/>
                      <w:shd w:val="clear" w:fill="FFFFFF"/>
                      <w:lang w:val="en-US" w:eastAsia="zh-CN"/>
                    </w:rPr>
                    <w:t>不</w:t>
                  </w:r>
                  <w:r>
                    <w:rPr>
                      <w:rFonts w:hint="default" w:ascii="Times New Roman" w:hAnsi="Times New Roman" w:cs="Times New Roman" w:eastAsiaTheme="minorEastAsia"/>
                      <w:i w:val="0"/>
                      <w:iCs w:val="0"/>
                      <w:caps w:val="0"/>
                      <w:color w:val="FF0000"/>
                      <w:spacing w:val="0"/>
                      <w:sz w:val="21"/>
                      <w:szCs w:val="21"/>
                      <w:shd w:val="clear" w:fill="FFFFFF"/>
                      <w:lang w:val="en-US" w:eastAsia="zh-CN"/>
                    </w:rPr>
                    <w:t>涉及</w:t>
                  </w:r>
                  <w:r>
                    <w:rPr>
                      <w:rFonts w:hint="eastAsia" w:ascii="Times New Roman" w:hAnsi="Times New Roman" w:cs="Times New Roman" w:eastAsiaTheme="minorEastAsia"/>
                      <w:i w:val="0"/>
                      <w:iCs w:val="0"/>
                      <w:caps w:val="0"/>
                      <w:color w:val="FF0000"/>
                      <w:spacing w:val="0"/>
                      <w:sz w:val="21"/>
                      <w:szCs w:val="21"/>
                      <w:shd w:val="clear" w:fill="FFFFFF"/>
                    </w:rPr>
                    <w:t>双酚A</w:t>
                  </w:r>
                </w:p>
              </w:tc>
              <w:tc>
                <w:tcPr>
                  <w:tcW w:w="904" w:type="dxa"/>
                  <w:noWrap w:val="0"/>
                  <w:tcMar>
                    <w:top w:w="0" w:type="dxa"/>
                    <w:left w:w="28" w:type="dxa"/>
                    <w:bottom w:w="0" w:type="dxa"/>
                    <w:right w:w="28" w:type="dxa"/>
                  </w:tcMar>
                  <w:vAlign w:val="center"/>
                </w:tcPr>
                <w:p w14:paraId="184970CF">
                  <w:pPr>
                    <w:pStyle w:val="9"/>
                    <w:keepNext w:val="0"/>
                    <w:keepLines w:val="0"/>
                    <w:pageBreakBefore w:val="0"/>
                    <w:numPr>
                      <w:ilvl w:val="0"/>
                      <w:numId w:val="0"/>
                    </w:numPr>
                    <w:kinsoku/>
                    <w:wordWrap/>
                    <w:overflowPunct/>
                    <w:topLinePunct w:val="0"/>
                    <w:bidi w:val="0"/>
                    <w:spacing w:line="240" w:lineRule="exact"/>
                    <w:ind w:left="0" w:leftChars="0" w:right="113" w:rightChars="0" w:firstLine="0" w:firstLineChars="0"/>
                    <w:jc w:val="center"/>
                    <w:textAlignment w:val="auto"/>
                    <w:rPr>
                      <w:rFonts w:hint="default" w:ascii="Times New Roman" w:hAnsi="Times New Roman" w:cs="Times New Roman" w:eastAsiaTheme="minorEastAsia"/>
                      <w:i w:val="0"/>
                      <w:iCs w:val="0"/>
                      <w:caps w:val="0"/>
                      <w:color w:val="auto"/>
                      <w:spacing w:val="0"/>
                      <w:kern w:val="2"/>
                      <w:sz w:val="21"/>
                      <w:szCs w:val="21"/>
                      <w:shd w:val="clear" w:fill="FFFFFF"/>
                      <w:lang w:val="en-US" w:eastAsia="zh-CN" w:bidi="ar-SA"/>
                    </w:rPr>
                  </w:pPr>
                  <w:r>
                    <w:rPr>
                      <w:rFonts w:hint="default" w:ascii="Times New Roman" w:hAnsi="Times New Roman" w:cs="Times New Roman" w:eastAsiaTheme="minorEastAsia"/>
                      <w:i w:val="0"/>
                      <w:iCs w:val="0"/>
                      <w:caps w:val="0"/>
                      <w:color w:val="FF0000"/>
                      <w:spacing w:val="0"/>
                      <w:sz w:val="21"/>
                      <w:szCs w:val="21"/>
                      <w:shd w:val="clear" w:fill="FFFFFF"/>
                      <w:lang w:val="en-US" w:eastAsia="zh-CN"/>
                    </w:rPr>
                    <w:t>相符</w:t>
                  </w:r>
                </w:p>
              </w:tc>
            </w:tr>
          </w:tbl>
          <w:p w14:paraId="6B8EBA46">
            <w:pPr>
              <w:keepNext w:val="0"/>
              <w:keepLines w:val="0"/>
              <w:pageBreakBefore w:val="0"/>
              <w:widowControl w:val="0"/>
              <w:kinsoku/>
              <w:wordWrap/>
              <w:overflowPunct/>
              <w:topLinePunct w:val="0"/>
              <w:autoSpaceDE w:val="0"/>
              <w:autoSpaceDN w:val="0"/>
              <w:bidi w:val="0"/>
              <w:adjustRightInd w:val="0"/>
              <w:snapToGrid w:val="0"/>
              <w:spacing w:line="500" w:lineRule="exact"/>
              <w:ind w:firstLine="422" w:firstLineChars="200"/>
              <w:textAlignment w:val="auto"/>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与</w:t>
            </w:r>
            <w:r>
              <w:rPr>
                <w:rFonts w:hint="default" w:ascii="Times New Roman" w:hAnsi="Times New Roman" w:eastAsia="宋体" w:cs="Times New Roman"/>
                <w:b/>
                <w:bCs/>
                <w:color w:val="auto"/>
                <w:sz w:val="21"/>
                <w:szCs w:val="21"/>
              </w:rPr>
              <w:t>《市生态环境局关于建设项目的审批指导意见（试行）》（常州市生态环境局，2021年</w:t>
            </w:r>
            <w:r>
              <w:rPr>
                <w:rFonts w:hint="eastAsia" w:cs="Times New Roman"/>
                <w:b/>
                <w:bCs/>
                <w:color w:val="auto"/>
                <w:sz w:val="21"/>
                <w:szCs w:val="21"/>
                <w:lang w:val="en-US" w:eastAsia="zh-CN"/>
              </w:rPr>
              <w:t>11</w:t>
            </w:r>
            <w:r>
              <w:rPr>
                <w:rFonts w:hint="default" w:ascii="Times New Roman" w:hAnsi="Times New Roman" w:eastAsia="宋体" w:cs="Times New Roman"/>
                <w:b/>
                <w:bCs/>
                <w:color w:val="auto"/>
                <w:sz w:val="21"/>
                <w:szCs w:val="21"/>
              </w:rPr>
              <w:t>月</w:t>
            </w:r>
            <w:r>
              <w:rPr>
                <w:rFonts w:hint="eastAsia" w:cs="Times New Roman"/>
                <w:b/>
                <w:bCs/>
                <w:color w:val="auto"/>
                <w:sz w:val="21"/>
                <w:szCs w:val="21"/>
                <w:lang w:val="en-US" w:eastAsia="zh-CN"/>
              </w:rPr>
              <w:t>10</w:t>
            </w:r>
            <w:r>
              <w:rPr>
                <w:rFonts w:hint="default" w:ascii="Times New Roman" w:hAnsi="Times New Roman" w:eastAsia="宋体" w:cs="Times New Roman"/>
                <w:b/>
                <w:bCs/>
                <w:color w:val="auto"/>
                <w:sz w:val="21"/>
                <w:szCs w:val="21"/>
              </w:rPr>
              <w:t>日</w:t>
            </w:r>
            <w:r>
              <w:rPr>
                <w:rFonts w:hint="eastAsia" w:cs="Times New Roman"/>
                <w:b/>
                <w:bCs/>
                <w:color w:val="auto"/>
                <w:sz w:val="21"/>
                <w:szCs w:val="21"/>
                <w:lang w:eastAsia="zh-CN"/>
              </w:rPr>
              <w:t>调整</w:t>
            </w: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b/>
                <w:bCs/>
                <w:color w:val="auto"/>
                <w:sz w:val="21"/>
                <w:szCs w:val="21"/>
                <w:lang w:val="en-US" w:eastAsia="zh-CN"/>
              </w:rPr>
              <w:t>的对照</w:t>
            </w:r>
            <w:r>
              <w:rPr>
                <w:rFonts w:hint="default" w:ascii="Times New Roman" w:hAnsi="Times New Roman" w:eastAsia="宋体" w:cs="Times New Roman"/>
                <w:b/>
                <w:bCs/>
                <w:color w:val="auto"/>
                <w:sz w:val="21"/>
                <w:szCs w:val="21"/>
              </w:rPr>
              <w:t>分析</w:t>
            </w:r>
          </w:p>
          <w:p w14:paraId="11FD0B96">
            <w:pPr>
              <w:pStyle w:val="90"/>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SA"/>
              </w:rPr>
              <w:t>表1-</w:t>
            </w:r>
            <w:r>
              <w:rPr>
                <w:rFonts w:hint="eastAsia" w:cs="Times New Roman"/>
                <w:b/>
                <w:bCs/>
                <w:color w:val="auto"/>
                <w:kern w:val="0"/>
                <w:sz w:val="21"/>
                <w:szCs w:val="21"/>
                <w:lang w:val="en-US" w:eastAsia="zh-CN" w:bidi="ar-SA"/>
              </w:rPr>
              <w:t xml:space="preserve">13 </w:t>
            </w:r>
            <w:r>
              <w:rPr>
                <w:rFonts w:hint="default" w:ascii="Times New Roman" w:hAnsi="Times New Roman" w:eastAsia="宋体" w:cs="Times New Roman"/>
                <w:b/>
                <w:bCs/>
                <w:color w:val="auto"/>
                <w:kern w:val="0"/>
                <w:sz w:val="21"/>
                <w:szCs w:val="21"/>
                <w:lang w:val="en-US" w:eastAsia="zh-CN" w:bidi="ar-SA"/>
              </w:rPr>
              <w:t>与“常州市生态环境局关于建设项目</w:t>
            </w:r>
            <w:r>
              <w:rPr>
                <w:rFonts w:hint="default" w:ascii="Times New Roman" w:hAnsi="Times New Roman" w:eastAsia="宋体" w:cs="Times New Roman"/>
                <w:b/>
                <w:bCs/>
                <w:color w:val="auto"/>
                <w:kern w:val="0"/>
                <w:sz w:val="21"/>
                <w:szCs w:val="21"/>
                <w:shd w:val="clear" w:fill="auto"/>
                <w:lang w:val="en-US" w:eastAsia="zh-CN" w:bidi="ar-SA"/>
              </w:rPr>
              <w:t>的审批</w:t>
            </w:r>
            <w:r>
              <w:rPr>
                <w:rFonts w:hint="default" w:ascii="Times New Roman" w:hAnsi="Times New Roman" w:eastAsia="宋体" w:cs="Times New Roman"/>
                <w:b/>
                <w:bCs/>
                <w:color w:val="auto"/>
                <w:kern w:val="0"/>
                <w:sz w:val="21"/>
                <w:szCs w:val="21"/>
                <w:lang w:val="en-US" w:eastAsia="zh-CN" w:bidi="ar-SA"/>
              </w:rPr>
              <w:t>指导意见（试行）”</w:t>
            </w:r>
            <w:r>
              <w:rPr>
                <w:rFonts w:hint="default" w:ascii="Times New Roman" w:hAnsi="Times New Roman" w:eastAsia="宋体" w:cs="Times New Roman"/>
                <w:b/>
                <w:bCs/>
                <w:color w:val="auto"/>
                <w:kern w:val="0"/>
                <w:sz w:val="21"/>
                <w:szCs w:val="21"/>
                <w:shd w:val="clear" w:fill="auto"/>
                <w:lang w:val="en-US" w:eastAsia="zh-CN" w:bidi="ar-SA"/>
              </w:rPr>
              <w:t>相符</w:t>
            </w:r>
            <w:r>
              <w:rPr>
                <w:rFonts w:hint="default" w:ascii="Times New Roman" w:hAnsi="Times New Roman" w:eastAsia="宋体" w:cs="Times New Roman"/>
                <w:b/>
                <w:bCs/>
                <w:color w:val="auto"/>
                <w:kern w:val="0"/>
                <w:sz w:val="21"/>
                <w:szCs w:val="21"/>
                <w:lang w:val="en-US" w:eastAsia="zh-CN" w:bidi="ar-SA"/>
              </w:rPr>
              <w:t>性分析</w:t>
            </w:r>
          </w:p>
          <w:tbl>
            <w:tblPr>
              <w:tblStyle w:val="3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37"/>
              <w:gridCol w:w="2397"/>
              <w:gridCol w:w="715"/>
            </w:tblGrid>
            <w:tr w14:paraId="0F92B7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36" w:type="pct"/>
                  <w:noWrap w:val="0"/>
                  <w:tcMar>
                    <w:top w:w="0" w:type="dxa"/>
                    <w:left w:w="28" w:type="dxa"/>
                    <w:bottom w:w="0" w:type="dxa"/>
                    <w:right w:w="28" w:type="dxa"/>
                  </w:tcMar>
                  <w:vAlign w:val="center"/>
                </w:tcPr>
                <w:p w14:paraId="37347FE4">
                  <w:pPr>
                    <w:pStyle w:val="9"/>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bCs/>
                      <w:color w:val="auto"/>
                      <w:sz w:val="21"/>
                      <w:szCs w:val="21"/>
                    </w:rPr>
                    <w:t>文件要求（建设项目环评审批要点）</w:t>
                  </w:r>
                </w:p>
              </w:tc>
              <w:tc>
                <w:tcPr>
                  <w:tcW w:w="1435" w:type="pct"/>
                  <w:noWrap w:val="0"/>
                  <w:tcMar>
                    <w:top w:w="0" w:type="dxa"/>
                    <w:left w:w="28" w:type="dxa"/>
                    <w:bottom w:w="0" w:type="dxa"/>
                    <w:right w:w="28" w:type="dxa"/>
                  </w:tcMar>
                  <w:vAlign w:val="center"/>
                </w:tcPr>
                <w:p w14:paraId="0F384BB1">
                  <w:pPr>
                    <w:pStyle w:val="9"/>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bCs/>
                      <w:color w:val="auto"/>
                      <w:sz w:val="21"/>
                      <w:szCs w:val="21"/>
                    </w:rPr>
                    <w:t>本项目</w:t>
                  </w:r>
                </w:p>
              </w:tc>
              <w:tc>
                <w:tcPr>
                  <w:tcW w:w="428" w:type="pct"/>
                  <w:noWrap w:val="0"/>
                  <w:tcMar>
                    <w:top w:w="0" w:type="dxa"/>
                    <w:left w:w="28" w:type="dxa"/>
                    <w:bottom w:w="0" w:type="dxa"/>
                    <w:right w:w="28" w:type="dxa"/>
                  </w:tcMar>
                  <w:vAlign w:val="center"/>
                </w:tcPr>
                <w:p w14:paraId="5EBCE095">
                  <w:pPr>
                    <w:pStyle w:val="9"/>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color w:val="auto"/>
                      <w:sz w:val="21"/>
                      <w:szCs w:val="21"/>
                      <w:lang w:val="en-US" w:eastAsia="zh-CN"/>
                    </w:rPr>
                    <w:t>相符性</w:t>
                  </w:r>
                </w:p>
              </w:tc>
            </w:tr>
            <w:tr w14:paraId="59B4C2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36" w:type="pct"/>
                  <w:noWrap w:val="0"/>
                  <w:tcMar>
                    <w:top w:w="0" w:type="dxa"/>
                    <w:left w:w="28" w:type="dxa"/>
                    <w:bottom w:w="0" w:type="dxa"/>
                    <w:right w:w="28" w:type="dxa"/>
                  </w:tcMar>
                  <w:vAlign w:val="center"/>
                </w:tcPr>
                <w:p w14:paraId="59FA95D6">
                  <w:pPr>
                    <w:pStyle w:val="9"/>
                    <w:keepNext w:val="0"/>
                    <w:keepLines w:val="0"/>
                    <w:pageBreakBefore w:val="0"/>
                    <w:numPr>
                      <w:ilvl w:val="0"/>
                      <w:numId w:val="0"/>
                    </w:numPr>
                    <w:kinsoku/>
                    <w:wordWrap/>
                    <w:overflowPunct/>
                    <w:topLinePunct w:val="0"/>
                    <w:bidi w:val="0"/>
                    <w:spacing w:line="240" w:lineRule="exact"/>
                    <w:ind w:right="113" w:rightChars="0"/>
                    <w:jc w:val="left"/>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color w:val="auto"/>
                      <w:sz w:val="21"/>
                      <w:szCs w:val="21"/>
                    </w:rPr>
                    <w:t>1、实施建设项目大气污染物总量负增长原则</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即重点区域内建设项目使用大气污染物总量，原则上在重点区域范围内实施总量平衡，且必须实行总量2倍减量替代。</w:t>
                  </w:r>
                </w:p>
              </w:tc>
              <w:tc>
                <w:tcPr>
                  <w:tcW w:w="1435" w:type="pct"/>
                  <w:vMerge w:val="restart"/>
                  <w:noWrap w:val="0"/>
                  <w:tcMar>
                    <w:top w:w="0" w:type="dxa"/>
                    <w:left w:w="28" w:type="dxa"/>
                    <w:bottom w:w="0" w:type="dxa"/>
                    <w:right w:w="28" w:type="dxa"/>
                  </w:tcMar>
                  <w:vAlign w:val="center"/>
                </w:tcPr>
                <w:p w14:paraId="314B65CD">
                  <w:pPr>
                    <w:keepNext w:val="0"/>
                    <w:keepLines w:val="0"/>
                    <w:pageBreakBefore w:val="0"/>
                    <w:kinsoku/>
                    <w:wordWrap/>
                    <w:overflowPunct/>
                    <w:topLinePunct w:val="0"/>
                    <w:bidi w:val="0"/>
                    <w:spacing w:line="240" w:lineRule="exact"/>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2"/>
                      <w:sz w:val="21"/>
                      <w:szCs w:val="21"/>
                    </w:rPr>
                    <w:t>（1）</w:t>
                  </w:r>
                  <w:r>
                    <w:rPr>
                      <w:rFonts w:hint="default" w:ascii="Times New Roman" w:hAnsi="Times New Roman" w:eastAsia="宋体" w:cs="Times New Roman"/>
                      <w:color w:val="auto"/>
                      <w:sz w:val="21"/>
                      <w:szCs w:val="21"/>
                    </w:rPr>
                    <w:t>本项目位于</w:t>
                  </w:r>
                  <w:r>
                    <w:rPr>
                      <w:rFonts w:hint="default" w:ascii="Times New Roman" w:hAnsi="Times New Roman" w:eastAsia="宋体" w:cs="Times New Roman"/>
                      <w:color w:val="auto"/>
                      <w:sz w:val="21"/>
                      <w:szCs w:val="21"/>
                      <w:lang w:val="en-US" w:eastAsia="zh-CN"/>
                    </w:rPr>
                    <w:t>江苏省</w:t>
                  </w:r>
                  <w:r>
                    <w:rPr>
                      <w:rFonts w:hint="eastAsia" w:cs="Times New Roman"/>
                      <w:color w:val="auto"/>
                      <w:sz w:val="21"/>
                      <w:szCs w:val="21"/>
                      <w:lang w:val="en-US" w:eastAsia="zh-CN"/>
                    </w:rPr>
                    <w:t>常州市金坛经济开发区南二环东路2229号</w:t>
                  </w:r>
                  <w:r>
                    <w:rPr>
                      <w:rFonts w:hint="eastAsia" w:ascii="Times New Roman" w:hAnsi="Times New Roman" w:eastAsia="宋体" w:cs="Times New Roman"/>
                      <w:color w:val="auto"/>
                      <w:sz w:val="21"/>
                      <w:szCs w:val="21"/>
                      <w:lang w:val="en-US" w:eastAsia="zh-CN"/>
                    </w:rPr>
                    <w:t>，本项目不在国控站点</w:t>
                  </w:r>
                  <w:r>
                    <w:rPr>
                      <w:rFonts w:hint="default" w:ascii="Times New Roman" w:hAnsi="Times New Roman" w:eastAsia="宋体" w:cs="Times New Roman"/>
                      <w:color w:val="auto"/>
                      <w:sz w:val="21"/>
                      <w:szCs w:val="21"/>
                      <w:lang w:val="en-US" w:eastAsia="zh-CN"/>
                    </w:rPr>
                    <w:t>3km</w:t>
                  </w:r>
                  <w:r>
                    <w:rPr>
                      <w:rFonts w:hint="eastAsia" w:ascii="Times New Roman" w:hAnsi="Times New Roman" w:eastAsia="宋体" w:cs="Times New Roman"/>
                      <w:color w:val="auto"/>
                      <w:sz w:val="21"/>
                      <w:szCs w:val="21"/>
                      <w:lang w:val="en-US" w:eastAsia="zh-CN"/>
                    </w:rPr>
                    <w:t>范围内，不属于重点区域</w:t>
                  </w:r>
                  <w:r>
                    <w:rPr>
                      <w:rFonts w:hint="default" w:ascii="Times New Roman" w:hAnsi="Times New Roman" w:eastAsia="宋体" w:cs="Times New Roman"/>
                      <w:color w:val="auto"/>
                      <w:kern w:val="0"/>
                      <w:sz w:val="21"/>
                      <w:szCs w:val="21"/>
                      <w:lang w:val="en-US" w:eastAsia="zh-CN"/>
                    </w:rPr>
                    <w:t>。</w:t>
                  </w:r>
                </w:p>
                <w:p w14:paraId="3BED220E">
                  <w:pPr>
                    <w:keepNext w:val="0"/>
                    <w:keepLines w:val="0"/>
                    <w:pageBreakBefore w:val="0"/>
                    <w:kinsoku/>
                    <w:wordWrap/>
                    <w:overflowPunct/>
                    <w:topLinePunct w:val="0"/>
                    <w:bidi w:val="0"/>
                    <w:spacing w:line="240" w:lineRule="exact"/>
                    <w:jc w:val="left"/>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kern w:val="0"/>
                      <w:sz w:val="21"/>
                      <w:szCs w:val="21"/>
                    </w:rPr>
                    <w:t>本项目为</w:t>
                  </w:r>
                  <w:r>
                    <w:rPr>
                      <w:rFonts w:hint="eastAsia" w:cs="Times New Roman"/>
                      <w:color w:val="auto"/>
                      <w:kern w:val="2"/>
                      <w:sz w:val="21"/>
                      <w:szCs w:val="21"/>
                      <w:lang w:val="en-US" w:eastAsia="zh-CN" w:bidi="ar-SA"/>
                    </w:rPr>
                    <w:t>C2921塑料薄膜制造</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pacing w:val="2"/>
                      <w:sz w:val="21"/>
                      <w:szCs w:val="21"/>
                    </w:rPr>
                    <w:t>不属于高能耗项目。</w:t>
                  </w:r>
                  <w:r>
                    <w:rPr>
                      <w:rFonts w:hint="default" w:ascii="Times New Roman" w:hAnsi="Times New Roman" w:eastAsia="宋体" w:cs="Times New Roman"/>
                      <w:color w:val="auto"/>
                      <w:sz w:val="21"/>
                      <w:szCs w:val="21"/>
                    </w:rPr>
                    <w:t>本项目拟在环境影响评价文件审批前，取得主要污染物排放总量指标。</w:t>
                  </w:r>
                </w:p>
              </w:tc>
              <w:tc>
                <w:tcPr>
                  <w:tcW w:w="428" w:type="pct"/>
                  <w:vMerge w:val="restart"/>
                  <w:noWrap w:val="0"/>
                  <w:tcMar>
                    <w:top w:w="0" w:type="dxa"/>
                    <w:left w:w="28" w:type="dxa"/>
                    <w:bottom w:w="0" w:type="dxa"/>
                    <w:right w:w="28" w:type="dxa"/>
                  </w:tcMar>
                  <w:vAlign w:val="center"/>
                </w:tcPr>
                <w:p w14:paraId="0DC228B3">
                  <w:pPr>
                    <w:pStyle w:val="9"/>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相符</w:t>
                  </w:r>
                </w:p>
              </w:tc>
            </w:tr>
            <w:tr w14:paraId="278771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36" w:type="pct"/>
                  <w:noWrap w:val="0"/>
                  <w:tcMar>
                    <w:top w:w="0" w:type="dxa"/>
                    <w:left w:w="28" w:type="dxa"/>
                    <w:bottom w:w="0" w:type="dxa"/>
                    <w:right w:w="28" w:type="dxa"/>
                  </w:tcMar>
                  <w:vAlign w:val="center"/>
                </w:tcPr>
                <w:p w14:paraId="607BFCFE">
                  <w:pPr>
                    <w:pStyle w:val="9"/>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highlight w:val="none"/>
                      <w:shd w:val="clear" w:fill="auto"/>
                    </w:rPr>
                    <w:t>.</w:t>
                  </w:r>
                  <w:r>
                    <w:rPr>
                      <w:rFonts w:hint="default" w:ascii="Times New Roman" w:hAnsi="Times New Roman" w:eastAsia="宋体" w:cs="Times New Roman"/>
                      <w:color w:val="auto"/>
                      <w:sz w:val="21"/>
                      <w:szCs w:val="21"/>
                    </w:rPr>
                    <w:t>强化环评审批。对重点区域内新上的大气污染物排放的建设项目及全市范围内新上高能耗项目，审批部门对其环评文本应实施质量评估。</w:t>
                  </w:r>
                </w:p>
              </w:tc>
              <w:tc>
                <w:tcPr>
                  <w:tcW w:w="1435" w:type="pct"/>
                  <w:vMerge w:val="continue"/>
                  <w:noWrap w:val="0"/>
                  <w:tcMar>
                    <w:top w:w="0" w:type="dxa"/>
                    <w:left w:w="28" w:type="dxa"/>
                    <w:bottom w:w="0" w:type="dxa"/>
                    <w:right w:w="28" w:type="dxa"/>
                  </w:tcMar>
                  <w:vAlign w:val="center"/>
                </w:tcPr>
                <w:p w14:paraId="6E90C448">
                  <w:pPr>
                    <w:pStyle w:val="9"/>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p>
              </w:tc>
              <w:tc>
                <w:tcPr>
                  <w:tcW w:w="428" w:type="pct"/>
                  <w:vMerge w:val="continue"/>
                  <w:noWrap w:val="0"/>
                  <w:tcMar>
                    <w:top w:w="0" w:type="dxa"/>
                    <w:left w:w="28" w:type="dxa"/>
                    <w:bottom w:w="0" w:type="dxa"/>
                    <w:right w:w="28" w:type="dxa"/>
                  </w:tcMar>
                  <w:vAlign w:val="center"/>
                </w:tcPr>
                <w:p w14:paraId="3716FA4A">
                  <w:pPr>
                    <w:pStyle w:val="9"/>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p>
              </w:tc>
            </w:tr>
            <w:tr w14:paraId="080EB5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36" w:type="pct"/>
                  <w:noWrap w:val="0"/>
                  <w:tcMar>
                    <w:top w:w="0" w:type="dxa"/>
                    <w:left w:w="28" w:type="dxa"/>
                    <w:bottom w:w="0" w:type="dxa"/>
                    <w:right w:w="28" w:type="dxa"/>
                  </w:tcMar>
                  <w:vAlign w:val="center"/>
                </w:tcPr>
                <w:p w14:paraId="62412188">
                  <w:pPr>
                    <w:pStyle w:val="9"/>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color w:val="auto"/>
                      <w:sz w:val="21"/>
                      <w:szCs w:val="21"/>
                    </w:rPr>
                    <w:t>3</w:t>
                  </w:r>
                  <w:r>
                    <w:rPr>
                      <w:rFonts w:hint="default" w:ascii="Times New Roman" w:hAnsi="Times New Roman" w:eastAsia="宋体" w:cs="Times New Roman"/>
                      <w:color w:val="auto"/>
                      <w:sz w:val="21"/>
                      <w:szCs w:val="21"/>
                      <w:highlight w:val="none"/>
                      <w:shd w:val="clear" w:fill="auto"/>
                    </w:rPr>
                    <w:t>.</w:t>
                  </w:r>
                  <w:r>
                    <w:rPr>
                      <w:rFonts w:hint="default" w:ascii="Times New Roman" w:hAnsi="Times New Roman" w:eastAsia="宋体" w:cs="Times New Roman"/>
                      <w:color w:val="auto"/>
                      <w:sz w:val="21"/>
                      <w:szCs w:val="21"/>
                    </w:rPr>
                    <w:t>推进减污降碳。对重点区域内新上的涉及大气污染排放的建设项目及全市范围内新上高能耗建设项目的严格审批，区级审批部门审批前需向生态环境局报备，审批部门方可出具审批文件。</w:t>
                  </w:r>
                </w:p>
              </w:tc>
              <w:tc>
                <w:tcPr>
                  <w:tcW w:w="1435" w:type="pct"/>
                  <w:vMerge w:val="continue"/>
                  <w:noWrap w:val="0"/>
                  <w:tcMar>
                    <w:top w:w="0" w:type="dxa"/>
                    <w:left w:w="28" w:type="dxa"/>
                    <w:bottom w:w="0" w:type="dxa"/>
                    <w:right w:w="28" w:type="dxa"/>
                  </w:tcMar>
                  <w:vAlign w:val="center"/>
                </w:tcPr>
                <w:p w14:paraId="58E08B2D">
                  <w:pPr>
                    <w:pStyle w:val="9"/>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p>
              </w:tc>
              <w:tc>
                <w:tcPr>
                  <w:tcW w:w="428" w:type="pct"/>
                  <w:vMerge w:val="continue"/>
                  <w:noWrap w:val="0"/>
                  <w:tcMar>
                    <w:top w:w="0" w:type="dxa"/>
                    <w:left w:w="28" w:type="dxa"/>
                    <w:bottom w:w="0" w:type="dxa"/>
                    <w:right w:w="28" w:type="dxa"/>
                  </w:tcMar>
                  <w:vAlign w:val="center"/>
                </w:tcPr>
                <w:p w14:paraId="751C609E">
                  <w:pPr>
                    <w:pStyle w:val="9"/>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p>
              </w:tc>
            </w:tr>
          </w:tbl>
          <w:p w14:paraId="47E3C07E">
            <w:pPr>
              <w:keepNext w:val="0"/>
              <w:keepLines w:val="0"/>
              <w:pageBreakBefore w:val="0"/>
              <w:kinsoku/>
              <w:wordWrap/>
              <w:overflowPunct/>
              <w:topLinePunct w:val="0"/>
              <w:bidi w:val="0"/>
              <w:spacing w:line="240" w:lineRule="exact"/>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注：</w:t>
            </w:r>
            <w:r>
              <w:rPr>
                <w:rFonts w:hint="default" w:ascii="Times New Roman" w:hAnsi="Times New Roman" w:eastAsia="宋体" w:cs="Times New Roman"/>
                <w:color w:val="auto"/>
                <w:sz w:val="21"/>
                <w:szCs w:val="21"/>
                <w:lang w:val="en-US" w:eastAsia="zh-CN"/>
              </w:rPr>
              <w:t>①高能耗项目为：石油、煤炭及其他燃料加工业，电力、热力生产和供应业，非金属矿物制品业，食品制造业，黑色金属冶炼和压延加工业，有色金属冶炼和压延加工业，造纸及纸制品业，化学原料和化学制品制造业；本项目不属于高能耗项目；②本项目</w:t>
            </w:r>
            <w:r>
              <w:rPr>
                <w:rFonts w:hint="eastAsia" w:cs="Times New Roman"/>
                <w:color w:val="auto"/>
                <w:sz w:val="21"/>
                <w:szCs w:val="21"/>
                <w:lang w:val="en-US" w:eastAsia="zh-CN"/>
              </w:rPr>
              <w:t>距离</w:t>
            </w:r>
            <w:r>
              <w:rPr>
                <w:rFonts w:hint="eastAsia" w:ascii="Times New Roman" w:hAnsi="Times New Roman" w:eastAsia="宋体" w:cs="Times New Roman"/>
                <w:color w:val="auto"/>
                <w:sz w:val="21"/>
                <w:szCs w:val="21"/>
                <w:lang w:val="en-US" w:eastAsia="zh-CN"/>
              </w:rPr>
              <w:t>大气质量国控站点（金坛区政府</w:t>
            </w:r>
            <w:r>
              <w:rPr>
                <w:rFonts w:hint="default" w:ascii="Times New Roman" w:hAnsi="Times New Roman" w:eastAsia="宋体" w:cs="Times New Roman"/>
                <w:color w:val="auto"/>
                <w:sz w:val="21"/>
                <w:szCs w:val="21"/>
                <w:lang w:val="en-US" w:eastAsia="zh-CN"/>
              </w:rPr>
              <w:t>D</w:t>
            </w:r>
            <w:r>
              <w:rPr>
                <w:rFonts w:hint="eastAsia" w:ascii="Times New Roman" w:hAnsi="Times New Roman" w:eastAsia="宋体" w:cs="Times New Roman"/>
                <w:color w:val="auto"/>
                <w:sz w:val="21"/>
                <w:szCs w:val="21"/>
                <w:lang w:val="en-US" w:eastAsia="zh-CN"/>
              </w:rPr>
              <w:t>座楼）直线距离约为</w:t>
            </w:r>
            <w:r>
              <w:rPr>
                <w:rFonts w:hint="eastAsia" w:cs="Times New Roman"/>
                <w:color w:val="auto"/>
                <w:sz w:val="21"/>
                <w:szCs w:val="21"/>
                <w:lang w:val="en-US" w:eastAsia="zh-CN"/>
              </w:rPr>
              <w:t>5.1</w:t>
            </w:r>
            <w:r>
              <w:rPr>
                <w:rFonts w:hint="default" w:ascii="Times New Roman" w:hAnsi="Times New Roman" w:eastAsia="宋体" w:cs="Times New Roman"/>
                <w:color w:val="auto"/>
                <w:sz w:val="21"/>
                <w:szCs w:val="21"/>
                <w:lang w:val="en-US" w:eastAsia="zh-CN"/>
              </w:rPr>
              <w:t>km，本项目</w:t>
            </w:r>
            <w:r>
              <w:rPr>
                <w:rFonts w:hint="eastAsia" w:ascii="Times New Roman" w:hAnsi="Times New Roman" w:eastAsia="宋体" w:cs="Times New Roman"/>
                <w:color w:val="auto"/>
                <w:sz w:val="21"/>
                <w:szCs w:val="21"/>
                <w:lang w:val="en-US" w:eastAsia="zh-CN"/>
              </w:rPr>
              <w:t>不</w:t>
            </w:r>
            <w:r>
              <w:rPr>
                <w:rFonts w:hint="default" w:ascii="Times New Roman" w:hAnsi="Times New Roman" w:eastAsia="宋体" w:cs="Times New Roman"/>
                <w:color w:val="auto"/>
                <w:sz w:val="21"/>
                <w:szCs w:val="21"/>
                <w:lang w:val="en-US" w:eastAsia="zh-CN"/>
              </w:rPr>
              <w:t>在国控点三公里范围内。</w:t>
            </w:r>
          </w:p>
          <w:p w14:paraId="281DDFB3">
            <w:pPr>
              <w:autoSpaceDE w:val="0"/>
              <w:autoSpaceDN w:val="0"/>
              <w:snapToGrid w:val="0"/>
              <w:spacing w:line="500" w:lineRule="exact"/>
              <w:ind w:firstLine="422" w:firstLineChars="200"/>
              <w:jc w:val="left"/>
              <w:rPr>
                <w:rFonts w:hint="default" w:ascii="Times New Roman" w:hAnsi="Times New Roman" w:eastAsia="宋体" w:cs="Times New Roman"/>
                <w:b/>
                <w:bCs/>
                <w:color w:val="auto"/>
                <w:sz w:val="21"/>
                <w:szCs w:val="21"/>
                <w:lang w:val="zh-CN" w:eastAsia="zh-CN"/>
              </w:rPr>
            </w:pPr>
            <w:r>
              <w:rPr>
                <w:rFonts w:hint="eastAsia" w:cs="Times New Roman"/>
                <w:b/>
                <w:bCs/>
                <w:color w:val="auto"/>
                <w:sz w:val="21"/>
                <w:szCs w:val="21"/>
                <w:lang w:eastAsia="zh-CN"/>
              </w:rPr>
              <w:t>（</w:t>
            </w:r>
            <w:r>
              <w:rPr>
                <w:rFonts w:hint="eastAsia" w:cs="Times New Roman"/>
                <w:b/>
                <w:bCs/>
                <w:color w:val="auto"/>
                <w:sz w:val="21"/>
                <w:szCs w:val="21"/>
                <w:lang w:val="en-US" w:eastAsia="zh-CN"/>
              </w:rPr>
              <w:t>6</w:t>
            </w:r>
            <w:r>
              <w:rPr>
                <w:rFonts w:hint="eastAsia" w:cs="Times New Roman"/>
                <w:b/>
                <w:bCs/>
                <w:color w:val="auto"/>
                <w:sz w:val="21"/>
                <w:szCs w:val="21"/>
                <w:lang w:eastAsia="zh-CN"/>
              </w:rPr>
              <w:t>）</w:t>
            </w:r>
            <w:r>
              <w:rPr>
                <w:rFonts w:hint="default" w:ascii="Times New Roman" w:hAnsi="Times New Roman" w:eastAsia="宋体" w:cs="Times New Roman"/>
                <w:b/>
                <w:bCs/>
                <w:color w:val="auto"/>
                <w:sz w:val="21"/>
                <w:szCs w:val="21"/>
              </w:rPr>
              <w:t>与</w:t>
            </w:r>
            <w:r>
              <w:rPr>
                <w:rFonts w:hint="default" w:ascii="Times New Roman" w:hAnsi="Times New Roman" w:eastAsia="宋体" w:cs="Times New Roman"/>
                <w:b/>
                <w:color w:val="auto"/>
                <w:sz w:val="21"/>
                <w:szCs w:val="21"/>
                <w:lang w:val="zh-CN"/>
              </w:rPr>
              <w:t>《省生态环境厅关于进一步做好建设项目环评审批工作的通知》（苏环办</w:t>
            </w:r>
            <w:r>
              <w:rPr>
                <w:rFonts w:hint="eastAsia" w:cs="Times New Roman"/>
                <w:b/>
                <w:color w:val="auto"/>
                <w:sz w:val="21"/>
                <w:szCs w:val="21"/>
                <w:lang w:val="zh-CN"/>
              </w:rPr>
              <w:t>〔2019〕36号</w:t>
            </w:r>
            <w:r>
              <w:rPr>
                <w:rFonts w:hint="default" w:ascii="Times New Roman" w:hAnsi="Times New Roman" w:eastAsia="宋体" w:cs="Times New Roman"/>
                <w:b/>
                <w:color w:val="auto"/>
                <w:sz w:val="21"/>
                <w:szCs w:val="21"/>
                <w:lang w:val="zh-CN"/>
              </w:rPr>
              <w:t>）相符性分析</w:t>
            </w:r>
          </w:p>
          <w:p w14:paraId="57AEC7D2">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lang w:val="zh-CN" w:eastAsia="zh-CN"/>
              </w:rPr>
            </w:pPr>
            <w:r>
              <w:rPr>
                <w:rFonts w:hint="default" w:ascii="Times New Roman" w:hAnsi="Times New Roman" w:eastAsia="宋体" w:cs="Times New Roman"/>
                <w:b/>
                <w:bCs/>
                <w:color w:val="auto"/>
                <w:sz w:val="21"/>
                <w:szCs w:val="21"/>
                <w:lang w:val="zh-CN" w:eastAsia="zh-CN"/>
              </w:rPr>
              <w:t>表</w:t>
            </w:r>
            <w:r>
              <w:rPr>
                <w:rFonts w:hint="default" w:ascii="Times New Roman" w:hAnsi="Times New Roman" w:eastAsia="宋体" w:cs="Times New Roman"/>
                <w:b/>
                <w:bCs/>
                <w:color w:val="auto"/>
                <w:sz w:val="21"/>
                <w:szCs w:val="21"/>
                <w:lang w:val="en-US" w:eastAsia="zh-CN"/>
              </w:rPr>
              <w:t>1-1</w:t>
            </w:r>
            <w:r>
              <w:rPr>
                <w:rFonts w:hint="eastAsia" w:cs="Times New Roman"/>
                <w:b/>
                <w:bCs/>
                <w:color w:val="auto"/>
                <w:sz w:val="21"/>
                <w:szCs w:val="21"/>
                <w:lang w:val="en-US" w:eastAsia="zh-CN"/>
              </w:rPr>
              <w:t xml:space="preserve">4 </w:t>
            </w:r>
            <w:r>
              <w:rPr>
                <w:rFonts w:hint="default" w:ascii="Times New Roman" w:hAnsi="Times New Roman" w:eastAsia="宋体" w:cs="Times New Roman"/>
                <w:b/>
                <w:bCs/>
                <w:color w:val="auto"/>
                <w:sz w:val="21"/>
                <w:szCs w:val="21"/>
                <w:lang w:val="zh-CN" w:eastAsia="zh-CN"/>
              </w:rPr>
              <w:t>与苏环办</w:t>
            </w:r>
            <w:r>
              <w:rPr>
                <w:rFonts w:hint="eastAsia" w:cs="Times New Roman"/>
                <w:b/>
                <w:bCs/>
                <w:color w:val="auto"/>
                <w:sz w:val="21"/>
                <w:szCs w:val="21"/>
                <w:lang w:val="zh-CN" w:eastAsia="zh-CN"/>
              </w:rPr>
              <w:t>〔2019〕36号</w:t>
            </w:r>
            <w:r>
              <w:rPr>
                <w:rFonts w:hint="default" w:ascii="Times New Roman" w:hAnsi="Times New Roman" w:eastAsia="宋体" w:cs="Times New Roman"/>
                <w:b/>
                <w:bCs/>
                <w:color w:val="auto"/>
                <w:sz w:val="21"/>
                <w:szCs w:val="21"/>
                <w:lang w:val="zh-CN" w:eastAsia="zh-CN"/>
              </w:rPr>
              <w:t>文对照分析</w:t>
            </w:r>
          </w:p>
          <w:tbl>
            <w:tblPr>
              <w:tblStyle w:val="31"/>
              <w:tblW w:w="805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1402"/>
              <w:gridCol w:w="3620"/>
              <w:gridCol w:w="2504"/>
              <w:gridCol w:w="529"/>
            </w:tblGrid>
            <w:tr w14:paraId="08D1FF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9" w:hRule="atLeast"/>
                <w:jc w:val="center"/>
              </w:trPr>
              <w:tc>
                <w:tcPr>
                  <w:tcW w:w="870" w:type="pct"/>
                  <w:vAlign w:val="center"/>
                </w:tcPr>
                <w:p w14:paraId="6E53D5E7">
                  <w:pPr>
                    <w:autoSpaceDE w:val="0"/>
                    <w:autoSpaceDN w:val="0"/>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2246" w:type="pct"/>
                  <w:vAlign w:val="center"/>
                </w:tcPr>
                <w:p w14:paraId="34D6874D">
                  <w:pPr>
                    <w:autoSpaceDE w:val="0"/>
                    <w:autoSpaceDN w:val="0"/>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文件要求（建设项目环评审批要点）</w:t>
                  </w:r>
                </w:p>
              </w:tc>
              <w:tc>
                <w:tcPr>
                  <w:tcW w:w="1554" w:type="pct"/>
                  <w:vAlign w:val="center"/>
                </w:tcPr>
                <w:p w14:paraId="256EA37B">
                  <w:pPr>
                    <w:autoSpaceDE w:val="0"/>
                    <w:autoSpaceDN w:val="0"/>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w:t>
                  </w:r>
                </w:p>
              </w:tc>
              <w:tc>
                <w:tcPr>
                  <w:tcW w:w="328" w:type="pct"/>
                  <w:vAlign w:val="center"/>
                </w:tcPr>
                <w:p w14:paraId="786B1E38">
                  <w:pPr>
                    <w:autoSpaceDE w:val="0"/>
                    <w:autoSpaceDN w:val="0"/>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相符性</w:t>
                  </w:r>
                </w:p>
              </w:tc>
            </w:tr>
            <w:tr w14:paraId="696214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9" w:hRule="atLeast"/>
                <w:jc w:val="center"/>
              </w:trPr>
              <w:tc>
                <w:tcPr>
                  <w:tcW w:w="870" w:type="pct"/>
                  <w:vAlign w:val="center"/>
                </w:tcPr>
                <w:p w14:paraId="3599C96B">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《建设项目环境保护管理条例》</w:t>
                  </w:r>
                </w:p>
              </w:tc>
              <w:tc>
                <w:tcPr>
                  <w:tcW w:w="2246" w:type="pct"/>
                  <w:vAlign w:val="center"/>
                </w:tcPr>
                <w:p w14:paraId="33B81693">
                  <w:pPr>
                    <w:autoSpaceDE w:val="0"/>
                    <w:autoSpaceDN w:val="0"/>
                    <w:adjustRightInd w:val="0"/>
                    <w:snapToGrid w:val="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下列情形之一的，不予批准：（1）建设项目类型及其选址、布局、规模等不符合环境保护法律法规和相关法定规划；（2）所在区域环境质量未达到国家或者地方环境质量标准，且建设项目拟采取的措施不能满足区域环境质量改善目标管理要求；（3）建设项目采取的污染防治措施无法确保污染物排放达到国家和地方排放标准，或者未采取必要措施预防和控制生态破坏；（4）改建、扩建和技术改造项目，未针对项目原有环境污染和生态破坏提出有效防治措施；（5）建设项目的环境影响报告书、环境影响报告表的基础资料数据明显不实，内容存在重大缺陷、遗漏，或者环境影响评价结论不明确、不合理。</w:t>
                  </w:r>
                </w:p>
              </w:tc>
              <w:tc>
                <w:tcPr>
                  <w:tcW w:w="1554" w:type="pct"/>
                  <w:vAlign w:val="center"/>
                </w:tcPr>
                <w:p w14:paraId="2DA645CC">
                  <w:pPr>
                    <w:autoSpaceDE w:val="0"/>
                    <w:autoSpaceDN w:val="0"/>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本项目所在地规划符合环境保护法律法规和相关法定规划要求；②项目所在区域环境控制质量不达标，本项目采取的措施有效可行，确保污染物稳定达标，区域已经制定限期达标规划，项目建设满足区域环境质量改善目标管理要求；③项目污染物经处理后可稳定达到国家和地方排放标准；④本项目基础数据真实有效，评价结论合理可信。</w:t>
                  </w:r>
                </w:p>
              </w:tc>
              <w:tc>
                <w:tcPr>
                  <w:tcW w:w="328" w:type="pct"/>
                  <w:vAlign w:val="center"/>
                </w:tcPr>
                <w:p w14:paraId="044F59F3">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282210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53" w:hRule="atLeast"/>
                <w:jc w:val="center"/>
              </w:trPr>
              <w:tc>
                <w:tcPr>
                  <w:tcW w:w="870" w:type="pct"/>
                  <w:vAlign w:val="center"/>
                </w:tcPr>
                <w:p w14:paraId="7056DDA1">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《农用地土壤环境管理办法（试行）》</w:t>
                  </w:r>
                </w:p>
              </w:tc>
              <w:tc>
                <w:tcPr>
                  <w:tcW w:w="2246" w:type="pct"/>
                  <w:vAlign w:val="center"/>
                </w:tcPr>
                <w:p w14:paraId="35A72155">
                  <w:pPr>
                    <w:autoSpaceDE w:val="0"/>
                    <w:autoSpaceDN w:val="0"/>
                    <w:adjustRightInd w:val="0"/>
                    <w:snapToGrid w:val="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严格控制在优先保护类耕地集中区域新建有色金属冶炼、石油加工、化工、焦化、电镀、制革等行业企业，有关环境保护主管部门依法不予审批可能造成耕地土壤污染的建设项目环境影响报告书或者报告表。</w:t>
                  </w:r>
                </w:p>
              </w:tc>
              <w:tc>
                <w:tcPr>
                  <w:tcW w:w="1554" w:type="pct"/>
                  <w:vAlign w:val="center"/>
                </w:tcPr>
                <w:p w14:paraId="506C9075">
                  <w:pPr>
                    <w:autoSpaceDE w:val="0"/>
                    <w:autoSpaceDN w:val="0"/>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w:t>
                  </w:r>
                  <w:r>
                    <w:rPr>
                      <w:rFonts w:hint="eastAsia" w:cs="Times New Roman"/>
                      <w:bCs/>
                      <w:color w:val="auto"/>
                      <w:sz w:val="21"/>
                      <w:szCs w:val="21"/>
                      <w:lang w:eastAsia="zh-CN"/>
                    </w:rPr>
                    <w:t>常州市金坛经济开发区南二环东路2229号</w:t>
                  </w:r>
                  <w:r>
                    <w:rPr>
                      <w:rFonts w:hint="default" w:ascii="Times New Roman" w:hAnsi="Times New Roman" w:eastAsia="宋体" w:cs="Times New Roman"/>
                      <w:color w:val="auto"/>
                      <w:sz w:val="21"/>
                      <w:szCs w:val="21"/>
                    </w:rPr>
                    <w:t>，用地性质为工业用地。</w:t>
                  </w:r>
                </w:p>
              </w:tc>
              <w:tc>
                <w:tcPr>
                  <w:tcW w:w="328" w:type="pct"/>
                  <w:vAlign w:val="center"/>
                </w:tcPr>
                <w:p w14:paraId="0B08C3F3">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1227EA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32" w:hRule="atLeast"/>
                <w:jc w:val="center"/>
              </w:trPr>
              <w:tc>
                <w:tcPr>
                  <w:tcW w:w="870" w:type="pct"/>
                  <w:vAlign w:val="center"/>
                </w:tcPr>
                <w:p w14:paraId="45F58617">
                  <w:pPr>
                    <w:autoSpaceDE w:val="0"/>
                    <w:autoSpaceDN w:val="0"/>
                    <w:adjustRightInd w:val="0"/>
                    <w:snapToGrid w:val="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《关于印发&lt;建设项目主要污染物排放总量指标审核及管理暂行办法&gt;的通知》</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环发〔2014〕197号</w:t>
                  </w:r>
                  <w:r>
                    <w:rPr>
                      <w:rFonts w:hint="eastAsia" w:ascii="Times New Roman" w:hAnsi="Times New Roman" w:eastAsia="宋体" w:cs="Times New Roman"/>
                      <w:color w:val="auto"/>
                      <w:sz w:val="21"/>
                      <w:szCs w:val="21"/>
                      <w:lang w:val="en-US" w:eastAsia="zh-CN"/>
                    </w:rPr>
                    <w:t>)</w:t>
                  </w:r>
                </w:p>
              </w:tc>
              <w:tc>
                <w:tcPr>
                  <w:tcW w:w="2246" w:type="pct"/>
                  <w:vAlign w:val="center"/>
                </w:tcPr>
                <w:p w14:paraId="687CD8E9">
                  <w:pPr>
                    <w:autoSpaceDE w:val="0"/>
                    <w:autoSpaceDN w:val="0"/>
                    <w:adjustRightInd w:val="0"/>
                    <w:snapToGrid w:val="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1554" w:type="pct"/>
                  <w:vAlign w:val="center"/>
                </w:tcPr>
                <w:p w14:paraId="189EAABB">
                  <w:pPr>
                    <w:autoSpaceDE w:val="0"/>
                    <w:autoSpaceDN w:val="0"/>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本项目拟在环境影响评价文件审批前，取得主要污染物排放总量指标。</w:t>
                  </w:r>
                </w:p>
              </w:tc>
              <w:tc>
                <w:tcPr>
                  <w:tcW w:w="328" w:type="pct"/>
                  <w:vAlign w:val="center"/>
                </w:tcPr>
                <w:p w14:paraId="68DB9BC4">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27F26A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8" w:hRule="atLeast"/>
                <w:jc w:val="center"/>
              </w:trPr>
              <w:tc>
                <w:tcPr>
                  <w:tcW w:w="870" w:type="pct"/>
                  <w:vAlign w:val="center"/>
                </w:tcPr>
                <w:p w14:paraId="48018982">
                  <w:pPr>
                    <w:autoSpaceDE w:val="0"/>
                    <w:autoSpaceDN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《关于以改善环境质量为核心加强环境影响评价管理的通知》（环环评〔2016〕150号）</w:t>
                  </w:r>
                </w:p>
              </w:tc>
              <w:tc>
                <w:tcPr>
                  <w:tcW w:w="2246" w:type="pct"/>
                  <w:vAlign w:val="center"/>
                </w:tcPr>
                <w:p w14:paraId="00A5AA6E">
                  <w:pPr>
                    <w:autoSpaceDE w:val="0"/>
                    <w:autoSpaceDN w:val="0"/>
                    <w:snapToGrid w:val="0"/>
                    <w:ind w:firstLine="420" w:firstLineChars="200"/>
                    <w:jc w:val="lef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规划环评要作为规划所包含项目环评的重要依据，对于不符合规划环评结论及审查意见的项目环评，依法不予审批。</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对于现有同类型项目环境污染或生态破坏严重、环境违法违规现象多发，致使环境容量接近或超过承载能力的地区，在现有问题整改到位前，依法暂停审批该地区同类行业的项目环评文件。</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对环境质量现状超标的地区，项目拟采取的措施不能满足区域环境质量改善目标管理要求的，依法不予审批其环评文件。对未达到环境质量目标考核要求的地区，除民生项目与节能减排项目外，依法暂停审批该地区新增排放相应重点污染物的项目环评文件。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1554" w:type="pct"/>
                  <w:vAlign w:val="center"/>
                </w:tcPr>
                <w:p w14:paraId="47356ED5">
                  <w:pPr>
                    <w:autoSpaceDE w:val="0"/>
                    <w:autoSpaceDN w:val="0"/>
                    <w:snapToGrid w:val="0"/>
                    <w:ind w:firstLine="420" w:firstLineChars="200"/>
                    <w:jc w:val="lef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本项目建设内容符合所在区域定位，且不在生态保护红线范围内；</w:t>
                  </w:r>
                </w:p>
                <w:p w14:paraId="01D72DDB">
                  <w:pPr>
                    <w:autoSpaceDE w:val="0"/>
                    <w:autoSpaceDN w:val="0"/>
                    <w:snapToGrid w:val="0"/>
                    <w:ind w:firstLine="420" w:firstLineChars="200"/>
                    <w:jc w:val="lef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项目所在地为非达标区，</w:t>
                  </w:r>
                  <w:r>
                    <w:rPr>
                      <w:rFonts w:hint="default" w:ascii="Times New Roman" w:hAnsi="Times New Roman" w:eastAsia="宋体" w:cs="Times New Roman"/>
                      <w:color w:val="auto"/>
                      <w:sz w:val="21"/>
                      <w:szCs w:val="21"/>
                      <w:highlight w:val="none"/>
                    </w:rPr>
                    <w:t>本项目各废气因子排放量较小，</w:t>
                  </w:r>
                  <w:r>
                    <w:rPr>
                      <w:rFonts w:hint="default" w:ascii="Times New Roman" w:hAnsi="Times New Roman" w:eastAsia="宋体" w:cs="Times New Roman"/>
                      <w:color w:val="auto"/>
                      <w:sz w:val="21"/>
                      <w:szCs w:val="21"/>
                    </w:rPr>
                    <w:t>对周围保护目标影响均较小，均未超过各因子的环境质量标准。因此，项目排放的大气污染物对周围空气环境影响较小。</w:t>
                  </w:r>
                </w:p>
              </w:tc>
              <w:tc>
                <w:tcPr>
                  <w:tcW w:w="328" w:type="pct"/>
                  <w:vAlign w:val="center"/>
                </w:tcPr>
                <w:p w14:paraId="309C8B50">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52DD27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94" w:hRule="atLeast"/>
                <w:jc w:val="center"/>
              </w:trPr>
              <w:tc>
                <w:tcPr>
                  <w:tcW w:w="870" w:type="pct"/>
                  <w:vAlign w:val="center"/>
                </w:tcPr>
                <w:p w14:paraId="426BA3C7">
                  <w:pPr>
                    <w:autoSpaceDE w:val="0"/>
                    <w:autoSpaceDN w:val="0"/>
                    <w:snapToGrid w:val="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《关于全面加强生态环境保护坚决打好污染防治攻坚战的实施意见》</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苏发</w:t>
                  </w:r>
                  <w:r>
                    <w:rPr>
                      <w:rFonts w:hint="eastAsia" w:cs="Times New Roman"/>
                      <w:color w:val="auto"/>
                      <w:sz w:val="21"/>
                      <w:szCs w:val="21"/>
                      <w:lang w:eastAsia="zh-CN"/>
                    </w:rPr>
                    <w:t>〔2018〕24号</w:t>
                  </w:r>
                  <w:r>
                    <w:rPr>
                      <w:rFonts w:hint="eastAsia" w:ascii="Times New Roman" w:hAnsi="Times New Roman" w:eastAsia="宋体" w:cs="Times New Roman"/>
                      <w:color w:val="auto"/>
                      <w:sz w:val="21"/>
                      <w:szCs w:val="21"/>
                      <w:lang w:val="en-US" w:eastAsia="zh-CN"/>
                    </w:rPr>
                    <w:t>)</w:t>
                  </w:r>
                </w:p>
              </w:tc>
              <w:tc>
                <w:tcPr>
                  <w:tcW w:w="2246" w:type="pct"/>
                  <w:vAlign w:val="center"/>
                </w:tcPr>
                <w:p w14:paraId="4FD6F547">
                  <w:pPr>
                    <w:autoSpaceDE w:val="0"/>
                    <w:autoSpaceDN w:val="0"/>
                    <w:snapToGrid w:val="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严禁在长江干流及主要支流岸线1公里范围内新建布局化工园区和化工企业。严格化工项目环评审批，提高准入门槛，新建化工项目原则上投资额不得低于10亿元，不得新建、改建、扩建三类中间体项目。</w:t>
                  </w:r>
                </w:p>
              </w:tc>
              <w:tc>
                <w:tcPr>
                  <w:tcW w:w="1554" w:type="pct"/>
                  <w:vAlign w:val="center"/>
                </w:tcPr>
                <w:p w14:paraId="3FEBBBF9">
                  <w:pPr>
                    <w:autoSpaceDE w:val="0"/>
                    <w:autoSpaceDN w:val="0"/>
                    <w:snapToGrid w:val="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本项目不属于化工企业。</w:t>
                  </w:r>
                </w:p>
              </w:tc>
              <w:tc>
                <w:tcPr>
                  <w:tcW w:w="328" w:type="pct"/>
                  <w:vAlign w:val="center"/>
                </w:tcPr>
                <w:p w14:paraId="7715C084">
                  <w:pPr>
                    <w:autoSpaceDE w:val="0"/>
                    <w:autoSpaceDN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6A7397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918" w:hRule="atLeast"/>
                <w:jc w:val="center"/>
              </w:trPr>
              <w:tc>
                <w:tcPr>
                  <w:tcW w:w="870" w:type="pct"/>
                  <w:vAlign w:val="center"/>
                </w:tcPr>
                <w:p w14:paraId="124A78D8">
                  <w:pPr>
                    <w:autoSpaceDE w:val="0"/>
                    <w:autoSpaceDN w:val="0"/>
                    <w:adjustRightInd w:val="0"/>
                    <w:snapToGrid w:val="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《省政府关于印发江苏省国家级生态保护红线规划的通知》</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苏政发〔2018〕74号</w:t>
                  </w:r>
                  <w:r>
                    <w:rPr>
                      <w:rFonts w:hint="eastAsia" w:ascii="Times New Roman" w:hAnsi="Times New Roman" w:eastAsia="宋体" w:cs="Times New Roman"/>
                      <w:color w:val="auto"/>
                      <w:sz w:val="21"/>
                      <w:szCs w:val="21"/>
                      <w:lang w:val="en-US" w:eastAsia="zh-CN"/>
                    </w:rPr>
                    <w:t>)</w:t>
                  </w:r>
                </w:p>
              </w:tc>
              <w:tc>
                <w:tcPr>
                  <w:tcW w:w="2246" w:type="pct"/>
                  <w:vAlign w:val="center"/>
                </w:tcPr>
                <w:p w14:paraId="67CE2CDC">
                  <w:pPr>
                    <w:autoSpaceDE w:val="0"/>
                    <w:autoSpaceDN w:val="0"/>
                    <w:adjustRightInd w:val="0"/>
                    <w:snapToGrid w:val="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生态保护红线原则上按禁止开发区域的要求进行管理，严禁不符合主体功能定位的各类开发活动，严禁任意改变用途。</w:t>
                  </w:r>
                </w:p>
              </w:tc>
              <w:tc>
                <w:tcPr>
                  <w:tcW w:w="1554" w:type="pct"/>
                  <w:vAlign w:val="center"/>
                </w:tcPr>
                <w:p w14:paraId="19A6CFFD">
                  <w:pPr>
                    <w:autoSpaceDE w:val="0"/>
                    <w:autoSpaceDN w:val="0"/>
                    <w:adjustRightInd w:val="0"/>
                    <w:snapToGrid w:val="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本项目不在生态保护红线内。</w:t>
                  </w:r>
                </w:p>
              </w:tc>
              <w:tc>
                <w:tcPr>
                  <w:tcW w:w="328" w:type="pct"/>
                  <w:vAlign w:val="center"/>
                </w:tcPr>
                <w:p w14:paraId="785D60F6">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4EABF8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670" w:hRule="atLeast"/>
                <w:jc w:val="center"/>
              </w:trPr>
              <w:tc>
                <w:tcPr>
                  <w:tcW w:w="870" w:type="pct"/>
                  <w:vAlign w:val="center"/>
                </w:tcPr>
                <w:p w14:paraId="535E5E04">
                  <w:pPr>
                    <w:autoSpaceDE w:val="0"/>
                    <w:autoSpaceDN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推动长江经济带发展领导小组办公室关于印发《长江经济带发展负面清单指南（试行，2022年版）》的通知（长江办〔2022〕7号）</w:t>
                  </w:r>
                </w:p>
              </w:tc>
              <w:tc>
                <w:tcPr>
                  <w:tcW w:w="2246" w:type="pct"/>
                  <w:vAlign w:val="center"/>
                </w:tcPr>
                <w:p w14:paraId="056BE82A">
                  <w:pPr>
                    <w:autoSpaceDE w:val="0"/>
                    <w:autoSpaceDN w:val="0"/>
                    <w:snapToGrid w:val="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禁止建设不符合全国和省级港口布局规划以及港口总体规划的码头项目，禁止建设不符合《长江干线过江通道布局规划》的过长江通道项目。2.禁止在自然保护区核心区、缓冲区的岸线和河段范围内投资建设旅游和生产经营项目。禁止在风景名胜区核心景区的岸线和河段范围内投资建设与风景名胜资源保护无关的项目。3.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4.禁止在水产种质资源保护区的岸线和河段范围内新建围湖造田、围海造地或围填海等投资建设项目。禁止在国家湿地公园的岸线和河段范围内挖沙、采矿，以及任何不符合主体功能定位的投资建设项目。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6．禁止未经许可在长江</w:t>
                  </w:r>
                  <w:r>
                    <w:rPr>
                      <w:rFonts w:hint="eastAsia"/>
                      <w:color w:val="auto"/>
                      <w:sz w:val="21"/>
                      <w:szCs w:val="21"/>
                      <w:lang w:val="en-US" w:eastAsia="zh-CN"/>
                    </w:rPr>
                    <w:t>干支流</w:t>
                  </w:r>
                  <w:r>
                    <w:rPr>
                      <w:rFonts w:hint="default" w:ascii="Times New Roman" w:hAnsi="Times New Roman" w:eastAsia="宋体" w:cs="Times New Roman"/>
                      <w:color w:val="auto"/>
                      <w:sz w:val="21"/>
                      <w:szCs w:val="21"/>
                    </w:rPr>
                    <w:t>及湖泊新设、改设或扩大排污口。7．禁止在“一江一口两湖七河”和332个水生生物保护区开展生产性捕捞。8.禁止在长江</w:t>
                  </w:r>
                  <w:r>
                    <w:rPr>
                      <w:rFonts w:hint="eastAsia"/>
                      <w:color w:val="auto"/>
                      <w:sz w:val="21"/>
                      <w:szCs w:val="21"/>
                      <w:lang w:val="en-US" w:eastAsia="zh-CN"/>
                    </w:rPr>
                    <w:t>干</w:t>
                  </w:r>
                  <w:r>
                    <w:rPr>
                      <w:rFonts w:hint="default" w:ascii="Times New Roman" w:hAnsi="Times New Roman" w:eastAsia="宋体" w:cs="Times New Roman"/>
                      <w:color w:val="auto"/>
                      <w:sz w:val="21"/>
                      <w:szCs w:val="21"/>
                    </w:rPr>
                    <w:t>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9.禁止在合规园区外新建、扩建钢铁、石化、化工、焦化、建材、有色、制浆造纸等高污染项目。10.禁止新建、扩建不符合国家石化、现代煤化工等产业布局规划的项目。11.禁止新建、扩建法律法规和相关政策明令禁止的落后产能项目。禁止新建、扩建不符合国家产能置换要求的严重过剩产能行业的项目。禁止新建、扩建不符合要求的高耗能高排放项目。12，法律法规及相关政策文件有更加严格规定的从其规定。</w:t>
                  </w:r>
                </w:p>
              </w:tc>
              <w:tc>
                <w:tcPr>
                  <w:tcW w:w="1554" w:type="pct"/>
                  <w:vAlign w:val="center"/>
                </w:tcPr>
                <w:p w14:paraId="0869B54A">
                  <w:pPr>
                    <w:autoSpaceDE w:val="0"/>
                    <w:autoSpaceDN w:val="0"/>
                    <w:snapToGrid w:val="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本项目不属于禁止建设项目。</w:t>
                  </w:r>
                </w:p>
              </w:tc>
              <w:tc>
                <w:tcPr>
                  <w:tcW w:w="328" w:type="pct"/>
                  <w:vAlign w:val="center"/>
                </w:tcPr>
                <w:p w14:paraId="793881A7">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365EB3CE">
            <w:pPr>
              <w:autoSpaceDE w:val="0"/>
              <w:autoSpaceDN w:val="0"/>
              <w:adjustRightInd w:val="0"/>
              <w:snapToGrid w:val="0"/>
              <w:rPr>
                <w:rFonts w:hint="default" w:ascii="Times New Roman" w:hAnsi="Times New Roman" w:eastAsia="宋体" w:cs="Times New Roman"/>
                <w:color w:val="auto"/>
                <w:kern w:val="0"/>
                <w:sz w:val="21"/>
                <w:szCs w:val="21"/>
              </w:rPr>
            </w:pPr>
          </w:p>
        </w:tc>
      </w:tr>
    </w:tbl>
    <w:p w14:paraId="1697F0F0">
      <w:pPr>
        <w:keepNext w:val="0"/>
        <w:keepLines w:val="0"/>
        <w:pageBreakBefore w:val="0"/>
        <w:widowControl w:val="0"/>
        <w:kinsoku/>
        <w:wordWrap/>
        <w:overflowPunct/>
        <w:topLinePunct w:val="0"/>
        <w:autoSpaceDE/>
        <w:autoSpaceDN/>
        <w:bidi w:val="0"/>
        <w:adjustRightInd/>
        <w:snapToGrid w:val="0"/>
        <w:spacing w:line="240" w:lineRule="auto"/>
        <w:textAlignment w:val="auto"/>
        <w:outlineLvl w:val="0"/>
        <w:rPr>
          <w:rFonts w:hint="default" w:ascii="Times New Roman" w:hAnsi="Times New Roman" w:eastAsia="黑体" w:cs="Times New Roman"/>
          <w:color w:val="auto"/>
          <w:sz w:val="10"/>
          <w:szCs w:val="10"/>
        </w:rPr>
        <w:sectPr>
          <w:footerReference r:id="rId5" w:type="default"/>
          <w:pgSz w:w="11906" w:h="16838"/>
          <w:pgMar w:top="1417" w:right="1417" w:bottom="1417" w:left="1417"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4F412932">
      <w:pPr>
        <w:pStyle w:val="25"/>
        <w:spacing w:before="0" w:beforeAutospacing="0" w:after="0" w:afterAutospacing="0"/>
        <w:jc w:val="center"/>
        <w:outlineLvl w:val="0"/>
        <w:rPr>
          <w:rFonts w:hint="default" w:ascii="Times New Roman" w:hAnsi="Times New Roman" w:eastAsia="黑体" w:cs="Times New Roman"/>
          <w:snapToGrid w:val="0"/>
          <w:color w:val="auto"/>
          <w:sz w:val="30"/>
          <w:szCs w:val="30"/>
        </w:rPr>
      </w:pPr>
      <w:bookmarkStart w:id="3" w:name="_Toc10921"/>
      <w:bookmarkStart w:id="4" w:name="_Toc19526"/>
      <w:r>
        <w:rPr>
          <w:rFonts w:hint="default" w:ascii="Times New Roman" w:hAnsi="Times New Roman" w:eastAsia="黑体" w:cs="Times New Roman"/>
          <w:snapToGrid w:val="0"/>
          <w:color w:val="auto"/>
          <w:sz w:val="30"/>
          <w:szCs w:val="30"/>
        </w:rPr>
        <w:t>二、建设项目工程分析</w:t>
      </w:r>
      <w:bookmarkEnd w:id="3"/>
      <w:bookmarkEnd w:id="4"/>
    </w:p>
    <w:tbl>
      <w:tblPr>
        <w:tblStyle w:val="31"/>
        <w:tblpPr w:leftFromText="180" w:rightFromText="180" w:vertAnchor="text" w:tblpXSpec="center"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7"/>
        <w:gridCol w:w="8399"/>
      </w:tblGrid>
      <w:tr w14:paraId="6CCFF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1" w:hRule="atLeast"/>
        </w:trPr>
        <w:tc>
          <w:tcPr>
            <w:tcW w:w="777" w:type="dxa"/>
            <w:vAlign w:val="center"/>
          </w:tcPr>
          <w:p w14:paraId="36BF7930">
            <w:pPr>
              <w:pStyle w:val="25"/>
              <w:adjustRightInd w:val="0"/>
              <w:snapToGrid w:val="0"/>
              <w:spacing w:before="0" w:beforeAutospacing="0" w:after="0" w:afterAutospacing="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建设内容</w:t>
            </w:r>
          </w:p>
        </w:tc>
        <w:tc>
          <w:tcPr>
            <w:tcW w:w="8399" w:type="dxa"/>
          </w:tcPr>
          <w:p w14:paraId="02B3D975">
            <w:pPr>
              <w:snapToGrid w:val="0"/>
              <w:spacing w:line="500" w:lineRule="exact"/>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1、项目由来</w:t>
            </w:r>
          </w:p>
          <w:p w14:paraId="4E3B3BE6">
            <w:pPr>
              <w:keepNext w:val="0"/>
              <w:keepLines w:val="0"/>
              <w:pageBreakBefore w:val="0"/>
              <w:widowControl/>
              <w:kinsoku/>
              <w:wordWrap/>
              <w:overflowPunct/>
              <w:topLinePunct w:val="0"/>
              <w:autoSpaceDE/>
              <w:autoSpaceDN/>
              <w:bidi w:val="0"/>
              <w:adjustRightInd/>
              <w:spacing w:line="500" w:lineRule="exact"/>
              <w:ind w:firstLine="420" w:firstLineChars="200"/>
              <w:jc w:val="left"/>
              <w:textAlignment w:val="auto"/>
              <w:rPr>
                <w:color w:val="auto"/>
                <w:sz w:val="21"/>
                <w:szCs w:val="21"/>
              </w:rPr>
            </w:pPr>
            <w:bookmarkStart w:id="18" w:name="_GoBack"/>
            <w:r>
              <w:rPr>
                <w:color w:val="auto"/>
                <w:sz w:val="21"/>
                <w:szCs w:val="21"/>
              </w:rPr>
              <w:t>江苏鹿山新材料有限公司</w:t>
            </w:r>
            <w:bookmarkEnd w:id="18"/>
            <w:r>
              <w:rPr>
                <w:color w:val="auto"/>
                <w:sz w:val="21"/>
                <w:szCs w:val="21"/>
              </w:rPr>
              <w:t>（以下简称“鹿山新材料”）成立于2012年3月，前称为“江苏鹿山光伏科技有限公司和江苏鹿山光电科技有限公司”。公司位于江苏省常州市金坛经济开发区南二环东路2229号，主要从事光电产品、电子类光学胶膜、功能聚烯烃热溶胶、新型高分子材料、高性能光伏组件EVA胶膜及太阳能电池配套材料的研发、生产、销售、加工、技术转让。</w:t>
            </w:r>
          </w:p>
          <w:p w14:paraId="5CFD8C42">
            <w:pPr>
              <w:keepNext w:val="0"/>
              <w:keepLines w:val="0"/>
              <w:pageBreakBefore w:val="0"/>
              <w:widowControl/>
              <w:kinsoku/>
              <w:wordWrap/>
              <w:overflowPunct/>
              <w:topLinePunct w:val="0"/>
              <w:autoSpaceDE/>
              <w:autoSpaceDN/>
              <w:bidi w:val="0"/>
              <w:adjustRightInd/>
              <w:spacing w:line="500" w:lineRule="exact"/>
              <w:ind w:firstLine="420" w:firstLineChars="200"/>
              <w:jc w:val="left"/>
              <w:textAlignment w:val="auto"/>
              <w:rPr>
                <w:color w:val="auto"/>
                <w:sz w:val="21"/>
                <w:szCs w:val="21"/>
              </w:rPr>
            </w:pPr>
            <w:r>
              <w:rPr>
                <w:color w:val="auto"/>
                <w:sz w:val="21"/>
                <w:szCs w:val="21"/>
              </w:rPr>
              <w:t>鹿山新材料于2011年7月申报了</w:t>
            </w:r>
            <w:r>
              <w:rPr>
                <w:rFonts w:hint="eastAsia"/>
                <w:color w:val="auto"/>
                <w:sz w:val="21"/>
                <w:szCs w:val="21"/>
                <w:lang w:eastAsia="zh-CN"/>
              </w:rPr>
              <w:t>“</w:t>
            </w:r>
            <w:r>
              <w:rPr>
                <w:color w:val="auto"/>
                <w:sz w:val="21"/>
                <w:szCs w:val="21"/>
              </w:rPr>
              <w:t>新建年产光伏组件用高性能EVA胶膜、功能性塑料项目环境影响报告表</w:t>
            </w:r>
            <w:r>
              <w:rPr>
                <w:rFonts w:hint="eastAsia"/>
                <w:color w:val="auto"/>
                <w:sz w:val="21"/>
                <w:szCs w:val="21"/>
                <w:lang w:eastAsia="zh-CN"/>
              </w:rPr>
              <w:t>”</w:t>
            </w:r>
            <w:r>
              <w:rPr>
                <w:color w:val="auto"/>
                <w:sz w:val="21"/>
                <w:szCs w:val="21"/>
              </w:rPr>
              <w:t>，于2011年8月2日取得了原金坛市环境保护局出具的审批意见（坛环审</w:t>
            </w:r>
            <w:r>
              <w:rPr>
                <w:rFonts w:eastAsia="仿宋"/>
                <w:color w:val="auto"/>
                <w:sz w:val="21"/>
                <w:szCs w:val="21"/>
              </w:rPr>
              <w:t>〔20</w:t>
            </w:r>
            <w:r>
              <w:rPr>
                <w:rFonts w:hint="eastAsia" w:eastAsia="仿宋"/>
                <w:color w:val="auto"/>
                <w:sz w:val="21"/>
                <w:szCs w:val="21"/>
              </w:rPr>
              <w:t>11</w:t>
            </w:r>
            <w:r>
              <w:rPr>
                <w:rFonts w:eastAsia="仿宋"/>
                <w:color w:val="auto"/>
                <w:sz w:val="21"/>
                <w:szCs w:val="21"/>
              </w:rPr>
              <w:t>〕</w:t>
            </w:r>
            <w:r>
              <w:rPr>
                <w:color w:val="auto"/>
                <w:sz w:val="21"/>
                <w:szCs w:val="21"/>
              </w:rPr>
              <w:t>148号），</w:t>
            </w:r>
            <w:r>
              <w:rPr>
                <w:rFonts w:hint="eastAsia"/>
                <w:color w:val="auto"/>
                <w:sz w:val="21"/>
                <w:szCs w:val="21"/>
              </w:rPr>
              <w:t>批复产能为年产</w:t>
            </w:r>
            <w:r>
              <w:rPr>
                <w:color w:val="auto"/>
                <w:sz w:val="21"/>
                <w:szCs w:val="21"/>
              </w:rPr>
              <w:t>功能性塑料</w:t>
            </w:r>
            <w:r>
              <w:rPr>
                <w:rFonts w:hint="eastAsia"/>
                <w:color w:val="auto"/>
                <w:sz w:val="21"/>
                <w:szCs w:val="21"/>
              </w:rPr>
              <w:t>2</w:t>
            </w:r>
            <w:r>
              <w:rPr>
                <w:color w:val="auto"/>
                <w:sz w:val="21"/>
                <w:szCs w:val="21"/>
              </w:rPr>
              <w:t>万吨</w:t>
            </w:r>
            <w:r>
              <w:rPr>
                <w:rFonts w:hint="eastAsia"/>
                <w:color w:val="auto"/>
                <w:sz w:val="21"/>
                <w:szCs w:val="21"/>
              </w:rPr>
              <w:t>、</w:t>
            </w:r>
            <w:r>
              <w:rPr>
                <w:color w:val="auto"/>
                <w:sz w:val="21"/>
                <w:szCs w:val="21"/>
              </w:rPr>
              <w:t>光伏组件用高性能EVA胶膜</w:t>
            </w:r>
            <w:r>
              <w:rPr>
                <w:rFonts w:hint="eastAsia"/>
                <w:color w:val="auto"/>
                <w:sz w:val="21"/>
                <w:szCs w:val="21"/>
              </w:rPr>
              <w:t>3000万m</w:t>
            </w:r>
            <w:r>
              <w:rPr>
                <w:rFonts w:hint="eastAsia"/>
                <w:color w:val="auto"/>
                <w:sz w:val="21"/>
                <w:szCs w:val="21"/>
                <w:vertAlign w:val="superscript"/>
              </w:rPr>
              <w:t>2</w:t>
            </w:r>
            <w:r>
              <w:rPr>
                <w:color w:val="auto"/>
                <w:sz w:val="21"/>
                <w:szCs w:val="21"/>
              </w:rPr>
              <w:t>。</w:t>
            </w:r>
            <w:r>
              <w:rPr>
                <w:rFonts w:hint="eastAsia"/>
                <w:color w:val="auto"/>
                <w:sz w:val="21"/>
                <w:szCs w:val="21"/>
                <w:lang w:val="en-US" w:eastAsia="zh-CN"/>
              </w:rPr>
              <w:t>该项目建设过程中该项目废气治理设施进行了提升改造，于</w:t>
            </w:r>
            <w:r>
              <w:rPr>
                <w:color w:val="auto"/>
                <w:sz w:val="21"/>
                <w:szCs w:val="21"/>
              </w:rPr>
              <w:t>2</w:t>
            </w:r>
            <w:r>
              <w:rPr>
                <w:rFonts w:ascii="Times New Roman" w:hAnsi="Times New Roman" w:eastAsia="宋体" w:cs="Times New Roman"/>
                <w:color w:val="auto"/>
                <w:sz w:val="21"/>
                <w:szCs w:val="21"/>
              </w:rPr>
              <w:t>019年12月6日</w:t>
            </w:r>
            <w:r>
              <w:rPr>
                <w:rFonts w:hint="eastAsia" w:ascii="Times New Roman" w:hAnsi="Times New Roman" w:cs="Times New Roman"/>
                <w:color w:val="auto"/>
                <w:sz w:val="21"/>
                <w:szCs w:val="21"/>
                <w:lang w:val="en-US" w:eastAsia="zh-CN"/>
              </w:rPr>
              <w:t>申报了“</w:t>
            </w:r>
            <w:r>
              <w:rPr>
                <w:color w:val="auto"/>
                <w:sz w:val="21"/>
                <w:szCs w:val="21"/>
              </w:rPr>
              <w:t>有机废气整治项目环境影响登记表</w:t>
            </w:r>
            <w:r>
              <w:rPr>
                <w:rFonts w:hint="eastAsia" w:ascii="Times New Roman" w:hAnsi="Times New Roman" w:cs="Times New Roman"/>
                <w:color w:val="auto"/>
                <w:sz w:val="21"/>
                <w:szCs w:val="21"/>
                <w:lang w:val="en-US" w:eastAsia="zh-CN"/>
              </w:rPr>
              <w:t>”，并在</w:t>
            </w:r>
            <w:r>
              <w:rPr>
                <w:rFonts w:ascii="Times New Roman" w:hAnsi="Times New Roman" w:eastAsia="宋体" w:cs="Times New Roman"/>
                <w:color w:val="auto"/>
                <w:sz w:val="21"/>
                <w:szCs w:val="21"/>
              </w:rPr>
              <w:t>常州市生态环境局备案</w:t>
            </w:r>
            <w:r>
              <w:rPr>
                <w:rFonts w:hint="eastAsia" w:ascii="Times New Roman" w:hAnsi="Times New Roman" w:cs="Times New Roman"/>
                <w:color w:val="auto"/>
                <w:sz w:val="21"/>
                <w:szCs w:val="21"/>
                <w:lang w:eastAsia="zh-CN"/>
              </w:rPr>
              <w:t>（</w:t>
            </w:r>
            <w:r>
              <w:rPr>
                <w:rFonts w:ascii="Times New Roman" w:hAnsi="Times New Roman" w:eastAsia="宋体" w:cs="Times New Roman"/>
                <w:color w:val="auto"/>
                <w:sz w:val="21"/>
                <w:szCs w:val="21"/>
              </w:rPr>
              <w:t>备案号</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20193204000200000177</w:t>
            </w:r>
            <w:r>
              <w:rPr>
                <w:rFonts w:hint="eastAsia" w:ascii="Times New Roman" w:hAnsi="Times New Roman" w:cs="Times New Roman"/>
                <w:color w:val="auto"/>
                <w:sz w:val="21"/>
                <w:szCs w:val="21"/>
                <w:lang w:eastAsia="zh-CN"/>
              </w:rPr>
              <w:t>）。</w:t>
            </w:r>
            <w:r>
              <w:rPr>
                <w:color w:val="auto"/>
                <w:sz w:val="21"/>
                <w:szCs w:val="21"/>
              </w:rPr>
              <w:t>该项目</w:t>
            </w:r>
            <w:r>
              <w:rPr>
                <w:rFonts w:hint="eastAsia"/>
                <w:color w:val="auto"/>
                <w:sz w:val="21"/>
                <w:szCs w:val="21"/>
              </w:rPr>
              <w:t>分3期建设，一期</w:t>
            </w:r>
            <w:r>
              <w:rPr>
                <w:color w:val="auto"/>
                <w:sz w:val="21"/>
                <w:szCs w:val="21"/>
              </w:rPr>
              <w:t>于2016年7月4日通过建设项目竣工环境保护“三同时”验收（验收</w:t>
            </w:r>
            <w:r>
              <w:rPr>
                <w:rFonts w:hint="eastAsia"/>
                <w:color w:val="auto"/>
                <w:sz w:val="21"/>
                <w:szCs w:val="21"/>
              </w:rPr>
              <w:t>产能为年产光伏组件用高性能EVA胶膜3000万m</w:t>
            </w:r>
            <w:r>
              <w:rPr>
                <w:rFonts w:hint="eastAsia"/>
                <w:color w:val="auto"/>
                <w:sz w:val="21"/>
                <w:szCs w:val="21"/>
                <w:vertAlign w:val="superscript"/>
              </w:rPr>
              <w:t>2</w:t>
            </w:r>
            <w:r>
              <w:rPr>
                <w:color w:val="auto"/>
                <w:sz w:val="21"/>
                <w:szCs w:val="21"/>
              </w:rPr>
              <w:t>），</w:t>
            </w:r>
            <w:r>
              <w:rPr>
                <w:rFonts w:hint="eastAsia"/>
                <w:color w:val="auto"/>
                <w:sz w:val="21"/>
                <w:szCs w:val="21"/>
              </w:rPr>
              <w:t>二期</w:t>
            </w:r>
            <w:r>
              <w:rPr>
                <w:color w:val="auto"/>
                <w:sz w:val="21"/>
                <w:szCs w:val="21"/>
              </w:rPr>
              <w:t>于2019年12月19日通过建设项目竣工环境保护</w:t>
            </w:r>
            <w:r>
              <w:rPr>
                <w:rFonts w:hint="eastAsia"/>
                <w:color w:val="auto"/>
                <w:sz w:val="21"/>
                <w:szCs w:val="21"/>
                <w:lang w:eastAsia="zh-CN"/>
              </w:rPr>
              <w:t>“</w:t>
            </w:r>
            <w:r>
              <w:rPr>
                <w:color w:val="auto"/>
                <w:sz w:val="21"/>
                <w:szCs w:val="21"/>
              </w:rPr>
              <w:t>三同时</w:t>
            </w:r>
            <w:r>
              <w:rPr>
                <w:rFonts w:hint="eastAsia"/>
                <w:color w:val="auto"/>
                <w:sz w:val="21"/>
                <w:szCs w:val="21"/>
                <w:lang w:eastAsia="zh-CN"/>
              </w:rPr>
              <w:t>”</w:t>
            </w:r>
            <w:r>
              <w:rPr>
                <w:color w:val="auto"/>
                <w:sz w:val="21"/>
                <w:szCs w:val="21"/>
              </w:rPr>
              <w:t>验收（验收</w:t>
            </w:r>
            <w:r>
              <w:rPr>
                <w:rFonts w:hint="eastAsia"/>
                <w:color w:val="auto"/>
                <w:sz w:val="21"/>
                <w:szCs w:val="21"/>
              </w:rPr>
              <w:t>产能为年产功能性塑料10000吨</w:t>
            </w:r>
            <w:r>
              <w:rPr>
                <w:color w:val="auto"/>
                <w:sz w:val="21"/>
                <w:szCs w:val="21"/>
              </w:rPr>
              <w:t>）</w:t>
            </w:r>
            <w:r>
              <w:rPr>
                <w:rFonts w:hint="eastAsia"/>
                <w:color w:val="auto"/>
                <w:sz w:val="21"/>
                <w:szCs w:val="21"/>
              </w:rPr>
              <w:t>，三期</w:t>
            </w:r>
            <w:r>
              <w:rPr>
                <w:color w:val="auto"/>
                <w:sz w:val="21"/>
                <w:szCs w:val="21"/>
              </w:rPr>
              <w:t>于20</w:t>
            </w:r>
            <w:r>
              <w:rPr>
                <w:rFonts w:hint="eastAsia"/>
                <w:color w:val="auto"/>
                <w:sz w:val="21"/>
                <w:szCs w:val="21"/>
              </w:rPr>
              <w:t>21</w:t>
            </w:r>
            <w:r>
              <w:rPr>
                <w:color w:val="auto"/>
                <w:sz w:val="21"/>
                <w:szCs w:val="21"/>
              </w:rPr>
              <w:t>年</w:t>
            </w:r>
            <w:r>
              <w:rPr>
                <w:rFonts w:hint="eastAsia"/>
                <w:color w:val="auto"/>
                <w:sz w:val="21"/>
                <w:szCs w:val="21"/>
              </w:rPr>
              <w:t>3</w:t>
            </w:r>
            <w:r>
              <w:rPr>
                <w:color w:val="auto"/>
                <w:sz w:val="21"/>
                <w:szCs w:val="21"/>
              </w:rPr>
              <w:t>月通过建设项目竣工环境保护</w:t>
            </w:r>
            <w:r>
              <w:rPr>
                <w:rFonts w:hint="eastAsia"/>
                <w:color w:val="auto"/>
                <w:sz w:val="21"/>
                <w:szCs w:val="21"/>
                <w:lang w:eastAsia="zh-CN"/>
              </w:rPr>
              <w:t>“</w:t>
            </w:r>
            <w:r>
              <w:rPr>
                <w:color w:val="auto"/>
                <w:sz w:val="21"/>
                <w:szCs w:val="21"/>
              </w:rPr>
              <w:t>三同时</w:t>
            </w:r>
            <w:r>
              <w:rPr>
                <w:rFonts w:hint="eastAsia"/>
                <w:color w:val="auto"/>
                <w:sz w:val="21"/>
                <w:szCs w:val="21"/>
                <w:lang w:eastAsia="zh-CN"/>
              </w:rPr>
              <w:t>”</w:t>
            </w:r>
            <w:r>
              <w:rPr>
                <w:color w:val="auto"/>
                <w:sz w:val="21"/>
                <w:szCs w:val="21"/>
              </w:rPr>
              <w:t>验收（验收</w:t>
            </w:r>
            <w:r>
              <w:rPr>
                <w:rFonts w:hint="eastAsia"/>
                <w:color w:val="auto"/>
                <w:sz w:val="21"/>
                <w:szCs w:val="21"/>
              </w:rPr>
              <w:t>产能为年产功能性塑料8000吨，功能性塑料剩余产能（2000t/a）不再建设</w:t>
            </w:r>
            <w:r>
              <w:rPr>
                <w:color w:val="auto"/>
                <w:sz w:val="21"/>
                <w:szCs w:val="21"/>
              </w:rPr>
              <w:t>）。</w:t>
            </w:r>
          </w:p>
          <w:p w14:paraId="7935B9B5">
            <w:pPr>
              <w:keepNext w:val="0"/>
              <w:keepLines w:val="0"/>
              <w:pageBreakBefore w:val="0"/>
              <w:widowControl/>
              <w:kinsoku/>
              <w:wordWrap/>
              <w:overflowPunct/>
              <w:topLinePunct w:val="0"/>
              <w:autoSpaceDE/>
              <w:autoSpaceDN/>
              <w:bidi w:val="0"/>
              <w:adjustRightInd/>
              <w:spacing w:line="500" w:lineRule="exact"/>
              <w:ind w:firstLine="420" w:firstLineChars="200"/>
              <w:jc w:val="left"/>
              <w:textAlignment w:val="auto"/>
              <w:rPr>
                <w:color w:val="auto"/>
                <w:sz w:val="21"/>
                <w:szCs w:val="21"/>
              </w:rPr>
            </w:pPr>
            <w:r>
              <w:rPr>
                <w:color w:val="auto"/>
                <w:sz w:val="21"/>
                <w:szCs w:val="21"/>
              </w:rPr>
              <w:t>鹿山新材料于201</w:t>
            </w:r>
            <w:r>
              <w:rPr>
                <w:rFonts w:hint="eastAsia"/>
                <w:color w:val="auto"/>
                <w:sz w:val="21"/>
                <w:szCs w:val="21"/>
              </w:rPr>
              <w:t>7</w:t>
            </w:r>
            <w:r>
              <w:rPr>
                <w:color w:val="auto"/>
                <w:sz w:val="21"/>
                <w:szCs w:val="21"/>
              </w:rPr>
              <w:t>年</w:t>
            </w:r>
            <w:r>
              <w:rPr>
                <w:rFonts w:hint="eastAsia"/>
                <w:color w:val="auto"/>
                <w:sz w:val="21"/>
                <w:szCs w:val="21"/>
              </w:rPr>
              <w:t>9</w:t>
            </w:r>
            <w:r>
              <w:rPr>
                <w:color w:val="auto"/>
                <w:sz w:val="21"/>
                <w:szCs w:val="21"/>
              </w:rPr>
              <w:t>月申报了</w:t>
            </w:r>
            <w:r>
              <w:rPr>
                <w:rFonts w:hint="eastAsia"/>
                <w:color w:val="auto"/>
                <w:sz w:val="21"/>
                <w:szCs w:val="21"/>
                <w:lang w:eastAsia="zh-CN"/>
              </w:rPr>
              <w:t>“</w:t>
            </w:r>
            <w:r>
              <w:rPr>
                <w:rFonts w:hint="eastAsia"/>
                <w:color w:val="auto"/>
                <w:sz w:val="21"/>
                <w:szCs w:val="21"/>
              </w:rPr>
              <w:t>功能性聚烯烃热熔胶扩产</w:t>
            </w:r>
            <w:r>
              <w:rPr>
                <w:color w:val="auto"/>
                <w:sz w:val="21"/>
                <w:szCs w:val="21"/>
              </w:rPr>
              <w:t>项目环境影响报告表</w:t>
            </w:r>
            <w:r>
              <w:rPr>
                <w:rFonts w:hint="eastAsia"/>
                <w:color w:val="auto"/>
                <w:sz w:val="21"/>
                <w:szCs w:val="21"/>
                <w:lang w:eastAsia="zh-CN"/>
              </w:rPr>
              <w:t>”</w:t>
            </w:r>
            <w:r>
              <w:rPr>
                <w:color w:val="auto"/>
                <w:sz w:val="21"/>
                <w:szCs w:val="21"/>
              </w:rPr>
              <w:t>，于201</w:t>
            </w:r>
            <w:r>
              <w:rPr>
                <w:rFonts w:hint="eastAsia"/>
                <w:color w:val="auto"/>
                <w:sz w:val="21"/>
                <w:szCs w:val="21"/>
              </w:rPr>
              <w:t>7</w:t>
            </w:r>
            <w:r>
              <w:rPr>
                <w:color w:val="auto"/>
                <w:sz w:val="21"/>
                <w:szCs w:val="21"/>
              </w:rPr>
              <w:t>年</w:t>
            </w:r>
            <w:r>
              <w:rPr>
                <w:rFonts w:hint="eastAsia"/>
                <w:color w:val="auto"/>
                <w:sz w:val="21"/>
                <w:szCs w:val="21"/>
              </w:rPr>
              <w:t>10</w:t>
            </w:r>
            <w:r>
              <w:rPr>
                <w:color w:val="auto"/>
                <w:sz w:val="21"/>
                <w:szCs w:val="21"/>
              </w:rPr>
              <w:t>月</w:t>
            </w:r>
            <w:r>
              <w:rPr>
                <w:rFonts w:hint="eastAsia"/>
                <w:color w:val="auto"/>
                <w:sz w:val="21"/>
                <w:szCs w:val="21"/>
              </w:rPr>
              <w:t>30</w:t>
            </w:r>
            <w:r>
              <w:rPr>
                <w:color w:val="auto"/>
                <w:sz w:val="21"/>
                <w:szCs w:val="21"/>
              </w:rPr>
              <w:t>日取得了原</w:t>
            </w:r>
            <w:r>
              <w:rPr>
                <w:rFonts w:hint="eastAsia"/>
                <w:color w:val="auto"/>
                <w:sz w:val="21"/>
                <w:szCs w:val="21"/>
              </w:rPr>
              <w:t>常州市</w:t>
            </w:r>
            <w:r>
              <w:rPr>
                <w:color w:val="auto"/>
                <w:sz w:val="21"/>
                <w:szCs w:val="21"/>
              </w:rPr>
              <w:t>金坛</w:t>
            </w:r>
            <w:r>
              <w:rPr>
                <w:rFonts w:hint="eastAsia"/>
                <w:color w:val="auto"/>
                <w:sz w:val="21"/>
                <w:szCs w:val="21"/>
              </w:rPr>
              <w:t>区</w:t>
            </w:r>
            <w:r>
              <w:rPr>
                <w:color w:val="auto"/>
                <w:sz w:val="21"/>
                <w:szCs w:val="21"/>
              </w:rPr>
              <w:t>环境保护局出具的审批意见（坛环</w:t>
            </w:r>
            <w:r>
              <w:rPr>
                <w:rFonts w:hint="eastAsia"/>
                <w:color w:val="auto"/>
                <w:sz w:val="21"/>
                <w:szCs w:val="21"/>
              </w:rPr>
              <w:t>开</w:t>
            </w:r>
            <w:r>
              <w:rPr>
                <w:color w:val="auto"/>
                <w:sz w:val="21"/>
                <w:szCs w:val="21"/>
              </w:rPr>
              <w:t>审〔20</w:t>
            </w:r>
            <w:r>
              <w:rPr>
                <w:rFonts w:hint="eastAsia"/>
                <w:color w:val="auto"/>
                <w:sz w:val="21"/>
                <w:szCs w:val="21"/>
              </w:rPr>
              <w:t>17</w:t>
            </w:r>
            <w:r>
              <w:rPr>
                <w:color w:val="auto"/>
                <w:sz w:val="21"/>
                <w:szCs w:val="21"/>
              </w:rPr>
              <w:t>〕</w:t>
            </w:r>
            <w:r>
              <w:rPr>
                <w:rFonts w:hint="eastAsia"/>
                <w:color w:val="auto"/>
                <w:sz w:val="21"/>
                <w:szCs w:val="21"/>
              </w:rPr>
              <w:t>8</w:t>
            </w:r>
            <w:r>
              <w:rPr>
                <w:color w:val="auto"/>
                <w:sz w:val="21"/>
                <w:szCs w:val="21"/>
              </w:rPr>
              <w:t>8号），</w:t>
            </w:r>
            <w:r>
              <w:rPr>
                <w:rFonts w:hint="eastAsia"/>
                <w:color w:val="auto"/>
                <w:sz w:val="21"/>
                <w:szCs w:val="21"/>
              </w:rPr>
              <w:t>批复产能为年产功能性聚烯烃热熔胶4万吨</w:t>
            </w:r>
            <w:r>
              <w:rPr>
                <w:color w:val="auto"/>
                <w:sz w:val="21"/>
                <w:szCs w:val="21"/>
              </w:rPr>
              <w:t>。</w:t>
            </w:r>
            <w:r>
              <w:rPr>
                <w:rFonts w:hint="eastAsia"/>
                <w:color w:val="auto"/>
                <w:sz w:val="21"/>
                <w:szCs w:val="21"/>
              </w:rPr>
              <w:t>该项目分</w:t>
            </w:r>
            <w:r>
              <w:rPr>
                <w:rFonts w:hint="eastAsia"/>
                <w:color w:val="auto"/>
                <w:sz w:val="21"/>
                <w:szCs w:val="21"/>
                <w:lang w:val="en-US" w:eastAsia="zh-CN"/>
              </w:rPr>
              <w:t>2</w:t>
            </w:r>
            <w:r>
              <w:rPr>
                <w:rFonts w:hint="eastAsia"/>
                <w:color w:val="auto"/>
                <w:sz w:val="21"/>
                <w:szCs w:val="21"/>
              </w:rPr>
              <w:t>期建设，一期</w:t>
            </w:r>
            <w:r>
              <w:rPr>
                <w:color w:val="auto"/>
                <w:sz w:val="21"/>
                <w:szCs w:val="21"/>
              </w:rPr>
              <w:t>于20</w:t>
            </w:r>
            <w:r>
              <w:rPr>
                <w:rFonts w:hint="eastAsia"/>
                <w:color w:val="auto"/>
                <w:sz w:val="21"/>
                <w:szCs w:val="21"/>
                <w:lang w:val="en-US" w:eastAsia="zh-CN"/>
              </w:rPr>
              <w:t>23</w:t>
            </w:r>
            <w:r>
              <w:rPr>
                <w:color w:val="auto"/>
                <w:sz w:val="21"/>
                <w:szCs w:val="21"/>
              </w:rPr>
              <w:t>年</w:t>
            </w:r>
            <w:r>
              <w:rPr>
                <w:rFonts w:hint="eastAsia"/>
                <w:color w:val="auto"/>
                <w:sz w:val="21"/>
                <w:szCs w:val="21"/>
                <w:lang w:val="en-US" w:eastAsia="zh-CN"/>
              </w:rPr>
              <w:t>6</w:t>
            </w:r>
            <w:r>
              <w:rPr>
                <w:color w:val="auto"/>
                <w:sz w:val="21"/>
                <w:szCs w:val="21"/>
              </w:rPr>
              <w:t>月通过建设项目竣工环境保护</w:t>
            </w:r>
            <w:r>
              <w:rPr>
                <w:rFonts w:hint="eastAsia"/>
                <w:color w:val="auto"/>
                <w:sz w:val="21"/>
                <w:szCs w:val="21"/>
                <w:lang w:eastAsia="zh-CN"/>
              </w:rPr>
              <w:t>“</w:t>
            </w:r>
            <w:r>
              <w:rPr>
                <w:color w:val="auto"/>
                <w:sz w:val="21"/>
                <w:szCs w:val="21"/>
              </w:rPr>
              <w:t>三同时</w:t>
            </w:r>
            <w:r>
              <w:rPr>
                <w:rFonts w:hint="eastAsia"/>
                <w:color w:val="auto"/>
                <w:sz w:val="21"/>
                <w:szCs w:val="21"/>
                <w:lang w:eastAsia="zh-CN"/>
              </w:rPr>
              <w:t>”</w:t>
            </w:r>
            <w:r>
              <w:rPr>
                <w:color w:val="auto"/>
                <w:sz w:val="21"/>
                <w:szCs w:val="21"/>
              </w:rPr>
              <w:t>验收（验收</w:t>
            </w:r>
            <w:r>
              <w:rPr>
                <w:rFonts w:hint="eastAsia"/>
                <w:color w:val="auto"/>
                <w:sz w:val="21"/>
                <w:szCs w:val="21"/>
              </w:rPr>
              <w:t>产能为年产功能性聚烯烃热熔胶</w:t>
            </w:r>
            <w:r>
              <w:rPr>
                <w:rFonts w:hint="eastAsia"/>
                <w:color w:val="auto"/>
                <w:sz w:val="21"/>
                <w:szCs w:val="21"/>
                <w:lang w:val="en-US" w:eastAsia="zh-CN"/>
              </w:rPr>
              <w:t>5000</w:t>
            </w:r>
            <w:r>
              <w:rPr>
                <w:rFonts w:hint="eastAsia"/>
                <w:color w:val="auto"/>
                <w:sz w:val="21"/>
                <w:szCs w:val="21"/>
              </w:rPr>
              <w:t>吨</w:t>
            </w:r>
            <w:r>
              <w:rPr>
                <w:color w:val="auto"/>
                <w:sz w:val="21"/>
                <w:szCs w:val="21"/>
              </w:rPr>
              <w:t>），</w:t>
            </w:r>
            <w:r>
              <w:rPr>
                <w:rFonts w:hint="eastAsia"/>
                <w:color w:val="auto"/>
                <w:sz w:val="21"/>
                <w:szCs w:val="21"/>
              </w:rPr>
              <w:t>二期</w:t>
            </w:r>
            <w:r>
              <w:rPr>
                <w:color w:val="auto"/>
                <w:sz w:val="21"/>
                <w:szCs w:val="21"/>
              </w:rPr>
              <w:t>（</w:t>
            </w:r>
            <w:r>
              <w:rPr>
                <w:rFonts w:hint="eastAsia"/>
                <w:color w:val="auto"/>
                <w:sz w:val="21"/>
                <w:szCs w:val="21"/>
              </w:rPr>
              <w:t>年产功能性聚烯烃热熔胶</w:t>
            </w:r>
            <w:r>
              <w:rPr>
                <w:rFonts w:hint="eastAsia"/>
                <w:color w:val="auto"/>
                <w:sz w:val="21"/>
                <w:szCs w:val="21"/>
                <w:lang w:val="en-US" w:eastAsia="zh-CN"/>
              </w:rPr>
              <w:t>3.5万</w:t>
            </w:r>
            <w:r>
              <w:rPr>
                <w:rFonts w:hint="eastAsia"/>
                <w:color w:val="auto"/>
                <w:sz w:val="21"/>
                <w:szCs w:val="21"/>
              </w:rPr>
              <w:t>吨</w:t>
            </w:r>
            <w:r>
              <w:rPr>
                <w:color w:val="auto"/>
                <w:sz w:val="21"/>
                <w:szCs w:val="21"/>
              </w:rPr>
              <w:t>）</w:t>
            </w:r>
            <w:r>
              <w:rPr>
                <w:rStyle w:val="38"/>
                <w:rFonts w:hint="eastAsia"/>
                <w:color w:val="auto"/>
                <w:kern w:val="0"/>
                <w:sz w:val="21"/>
                <w:szCs w:val="21"/>
              </w:rPr>
              <w:t>尚在建设中</w:t>
            </w:r>
            <w:r>
              <w:rPr>
                <w:rFonts w:hint="eastAsia"/>
                <w:color w:val="auto"/>
                <w:sz w:val="21"/>
                <w:szCs w:val="21"/>
              </w:rPr>
              <w:t>。</w:t>
            </w:r>
          </w:p>
          <w:p w14:paraId="32EABBBF">
            <w:pPr>
              <w:keepNext w:val="0"/>
              <w:keepLines w:val="0"/>
              <w:pageBreakBefore w:val="0"/>
              <w:widowControl/>
              <w:kinsoku/>
              <w:wordWrap/>
              <w:overflowPunct/>
              <w:topLinePunct w:val="0"/>
              <w:autoSpaceDE/>
              <w:autoSpaceDN/>
              <w:bidi w:val="0"/>
              <w:adjustRightInd/>
              <w:spacing w:line="500" w:lineRule="exact"/>
              <w:ind w:firstLine="420" w:firstLineChars="200"/>
              <w:jc w:val="left"/>
              <w:textAlignment w:val="auto"/>
              <w:rPr>
                <w:color w:val="auto"/>
                <w:sz w:val="21"/>
                <w:szCs w:val="21"/>
              </w:rPr>
            </w:pPr>
            <w:r>
              <w:rPr>
                <w:color w:val="auto"/>
                <w:sz w:val="21"/>
                <w:szCs w:val="21"/>
              </w:rPr>
              <w:t>鹿山新材料</w:t>
            </w:r>
            <w:r>
              <w:rPr>
                <w:rFonts w:hint="eastAsia"/>
                <w:color w:val="auto"/>
                <w:sz w:val="21"/>
                <w:szCs w:val="21"/>
              </w:rPr>
              <w:t>于2020年9月申报了“新型太阳能封装材料扩产项目</w:t>
            </w:r>
            <w:r>
              <w:rPr>
                <w:color w:val="auto"/>
                <w:sz w:val="21"/>
                <w:szCs w:val="21"/>
              </w:rPr>
              <w:t>环境影响报告表</w:t>
            </w:r>
            <w:r>
              <w:rPr>
                <w:rFonts w:hint="eastAsia"/>
                <w:color w:val="auto"/>
                <w:sz w:val="21"/>
                <w:szCs w:val="21"/>
              </w:rPr>
              <w:t>”，</w:t>
            </w:r>
            <w:r>
              <w:rPr>
                <w:color w:val="auto"/>
                <w:sz w:val="21"/>
                <w:szCs w:val="21"/>
              </w:rPr>
              <w:t>于20</w:t>
            </w:r>
            <w:r>
              <w:rPr>
                <w:rFonts w:hint="eastAsia"/>
                <w:color w:val="auto"/>
                <w:sz w:val="21"/>
                <w:szCs w:val="21"/>
              </w:rPr>
              <w:t>20</w:t>
            </w:r>
            <w:r>
              <w:rPr>
                <w:color w:val="auto"/>
                <w:sz w:val="21"/>
                <w:szCs w:val="21"/>
              </w:rPr>
              <w:t>年</w:t>
            </w:r>
            <w:r>
              <w:rPr>
                <w:rFonts w:hint="eastAsia"/>
                <w:color w:val="auto"/>
                <w:sz w:val="21"/>
                <w:szCs w:val="21"/>
              </w:rPr>
              <w:t>11</w:t>
            </w:r>
            <w:r>
              <w:rPr>
                <w:color w:val="auto"/>
                <w:sz w:val="21"/>
                <w:szCs w:val="21"/>
              </w:rPr>
              <w:t>月2</w:t>
            </w:r>
            <w:r>
              <w:rPr>
                <w:rFonts w:hint="eastAsia"/>
                <w:color w:val="auto"/>
                <w:sz w:val="21"/>
                <w:szCs w:val="21"/>
              </w:rPr>
              <w:t>0</w:t>
            </w:r>
            <w:r>
              <w:rPr>
                <w:color w:val="auto"/>
                <w:sz w:val="21"/>
                <w:szCs w:val="21"/>
              </w:rPr>
              <w:t>日取得了</w:t>
            </w:r>
            <w:r>
              <w:rPr>
                <w:rFonts w:hint="eastAsia"/>
                <w:color w:val="auto"/>
                <w:sz w:val="21"/>
                <w:szCs w:val="21"/>
              </w:rPr>
              <w:t>常州</w:t>
            </w:r>
            <w:r>
              <w:rPr>
                <w:color w:val="auto"/>
                <w:sz w:val="21"/>
                <w:szCs w:val="21"/>
              </w:rPr>
              <w:t>市</w:t>
            </w:r>
            <w:r>
              <w:rPr>
                <w:rFonts w:hint="eastAsia"/>
                <w:color w:val="auto"/>
                <w:sz w:val="21"/>
                <w:szCs w:val="21"/>
              </w:rPr>
              <w:t>生态</w:t>
            </w:r>
            <w:r>
              <w:rPr>
                <w:color w:val="auto"/>
                <w:sz w:val="21"/>
                <w:szCs w:val="21"/>
              </w:rPr>
              <w:t>环境局出具的审批意见（</w:t>
            </w:r>
            <w:r>
              <w:rPr>
                <w:rFonts w:hint="eastAsia"/>
                <w:color w:val="auto"/>
                <w:sz w:val="21"/>
                <w:szCs w:val="21"/>
              </w:rPr>
              <w:t>常金环审</w:t>
            </w:r>
            <w:r>
              <w:rPr>
                <w:color w:val="auto"/>
                <w:sz w:val="21"/>
                <w:szCs w:val="21"/>
              </w:rPr>
              <w:t>〔20</w:t>
            </w:r>
            <w:r>
              <w:rPr>
                <w:rFonts w:hint="eastAsia"/>
                <w:color w:val="auto"/>
                <w:sz w:val="21"/>
                <w:szCs w:val="21"/>
              </w:rPr>
              <w:t>20</w:t>
            </w:r>
            <w:r>
              <w:rPr>
                <w:color w:val="auto"/>
                <w:sz w:val="21"/>
                <w:szCs w:val="21"/>
              </w:rPr>
              <w:t>〕</w:t>
            </w:r>
            <w:r>
              <w:rPr>
                <w:rFonts w:hint="eastAsia"/>
                <w:color w:val="auto"/>
                <w:sz w:val="21"/>
                <w:szCs w:val="21"/>
              </w:rPr>
              <w:t>168号</w:t>
            </w:r>
            <w:r>
              <w:rPr>
                <w:color w:val="auto"/>
                <w:sz w:val="21"/>
                <w:szCs w:val="21"/>
              </w:rPr>
              <w:t>），</w:t>
            </w:r>
            <w:r>
              <w:rPr>
                <w:rFonts w:hint="eastAsia"/>
                <w:color w:val="auto"/>
                <w:sz w:val="21"/>
                <w:szCs w:val="21"/>
              </w:rPr>
              <w:t>批复产能为年产</w:t>
            </w:r>
            <w:r>
              <w:rPr>
                <w:color w:val="auto"/>
                <w:sz w:val="21"/>
                <w:szCs w:val="21"/>
              </w:rPr>
              <w:t>新型太阳能封装材料9000万</w:t>
            </w:r>
            <w:r>
              <w:rPr>
                <w:rFonts w:hint="eastAsia"/>
                <w:color w:val="auto"/>
                <w:sz w:val="21"/>
                <w:szCs w:val="21"/>
              </w:rPr>
              <w:t>m</w:t>
            </w:r>
            <w:r>
              <w:rPr>
                <w:rFonts w:hint="eastAsia"/>
                <w:color w:val="auto"/>
                <w:sz w:val="21"/>
                <w:szCs w:val="21"/>
                <w:vertAlign w:val="superscript"/>
              </w:rPr>
              <w:t>2</w:t>
            </w:r>
            <w:r>
              <w:rPr>
                <w:color w:val="auto"/>
                <w:sz w:val="21"/>
                <w:szCs w:val="21"/>
              </w:rPr>
              <w:t>。该项目于20</w:t>
            </w:r>
            <w:r>
              <w:rPr>
                <w:rFonts w:hint="eastAsia"/>
                <w:color w:val="auto"/>
                <w:sz w:val="21"/>
                <w:szCs w:val="21"/>
              </w:rPr>
              <w:t>21</w:t>
            </w:r>
            <w:r>
              <w:rPr>
                <w:color w:val="auto"/>
                <w:sz w:val="21"/>
                <w:szCs w:val="21"/>
              </w:rPr>
              <w:t>年</w:t>
            </w:r>
            <w:r>
              <w:rPr>
                <w:rFonts w:hint="eastAsia"/>
                <w:color w:val="auto"/>
                <w:sz w:val="21"/>
                <w:szCs w:val="21"/>
              </w:rPr>
              <w:t>3</w:t>
            </w:r>
            <w:r>
              <w:rPr>
                <w:color w:val="auto"/>
                <w:sz w:val="21"/>
                <w:szCs w:val="21"/>
              </w:rPr>
              <w:t>月通过建设项目竣工环境保护</w:t>
            </w:r>
            <w:r>
              <w:rPr>
                <w:rFonts w:hint="eastAsia"/>
                <w:color w:val="auto"/>
                <w:sz w:val="21"/>
                <w:szCs w:val="21"/>
                <w:lang w:eastAsia="zh-CN"/>
              </w:rPr>
              <w:t>“</w:t>
            </w:r>
            <w:r>
              <w:rPr>
                <w:color w:val="auto"/>
                <w:sz w:val="21"/>
                <w:szCs w:val="21"/>
              </w:rPr>
              <w:t>三同时</w:t>
            </w:r>
            <w:r>
              <w:rPr>
                <w:rFonts w:hint="eastAsia"/>
                <w:color w:val="auto"/>
                <w:sz w:val="21"/>
                <w:szCs w:val="21"/>
                <w:lang w:eastAsia="zh-CN"/>
              </w:rPr>
              <w:t>”</w:t>
            </w:r>
            <w:r>
              <w:rPr>
                <w:color w:val="auto"/>
                <w:sz w:val="21"/>
                <w:szCs w:val="21"/>
              </w:rPr>
              <w:t>验收（</w:t>
            </w:r>
            <w:r>
              <w:rPr>
                <w:rFonts w:hint="eastAsia"/>
                <w:color w:val="auto"/>
                <w:sz w:val="21"/>
                <w:szCs w:val="21"/>
              </w:rPr>
              <w:t>部分</w:t>
            </w:r>
            <w:r>
              <w:rPr>
                <w:color w:val="auto"/>
                <w:sz w:val="21"/>
                <w:szCs w:val="21"/>
              </w:rPr>
              <w:t>验收</w:t>
            </w:r>
            <w:r>
              <w:rPr>
                <w:rFonts w:hint="eastAsia"/>
                <w:color w:val="auto"/>
                <w:sz w:val="21"/>
                <w:szCs w:val="21"/>
              </w:rPr>
              <w:t>，验收产能为年产</w:t>
            </w:r>
            <w:r>
              <w:rPr>
                <w:color w:val="auto"/>
                <w:sz w:val="21"/>
                <w:szCs w:val="21"/>
              </w:rPr>
              <w:t>高性能EVA胶膜</w:t>
            </w:r>
            <w:r>
              <w:rPr>
                <w:rFonts w:hint="eastAsia"/>
                <w:color w:val="auto"/>
                <w:sz w:val="21"/>
                <w:szCs w:val="21"/>
              </w:rPr>
              <w:t>4</w:t>
            </w:r>
            <w:r>
              <w:rPr>
                <w:color w:val="auto"/>
                <w:sz w:val="21"/>
                <w:szCs w:val="21"/>
              </w:rPr>
              <w:t>000万</w:t>
            </w:r>
            <w:r>
              <w:rPr>
                <w:rFonts w:hint="eastAsia"/>
                <w:color w:val="auto"/>
                <w:sz w:val="21"/>
                <w:szCs w:val="21"/>
              </w:rPr>
              <w:t>m</w:t>
            </w:r>
            <w:r>
              <w:rPr>
                <w:rFonts w:hint="eastAsia"/>
                <w:color w:val="auto"/>
                <w:sz w:val="21"/>
                <w:szCs w:val="21"/>
                <w:vertAlign w:val="superscript"/>
              </w:rPr>
              <w:t>2</w:t>
            </w:r>
            <w:r>
              <w:rPr>
                <w:color w:val="auto"/>
                <w:sz w:val="21"/>
                <w:szCs w:val="21"/>
              </w:rPr>
              <w:t>）</w:t>
            </w:r>
            <w:r>
              <w:rPr>
                <w:rFonts w:hint="eastAsia"/>
                <w:color w:val="auto"/>
                <w:sz w:val="21"/>
                <w:szCs w:val="21"/>
              </w:rPr>
              <w:t>，</w:t>
            </w:r>
            <w:r>
              <w:rPr>
                <w:color w:val="auto"/>
                <w:sz w:val="21"/>
                <w:szCs w:val="21"/>
              </w:rPr>
              <w:t>于20</w:t>
            </w:r>
            <w:r>
              <w:rPr>
                <w:rFonts w:hint="eastAsia"/>
                <w:color w:val="auto"/>
                <w:sz w:val="21"/>
                <w:szCs w:val="21"/>
              </w:rPr>
              <w:t>2</w:t>
            </w:r>
            <w:r>
              <w:rPr>
                <w:rFonts w:hint="eastAsia"/>
                <w:color w:val="auto"/>
                <w:sz w:val="21"/>
                <w:szCs w:val="21"/>
                <w:lang w:val="en-US" w:eastAsia="zh-CN"/>
              </w:rPr>
              <w:t>3</w:t>
            </w:r>
            <w:r>
              <w:rPr>
                <w:color w:val="auto"/>
                <w:sz w:val="21"/>
                <w:szCs w:val="21"/>
              </w:rPr>
              <w:t>年</w:t>
            </w:r>
            <w:r>
              <w:rPr>
                <w:rFonts w:hint="eastAsia"/>
                <w:color w:val="auto"/>
                <w:sz w:val="21"/>
                <w:szCs w:val="21"/>
                <w:lang w:val="en-US" w:eastAsia="zh-CN"/>
              </w:rPr>
              <w:t>12</w:t>
            </w:r>
            <w:r>
              <w:rPr>
                <w:color w:val="auto"/>
                <w:sz w:val="21"/>
                <w:szCs w:val="21"/>
              </w:rPr>
              <w:t>月通过建设项目竣工环境保护</w:t>
            </w:r>
            <w:r>
              <w:rPr>
                <w:rFonts w:hint="eastAsia"/>
                <w:color w:val="auto"/>
                <w:sz w:val="21"/>
                <w:szCs w:val="21"/>
                <w:lang w:eastAsia="zh-CN"/>
              </w:rPr>
              <w:t>“</w:t>
            </w:r>
            <w:r>
              <w:rPr>
                <w:color w:val="auto"/>
                <w:sz w:val="21"/>
                <w:szCs w:val="21"/>
              </w:rPr>
              <w:t>三同时</w:t>
            </w:r>
            <w:r>
              <w:rPr>
                <w:rFonts w:hint="eastAsia"/>
                <w:color w:val="auto"/>
                <w:sz w:val="21"/>
                <w:szCs w:val="21"/>
                <w:lang w:eastAsia="zh-CN"/>
              </w:rPr>
              <w:t>”</w:t>
            </w:r>
            <w:r>
              <w:rPr>
                <w:color w:val="auto"/>
                <w:sz w:val="21"/>
                <w:szCs w:val="21"/>
              </w:rPr>
              <w:t>验收（</w:t>
            </w:r>
            <w:r>
              <w:rPr>
                <w:rFonts w:hint="eastAsia"/>
                <w:color w:val="auto"/>
                <w:sz w:val="21"/>
                <w:szCs w:val="21"/>
              </w:rPr>
              <w:t>部分</w:t>
            </w:r>
            <w:r>
              <w:rPr>
                <w:color w:val="auto"/>
                <w:sz w:val="21"/>
                <w:szCs w:val="21"/>
              </w:rPr>
              <w:t>验收</w:t>
            </w:r>
            <w:r>
              <w:rPr>
                <w:rFonts w:hint="eastAsia"/>
                <w:color w:val="auto"/>
                <w:sz w:val="21"/>
                <w:szCs w:val="21"/>
              </w:rPr>
              <w:t>，验收产能为年产</w:t>
            </w:r>
            <w:r>
              <w:rPr>
                <w:color w:val="auto"/>
                <w:sz w:val="21"/>
                <w:szCs w:val="21"/>
              </w:rPr>
              <w:t>高性能EVA胶膜</w:t>
            </w:r>
            <w:r>
              <w:rPr>
                <w:rFonts w:hint="eastAsia"/>
                <w:color w:val="auto"/>
                <w:sz w:val="21"/>
                <w:szCs w:val="21"/>
                <w:lang w:val="en-US" w:eastAsia="zh-CN"/>
              </w:rPr>
              <w:t>5</w:t>
            </w:r>
            <w:r>
              <w:rPr>
                <w:color w:val="auto"/>
                <w:sz w:val="21"/>
                <w:szCs w:val="21"/>
              </w:rPr>
              <w:t>000万</w:t>
            </w:r>
            <w:r>
              <w:rPr>
                <w:rFonts w:hint="eastAsia"/>
                <w:color w:val="auto"/>
                <w:sz w:val="21"/>
                <w:szCs w:val="21"/>
              </w:rPr>
              <w:t>m</w:t>
            </w:r>
            <w:r>
              <w:rPr>
                <w:rFonts w:hint="eastAsia"/>
                <w:color w:val="auto"/>
                <w:sz w:val="21"/>
                <w:szCs w:val="21"/>
                <w:vertAlign w:val="superscript"/>
              </w:rPr>
              <w:t>2</w:t>
            </w:r>
            <w:r>
              <w:rPr>
                <w:color w:val="auto"/>
                <w:sz w:val="21"/>
                <w:szCs w:val="21"/>
              </w:rPr>
              <w:t>）</w:t>
            </w:r>
            <w:r>
              <w:rPr>
                <w:rFonts w:hint="eastAsia"/>
                <w:color w:val="auto"/>
                <w:sz w:val="21"/>
                <w:szCs w:val="21"/>
              </w:rPr>
              <w:t>。</w:t>
            </w:r>
          </w:p>
          <w:p w14:paraId="18DDF401">
            <w:pPr>
              <w:keepNext w:val="0"/>
              <w:keepLines w:val="0"/>
              <w:pageBreakBefore w:val="0"/>
              <w:widowControl/>
              <w:kinsoku/>
              <w:wordWrap/>
              <w:overflowPunct/>
              <w:topLinePunct w:val="0"/>
              <w:autoSpaceDE/>
              <w:autoSpaceDN/>
              <w:bidi w:val="0"/>
              <w:adjustRightInd/>
              <w:spacing w:line="500" w:lineRule="exact"/>
              <w:ind w:firstLine="420" w:firstLineChars="200"/>
              <w:textAlignment w:val="auto"/>
              <w:rPr>
                <w:rFonts w:hint="eastAsia" w:ascii="Times New Roman" w:hAnsi="Times New Roman" w:eastAsia="宋体" w:cs="Times New Roman"/>
                <w:color w:val="auto"/>
                <w:sz w:val="21"/>
                <w:szCs w:val="21"/>
                <w:highlight w:val="none"/>
                <w:lang w:eastAsia="zh-CN"/>
              </w:rPr>
            </w:pPr>
            <w:r>
              <w:rPr>
                <w:color w:val="auto"/>
                <w:sz w:val="21"/>
                <w:szCs w:val="21"/>
              </w:rPr>
              <w:t>鹿</w:t>
            </w:r>
            <w:r>
              <w:rPr>
                <w:rFonts w:ascii="Times New Roman" w:hAnsi="Times New Roman" w:cs="Times New Roman"/>
                <w:color w:val="auto"/>
                <w:sz w:val="21"/>
                <w:szCs w:val="21"/>
              </w:rPr>
              <w:t>山新材料</w:t>
            </w:r>
            <w:r>
              <w:rPr>
                <w:rFonts w:hint="eastAsia" w:ascii="Times New Roman" w:hAnsi="Times New Roman" w:cs="Times New Roman"/>
                <w:color w:val="auto"/>
                <w:sz w:val="21"/>
                <w:szCs w:val="21"/>
                <w:lang w:val="en-US" w:eastAsia="zh-CN"/>
              </w:rPr>
              <w:t>于</w:t>
            </w:r>
            <w:r>
              <w:rPr>
                <w:rFonts w:hint="eastAsia"/>
                <w:color w:val="auto"/>
                <w:sz w:val="21"/>
                <w:szCs w:val="21"/>
              </w:rPr>
              <w:t>202</w:t>
            </w:r>
            <w:r>
              <w:rPr>
                <w:rFonts w:hint="eastAsia"/>
                <w:color w:val="auto"/>
                <w:sz w:val="21"/>
                <w:szCs w:val="21"/>
                <w:lang w:val="en-US" w:eastAsia="zh-CN"/>
              </w:rPr>
              <w:t>2</w:t>
            </w:r>
            <w:r>
              <w:rPr>
                <w:rFonts w:hint="eastAsia"/>
                <w:color w:val="auto"/>
                <w:sz w:val="21"/>
                <w:szCs w:val="21"/>
              </w:rPr>
              <w:t>年9月申报了“新型太阳能封装材料扩产项目</w:t>
            </w:r>
            <w:r>
              <w:rPr>
                <w:color w:val="auto"/>
                <w:sz w:val="21"/>
                <w:szCs w:val="21"/>
              </w:rPr>
              <w:t>环境影响报告表</w:t>
            </w:r>
            <w:r>
              <w:rPr>
                <w:rFonts w:hint="eastAsia"/>
                <w:color w:val="auto"/>
                <w:sz w:val="21"/>
                <w:szCs w:val="21"/>
              </w:rPr>
              <w:t>”，</w:t>
            </w:r>
            <w:r>
              <w:rPr>
                <w:color w:val="auto"/>
                <w:sz w:val="21"/>
                <w:szCs w:val="21"/>
              </w:rPr>
              <w:t>于20</w:t>
            </w:r>
            <w:r>
              <w:rPr>
                <w:rFonts w:hint="eastAsia"/>
                <w:color w:val="auto"/>
                <w:sz w:val="21"/>
                <w:szCs w:val="21"/>
              </w:rPr>
              <w:t>2</w:t>
            </w:r>
            <w:r>
              <w:rPr>
                <w:rFonts w:hint="eastAsia"/>
                <w:color w:val="auto"/>
                <w:sz w:val="21"/>
                <w:szCs w:val="21"/>
                <w:lang w:val="en-US" w:eastAsia="zh-CN"/>
              </w:rPr>
              <w:t>2</w:t>
            </w:r>
            <w:r>
              <w:rPr>
                <w:color w:val="auto"/>
                <w:sz w:val="21"/>
                <w:szCs w:val="21"/>
              </w:rPr>
              <w:t>年</w:t>
            </w:r>
            <w:r>
              <w:rPr>
                <w:rFonts w:hint="eastAsia"/>
                <w:color w:val="auto"/>
                <w:sz w:val="21"/>
                <w:szCs w:val="21"/>
                <w:lang w:val="en-US" w:eastAsia="zh-CN"/>
              </w:rPr>
              <w:t>10</w:t>
            </w:r>
            <w:r>
              <w:rPr>
                <w:color w:val="auto"/>
                <w:sz w:val="21"/>
                <w:szCs w:val="21"/>
              </w:rPr>
              <w:t>月</w:t>
            </w:r>
            <w:r>
              <w:rPr>
                <w:rFonts w:hint="eastAsia"/>
                <w:color w:val="auto"/>
                <w:sz w:val="21"/>
                <w:szCs w:val="21"/>
                <w:lang w:val="en-US" w:eastAsia="zh-CN"/>
              </w:rPr>
              <w:t>8</w:t>
            </w:r>
            <w:r>
              <w:rPr>
                <w:color w:val="auto"/>
                <w:sz w:val="21"/>
                <w:szCs w:val="21"/>
              </w:rPr>
              <w:t>日取得了</w:t>
            </w:r>
            <w:r>
              <w:rPr>
                <w:rFonts w:hint="eastAsia"/>
                <w:color w:val="auto"/>
                <w:sz w:val="21"/>
                <w:szCs w:val="21"/>
              </w:rPr>
              <w:t>常州</w:t>
            </w:r>
            <w:r>
              <w:rPr>
                <w:color w:val="auto"/>
                <w:sz w:val="21"/>
                <w:szCs w:val="21"/>
              </w:rPr>
              <w:t>市</w:t>
            </w:r>
            <w:r>
              <w:rPr>
                <w:rFonts w:hint="eastAsia"/>
                <w:color w:val="auto"/>
                <w:sz w:val="21"/>
                <w:szCs w:val="21"/>
              </w:rPr>
              <w:t>生态</w:t>
            </w:r>
            <w:r>
              <w:rPr>
                <w:color w:val="auto"/>
                <w:sz w:val="21"/>
                <w:szCs w:val="21"/>
              </w:rPr>
              <w:t>环境局出具的审批意见（</w:t>
            </w:r>
            <w:r>
              <w:rPr>
                <w:rFonts w:hint="eastAsia"/>
                <w:color w:val="auto"/>
                <w:sz w:val="21"/>
                <w:szCs w:val="21"/>
              </w:rPr>
              <w:t>常金环审</w:t>
            </w:r>
            <w:r>
              <w:rPr>
                <w:color w:val="auto"/>
                <w:sz w:val="21"/>
                <w:szCs w:val="21"/>
              </w:rPr>
              <w:t>〔20</w:t>
            </w:r>
            <w:r>
              <w:rPr>
                <w:rFonts w:hint="eastAsia"/>
                <w:color w:val="auto"/>
                <w:sz w:val="21"/>
                <w:szCs w:val="21"/>
              </w:rPr>
              <w:t>2</w:t>
            </w:r>
            <w:r>
              <w:rPr>
                <w:rFonts w:hint="eastAsia"/>
                <w:color w:val="auto"/>
                <w:sz w:val="21"/>
                <w:szCs w:val="21"/>
                <w:lang w:val="en-US" w:eastAsia="zh-CN"/>
              </w:rPr>
              <w:t>2</w:t>
            </w:r>
            <w:r>
              <w:rPr>
                <w:color w:val="auto"/>
                <w:sz w:val="21"/>
                <w:szCs w:val="21"/>
              </w:rPr>
              <w:t>〕</w:t>
            </w:r>
            <w:r>
              <w:rPr>
                <w:rFonts w:hint="eastAsia"/>
                <w:color w:val="auto"/>
                <w:sz w:val="21"/>
                <w:szCs w:val="21"/>
                <w:lang w:val="en-US" w:eastAsia="zh-CN"/>
              </w:rPr>
              <w:t>92</w:t>
            </w:r>
            <w:r>
              <w:rPr>
                <w:rFonts w:hint="eastAsia"/>
                <w:color w:val="auto"/>
                <w:sz w:val="21"/>
                <w:szCs w:val="21"/>
              </w:rPr>
              <w:t>号</w:t>
            </w:r>
            <w:r>
              <w:rPr>
                <w:color w:val="auto"/>
                <w:sz w:val="21"/>
                <w:szCs w:val="21"/>
              </w:rPr>
              <w:t>），</w:t>
            </w:r>
            <w:r>
              <w:rPr>
                <w:rFonts w:hint="eastAsia"/>
                <w:color w:val="auto"/>
                <w:sz w:val="21"/>
                <w:szCs w:val="21"/>
              </w:rPr>
              <w:t>批复产能为</w:t>
            </w:r>
            <w:r>
              <w:rPr>
                <w:color w:val="auto"/>
                <w:kern w:val="2"/>
                <w:sz w:val="21"/>
                <w:szCs w:val="21"/>
                <w:lang w:val="en-US" w:eastAsia="zh-CN"/>
              </w:rPr>
              <w:t>年产</w:t>
            </w:r>
            <w:r>
              <w:rPr>
                <w:rFonts w:hint="eastAsia"/>
                <w:color w:val="auto"/>
                <w:kern w:val="2"/>
                <w:sz w:val="21"/>
                <w:szCs w:val="21"/>
                <w:lang w:val="en-US" w:eastAsia="zh-CN"/>
              </w:rPr>
              <w:t>9000</w:t>
            </w:r>
            <w:r>
              <w:rPr>
                <w:color w:val="auto"/>
                <w:kern w:val="2"/>
                <w:sz w:val="21"/>
                <w:szCs w:val="21"/>
                <w:lang w:val="en-US" w:eastAsia="zh-CN"/>
              </w:rPr>
              <w:t>万</w:t>
            </w:r>
            <w:r>
              <w:rPr>
                <w:rFonts w:hint="eastAsia"/>
                <w:color w:val="auto"/>
                <w:kern w:val="2"/>
                <w:sz w:val="21"/>
                <w:szCs w:val="21"/>
                <w:lang w:val="en-US" w:eastAsia="zh-CN"/>
              </w:rPr>
              <w:t>m</w:t>
            </w:r>
            <w:r>
              <w:rPr>
                <w:color w:val="auto"/>
                <w:kern w:val="2"/>
                <w:sz w:val="21"/>
                <w:szCs w:val="21"/>
                <w:vertAlign w:val="superscript"/>
                <w:lang w:val="en-US" w:eastAsia="zh-CN"/>
              </w:rPr>
              <w:t>2</w:t>
            </w:r>
            <w:r>
              <w:rPr>
                <w:color w:val="auto"/>
                <w:kern w:val="2"/>
                <w:sz w:val="21"/>
                <w:szCs w:val="21"/>
                <w:lang w:val="en-US" w:eastAsia="zh-CN"/>
              </w:rPr>
              <w:t xml:space="preserve"> POE</w:t>
            </w:r>
            <w:r>
              <w:rPr>
                <w:rFonts w:hint="eastAsia"/>
                <w:color w:val="auto"/>
                <w:kern w:val="2"/>
                <w:sz w:val="21"/>
                <w:szCs w:val="21"/>
                <w:lang w:val="en-US" w:eastAsia="zh-CN"/>
              </w:rPr>
              <w:t>胶膜和</w:t>
            </w:r>
            <w:r>
              <w:rPr>
                <w:color w:val="auto"/>
                <w:kern w:val="2"/>
                <w:sz w:val="21"/>
                <w:szCs w:val="21"/>
                <w:lang w:val="en-US" w:eastAsia="zh-CN"/>
              </w:rPr>
              <w:t>9000万</w:t>
            </w:r>
            <w:r>
              <w:rPr>
                <w:rFonts w:hint="eastAsia"/>
                <w:color w:val="auto"/>
                <w:kern w:val="2"/>
                <w:sz w:val="21"/>
                <w:szCs w:val="21"/>
                <w:lang w:val="en-US" w:eastAsia="zh-CN"/>
              </w:rPr>
              <w:t>m</w:t>
            </w:r>
            <w:r>
              <w:rPr>
                <w:color w:val="auto"/>
                <w:kern w:val="2"/>
                <w:sz w:val="21"/>
                <w:szCs w:val="21"/>
                <w:vertAlign w:val="superscript"/>
                <w:lang w:val="en-US" w:eastAsia="zh-CN"/>
              </w:rPr>
              <w:t>2</w:t>
            </w:r>
            <w:r>
              <w:rPr>
                <w:rFonts w:hint="eastAsia"/>
                <w:color w:val="auto"/>
                <w:kern w:val="2"/>
                <w:sz w:val="21"/>
                <w:szCs w:val="21"/>
                <w:lang w:val="en-US" w:eastAsia="zh-CN"/>
              </w:rPr>
              <w:t>白色E</w:t>
            </w:r>
            <w:r>
              <w:rPr>
                <w:color w:val="auto"/>
                <w:kern w:val="2"/>
                <w:sz w:val="21"/>
                <w:szCs w:val="21"/>
                <w:lang w:val="en-US" w:eastAsia="zh-CN"/>
              </w:rPr>
              <w:t>VA胶膜</w:t>
            </w:r>
            <w:r>
              <w:rPr>
                <w:rFonts w:hint="eastAsia"/>
                <w:color w:val="auto"/>
                <w:sz w:val="21"/>
                <w:szCs w:val="21"/>
                <w:lang w:eastAsia="zh-CN"/>
              </w:rPr>
              <w:t>，</w:t>
            </w:r>
            <w:r>
              <w:rPr>
                <w:color w:val="auto"/>
                <w:sz w:val="21"/>
                <w:szCs w:val="21"/>
              </w:rPr>
              <w:t>该项目</w:t>
            </w:r>
            <w:r>
              <w:rPr>
                <w:rStyle w:val="38"/>
                <w:rFonts w:hint="eastAsia"/>
                <w:color w:val="auto"/>
                <w:kern w:val="0"/>
                <w:sz w:val="21"/>
                <w:szCs w:val="21"/>
              </w:rPr>
              <w:t>尚在建设中</w:t>
            </w:r>
            <w:r>
              <w:rPr>
                <w:rFonts w:hint="eastAsia"/>
                <w:color w:val="auto"/>
                <w:sz w:val="21"/>
                <w:szCs w:val="21"/>
              </w:rPr>
              <w:t>。</w:t>
            </w:r>
          </w:p>
          <w:p w14:paraId="71A7A7C0">
            <w:pPr>
              <w:keepNext w:val="0"/>
              <w:keepLines w:val="0"/>
              <w:pageBreakBefore w:val="0"/>
              <w:widowControl/>
              <w:kinsoku/>
              <w:wordWrap/>
              <w:overflowPunct/>
              <w:topLinePunct w:val="0"/>
              <w:autoSpaceDE/>
              <w:autoSpaceDN/>
              <w:bidi w:val="0"/>
              <w:adjustRightInd/>
              <w:spacing w:line="500" w:lineRule="exact"/>
              <w:ind w:firstLine="420" w:firstLineChars="200"/>
              <w:jc w:val="left"/>
              <w:textAlignment w:val="auto"/>
              <w:rPr>
                <w:rFonts w:hint="eastAsia" w:ascii="Times New Roman" w:hAnsi="Times New Roman" w:cs="Times New Roman"/>
                <w:color w:val="FF0000"/>
                <w:sz w:val="21"/>
                <w:szCs w:val="21"/>
                <w:lang w:eastAsia="zh-CN"/>
              </w:rPr>
            </w:pPr>
            <w:r>
              <w:rPr>
                <w:color w:val="auto"/>
                <w:sz w:val="21"/>
                <w:szCs w:val="21"/>
              </w:rPr>
              <w:t>鹿</w:t>
            </w:r>
            <w:r>
              <w:rPr>
                <w:rFonts w:ascii="Times New Roman" w:hAnsi="Times New Roman" w:cs="Times New Roman"/>
                <w:color w:val="auto"/>
                <w:sz w:val="21"/>
                <w:szCs w:val="21"/>
              </w:rPr>
              <w:t>山新材料</w:t>
            </w:r>
            <w:r>
              <w:rPr>
                <w:rFonts w:hint="eastAsia" w:ascii="Times New Roman" w:hAnsi="Times New Roman" w:cs="Times New Roman"/>
                <w:color w:val="auto"/>
                <w:sz w:val="21"/>
                <w:szCs w:val="21"/>
                <w:lang w:val="en-US" w:eastAsia="zh-CN"/>
              </w:rPr>
              <w:t>于2024年1月申报了“</w:t>
            </w:r>
            <w:r>
              <w:rPr>
                <w:rFonts w:hint="eastAsia" w:ascii="Times New Roman" w:hAnsi="Times New Roman" w:eastAsia="宋体" w:cs="Times New Roman"/>
                <w:color w:val="auto"/>
                <w:sz w:val="21"/>
                <w:szCs w:val="21"/>
                <w:lang w:eastAsia="zh-CN"/>
              </w:rPr>
              <w:t>太阳能封装材料技改项目</w:t>
            </w:r>
            <w:r>
              <w:rPr>
                <w:rFonts w:hint="eastAsia" w:ascii="Times New Roman" w:hAnsi="Times New Roman" w:eastAsia="宋体" w:cs="Times New Roman"/>
                <w:color w:val="auto"/>
                <w:sz w:val="21"/>
                <w:szCs w:val="21"/>
              </w:rPr>
              <w:t>环境影响报</w:t>
            </w:r>
            <w:r>
              <w:rPr>
                <w:rFonts w:hint="eastAsia" w:ascii="Times New Roman" w:hAnsi="Times New Roman" w:cs="Times New Roman"/>
                <w:color w:val="auto"/>
                <w:sz w:val="21"/>
                <w:szCs w:val="21"/>
              </w:rPr>
              <w:t>告表</w:t>
            </w:r>
            <w:r>
              <w:rPr>
                <w:rFonts w:hint="eastAsia"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rPr>
              <w:t>，</w:t>
            </w:r>
            <w:r>
              <w:rPr>
                <w:rFonts w:ascii="Times New Roman" w:hAnsi="Times New Roman" w:cs="Times New Roman"/>
                <w:color w:val="auto"/>
                <w:sz w:val="21"/>
                <w:szCs w:val="21"/>
              </w:rPr>
              <w:t>于20</w:t>
            </w:r>
            <w:r>
              <w:rPr>
                <w:rFonts w:hint="eastAsia" w:ascii="Times New Roman" w:hAnsi="Times New Roman" w:cs="Times New Roman"/>
                <w:color w:val="auto"/>
                <w:sz w:val="21"/>
                <w:szCs w:val="21"/>
              </w:rPr>
              <w:t>2</w:t>
            </w:r>
            <w:r>
              <w:rPr>
                <w:rFonts w:hint="eastAsia" w:ascii="Times New Roman" w:hAnsi="Times New Roman" w:cs="Times New Roman"/>
                <w:color w:val="auto"/>
                <w:sz w:val="21"/>
                <w:szCs w:val="21"/>
                <w:lang w:val="en-US" w:eastAsia="zh-CN"/>
              </w:rPr>
              <w:t>4</w:t>
            </w:r>
            <w:r>
              <w:rPr>
                <w:rFonts w:ascii="Times New Roman" w:hAnsi="Times New Roman" w:cs="Times New Roman"/>
                <w:color w:val="auto"/>
                <w:sz w:val="21"/>
                <w:szCs w:val="21"/>
              </w:rPr>
              <w:t>年</w:t>
            </w:r>
            <w:r>
              <w:rPr>
                <w:rFonts w:hint="eastAsia" w:ascii="Times New Roman" w:hAnsi="Times New Roman" w:cs="Times New Roman"/>
                <w:color w:val="auto"/>
                <w:sz w:val="21"/>
                <w:szCs w:val="21"/>
                <w:lang w:val="en-US" w:eastAsia="zh-CN"/>
              </w:rPr>
              <w:t>2</w:t>
            </w:r>
            <w:r>
              <w:rPr>
                <w:rFonts w:ascii="Times New Roman" w:hAnsi="Times New Roman" w:cs="Times New Roman"/>
                <w:color w:val="auto"/>
                <w:sz w:val="21"/>
                <w:szCs w:val="21"/>
              </w:rPr>
              <w:t>月</w:t>
            </w:r>
            <w:r>
              <w:rPr>
                <w:rFonts w:hint="eastAsia" w:ascii="Times New Roman" w:hAnsi="Times New Roman" w:cs="Times New Roman"/>
                <w:color w:val="auto"/>
                <w:sz w:val="21"/>
                <w:szCs w:val="21"/>
                <w:lang w:val="en-US" w:eastAsia="zh-CN"/>
              </w:rPr>
              <w:t>23</w:t>
            </w:r>
            <w:r>
              <w:rPr>
                <w:rFonts w:ascii="Times New Roman" w:hAnsi="Times New Roman" w:cs="Times New Roman"/>
                <w:color w:val="auto"/>
                <w:sz w:val="21"/>
                <w:szCs w:val="21"/>
              </w:rPr>
              <w:t>日取得了</w:t>
            </w:r>
            <w:r>
              <w:rPr>
                <w:rFonts w:hint="eastAsia" w:ascii="Times New Roman" w:hAnsi="Times New Roman" w:cs="Times New Roman"/>
                <w:color w:val="auto"/>
                <w:sz w:val="21"/>
                <w:szCs w:val="21"/>
              </w:rPr>
              <w:t>常州</w:t>
            </w:r>
            <w:r>
              <w:rPr>
                <w:rFonts w:ascii="Times New Roman" w:hAnsi="Times New Roman" w:cs="Times New Roman"/>
                <w:color w:val="auto"/>
                <w:sz w:val="21"/>
                <w:szCs w:val="21"/>
              </w:rPr>
              <w:t>市</w:t>
            </w:r>
            <w:r>
              <w:rPr>
                <w:rFonts w:hint="eastAsia" w:ascii="Times New Roman" w:hAnsi="Times New Roman" w:cs="Times New Roman"/>
                <w:color w:val="auto"/>
                <w:sz w:val="21"/>
                <w:szCs w:val="21"/>
              </w:rPr>
              <w:t>生态</w:t>
            </w:r>
            <w:r>
              <w:rPr>
                <w:rFonts w:ascii="Times New Roman" w:hAnsi="Times New Roman" w:cs="Times New Roman"/>
                <w:color w:val="auto"/>
                <w:sz w:val="21"/>
                <w:szCs w:val="21"/>
              </w:rPr>
              <w:t>环境局出具的审批意见</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常金环审〔2024〕22号</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该项目主要对</w:t>
            </w:r>
            <w:r>
              <w:rPr>
                <w:rFonts w:hint="eastAsia" w:ascii="Times New Roman" w:hAnsi="Times New Roman" w:cs="Times New Roman" w:eastAsiaTheme="minorEastAsia"/>
                <w:color w:val="auto"/>
                <w:sz w:val="21"/>
                <w:szCs w:val="21"/>
                <w:lang w:val="en-US" w:eastAsia="zh-CN"/>
              </w:rPr>
              <w:t>“</w:t>
            </w:r>
            <w:r>
              <w:rPr>
                <w:rFonts w:hint="default" w:ascii="Times New Roman" w:hAnsi="Times New Roman" w:cs="Times New Roman" w:eastAsiaTheme="minorEastAsia"/>
                <w:color w:val="auto"/>
                <w:sz w:val="21"/>
                <w:szCs w:val="21"/>
                <w:lang w:val="en-US" w:eastAsia="zh-CN"/>
              </w:rPr>
              <w:t>新建年产光伏组件用高性能EVA胶膜、功能性塑料项目</w:t>
            </w:r>
            <w:r>
              <w:rPr>
                <w:rFonts w:hint="eastAsia" w:ascii="Times New Roman" w:hAnsi="Times New Roman" w:cs="Times New Roman" w:eastAsiaTheme="minorEastAsia"/>
                <w:color w:val="auto"/>
                <w:sz w:val="21"/>
                <w:szCs w:val="21"/>
                <w:lang w:val="en-US" w:eastAsia="zh-CN"/>
              </w:rPr>
              <w:t>”</w:t>
            </w:r>
            <w:r>
              <w:rPr>
                <w:rFonts w:hint="default" w:ascii="Times New Roman" w:hAnsi="Times New Roman" w:cs="Times New Roman" w:eastAsiaTheme="minorEastAsia"/>
                <w:color w:val="auto"/>
                <w:sz w:val="21"/>
                <w:szCs w:val="21"/>
                <w:lang w:val="en-US" w:eastAsia="zh-CN"/>
              </w:rPr>
              <w:t>进行技术改造并扩产新型太阳能封装材料</w:t>
            </w:r>
            <w:r>
              <w:rPr>
                <w:rFonts w:hint="eastAsia" w:ascii="Times New Roman" w:hAnsi="Times New Roman" w:cs="Times New Roman" w:eastAsiaTheme="minorEastAsia"/>
                <w:color w:val="auto"/>
                <w:sz w:val="21"/>
                <w:szCs w:val="21"/>
                <w:lang w:val="en-US" w:eastAsia="zh-CN"/>
              </w:rPr>
              <w:t>，</w:t>
            </w:r>
            <w:r>
              <w:rPr>
                <w:rFonts w:hint="eastAsia"/>
                <w:color w:val="auto"/>
                <w:sz w:val="21"/>
                <w:szCs w:val="21"/>
              </w:rPr>
              <w:t>批复产能为</w:t>
            </w:r>
            <w:r>
              <w:rPr>
                <w:rFonts w:hint="eastAsia" w:ascii="Times New Roman" w:hAnsi="Times New Roman" w:cs="Times New Roman" w:eastAsiaTheme="minorEastAsia"/>
                <w:color w:val="auto"/>
                <w:sz w:val="21"/>
                <w:szCs w:val="21"/>
                <w:lang w:val="en-US" w:eastAsia="zh-CN"/>
              </w:rPr>
              <w:t>高性能EVA胶膜2000万m</w:t>
            </w:r>
            <w:r>
              <w:rPr>
                <w:rFonts w:hint="eastAsia" w:ascii="Times New Roman" w:hAnsi="Times New Roman" w:cs="Times New Roman" w:eastAsiaTheme="minorEastAsia"/>
                <w:color w:val="auto"/>
                <w:sz w:val="21"/>
                <w:szCs w:val="21"/>
                <w:vertAlign w:val="superscript"/>
                <w:lang w:val="en-US" w:eastAsia="zh-CN"/>
              </w:rPr>
              <w:t>2</w:t>
            </w:r>
            <w:r>
              <w:rPr>
                <w:rFonts w:hint="eastAsia"/>
                <w:color w:val="auto"/>
                <w:sz w:val="21"/>
                <w:szCs w:val="21"/>
                <w:lang w:eastAsia="zh-CN"/>
              </w:rPr>
              <w:t>，</w:t>
            </w:r>
            <w:r>
              <w:rPr>
                <w:color w:val="auto"/>
                <w:sz w:val="21"/>
                <w:szCs w:val="21"/>
              </w:rPr>
              <w:t>项目</w:t>
            </w:r>
            <w:r>
              <w:rPr>
                <w:rStyle w:val="38"/>
                <w:rFonts w:hint="eastAsia"/>
                <w:color w:val="auto"/>
                <w:kern w:val="0"/>
                <w:sz w:val="21"/>
                <w:szCs w:val="21"/>
              </w:rPr>
              <w:t>尚在建设中</w:t>
            </w:r>
            <w:r>
              <w:rPr>
                <w:rFonts w:hint="eastAsia"/>
                <w:color w:val="auto"/>
                <w:sz w:val="21"/>
                <w:szCs w:val="21"/>
              </w:rPr>
              <w:t>。</w:t>
            </w:r>
          </w:p>
          <w:p w14:paraId="2E580DD2">
            <w:pPr>
              <w:keepNext w:val="0"/>
              <w:keepLines w:val="0"/>
              <w:pageBreakBefore w:val="0"/>
              <w:widowControl/>
              <w:kinsoku/>
              <w:wordWrap/>
              <w:overflowPunct/>
              <w:topLinePunct w:val="0"/>
              <w:autoSpaceDE/>
              <w:autoSpaceDN/>
              <w:bidi w:val="0"/>
              <w:adjustRightInd/>
              <w:spacing w:line="500" w:lineRule="exact"/>
              <w:ind w:firstLine="420" w:firstLineChars="200"/>
              <w:jc w:val="left"/>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目前厂区实际拥有</w:t>
            </w:r>
            <w:r>
              <w:rPr>
                <w:rFonts w:hint="eastAsia"/>
                <w:color w:val="auto"/>
                <w:sz w:val="21"/>
                <w:szCs w:val="21"/>
              </w:rPr>
              <w:t>年</w:t>
            </w:r>
            <w:r>
              <w:rPr>
                <w:color w:val="auto"/>
                <w:sz w:val="21"/>
                <w:szCs w:val="21"/>
              </w:rPr>
              <w:t>产光伏组件用</w:t>
            </w:r>
            <w:r>
              <w:rPr>
                <w:rFonts w:hint="default" w:ascii="Times New Roman" w:hAnsi="Times New Roman" w:cs="Times New Roman"/>
                <w:color w:val="auto"/>
                <w:sz w:val="21"/>
                <w:szCs w:val="21"/>
              </w:rPr>
              <w:t>高性能EVA胶膜</w:t>
            </w:r>
            <w:r>
              <w:rPr>
                <w:rFonts w:hint="default" w:ascii="Times New Roman" w:hAnsi="Times New Roman" w:cs="Times New Roman"/>
                <w:color w:val="auto"/>
                <w:sz w:val="21"/>
                <w:szCs w:val="21"/>
                <w:lang w:val="en-US" w:eastAsia="zh-CN"/>
              </w:rPr>
              <w:t>12</w:t>
            </w:r>
            <w:r>
              <w:rPr>
                <w:rFonts w:hint="default" w:ascii="Times New Roman" w:hAnsi="Times New Roman" w:cs="Times New Roman"/>
                <w:color w:val="auto"/>
                <w:sz w:val="21"/>
                <w:szCs w:val="21"/>
              </w:rPr>
              <w:t>000万m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、功能性塑料1.8万吨</w:t>
            </w:r>
            <w:r>
              <w:rPr>
                <w:rFonts w:hint="eastAsia" w:cs="Times New Roman"/>
                <w:color w:val="auto"/>
                <w:sz w:val="21"/>
                <w:szCs w:val="21"/>
                <w:lang w:eastAsia="zh-CN"/>
              </w:rPr>
              <w:t>、</w:t>
            </w:r>
            <w:r>
              <w:rPr>
                <w:rFonts w:hint="eastAsia"/>
                <w:color w:val="auto"/>
                <w:sz w:val="21"/>
                <w:szCs w:val="21"/>
              </w:rPr>
              <w:t>功能性聚烯烃热熔胶</w:t>
            </w:r>
            <w:r>
              <w:rPr>
                <w:rFonts w:hint="eastAsia"/>
                <w:color w:val="auto"/>
                <w:sz w:val="21"/>
                <w:szCs w:val="21"/>
                <w:lang w:val="en-US" w:eastAsia="zh-CN"/>
              </w:rPr>
              <w:t>5000</w:t>
            </w:r>
            <w:r>
              <w:rPr>
                <w:rFonts w:hint="eastAsia"/>
                <w:color w:val="auto"/>
                <w:sz w:val="21"/>
                <w:szCs w:val="21"/>
              </w:rPr>
              <w:t>吨</w:t>
            </w:r>
            <w:r>
              <w:rPr>
                <w:rFonts w:hint="default" w:ascii="Times New Roman" w:hAnsi="Times New Roman" w:eastAsia="宋体" w:cs="Times New Roman"/>
                <w:color w:val="auto"/>
                <w:sz w:val="21"/>
                <w:szCs w:val="21"/>
                <w:highlight w:val="none"/>
                <w:lang w:val="en-US" w:eastAsia="zh-CN"/>
              </w:rPr>
              <w:t>的生产规模</w:t>
            </w:r>
            <w:r>
              <w:rPr>
                <w:rFonts w:hint="eastAsia" w:cs="Times New Roman"/>
                <w:color w:val="auto"/>
                <w:sz w:val="21"/>
                <w:szCs w:val="21"/>
                <w:highlight w:val="none"/>
                <w:lang w:val="en-US" w:eastAsia="zh-CN"/>
              </w:rPr>
              <w:t>，剩余产能（</w:t>
            </w:r>
            <w:r>
              <w:rPr>
                <w:color w:val="auto"/>
                <w:kern w:val="2"/>
                <w:sz w:val="21"/>
                <w:szCs w:val="21"/>
                <w:lang w:val="en-US" w:eastAsia="zh-CN"/>
              </w:rPr>
              <w:t>年产</w:t>
            </w:r>
            <w:r>
              <w:rPr>
                <w:rFonts w:hint="default" w:ascii="Times New Roman" w:hAnsi="Times New Roman" w:cs="Times New Roman"/>
                <w:color w:val="auto"/>
                <w:sz w:val="21"/>
                <w:szCs w:val="21"/>
              </w:rPr>
              <w:t>高性能EVA胶膜</w:t>
            </w:r>
            <w:r>
              <w:rPr>
                <w:rFonts w:hint="eastAsia" w:ascii="Times New Roman" w:hAnsi="Times New Roman" w:cs="Times New Roman"/>
                <w:color w:val="auto"/>
                <w:sz w:val="21"/>
                <w:szCs w:val="21"/>
                <w:lang w:val="en-US" w:eastAsia="zh-CN"/>
              </w:rPr>
              <w:t>11</w:t>
            </w:r>
            <w:r>
              <w:rPr>
                <w:rFonts w:hint="default" w:ascii="Times New Roman" w:hAnsi="Times New Roman" w:cs="Times New Roman"/>
                <w:color w:val="auto"/>
                <w:sz w:val="21"/>
                <w:szCs w:val="21"/>
              </w:rPr>
              <w:t>000万m</w:t>
            </w:r>
            <w:r>
              <w:rPr>
                <w:rFonts w:hint="default" w:ascii="Times New Roman" w:hAnsi="Times New Roman" w:cs="Times New Roman"/>
                <w:color w:val="auto"/>
                <w:sz w:val="21"/>
                <w:szCs w:val="21"/>
                <w:vertAlign w:val="superscript"/>
              </w:rPr>
              <w:t>2</w:t>
            </w:r>
            <w:r>
              <w:rPr>
                <w:rFonts w:hint="eastAsia"/>
                <w:color w:val="auto"/>
                <w:kern w:val="2"/>
                <w:sz w:val="21"/>
                <w:szCs w:val="21"/>
                <w:lang w:val="en-US" w:eastAsia="zh-CN"/>
              </w:rPr>
              <w:t>、</w:t>
            </w:r>
            <w:r>
              <w:rPr>
                <w:color w:val="auto"/>
                <w:kern w:val="2"/>
                <w:sz w:val="21"/>
                <w:szCs w:val="21"/>
                <w:lang w:val="en-US" w:eastAsia="zh-CN"/>
              </w:rPr>
              <w:t>POE</w:t>
            </w:r>
            <w:r>
              <w:rPr>
                <w:rFonts w:hint="eastAsia"/>
                <w:color w:val="auto"/>
                <w:kern w:val="2"/>
                <w:sz w:val="21"/>
                <w:szCs w:val="21"/>
                <w:lang w:val="en-US" w:eastAsia="zh-CN"/>
              </w:rPr>
              <w:t>胶膜9000</w:t>
            </w:r>
            <w:r>
              <w:rPr>
                <w:color w:val="auto"/>
                <w:kern w:val="2"/>
                <w:sz w:val="21"/>
                <w:szCs w:val="21"/>
                <w:lang w:val="en-US" w:eastAsia="zh-CN"/>
              </w:rPr>
              <w:t>万</w:t>
            </w:r>
            <w:r>
              <w:rPr>
                <w:rFonts w:hint="eastAsia"/>
                <w:color w:val="auto"/>
                <w:kern w:val="2"/>
                <w:sz w:val="21"/>
                <w:szCs w:val="21"/>
                <w:lang w:val="en-US" w:eastAsia="zh-CN"/>
              </w:rPr>
              <w:t>m</w:t>
            </w:r>
            <w:r>
              <w:rPr>
                <w:color w:val="auto"/>
                <w:kern w:val="2"/>
                <w:sz w:val="21"/>
                <w:szCs w:val="21"/>
                <w:vertAlign w:val="superscript"/>
                <w:lang w:val="en-US" w:eastAsia="zh-CN"/>
              </w:rPr>
              <w:t>2</w:t>
            </w:r>
            <w:r>
              <w:rPr>
                <w:rFonts w:hint="eastAsia"/>
                <w:color w:val="auto"/>
                <w:kern w:val="2"/>
                <w:sz w:val="21"/>
                <w:szCs w:val="21"/>
                <w:lang w:val="en-US" w:eastAsia="zh-CN"/>
              </w:rPr>
              <w:t>、</w:t>
            </w:r>
            <w:r>
              <w:rPr>
                <w:rFonts w:hint="eastAsia"/>
                <w:color w:val="auto"/>
                <w:sz w:val="21"/>
                <w:szCs w:val="21"/>
              </w:rPr>
              <w:t>功能性聚烯烃热熔胶</w:t>
            </w:r>
            <w:r>
              <w:rPr>
                <w:rFonts w:hint="eastAsia"/>
                <w:color w:val="auto"/>
                <w:sz w:val="21"/>
                <w:szCs w:val="21"/>
                <w:lang w:val="en-US" w:eastAsia="zh-CN"/>
              </w:rPr>
              <w:t>3.5万</w:t>
            </w:r>
            <w:r>
              <w:rPr>
                <w:rFonts w:hint="eastAsia"/>
                <w:color w:val="auto"/>
                <w:sz w:val="21"/>
                <w:szCs w:val="21"/>
              </w:rPr>
              <w:t>吨</w:t>
            </w:r>
            <w:r>
              <w:rPr>
                <w:rFonts w:hint="eastAsia" w:cs="Times New Roman"/>
                <w:color w:val="auto"/>
                <w:sz w:val="21"/>
                <w:szCs w:val="21"/>
                <w:highlight w:val="none"/>
                <w:lang w:val="en-US" w:eastAsia="zh-CN"/>
              </w:rPr>
              <w:t>）尚在建设中。</w:t>
            </w:r>
            <w:r>
              <w:rPr>
                <w:rFonts w:hint="default" w:ascii="Times New Roman" w:hAnsi="Times New Roman" w:cs="Times New Roman" w:eastAsiaTheme="minorEastAsia"/>
                <w:color w:val="auto"/>
                <w:sz w:val="21"/>
                <w:szCs w:val="21"/>
                <w:lang w:val="en-US" w:eastAsia="zh-CN"/>
              </w:rPr>
              <w:t>企业于202</w:t>
            </w:r>
            <w:r>
              <w:rPr>
                <w:rFonts w:hint="eastAsia" w:ascii="Times New Roman" w:hAnsi="Times New Roman" w:cs="Times New Roman" w:eastAsiaTheme="minorEastAsia"/>
                <w:color w:val="auto"/>
                <w:sz w:val="21"/>
                <w:szCs w:val="21"/>
                <w:lang w:val="en-US" w:eastAsia="zh-CN"/>
              </w:rPr>
              <w:t>4</w:t>
            </w:r>
            <w:r>
              <w:rPr>
                <w:rFonts w:hint="default" w:ascii="Times New Roman" w:hAnsi="Times New Roman" w:cs="Times New Roman" w:eastAsiaTheme="minorEastAsia"/>
                <w:color w:val="auto"/>
                <w:sz w:val="21"/>
                <w:szCs w:val="21"/>
                <w:lang w:val="en-US" w:eastAsia="zh-CN"/>
              </w:rPr>
              <w:t>年</w:t>
            </w:r>
            <w:r>
              <w:rPr>
                <w:rFonts w:hint="eastAsia" w:ascii="Times New Roman" w:hAnsi="Times New Roman" w:cs="Times New Roman" w:eastAsiaTheme="minorEastAsia"/>
                <w:color w:val="auto"/>
                <w:sz w:val="21"/>
                <w:szCs w:val="21"/>
                <w:lang w:val="en-US" w:eastAsia="zh-CN"/>
              </w:rPr>
              <w:t>5</w:t>
            </w:r>
            <w:r>
              <w:rPr>
                <w:rFonts w:hint="default" w:ascii="Times New Roman" w:hAnsi="Times New Roman" w:cs="Times New Roman" w:eastAsiaTheme="minorEastAsia"/>
                <w:color w:val="auto"/>
                <w:sz w:val="21"/>
                <w:szCs w:val="21"/>
                <w:lang w:val="en-US" w:eastAsia="zh-CN"/>
              </w:rPr>
              <w:t>月</w:t>
            </w:r>
            <w:r>
              <w:rPr>
                <w:rFonts w:hint="eastAsia" w:ascii="Times New Roman" w:hAnsi="Times New Roman" w:cs="Times New Roman" w:eastAsiaTheme="minorEastAsia"/>
                <w:color w:val="auto"/>
                <w:sz w:val="21"/>
                <w:szCs w:val="21"/>
                <w:lang w:val="en-US" w:eastAsia="zh-CN"/>
              </w:rPr>
              <w:t>13</w:t>
            </w:r>
            <w:r>
              <w:rPr>
                <w:rFonts w:hint="default" w:ascii="Times New Roman" w:hAnsi="Times New Roman" w:cs="Times New Roman" w:eastAsiaTheme="minorEastAsia"/>
                <w:color w:val="auto"/>
                <w:sz w:val="21"/>
                <w:szCs w:val="21"/>
                <w:lang w:val="en-US" w:eastAsia="zh-CN"/>
              </w:rPr>
              <w:t>日</w:t>
            </w:r>
            <w:r>
              <w:rPr>
                <w:rFonts w:hint="eastAsia" w:ascii="Times New Roman" w:hAnsi="Times New Roman" w:cs="Times New Roman" w:eastAsiaTheme="minorEastAsia"/>
                <w:color w:val="auto"/>
                <w:sz w:val="21"/>
                <w:szCs w:val="21"/>
                <w:lang w:val="en-US" w:eastAsia="zh-CN"/>
              </w:rPr>
              <w:t>重新申领</w:t>
            </w:r>
            <w:r>
              <w:rPr>
                <w:rFonts w:hint="default" w:ascii="Times New Roman" w:hAnsi="Times New Roman" w:cs="Times New Roman" w:eastAsiaTheme="minorEastAsia"/>
                <w:color w:val="auto"/>
                <w:sz w:val="21"/>
                <w:szCs w:val="21"/>
                <w:lang w:val="en-US" w:eastAsia="zh-CN"/>
              </w:rPr>
              <w:t>了排污许可证（编号</w:t>
            </w:r>
            <w:r>
              <w:rPr>
                <w:rFonts w:hint="default" w:ascii="Times New Roman" w:hAnsi="Times New Roman" w:eastAsia="宋体" w:cs="Times New Roman"/>
                <w:color w:val="auto"/>
                <w:sz w:val="21"/>
                <w:szCs w:val="21"/>
                <w:highlight w:val="none"/>
                <w:lang w:val="en-US" w:eastAsia="zh-CN"/>
              </w:rPr>
              <w:t>为</w:t>
            </w:r>
            <w:r>
              <w:rPr>
                <w:rFonts w:hint="default" w:ascii="Times New Roman" w:hAnsi="Times New Roman" w:eastAsia="仿宋" w:cs="Times New Roman"/>
                <w:color w:val="auto"/>
                <w:sz w:val="21"/>
                <w:szCs w:val="21"/>
                <w:lang w:val="en-US" w:eastAsia="zh-CN"/>
              </w:rPr>
              <w:t>：</w:t>
            </w:r>
            <w:r>
              <w:rPr>
                <w:rFonts w:hint="eastAsia" w:ascii="Times New Roman" w:hAnsi="Times New Roman" w:eastAsia="仿宋" w:cs="Times New Roman"/>
                <w:color w:val="auto"/>
                <w:sz w:val="21"/>
                <w:szCs w:val="21"/>
                <w:lang w:val="en-US" w:eastAsia="zh-CN"/>
              </w:rPr>
              <w:t>91320413591190896J001Y</w:t>
            </w:r>
            <w:r>
              <w:rPr>
                <w:rFonts w:hint="default" w:ascii="Times New Roman" w:hAnsi="Times New Roman" w:eastAsia="仿宋" w:cs="Times New Roman"/>
                <w:color w:val="auto"/>
                <w:sz w:val="21"/>
                <w:szCs w:val="21"/>
                <w:lang w:val="en-US" w:eastAsia="zh-CN"/>
              </w:rPr>
              <w:t>）</w:t>
            </w:r>
            <w:r>
              <w:rPr>
                <w:rFonts w:hint="default" w:ascii="Times New Roman" w:hAnsi="Times New Roman" w:eastAsia="宋体" w:cs="Times New Roman"/>
                <w:color w:val="auto"/>
                <w:sz w:val="21"/>
                <w:szCs w:val="21"/>
                <w:highlight w:val="none"/>
                <w:lang w:eastAsia="zh-CN"/>
              </w:rPr>
              <w:t>。</w:t>
            </w:r>
          </w:p>
          <w:p w14:paraId="2DF3F8FE">
            <w:pPr>
              <w:widowControl/>
              <w:spacing w:line="500" w:lineRule="exact"/>
              <w:ind w:firstLine="420" w:firstLineChars="200"/>
              <w:rPr>
                <w:rFonts w:hint="eastAsia"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为了</w:t>
            </w:r>
            <w:r>
              <w:rPr>
                <w:rFonts w:hint="eastAsia" w:ascii="Times New Roman" w:hAnsi="Times New Roman" w:cs="Times New Roman" w:eastAsiaTheme="minorEastAsia"/>
                <w:color w:val="auto"/>
                <w:sz w:val="21"/>
                <w:szCs w:val="21"/>
                <w:lang w:val="en-US" w:eastAsia="zh-CN"/>
              </w:rPr>
              <w:t>扩大市场占有率</w:t>
            </w:r>
            <w:r>
              <w:rPr>
                <w:rFonts w:hint="default" w:ascii="Times New Roman" w:hAnsi="Times New Roman" w:cs="Times New Roman" w:eastAsiaTheme="minorEastAsia"/>
                <w:color w:val="auto"/>
                <w:sz w:val="21"/>
                <w:szCs w:val="21"/>
                <w:lang w:val="en-US" w:eastAsia="zh-CN"/>
              </w:rPr>
              <w:t>，进一步加强公司</w:t>
            </w:r>
            <w:r>
              <w:rPr>
                <w:rFonts w:hint="eastAsia" w:ascii="Times New Roman" w:hAnsi="Times New Roman" w:cs="Times New Roman" w:eastAsiaTheme="minorEastAsia"/>
                <w:color w:val="auto"/>
                <w:sz w:val="21"/>
                <w:szCs w:val="21"/>
                <w:lang w:val="en-US" w:eastAsia="zh-CN"/>
              </w:rPr>
              <w:t>产品</w:t>
            </w:r>
            <w:r>
              <w:rPr>
                <w:rFonts w:hint="default" w:ascii="Times New Roman" w:hAnsi="Times New Roman" w:cs="Times New Roman" w:eastAsiaTheme="minorEastAsia"/>
                <w:color w:val="auto"/>
                <w:sz w:val="21"/>
                <w:szCs w:val="21"/>
                <w:lang w:val="en-US" w:eastAsia="zh-CN"/>
              </w:rPr>
              <w:t>的市场竞争力，</w:t>
            </w:r>
            <w:r>
              <w:rPr>
                <w:rFonts w:hint="eastAsia" w:ascii="Times New Roman" w:hAnsi="Times New Roman" w:cs="Times New Roman" w:eastAsiaTheme="minorEastAsia"/>
                <w:color w:val="auto"/>
                <w:sz w:val="21"/>
                <w:szCs w:val="21"/>
                <w:lang w:val="en-US" w:eastAsia="zh-CN"/>
              </w:rPr>
              <w:t>鹿山新材料</w:t>
            </w:r>
            <w:r>
              <w:rPr>
                <w:rFonts w:hint="default" w:ascii="Times New Roman" w:hAnsi="Times New Roman" w:cs="Times New Roman" w:eastAsiaTheme="minorEastAsia"/>
                <w:color w:val="auto"/>
                <w:sz w:val="21"/>
                <w:szCs w:val="21"/>
                <w:lang w:val="en-US" w:eastAsia="zh-CN"/>
              </w:rPr>
              <w:t>拟投资</w:t>
            </w:r>
            <w:r>
              <w:rPr>
                <w:rFonts w:hint="eastAsia" w:ascii="Times New Roman" w:hAnsi="Times New Roman" w:cs="Times New Roman" w:eastAsiaTheme="minorEastAsia"/>
                <w:color w:val="auto"/>
                <w:sz w:val="21"/>
                <w:szCs w:val="21"/>
                <w:lang w:val="en-US" w:eastAsia="zh-CN"/>
              </w:rPr>
              <w:t>200</w:t>
            </w:r>
            <w:r>
              <w:rPr>
                <w:rFonts w:hint="default" w:ascii="Times New Roman" w:hAnsi="Times New Roman" w:cs="Times New Roman" w:eastAsiaTheme="minorEastAsia"/>
                <w:color w:val="auto"/>
                <w:sz w:val="21"/>
                <w:szCs w:val="21"/>
                <w:lang w:val="en-US" w:eastAsia="zh-CN"/>
              </w:rPr>
              <w:t>0万元，对现有</w:t>
            </w:r>
            <w:r>
              <w:rPr>
                <w:rFonts w:hint="eastAsia" w:ascii="Times New Roman" w:hAnsi="Times New Roman" w:cs="Times New Roman" w:eastAsiaTheme="minorEastAsia"/>
                <w:color w:val="auto"/>
                <w:sz w:val="21"/>
                <w:szCs w:val="21"/>
                <w:lang w:val="en-US" w:eastAsia="zh-CN"/>
              </w:rPr>
              <w:t>的“</w:t>
            </w:r>
            <w:r>
              <w:rPr>
                <w:rFonts w:hint="eastAsia"/>
                <w:color w:val="auto"/>
                <w:sz w:val="21"/>
                <w:szCs w:val="21"/>
              </w:rPr>
              <w:t>新型太阳能封装材料扩产项目</w:t>
            </w:r>
            <w:r>
              <w:rPr>
                <w:rFonts w:hint="eastAsia" w:ascii="Times New Roman" w:hAnsi="Times New Roman" w:cs="Times New Roman" w:eastAsiaTheme="minorEastAsia"/>
                <w:color w:val="auto"/>
                <w:sz w:val="21"/>
                <w:szCs w:val="21"/>
                <w:lang w:val="en-US" w:eastAsia="zh-CN"/>
              </w:rPr>
              <w:t>”</w:t>
            </w:r>
            <w:r>
              <w:rPr>
                <w:rFonts w:hint="default" w:ascii="Times New Roman" w:hAnsi="Times New Roman" w:cs="Times New Roman" w:eastAsiaTheme="minorEastAsia"/>
                <w:color w:val="auto"/>
                <w:sz w:val="21"/>
                <w:szCs w:val="21"/>
                <w:lang w:val="en-US" w:eastAsia="zh-CN"/>
              </w:rPr>
              <w:t>进行技术改造并扩产新型太阳能封装材料</w:t>
            </w:r>
            <w:r>
              <w:rPr>
                <w:rFonts w:hint="eastAsia" w:ascii="Times New Roman" w:hAnsi="Times New Roman" w:cs="Times New Roman" w:eastAsiaTheme="minorEastAsia"/>
                <w:color w:val="auto"/>
                <w:sz w:val="21"/>
                <w:szCs w:val="21"/>
                <w:lang w:val="en-US" w:eastAsia="zh-CN"/>
              </w:rPr>
              <w:t>。</w:t>
            </w:r>
          </w:p>
          <w:p w14:paraId="1E3C0A1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2-1</w:t>
            </w:r>
            <w:r>
              <w:rPr>
                <w:rFonts w:hint="default" w:ascii="Times New Roman" w:hAnsi="Times New Roman" w:eastAsia="宋体" w:cs="Times New Roman"/>
                <w:b/>
                <w:bCs/>
                <w:color w:val="auto"/>
                <w:sz w:val="21"/>
                <w:szCs w:val="21"/>
                <w:highlight w:val="none"/>
              </w:rPr>
              <w:t xml:space="preserve">  本项目改</w:t>
            </w:r>
            <w:r>
              <w:rPr>
                <w:rFonts w:hint="eastAsia" w:cs="Times New Roman"/>
                <w:b/>
                <w:bCs/>
                <w:color w:val="auto"/>
                <w:sz w:val="21"/>
                <w:szCs w:val="21"/>
                <w:highlight w:val="none"/>
                <w:lang w:eastAsia="zh-CN"/>
              </w:rPr>
              <w:t>扩建</w:t>
            </w:r>
            <w:r>
              <w:rPr>
                <w:rFonts w:hint="default" w:ascii="Times New Roman" w:hAnsi="Times New Roman" w:eastAsia="宋体" w:cs="Times New Roman"/>
                <w:b/>
                <w:bCs/>
                <w:color w:val="auto"/>
                <w:sz w:val="21"/>
                <w:szCs w:val="21"/>
                <w:highlight w:val="none"/>
              </w:rPr>
              <w:t>方案一览表</w:t>
            </w:r>
          </w:p>
          <w:tbl>
            <w:tblPr>
              <w:tblStyle w:val="31"/>
              <w:tblW w:w="4998" w:type="pct"/>
              <w:jc w:val="center"/>
              <w:tblBorders>
                <w:top w:val="single" w:color="auto" w:sz="4" w:space="0"/>
                <w:left w:val="dotted" w:color="auto" w:sz="4"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88"/>
              <w:gridCol w:w="1541"/>
              <w:gridCol w:w="5846"/>
            </w:tblGrid>
            <w:tr w14:paraId="72731E19">
              <w:tblPrEx>
                <w:tblBorders>
                  <w:top w:val="single" w:color="auto" w:sz="4" w:space="0"/>
                  <w:left w:val="dotted" w:color="auto" w:sz="4"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82" w:type="pct"/>
                  <w:noWrap w:val="0"/>
                  <w:vAlign w:val="center"/>
                </w:tcPr>
                <w:p w14:paraId="3D2EDAB5">
                  <w:pPr>
                    <w:spacing w:line="240" w:lineRule="atLeas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942" w:type="pct"/>
                  <w:noWrap w:val="0"/>
                  <w:vAlign w:val="center"/>
                </w:tcPr>
                <w:p w14:paraId="22C3F8BB">
                  <w:pPr>
                    <w:spacing w:line="240" w:lineRule="atLeast"/>
                    <w:jc w:val="center"/>
                    <w:rPr>
                      <w:rFonts w:hint="default" w:ascii="Times New Roman" w:hAnsi="Times New Roman" w:cs="Times New Roman"/>
                      <w:b/>
                      <w:bCs/>
                      <w:color w:val="auto"/>
                      <w:sz w:val="21"/>
                      <w:szCs w:val="21"/>
                    </w:rPr>
                  </w:pPr>
                  <w:r>
                    <w:rPr>
                      <w:rFonts w:hint="eastAsia" w:cs="Times New Roman"/>
                      <w:b/>
                      <w:bCs/>
                      <w:color w:val="auto"/>
                      <w:sz w:val="21"/>
                      <w:szCs w:val="21"/>
                      <w:lang w:eastAsia="zh-CN"/>
                    </w:rPr>
                    <w:t>改扩建</w:t>
                  </w:r>
                  <w:r>
                    <w:rPr>
                      <w:rFonts w:hint="default" w:ascii="Times New Roman" w:hAnsi="Times New Roman" w:cs="Times New Roman"/>
                      <w:b/>
                      <w:bCs/>
                      <w:color w:val="auto"/>
                      <w:sz w:val="21"/>
                      <w:szCs w:val="21"/>
                    </w:rPr>
                    <w:t>方案</w:t>
                  </w:r>
                </w:p>
              </w:tc>
              <w:tc>
                <w:tcPr>
                  <w:tcW w:w="3574" w:type="pct"/>
                  <w:noWrap w:val="0"/>
                  <w:vAlign w:val="center"/>
                </w:tcPr>
                <w:p w14:paraId="08A41C06">
                  <w:pPr>
                    <w:spacing w:line="240" w:lineRule="atLeas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建设内容</w:t>
                  </w:r>
                </w:p>
              </w:tc>
            </w:tr>
            <w:tr w14:paraId="24014CC1">
              <w:tblPrEx>
                <w:tblBorders>
                  <w:top w:val="single" w:color="auto" w:sz="4" w:space="0"/>
                  <w:left w:val="dotted" w:color="auto" w:sz="4"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82" w:type="pct"/>
                  <w:noWrap w:val="0"/>
                  <w:vAlign w:val="center"/>
                </w:tcPr>
                <w:p w14:paraId="6EB68D6B">
                  <w:pPr>
                    <w:spacing w:line="24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42" w:type="pct"/>
                  <w:noWrap w:val="0"/>
                  <w:vAlign w:val="center"/>
                </w:tcPr>
                <w:p w14:paraId="57FF613A">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产品方案调整</w:t>
                  </w:r>
                </w:p>
              </w:tc>
              <w:tc>
                <w:tcPr>
                  <w:tcW w:w="3574" w:type="pct"/>
                  <w:noWrap w:val="0"/>
                  <w:vAlign w:val="center"/>
                </w:tcPr>
                <w:p w14:paraId="239299E4">
                  <w:pPr>
                    <w:adjustRightInd w:val="0"/>
                    <w:snapToGrid w:val="0"/>
                    <w:jc w:val="center"/>
                    <w:rPr>
                      <w:rFonts w:hint="default" w:ascii="Times New Roman" w:hAnsi="Times New Roman" w:cs="Times New Roman"/>
                      <w:color w:val="auto"/>
                      <w:sz w:val="21"/>
                      <w:szCs w:val="21"/>
                      <w:lang w:val="en-US"/>
                    </w:rPr>
                  </w:pPr>
                  <w:r>
                    <w:rPr>
                      <w:rFonts w:hint="eastAsia" w:ascii="Times New Roman" w:hAnsi="Times New Roman" w:eastAsia="宋体" w:cs="Times New Roman"/>
                      <w:color w:val="auto"/>
                      <w:sz w:val="21"/>
                      <w:szCs w:val="21"/>
                      <w:lang w:val="en-US" w:eastAsia="zh-CN"/>
                    </w:rPr>
                    <w:t>EVA胶膜</w:t>
                  </w:r>
                  <w:r>
                    <w:rPr>
                      <w:rFonts w:hint="default" w:ascii="Times New Roman" w:hAnsi="Times New Roman" w:eastAsia="宋体" w:cs="Times New Roman"/>
                      <w:color w:val="auto"/>
                      <w:sz w:val="21"/>
                      <w:szCs w:val="21"/>
                      <w:highlight w:val="none"/>
                      <w:lang w:val="en-US" w:eastAsia="zh-CN"/>
                    </w:rPr>
                    <w:t>产量增加</w:t>
                  </w:r>
                  <w:r>
                    <w:rPr>
                      <w:rFonts w:hint="eastAsia" w:ascii="Times New Roman" w:hAnsi="Times New Roman" w:eastAsia="宋体" w:cs="Times New Roman"/>
                      <w:color w:val="auto"/>
                      <w:sz w:val="21"/>
                      <w:szCs w:val="21"/>
                      <w:highlight w:val="none"/>
                      <w:lang w:val="en-US" w:eastAsia="zh-CN"/>
                    </w:rPr>
                    <w:t>20%</w:t>
                  </w:r>
                </w:p>
              </w:tc>
            </w:tr>
            <w:tr w14:paraId="3DD266B2">
              <w:tblPrEx>
                <w:tblBorders>
                  <w:top w:val="single" w:color="auto" w:sz="4" w:space="0"/>
                  <w:left w:val="dotted" w:color="auto" w:sz="4"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82" w:type="pct"/>
                  <w:noWrap w:val="0"/>
                  <w:vAlign w:val="center"/>
                </w:tcPr>
                <w:p w14:paraId="6825CAD9">
                  <w:pPr>
                    <w:spacing w:line="24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942" w:type="pct"/>
                  <w:noWrap w:val="0"/>
                  <w:vAlign w:val="center"/>
                </w:tcPr>
                <w:p w14:paraId="449D2B1B">
                  <w:pPr>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设备更新</w:t>
                  </w:r>
                </w:p>
              </w:tc>
              <w:tc>
                <w:tcPr>
                  <w:tcW w:w="3574" w:type="pct"/>
                  <w:noWrap w:val="0"/>
                  <w:vAlign w:val="center"/>
                </w:tcPr>
                <w:p w14:paraId="1C594DEB">
                  <w:pPr>
                    <w:adjustRightInd w:val="0"/>
                    <w:snapToGrid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更新</w:t>
                  </w:r>
                  <w:r>
                    <w:rPr>
                      <w:rFonts w:hint="eastAsia" w:ascii="Times New Roman" w:hAnsi="Times New Roman" w:cs="Times New Roman"/>
                      <w:color w:val="auto"/>
                      <w:sz w:val="21"/>
                      <w:szCs w:val="21"/>
                      <w:lang w:val="en-US" w:eastAsia="zh-CN"/>
                    </w:rPr>
                    <w:t>现有的</w:t>
                  </w:r>
                  <w:r>
                    <w:rPr>
                      <w:rFonts w:hint="eastAsia" w:cs="Times New Roman"/>
                      <w:color w:val="auto"/>
                      <w:sz w:val="21"/>
                      <w:szCs w:val="21"/>
                      <w:lang w:val="en-US" w:eastAsia="zh-CN"/>
                    </w:rPr>
                    <w:t>4</w:t>
                  </w:r>
                  <w:r>
                    <w:rPr>
                      <w:rFonts w:hint="eastAsia" w:ascii="Times New Roman" w:hAnsi="Times New Roman" w:cs="Times New Roman"/>
                      <w:color w:val="auto"/>
                      <w:sz w:val="21"/>
                      <w:szCs w:val="21"/>
                      <w:lang w:val="en-US" w:eastAsia="zh-CN"/>
                    </w:rPr>
                    <w:t>条EVA生产线，购置模温机、网带机、压花辊、走带式换网器等配套辅助设备，对公司现有生产线进行升级改造，深度融入数字化智能化技术，为关键设备安装智能传感器，实时采集设备的运行参数，如温度、压力、转速、能耗等，为各生产环节带来显著提升</w:t>
                  </w:r>
                </w:p>
              </w:tc>
            </w:tr>
          </w:tbl>
          <w:p w14:paraId="65A05EE9">
            <w:pPr>
              <w:widowControl/>
              <w:spacing w:line="500" w:lineRule="exact"/>
              <w:ind w:firstLine="420" w:firstLineChars="200"/>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项目建成后</w:t>
            </w:r>
            <w:r>
              <w:rPr>
                <w:rFonts w:hint="eastAsia" w:ascii="Times New Roman" w:hAnsi="Times New Roman" w:cs="Times New Roman" w:eastAsiaTheme="minorEastAsia"/>
                <w:color w:val="auto"/>
                <w:sz w:val="21"/>
                <w:szCs w:val="21"/>
                <w:lang w:val="en-US" w:eastAsia="zh-CN"/>
              </w:rPr>
              <w:t>可新增</w:t>
            </w:r>
            <w:r>
              <w:rPr>
                <w:rFonts w:hint="default" w:ascii="Times New Roman" w:hAnsi="Times New Roman" w:cs="Times New Roman" w:eastAsiaTheme="minorEastAsia"/>
                <w:color w:val="auto"/>
                <w:sz w:val="21"/>
                <w:szCs w:val="21"/>
                <w:lang w:val="en-US" w:eastAsia="zh-CN"/>
              </w:rPr>
              <w:t>年产</w:t>
            </w:r>
            <w:r>
              <w:rPr>
                <w:rFonts w:hint="eastAsia" w:ascii="Times New Roman" w:hAnsi="Times New Roman" w:cs="Times New Roman" w:eastAsiaTheme="minorEastAsia"/>
                <w:color w:val="auto"/>
                <w:sz w:val="21"/>
                <w:szCs w:val="21"/>
                <w:lang w:val="en-US" w:eastAsia="zh-CN"/>
              </w:rPr>
              <w:t>高性能EVA胶膜</w:t>
            </w:r>
            <w:r>
              <w:rPr>
                <w:rFonts w:hint="eastAsia" w:cs="Times New Roman" w:eastAsiaTheme="minorEastAsia"/>
                <w:color w:val="auto"/>
                <w:sz w:val="21"/>
                <w:szCs w:val="21"/>
                <w:lang w:val="en-US" w:eastAsia="zh-CN"/>
              </w:rPr>
              <w:t>5</w:t>
            </w:r>
            <w:r>
              <w:rPr>
                <w:rFonts w:hint="eastAsia" w:ascii="Times New Roman" w:hAnsi="Times New Roman" w:cs="Times New Roman" w:eastAsiaTheme="minorEastAsia"/>
                <w:color w:val="auto"/>
                <w:sz w:val="21"/>
                <w:szCs w:val="21"/>
                <w:lang w:val="en-US" w:eastAsia="zh-CN"/>
              </w:rPr>
              <w:t>00万m</w:t>
            </w:r>
            <w:r>
              <w:rPr>
                <w:rFonts w:hint="eastAsia" w:ascii="Times New Roman" w:hAnsi="Times New Roman" w:cs="Times New Roman" w:eastAsiaTheme="minorEastAsia"/>
                <w:color w:val="auto"/>
                <w:sz w:val="21"/>
                <w:szCs w:val="21"/>
                <w:vertAlign w:val="superscript"/>
                <w:lang w:val="en-US" w:eastAsia="zh-CN"/>
              </w:rPr>
              <w:t>2</w:t>
            </w:r>
            <w:r>
              <w:rPr>
                <w:rFonts w:hint="default" w:ascii="Times New Roman" w:hAnsi="Times New Roman" w:cs="Times New Roman" w:eastAsiaTheme="minorEastAsia"/>
                <w:color w:val="auto"/>
                <w:sz w:val="21"/>
                <w:szCs w:val="21"/>
                <w:lang w:val="en-US" w:eastAsia="zh-CN"/>
              </w:rPr>
              <w:t>的生产规模</w:t>
            </w:r>
            <w:r>
              <w:rPr>
                <w:rFonts w:hint="eastAsia" w:ascii="Times New Roman" w:hAnsi="Times New Roman" w:cs="Times New Roman" w:eastAsiaTheme="minorEastAsia"/>
                <w:color w:val="auto"/>
                <w:sz w:val="21"/>
                <w:szCs w:val="21"/>
                <w:lang w:val="en-US" w:eastAsia="zh-CN"/>
              </w:rPr>
              <w:t>，全厂</w:t>
            </w:r>
            <w:r>
              <w:rPr>
                <w:rFonts w:hint="default" w:ascii="Times New Roman" w:hAnsi="Times New Roman" w:cs="Times New Roman" w:eastAsiaTheme="minorEastAsia"/>
                <w:color w:val="auto"/>
                <w:sz w:val="21"/>
                <w:szCs w:val="21"/>
                <w:lang w:val="en-US" w:eastAsia="zh-CN"/>
              </w:rPr>
              <w:t>可形成年产</w:t>
            </w:r>
            <w:r>
              <w:rPr>
                <w:rFonts w:hint="eastAsia" w:ascii="Times New Roman" w:hAnsi="Times New Roman" w:cs="Times New Roman" w:eastAsiaTheme="minorEastAsia"/>
                <w:color w:val="auto"/>
                <w:sz w:val="21"/>
                <w:szCs w:val="21"/>
                <w:lang w:val="en-US" w:eastAsia="zh-CN"/>
              </w:rPr>
              <w:t>光伏组件用EVA胶膜2</w:t>
            </w:r>
            <w:r>
              <w:rPr>
                <w:rFonts w:hint="eastAsia" w:cs="Times New Roman" w:eastAsiaTheme="minorEastAsia"/>
                <w:color w:val="auto"/>
                <w:sz w:val="21"/>
                <w:szCs w:val="21"/>
                <w:lang w:val="en-US" w:eastAsia="zh-CN"/>
              </w:rPr>
              <w:t>35</w:t>
            </w:r>
            <w:r>
              <w:rPr>
                <w:rFonts w:hint="eastAsia" w:ascii="Times New Roman" w:hAnsi="Times New Roman" w:cs="Times New Roman" w:eastAsiaTheme="minorEastAsia"/>
                <w:color w:val="auto"/>
                <w:sz w:val="21"/>
                <w:szCs w:val="21"/>
                <w:lang w:val="en-US" w:eastAsia="zh-CN"/>
              </w:rPr>
              <w:t>00万m</w:t>
            </w:r>
            <w:r>
              <w:rPr>
                <w:rFonts w:hint="eastAsia" w:ascii="Times New Roman" w:hAnsi="Times New Roman" w:cs="Times New Roman" w:eastAsiaTheme="minorEastAsia"/>
                <w:color w:val="auto"/>
                <w:sz w:val="21"/>
                <w:szCs w:val="21"/>
                <w:vertAlign w:val="superscript"/>
                <w:lang w:val="en-US" w:eastAsia="zh-CN"/>
              </w:rPr>
              <w:t>2</w:t>
            </w:r>
            <w:r>
              <w:rPr>
                <w:rFonts w:hint="eastAsia" w:ascii="Times New Roman" w:hAnsi="Times New Roman" w:cs="Times New Roman" w:eastAsiaTheme="minorEastAsia"/>
                <w:color w:val="auto"/>
                <w:sz w:val="21"/>
                <w:szCs w:val="21"/>
                <w:lang w:val="en-US" w:eastAsia="zh-CN"/>
              </w:rPr>
              <w:t>、POE胶膜9000万m</w:t>
            </w:r>
            <w:r>
              <w:rPr>
                <w:rFonts w:hint="eastAsia" w:ascii="Times New Roman" w:hAnsi="Times New Roman" w:cs="Times New Roman" w:eastAsiaTheme="minorEastAsia"/>
                <w:color w:val="auto"/>
                <w:sz w:val="21"/>
                <w:szCs w:val="21"/>
                <w:vertAlign w:val="superscript"/>
                <w:lang w:val="en-US" w:eastAsia="zh-CN"/>
              </w:rPr>
              <w:t>2</w:t>
            </w:r>
            <w:r>
              <w:rPr>
                <w:rFonts w:hint="eastAsia" w:ascii="Times New Roman" w:hAnsi="Times New Roman" w:cs="Times New Roman" w:eastAsiaTheme="minorEastAsia"/>
                <w:color w:val="auto"/>
                <w:sz w:val="21"/>
                <w:szCs w:val="21"/>
                <w:lang w:val="en-US" w:eastAsia="zh-CN"/>
              </w:rPr>
              <w:t>、</w:t>
            </w:r>
            <w:r>
              <w:rPr>
                <w:rFonts w:hint="eastAsia" w:ascii="Times New Roman" w:hAnsi="Times New Roman" w:cs="Times New Roman" w:eastAsiaTheme="minorEastAsia"/>
                <w:color w:val="auto"/>
                <w:sz w:val="21"/>
                <w:szCs w:val="21"/>
                <w:lang w:eastAsia="zh-CN"/>
              </w:rPr>
              <w:t>功能性聚烯烃热熔胶</w:t>
            </w:r>
            <w:r>
              <w:rPr>
                <w:rFonts w:hint="eastAsia" w:ascii="Times New Roman" w:hAnsi="Times New Roman" w:cs="Times New Roman" w:eastAsiaTheme="minorEastAsia"/>
                <w:color w:val="auto"/>
                <w:sz w:val="21"/>
                <w:szCs w:val="21"/>
                <w:lang w:val="en-US" w:eastAsia="zh-CN"/>
              </w:rPr>
              <w:t>4万吨、功能性塑料1.8万吨的生产能力</w:t>
            </w:r>
            <w:r>
              <w:rPr>
                <w:rFonts w:hint="default" w:ascii="Times New Roman" w:hAnsi="Times New Roman" w:cs="Times New Roman" w:eastAsiaTheme="minorEastAsia"/>
                <w:color w:val="auto"/>
                <w:sz w:val="21"/>
                <w:szCs w:val="21"/>
                <w:lang w:val="en-US" w:eastAsia="zh-CN"/>
              </w:rPr>
              <w:t>。本次技改主要针对</w:t>
            </w:r>
            <w:r>
              <w:rPr>
                <w:rFonts w:hint="eastAsia"/>
                <w:color w:val="auto"/>
                <w:sz w:val="21"/>
                <w:szCs w:val="21"/>
              </w:rPr>
              <w:t>新型太阳能封装材料扩产项目</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年产EVA胶膜</w:t>
            </w:r>
            <w:r>
              <w:rPr>
                <w:rFonts w:hint="eastAsia" w:ascii="Times New Roman" w:hAnsi="Times New Roman" w:cs="Times New Roman" w:eastAsiaTheme="minorEastAsia"/>
                <w:color w:val="auto"/>
                <w:sz w:val="21"/>
                <w:szCs w:val="21"/>
                <w:lang w:val="en-US" w:eastAsia="zh-CN"/>
              </w:rPr>
              <w:t>9</w:t>
            </w:r>
            <w:r>
              <w:rPr>
                <w:rFonts w:hint="default" w:ascii="Times New Roman" w:hAnsi="Times New Roman" w:cs="Times New Roman" w:eastAsiaTheme="minorEastAsia"/>
                <w:color w:val="auto"/>
                <w:sz w:val="21"/>
                <w:szCs w:val="21"/>
                <w:lang w:val="en-US" w:eastAsia="zh-CN"/>
              </w:rPr>
              <w:t>000万m</w:t>
            </w:r>
            <w:r>
              <w:rPr>
                <w:rFonts w:hint="default" w:ascii="Times New Roman" w:hAnsi="Times New Roman" w:cs="Times New Roman" w:eastAsiaTheme="minorEastAsia"/>
                <w:color w:val="auto"/>
                <w:sz w:val="21"/>
                <w:szCs w:val="21"/>
                <w:vertAlign w:val="superscript"/>
                <w:lang w:val="en-US" w:eastAsia="zh-CN"/>
              </w:rPr>
              <w:t>2</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中</w:t>
            </w:r>
            <w:r>
              <w:rPr>
                <w:rFonts w:hint="eastAsia" w:ascii="Times New Roman" w:hAnsi="Times New Roman" w:cs="Times New Roman" w:eastAsiaTheme="minorEastAsia"/>
                <w:color w:val="auto"/>
                <w:sz w:val="21"/>
                <w:szCs w:val="21"/>
                <w:lang w:val="en-US" w:eastAsia="zh-CN"/>
              </w:rPr>
              <w:t>4</w:t>
            </w:r>
            <w:r>
              <w:rPr>
                <w:rFonts w:hint="default" w:ascii="Times New Roman" w:hAnsi="Times New Roman" w:cs="Times New Roman" w:eastAsiaTheme="minorEastAsia"/>
                <w:color w:val="auto"/>
                <w:sz w:val="21"/>
                <w:szCs w:val="21"/>
                <w:lang w:val="en-US" w:eastAsia="zh-CN"/>
              </w:rPr>
              <w:t>条</w:t>
            </w:r>
            <w:r>
              <w:rPr>
                <w:rFonts w:hint="default" w:ascii="Times New Roman" w:hAnsi="Times New Roman" w:cs="Times New Roman" w:eastAsiaTheme="minorEastAsia"/>
                <w:color w:val="auto"/>
                <w:sz w:val="21"/>
                <w:szCs w:val="21"/>
                <w:lang w:eastAsia="zh-CN"/>
              </w:rPr>
              <w:t>EVA胶膜生产机组（</w:t>
            </w:r>
            <w:r>
              <w:rPr>
                <w:rFonts w:hint="default" w:ascii="Times New Roman" w:hAnsi="Times New Roman" w:cs="Times New Roman" w:eastAsiaTheme="minorEastAsia"/>
                <w:color w:val="auto"/>
                <w:sz w:val="21"/>
                <w:szCs w:val="21"/>
                <w:lang w:val="en-US" w:eastAsia="zh-CN"/>
              </w:rPr>
              <w:t>年产EVA胶膜</w:t>
            </w:r>
            <w:r>
              <w:rPr>
                <w:rFonts w:hint="eastAsia" w:ascii="Times New Roman" w:hAnsi="Times New Roman" w:cs="Times New Roman" w:eastAsiaTheme="minorEastAsia"/>
                <w:color w:val="auto"/>
                <w:sz w:val="21"/>
                <w:szCs w:val="21"/>
                <w:lang w:val="en-US" w:eastAsia="zh-CN"/>
              </w:rPr>
              <w:t>2</w:t>
            </w:r>
            <w:r>
              <w:rPr>
                <w:rFonts w:hint="eastAsia" w:cs="Times New Roman" w:eastAsiaTheme="minorEastAsia"/>
                <w:color w:val="auto"/>
                <w:sz w:val="21"/>
                <w:szCs w:val="21"/>
                <w:lang w:val="en-US" w:eastAsia="zh-CN"/>
              </w:rPr>
              <w:t>5</w:t>
            </w:r>
            <w:r>
              <w:rPr>
                <w:rFonts w:hint="eastAsia" w:ascii="Times New Roman" w:hAnsi="Times New Roman" w:cs="Times New Roman" w:eastAsiaTheme="minorEastAsia"/>
                <w:color w:val="auto"/>
                <w:sz w:val="21"/>
                <w:szCs w:val="21"/>
                <w:lang w:val="en-US" w:eastAsia="zh-CN"/>
              </w:rPr>
              <w:t>0</w:t>
            </w:r>
            <w:r>
              <w:rPr>
                <w:rFonts w:hint="default" w:ascii="Times New Roman" w:hAnsi="Times New Roman" w:cs="Times New Roman" w:eastAsiaTheme="minorEastAsia"/>
                <w:color w:val="auto"/>
                <w:sz w:val="21"/>
                <w:szCs w:val="21"/>
                <w:lang w:val="en-US" w:eastAsia="zh-CN"/>
              </w:rPr>
              <w:t>0万m</w:t>
            </w:r>
            <w:r>
              <w:rPr>
                <w:rFonts w:hint="default" w:ascii="Times New Roman" w:hAnsi="Times New Roman" w:cs="Times New Roman" w:eastAsiaTheme="minorEastAsia"/>
                <w:color w:val="auto"/>
                <w:sz w:val="21"/>
                <w:szCs w:val="21"/>
                <w:vertAlign w:val="superscript"/>
                <w:lang w:val="en-US" w:eastAsia="zh-CN"/>
              </w:rPr>
              <w:t>2</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进行</w:t>
            </w:r>
            <w:r>
              <w:rPr>
                <w:rFonts w:hint="eastAsia" w:ascii="Times New Roman" w:hAnsi="Times New Roman" w:cs="Times New Roman" w:eastAsiaTheme="minorEastAsia"/>
                <w:color w:val="auto"/>
                <w:sz w:val="21"/>
                <w:szCs w:val="21"/>
                <w:lang w:val="en-US" w:eastAsia="zh-CN"/>
              </w:rPr>
              <w:t>设备更新</w:t>
            </w:r>
            <w:r>
              <w:rPr>
                <w:rFonts w:hint="default" w:ascii="Times New Roman" w:hAnsi="Times New Roman" w:cs="Times New Roman" w:eastAsiaTheme="minorEastAsia"/>
                <w:color w:val="auto"/>
                <w:sz w:val="21"/>
                <w:szCs w:val="21"/>
                <w:lang w:val="en-US" w:eastAsia="zh-CN"/>
              </w:rPr>
              <w:t>并提升产能，该项目剩余的</w:t>
            </w:r>
            <w:r>
              <w:rPr>
                <w:rFonts w:hint="eastAsia" w:ascii="Times New Roman" w:hAnsi="Times New Roman" w:cs="Times New Roman" w:eastAsiaTheme="minorEastAsia"/>
                <w:color w:val="auto"/>
                <w:sz w:val="21"/>
                <w:szCs w:val="21"/>
                <w:lang w:val="en-US" w:eastAsia="zh-CN"/>
              </w:rPr>
              <w:t>13</w:t>
            </w:r>
            <w:r>
              <w:rPr>
                <w:rFonts w:hint="default" w:ascii="Times New Roman" w:hAnsi="Times New Roman" w:cs="Times New Roman" w:eastAsiaTheme="minorEastAsia"/>
                <w:color w:val="auto"/>
                <w:sz w:val="21"/>
                <w:szCs w:val="21"/>
                <w:lang w:val="en-US" w:eastAsia="zh-CN"/>
              </w:rPr>
              <w:t>条</w:t>
            </w:r>
            <w:r>
              <w:rPr>
                <w:rFonts w:hint="default" w:ascii="Times New Roman" w:hAnsi="Times New Roman" w:cs="Times New Roman" w:eastAsiaTheme="minorEastAsia"/>
                <w:color w:val="auto"/>
                <w:sz w:val="21"/>
                <w:szCs w:val="21"/>
                <w:lang w:eastAsia="zh-CN"/>
              </w:rPr>
              <w:t>EVA胶膜生产机组（</w:t>
            </w:r>
            <w:r>
              <w:rPr>
                <w:rFonts w:hint="default" w:ascii="Times New Roman" w:hAnsi="Times New Roman" w:cs="Times New Roman" w:eastAsiaTheme="minorEastAsia"/>
                <w:color w:val="auto"/>
                <w:sz w:val="21"/>
                <w:szCs w:val="21"/>
                <w:lang w:val="en-US" w:eastAsia="zh-CN"/>
              </w:rPr>
              <w:t>年产EVA胶膜</w:t>
            </w:r>
            <w:r>
              <w:rPr>
                <w:rFonts w:hint="eastAsia" w:cs="Times New Roman" w:eastAsiaTheme="minorEastAsia"/>
                <w:color w:val="auto"/>
                <w:sz w:val="21"/>
                <w:szCs w:val="21"/>
                <w:lang w:val="en-US" w:eastAsia="zh-CN"/>
              </w:rPr>
              <w:t>65</w:t>
            </w:r>
            <w:r>
              <w:rPr>
                <w:rFonts w:hint="eastAsia" w:ascii="Times New Roman" w:hAnsi="Times New Roman" w:cs="Times New Roman" w:eastAsiaTheme="minorEastAsia"/>
                <w:color w:val="auto"/>
                <w:sz w:val="21"/>
                <w:szCs w:val="21"/>
                <w:lang w:val="en-US" w:eastAsia="zh-CN"/>
              </w:rPr>
              <w:t>00</w:t>
            </w:r>
            <w:r>
              <w:rPr>
                <w:rFonts w:hint="default" w:ascii="Times New Roman" w:hAnsi="Times New Roman" w:cs="Times New Roman" w:eastAsiaTheme="minorEastAsia"/>
                <w:color w:val="auto"/>
                <w:sz w:val="21"/>
                <w:szCs w:val="21"/>
                <w:lang w:val="en-US" w:eastAsia="zh-CN"/>
              </w:rPr>
              <w:t>万m</w:t>
            </w:r>
            <w:r>
              <w:rPr>
                <w:rFonts w:hint="default" w:ascii="Times New Roman" w:hAnsi="Times New Roman" w:cs="Times New Roman" w:eastAsiaTheme="minorEastAsia"/>
                <w:color w:val="auto"/>
                <w:sz w:val="21"/>
                <w:szCs w:val="21"/>
                <w:vertAlign w:val="superscript"/>
                <w:lang w:val="en-US" w:eastAsia="zh-CN"/>
              </w:rPr>
              <w:t>2</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设备、原辅料消耗及产能均不发生变化。</w:t>
            </w:r>
          </w:p>
          <w:p w14:paraId="34FFC5B6">
            <w:pPr>
              <w:widowControl/>
              <w:spacing w:line="500" w:lineRule="exact"/>
              <w:ind w:firstLine="420" w:firstLineChars="200"/>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val="en-US" w:eastAsia="zh-CN"/>
              </w:rPr>
              <w:t>本</w:t>
            </w:r>
            <w:r>
              <w:rPr>
                <w:rFonts w:hint="default" w:ascii="Times New Roman" w:hAnsi="Times New Roman" w:cs="Times New Roman" w:eastAsiaTheme="minorEastAsia"/>
                <w:color w:val="auto"/>
                <w:sz w:val="21"/>
                <w:szCs w:val="21"/>
                <w:lang w:eastAsia="zh-CN"/>
              </w:rPr>
              <w:t>项目已于</w:t>
            </w:r>
            <w:r>
              <w:rPr>
                <w:rFonts w:hint="default" w:ascii="Times New Roman" w:hAnsi="Times New Roman" w:eastAsia="宋体" w:cs="Times New Roman"/>
                <w:color w:val="auto"/>
                <w:sz w:val="21"/>
                <w:szCs w:val="21"/>
                <w:lang w:eastAsia="zh-CN"/>
              </w:rPr>
              <w:t>202</w:t>
            </w: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lang w:eastAsia="zh-CN"/>
              </w:rPr>
              <w:t>年</w:t>
            </w: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月</w:t>
            </w:r>
            <w:r>
              <w:rPr>
                <w:rFonts w:hint="eastAsia" w:cs="Times New Roman"/>
                <w:color w:val="auto"/>
                <w:sz w:val="21"/>
                <w:szCs w:val="21"/>
                <w:lang w:val="en-US" w:eastAsia="zh-CN"/>
              </w:rPr>
              <w:t>8</w:t>
            </w:r>
            <w:r>
              <w:rPr>
                <w:rFonts w:hint="default" w:ascii="Times New Roman" w:hAnsi="Times New Roman" w:eastAsia="宋体" w:cs="Times New Roman"/>
                <w:color w:val="auto"/>
                <w:sz w:val="21"/>
                <w:szCs w:val="21"/>
                <w:lang w:val="en-US" w:eastAsia="zh-CN"/>
              </w:rPr>
              <w:t>日</w:t>
            </w:r>
            <w:r>
              <w:rPr>
                <w:rFonts w:hint="default" w:ascii="Times New Roman" w:hAnsi="Times New Roman" w:cs="Times New Roman" w:eastAsiaTheme="minorEastAsia"/>
                <w:color w:val="auto"/>
                <w:sz w:val="21"/>
                <w:szCs w:val="21"/>
                <w:lang w:eastAsia="zh-CN"/>
              </w:rPr>
              <w:t>取得</w:t>
            </w:r>
            <w:r>
              <w:rPr>
                <w:rFonts w:hint="eastAsia" w:ascii="Times New Roman" w:hAnsi="Times New Roman" w:cs="Times New Roman" w:eastAsiaTheme="minorEastAsia"/>
                <w:color w:val="auto"/>
                <w:sz w:val="21"/>
                <w:szCs w:val="21"/>
                <w:lang w:eastAsia="zh-CN"/>
              </w:rPr>
              <w:t>江苏金坛经济开发区经济发展局</w:t>
            </w:r>
            <w:r>
              <w:rPr>
                <w:rFonts w:hint="eastAsia" w:ascii="Times New Roman" w:hAnsi="Times New Roman" w:cs="Times New Roman" w:eastAsiaTheme="minorEastAsia"/>
                <w:color w:val="auto"/>
                <w:sz w:val="21"/>
                <w:szCs w:val="21"/>
                <w:lang w:val="en-US" w:eastAsia="zh-CN"/>
              </w:rPr>
              <w:t>出具</w:t>
            </w:r>
            <w:r>
              <w:rPr>
                <w:rFonts w:hint="default" w:ascii="Times New Roman" w:hAnsi="Times New Roman" w:cs="Times New Roman" w:eastAsiaTheme="minorEastAsia"/>
                <w:color w:val="auto"/>
                <w:sz w:val="21"/>
                <w:szCs w:val="21"/>
                <w:lang w:eastAsia="zh-CN"/>
              </w:rPr>
              <w:t>的</w:t>
            </w:r>
            <w:r>
              <w:rPr>
                <w:rFonts w:hint="eastAsia" w:ascii="Times New Roman" w:hAnsi="Times New Roman" w:cs="Times New Roman" w:eastAsiaTheme="minorEastAsia"/>
                <w:color w:val="auto"/>
                <w:sz w:val="21"/>
                <w:szCs w:val="21"/>
                <w:lang w:eastAsia="zh-CN"/>
              </w:rPr>
              <w:t>《</w:t>
            </w:r>
            <w:r>
              <w:rPr>
                <w:rFonts w:hint="eastAsia" w:ascii="Times New Roman" w:hAnsi="Times New Roman" w:cs="Times New Roman" w:eastAsiaTheme="minorEastAsia"/>
                <w:color w:val="auto"/>
                <w:sz w:val="21"/>
                <w:szCs w:val="21"/>
                <w:lang w:val="en-US" w:eastAsia="zh-CN"/>
              </w:rPr>
              <w:t>江苏省投资项目备案证</w:t>
            </w:r>
            <w:r>
              <w:rPr>
                <w:rFonts w:hint="eastAsia"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eastAsia="zh-CN"/>
              </w:rPr>
              <w:t>备案证号：</w:t>
            </w:r>
            <w:r>
              <w:rPr>
                <w:rFonts w:hint="eastAsia" w:cs="Times New Roman"/>
                <w:color w:val="auto"/>
                <w:sz w:val="21"/>
                <w:szCs w:val="21"/>
                <w:lang w:eastAsia="zh-CN"/>
              </w:rPr>
              <w:t>坛</w:t>
            </w:r>
            <w:r>
              <w:rPr>
                <w:rFonts w:hint="eastAsia" w:cs="Times New Roman"/>
                <w:color w:val="auto"/>
                <w:sz w:val="21"/>
                <w:szCs w:val="21"/>
                <w:lang w:val="en-US" w:eastAsia="zh-CN"/>
              </w:rPr>
              <w:t>开经</w:t>
            </w:r>
            <w:r>
              <w:rPr>
                <w:rFonts w:hint="eastAsia" w:cs="Times New Roman"/>
                <w:color w:val="auto"/>
                <w:sz w:val="21"/>
                <w:szCs w:val="21"/>
                <w:lang w:eastAsia="zh-CN"/>
              </w:rPr>
              <w:t>发备</w:t>
            </w:r>
            <w:r>
              <w:rPr>
                <w:rFonts w:hint="eastAsia" w:cs="Times New Roman"/>
                <w:color w:val="auto"/>
                <w:sz w:val="21"/>
                <w:szCs w:val="21"/>
                <w:lang w:val="en-US" w:eastAsia="zh-CN"/>
              </w:rPr>
              <w:t>字</w:t>
            </w:r>
            <w:r>
              <w:rPr>
                <w:rFonts w:hint="eastAsia" w:cs="Times New Roman"/>
                <w:color w:val="auto"/>
                <w:sz w:val="21"/>
                <w:szCs w:val="21"/>
                <w:lang w:eastAsia="zh-CN"/>
              </w:rPr>
              <w:t>〔202</w:t>
            </w:r>
            <w:r>
              <w:rPr>
                <w:rFonts w:hint="eastAsia" w:cs="Times New Roman"/>
                <w:color w:val="auto"/>
                <w:sz w:val="21"/>
                <w:szCs w:val="21"/>
                <w:lang w:val="en-US" w:eastAsia="zh-CN"/>
              </w:rPr>
              <w:t>5</w:t>
            </w:r>
            <w:r>
              <w:rPr>
                <w:rFonts w:hint="eastAsia" w:cs="Times New Roman"/>
                <w:color w:val="auto"/>
                <w:sz w:val="21"/>
                <w:szCs w:val="21"/>
                <w:lang w:eastAsia="zh-CN"/>
              </w:rPr>
              <w:t>〕</w:t>
            </w:r>
            <w:r>
              <w:rPr>
                <w:rFonts w:hint="eastAsia" w:cs="Times New Roman"/>
                <w:color w:val="auto"/>
                <w:sz w:val="21"/>
                <w:szCs w:val="21"/>
                <w:lang w:val="en-US" w:eastAsia="zh-CN"/>
              </w:rPr>
              <w:t>5</w:t>
            </w:r>
            <w:r>
              <w:rPr>
                <w:rFonts w:hint="eastAsia" w:cs="Times New Roman"/>
                <w:color w:val="auto"/>
                <w:sz w:val="21"/>
                <w:szCs w:val="21"/>
                <w:lang w:eastAsia="zh-CN"/>
              </w:rPr>
              <w:t>号</w:t>
            </w:r>
            <w:r>
              <w:rPr>
                <w:rFonts w:hint="eastAsia"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eastAsia="zh-CN"/>
              </w:rPr>
              <w:t>。</w:t>
            </w:r>
          </w:p>
          <w:p w14:paraId="19CA6A9A">
            <w:pPr>
              <w:widowControl/>
              <w:spacing w:line="500" w:lineRule="exact"/>
              <w:ind w:firstLine="420" w:firstLineChars="200"/>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根据《中华人民共和国环境保护法》（2014年修订）、《中华人民共和国环境影响评价法》（2018年修订）的有关规定，本项目应进行环境影响评价。</w:t>
            </w:r>
            <w:r>
              <w:rPr>
                <w:rFonts w:hint="eastAsia" w:ascii="Times New Roman" w:hAnsi="Times New Roman" w:cs="Times New Roman" w:eastAsiaTheme="minorEastAsia"/>
                <w:color w:val="auto"/>
                <w:sz w:val="21"/>
                <w:szCs w:val="21"/>
                <w:lang w:val="en-US" w:eastAsia="zh-CN"/>
              </w:rPr>
              <w:t>对照</w:t>
            </w:r>
            <w:r>
              <w:rPr>
                <w:rFonts w:hint="default" w:ascii="Times New Roman" w:hAnsi="Times New Roman" w:cs="Times New Roman" w:eastAsiaTheme="minorEastAsia"/>
                <w:color w:val="auto"/>
                <w:sz w:val="21"/>
                <w:szCs w:val="21"/>
                <w:lang w:eastAsia="zh-CN"/>
              </w:rPr>
              <w:t>《建设项目环境影响评价分类管理名录》（2021年），本项目属于</w:t>
            </w:r>
            <w:r>
              <w:rPr>
                <w:rFonts w:hint="eastAsia" w:ascii="Times New Roman" w:hAnsi="Times New Roman" w:cs="Times New Roman" w:eastAsiaTheme="minorEastAsia"/>
                <w:color w:val="auto"/>
                <w:sz w:val="21"/>
                <w:szCs w:val="21"/>
                <w:lang w:val="en-US" w:eastAsia="zh-CN"/>
              </w:rPr>
              <w:t>“</w:t>
            </w:r>
            <w:r>
              <w:rPr>
                <w:rFonts w:hint="default" w:ascii="Times New Roman" w:hAnsi="Times New Roman" w:cs="Times New Roman" w:eastAsiaTheme="minorEastAsia"/>
                <w:color w:val="auto"/>
                <w:sz w:val="21"/>
                <w:szCs w:val="21"/>
                <w:lang w:eastAsia="zh-CN"/>
              </w:rPr>
              <w:t>二十六、橡胶和塑料制品业-53塑料制品业-其他（年用非溶剂型低VOCs含量涂料10吨以下的除外）</w:t>
            </w:r>
            <w:r>
              <w:rPr>
                <w:rFonts w:hint="eastAsia" w:ascii="Times New Roman" w:hAnsi="Times New Roman" w:cs="Times New Roman" w:eastAsiaTheme="minorEastAsia"/>
                <w:color w:val="auto"/>
                <w:sz w:val="21"/>
                <w:szCs w:val="21"/>
                <w:lang w:val="en-US" w:eastAsia="zh-CN"/>
              </w:rPr>
              <w:t>”</w:t>
            </w:r>
            <w:r>
              <w:rPr>
                <w:rFonts w:hint="default" w:ascii="Times New Roman" w:hAnsi="Times New Roman" w:cs="Times New Roman" w:eastAsiaTheme="minorEastAsia"/>
                <w:color w:val="auto"/>
                <w:sz w:val="21"/>
                <w:szCs w:val="21"/>
                <w:lang w:eastAsia="zh-CN"/>
              </w:rPr>
              <w:t>类别，应编制环境影响评价报告表。</w:t>
            </w:r>
            <w:r>
              <w:rPr>
                <w:rFonts w:hint="eastAsia" w:ascii="Times New Roman" w:hAnsi="Times New Roman" w:cs="Times New Roman" w:eastAsiaTheme="minorEastAsia"/>
                <w:color w:val="auto"/>
                <w:sz w:val="21"/>
                <w:szCs w:val="21"/>
                <w:lang w:eastAsia="zh-CN"/>
              </w:rPr>
              <w:t>江苏鹿山新材料有限公司</w:t>
            </w:r>
            <w:r>
              <w:rPr>
                <w:rFonts w:hint="default" w:ascii="Times New Roman" w:hAnsi="Times New Roman" w:cs="Times New Roman" w:eastAsiaTheme="minorEastAsia"/>
                <w:color w:val="auto"/>
                <w:sz w:val="21"/>
                <w:szCs w:val="21"/>
                <w:lang w:eastAsia="zh-CN"/>
              </w:rPr>
              <w:t>委托专业环评单位承担该项目的环境影响评价工作。环评单位在现场踏勘、调查的基础上，通过对有关资料的收集、整理和分析计算，编制完成了该项目的环境影响报告表，报请审批。</w:t>
            </w:r>
          </w:p>
          <w:p w14:paraId="4065D2BB">
            <w:pPr>
              <w:autoSpaceDE w:val="0"/>
              <w:autoSpaceDN w:val="0"/>
              <w:adjustRightInd w:val="0"/>
              <w:snapToGrid w:val="0"/>
              <w:spacing w:line="500" w:lineRule="exact"/>
              <w:jc w:val="left"/>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lang w:val="en-US" w:eastAsia="zh-CN"/>
              </w:rPr>
              <w:t>2</w:t>
            </w:r>
            <w:r>
              <w:rPr>
                <w:rFonts w:hint="default" w:ascii="Times New Roman" w:hAnsi="Times New Roman" w:cs="Times New Roman" w:eastAsiaTheme="minorEastAsia"/>
                <w:b/>
                <w:bCs/>
                <w:color w:val="auto"/>
                <w:kern w:val="0"/>
                <w:sz w:val="21"/>
                <w:szCs w:val="21"/>
              </w:rPr>
              <w:t>、产品方案</w:t>
            </w:r>
          </w:p>
          <w:p w14:paraId="6679ADB5">
            <w:pPr>
              <w:autoSpaceDE w:val="0"/>
              <w:autoSpaceDN w:val="0"/>
              <w:adjustRightInd w:val="0"/>
              <w:snapToGrid w:val="0"/>
              <w:spacing w:line="500" w:lineRule="exact"/>
              <w:ind w:firstLine="420" w:firstLineChars="200"/>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本项目建成后，</w:t>
            </w:r>
            <w:r>
              <w:rPr>
                <w:rFonts w:hint="eastAsia" w:cs="Times New Roman" w:eastAsiaTheme="minorEastAsia"/>
                <w:color w:val="auto"/>
                <w:kern w:val="0"/>
                <w:sz w:val="21"/>
                <w:szCs w:val="21"/>
                <w:lang w:val="en-US" w:eastAsia="zh-CN"/>
              </w:rPr>
              <w:t>全厂</w:t>
            </w:r>
            <w:r>
              <w:rPr>
                <w:rFonts w:hint="default" w:ascii="Times New Roman" w:hAnsi="Times New Roman" w:cs="Times New Roman" w:eastAsiaTheme="minorEastAsia"/>
                <w:color w:val="auto"/>
                <w:kern w:val="0"/>
                <w:sz w:val="21"/>
                <w:szCs w:val="21"/>
              </w:rPr>
              <w:t>产品方案</w:t>
            </w:r>
            <w:r>
              <w:rPr>
                <w:rFonts w:hint="eastAsia" w:cs="Times New Roman" w:eastAsiaTheme="minorEastAsia"/>
                <w:color w:val="auto"/>
                <w:kern w:val="0"/>
                <w:sz w:val="21"/>
                <w:szCs w:val="21"/>
                <w:lang w:val="en-US" w:eastAsia="zh-CN"/>
              </w:rPr>
              <w:t>见下表</w:t>
            </w:r>
            <w:r>
              <w:rPr>
                <w:rFonts w:hint="default" w:ascii="Times New Roman" w:hAnsi="Times New Roman" w:cs="Times New Roman" w:eastAsiaTheme="minorEastAsia"/>
                <w:color w:val="auto"/>
                <w:kern w:val="0"/>
                <w:sz w:val="21"/>
                <w:szCs w:val="21"/>
              </w:rPr>
              <w:t>。</w:t>
            </w:r>
          </w:p>
          <w:p w14:paraId="6B1796D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表2-</w:t>
            </w:r>
            <w:r>
              <w:rPr>
                <w:rFonts w:hint="eastAsia" w:cs="Times New Roman" w:eastAsiaTheme="minorEastAsia"/>
                <w:b/>
                <w:bCs/>
                <w:color w:val="auto"/>
                <w:sz w:val="21"/>
                <w:szCs w:val="21"/>
                <w:highlight w:val="none"/>
                <w:lang w:val="en-US" w:eastAsia="zh-CN"/>
              </w:rPr>
              <w:t>2</w:t>
            </w:r>
            <w:r>
              <w:rPr>
                <w:rFonts w:hint="default" w:ascii="Times New Roman" w:hAnsi="Times New Roman" w:cs="Times New Roman" w:eastAsiaTheme="minorEastAsia"/>
                <w:b/>
                <w:bCs/>
                <w:color w:val="auto"/>
                <w:sz w:val="21"/>
                <w:szCs w:val="21"/>
                <w:highlight w:val="none"/>
              </w:rPr>
              <w:t>本项目</w:t>
            </w:r>
            <w:r>
              <w:rPr>
                <w:rFonts w:hint="eastAsia" w:cs="Times New Roman" w:eastAsiaTheme="minorEastAsia"/>
                <w:b/>
                <w:bCs/>
                <w:color w:val="auto"/>
                <w:sz w:val="21"/>
                <w:szCs w:val="21"/>
                <w:highlight w:val="none"/>
                <w:lang w:val="en-US" w:eastAsia="zh-CN"/>
              </w:rPr>
              <w:t>建成后全厂</w:t>
            </w:r>
            <w:r>
              <w:rPr>
                <w:rFonts w:hint="default" w:ascii="Times New Roman" w:hAnsi="Times New Roman" w:cs="Times New Roman" w:eastAsiaTheme="minorEastAsia"/>
                <w:b/>
                <w:bCs/>
                <w:color w:val="auto"/>
                <w:sz w:val="21"/>
                <w:szCs w:val="21"/>
                <w:highlight w:val="none"/>
              </w:rPr>
              <w:t>产品方案一览表</w:t>
            </w:r>
          </w:p>
          <w:tbl>
            <w:tblPr>
              <w:tblStyle w:val="31"/>
              <w:tblW w:w="4998" w:type="pct"/>
              <w:jc w:val="center"/>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Layout w:type="autofit"/>
              <w:tblCellMar>
                <w:top w:w="0" w:type="dxa"/>
                <w:left w:w="0" w:type="dxa"/>
                <w:bottom w:w="0" w:type="dxa"/>
                <w:right w:w="0" w:type="dxa"/>
              </w:tblCellMar>
            </w:tblPr>
            <w:tblGrid>
              <w:gridCol w:w="374"/>
              <w:gridCol w:w="1774"/>
              <w:gridCol w:w="1182"/>
              <w:gridCol w:w="1329"/>
              <w:gridCol w:w="1329"/>
              <w:gridCol w:w="1322"/>
              <w:gridCol w:w="860"/>
            </w:tblGrid>
            <w:tr w14:paraId="66A1E05B">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29" w:type="pct"/>
                  <w:vMerge w:val="restart"/>
                  <w:noWrap w:val="0"/>
                  <w:vAlign w:val="center"/>
                </w:tcPr>
                <w:p w14:paraId="08644DF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rPr>
                  </w:pPr>
                  <w:r>
                    <w:rPr>
                      <w:color w:val="auto"/>
                    </w:rPr>
                    <w:t>序号</w:t>
                  </w:r>
                </w:p>
              </w:tc>
              <w:tc>
                <w:tcPr>
                  <w:tcW w:w="1085" w:type="pct"/>
                  <w:vMerge w:val="restart"/>
                  <w:noWrap w:val="0"/>
                  <w:vAlign w:val="center"/>
                </w:tcPr>
                <w:p w14:paraId="19FE852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rPr>
                  </w:pPr>
                  <w:r>
                    <w:rPr>
                      <w:color w:val="auto"/>
                    </w:rPr>
                    <w:t>主体工程名称</w:t>
                  </w:r>
                </w:p>
              </w:tc>
              <w:tc>
                <w:tcPr>
                  <w:tcW w:w="723" w:type="pct"/>
                  <w:vMerge w:val="restart"/>
                  <w:noWrap w:val="0"/>
                  <w:vAlign w:val="center"/>
                </w:tcPr>
                <w:p w14:paraId="0454AC6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rPr>
                  </w:pPr>
                  <w:r>
                    <w:rPr>
                      <w:color w:val="auto"/>
                    </w:rPr>
                    <w:t>产品名称</w:t>
                  </w:r>
                  <w:r>
                    <w:rPr>
                      <w:rFonts w:hint="eastAsia"/>
                      <w:b/>
                      <w:bCs/>
                      <w:iCs/>
                      <w:color w:val="auto"/>
                      <w:vertAlign w:val="superscript"/>
                    </w:rPr>
                    <w:fldChar w:fldCharType="begin"/>
                  </w:r>
                  <w:r>
                    <w:rPr>
                      <w:rFonts w:hint="eastAsia"/>
                      <w:b/>
                      <w:bCs/>
                      <w:iCs/>
                      <w:color w:val="auto"/>
                      <w:vertAlign w:val="superscript"/>
                    </w:rPr>
                    <w:instrText xml:space="preserve"> = 1 \* GB3 \* MERGEFORMAT </w:instrText>
                  </w:r>
                  <w:r>
                    <w:rPr>
                      <w:rFonts w:hint="eastAsia"/>
                      <w:b/>
                      <w:bCs/>
                      <w:iCs/>
                      <w:color w:val="auto"/>
                      <w:vertAlign w:val="superscript"/>
                    </w:rPr>
                    <w:fldChar w:fldCharType="separate"/>
                  </w:r>
                  <w:r>
                    <w:rPr>
                      <w:color w:val="auto"/>
                      <w:vertAlign w:val="superscript"/>
                    </w:rPr>
                    <w:t>①</w:t>
                  </w:r>
                  <w:r>
                    <w:rPr>
                      <w:rFonts w:hint="eastAsia"/>
                      <w:b/>
                      <w:bCs/>
                      <w:iCs/>
                      <w:color w:val="auto"/>
                      <w:vertAlign w:val="superscript"/>
                    </w:rPr>
                    <w:fldChar w:fldCharType="end"/>
                  </w:r>
                </w:p>
              </w:tc>
              <w:tc>
                <w:tcPr>
                  <w:tcW w:w="2435" w:type="pct"/>
                  <w:gridSpan w:val="3"/>
                  <w:noWrap w:val="0"/>
                  <w:vAlign w:val="center"/>
                </w:tcPr>
                <w:p w14:paraId="0E2000C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rPr>
                  </w:pPr>
                  <w:r>
                    <w:rPr>
                      <w:color w:val="auto"/>
                    </w:rPr>
                    <w:t>设计能力</w:t>
                  </w:r>
                </w:p>
              </w:tc>
              <w:tc>
                <w:tcPr>
                  <w:tcW w:w="526" w:type="pct"/>
                  <w:vMerge w:val="restart"/>
                  <w:noWrap w:val="0"/>
                  <w:vAlign w:val="center"/>
                </w:tcPr>
                <w:p w14:paraId="550E818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rPr>
                  </w:pPr>
                  <w:r>
                    <w:rPr>
                      <w:color w:val="auto"/>
                    </w:rPr>
                    <w:t>年运行</w:t>
                  </w:r>
                </w:p>
                <w:p w14:paraId="71E945F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rPr>
                  </w:pPr>
                  <w:r>
                    <w:rPr>
                      <w:color w:val="auto"/>
                    </w:rPr>
                    <w:t>时数</w:t>
                  </w:r>
                </w:p>
              </w:tc>
            </w:tr>
            <w:tr w14:paraId="165A3C69">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29" w:type="pct"/>
                  <w:vMerge w:val="continue"/>
                  <w:noWrap w:val="0"/>
                  <w:vAlign w:val="center"/>
                </w:tcPr>
                <w:p w14:paraId="48B5A04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rPr>
                  </w:pPr>
                </w:p>
              </w:tc>
              <w:tc>
                <w:tcPr>
                  <w:tcW w:w="1085" w:type="pct"/>
                  <w:vMerge w:val="continue"/>
                  <w:noWrap w:val="0"/>
                  <w:vAlign w:val="center"/>
                </w:tcPr>
                <w:p w14:paraId="37AEC0F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rPr>
                  </w:pPr>
                </w:p>
              </w:tc>
              <w:tc>
                <w:tcPr>
                  <w:tcW w:w="723" w:type="pct"/>
                  <w:vMerge w:val="continue"/>
                  <w:noWrap w:val="0"/>
                  <w:vAlign w:val="center"/>
                </w:tcPr>
                <w:p w14:paraId="025BBB1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rPr>
                  </w:pPr>
                </w:p>
              </w:tc>
              <w:tc>
                <w:tcPr>
                  <w:tcW w:w="813" w:type="pct"/>
                  <w:noWrap w:val="0"/>
                  <w:vAlign w:val="center"/>
                </w:tcPr>
                <w:p w14:paraId="10DCE75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rPr>
                  </w:pPr>
                  <w:r>
                    <w:rPr>
                      <w:rFonts w:hint="eastAsia"/>
                      <w:color w:val="auto"/>
                    </w:rPr>
                    <w:t>改扩建前</w:t>
                  </w:r>
                </w:p>
              </w:tc>
              <w:tc>
                <w:tcPr>
                  <w:tcW w:w="813" w:type="pct"/>
                  <w:noWrap w:val="0"/>
                  <w:vAlign w:val="center"/>
                </w:tcPr>
                <w:p w14:paraId="6F5970F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rPr>
                  </w:pPr>
                  <w:r>
                    <w:rPr>
                      <w:rFonts w:hint="eastAsia"/>
                      <w:color w:val="auto"/>
                    </w:rPr>
                    <w:t>改扩建后</w:t>
                  </w:r>
                </w:p>
              </w:tc>
              <w:tc>
                <w:tcPr>
                  <w:tcW w:w="809" w:type="pct"/>
                  <w:noWrap w:val="0"/>
                  <w:vAlign w:val="center"/>
                </w:tcPr>
                <w:p w14:paraId="2409B59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color w:val="auto"/>
                    </w:rPr>
                  </w:pPr>
                  <w:r>
                    <w:rPr>
                      <w:rFonts w:hint="eastAsia"/>
                      <w:color w:val="auto"/>
                    </w:rPr>
                    <w:t>增减量</w:t>
                  </w:r>
                </w:p>
              </w:tc>
              <w:tc>
                <w:tcPr>
                  <w:tcW w:w="526" w:type="pct"/>
                  <w:vMerge w:val="continue"/>
                  <w:noWrap w:val="0"/>
                  <w:vAlign w:val="center"/>
                </w:tcPr>
                <w:p w14:paraId="183CB00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rPr>
                  </w:pPr>
                </w:p>
              </w:tc>
            </w:tr>
            <w:tr w14:paraId="3611EBBF">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29" w:type="pct"/>
                  <w:noWrap w:val="0"/>
                  <w:vAlign w:val="center"/>
                </w:tcPr>
                <w:p w14:paraId="4EEE376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rPr>
                  </w:pPr>
                  <w:r>
                    <w:rPr>
                      <w:color w:val="auto"/>
                    </w:rPr>
                    <w:t>1</w:t>
                  </w:r>
                </w:p>
              </w:tc>
              <w:tc>
                <w:tcPr>
                  <w:tcW w:w="1085" w:type="pct"/>
                  <w:noWrap w:val="0"/>
                  <w:vAlign w:val="center"/>
                </w:tcPr>
                <w:p w14:paraId="52748200">
                  <w:pPr>
                    <w:pStyle w:val="49"/>
                    <w:keepNext w:val="0"/>
                    <w:keepLines w:val="0"/>
                    <w:pageBreakBefore w:val="0"/>
                    <w:widowControl w:val="0"/>
                    <w:kinsoku/>
                    <w:wordWrap/>
                    <w:overflowPunct/>
                    <w:topLinePunct w:val="0"/>
                    <w:autoSpaceDE/>
                    <w:autoSpaceDN/>
                    <w:bidi w:val="0"/>
                    <w:spacing w:line="240" w:lineRule="auto"/>
                    <w:ind w:firstLine="0" w:firstLineChars="0"/>
                    <w:textAlignment w:val="auto"/>
                    <w:rPr>
                      <w:rFonts w:ascii="Times New Roman" w:hAnsi="Times New Roman" w:eastAsia="宋体"/>
                      <w:color w:val="auto"/>
                      <w:kern w:val="2"/>
                      <w:sz w:val="21"/>
                      <w:lang w:val="en-US" w:eastAsia="zh-CN"/>
                    </w:rPr>
                  </w:pPr>
                  <w:r>
                    <w:rPr>
                      <w:rFonts w:ascii="Times New Roman" w:hAnsi="Times New Roman" w:eastAsia="宋体" w:cs="Times New Roman"/>
                      <w:color w:val="auto"/>
                      <w:kern w:val="2"/>
                      <w:sz w:val="21"/>
                      <w:szCs w:val="21"/>
                      <w:lang w:val="en-US" w:eastAsia="zh-CN"/>
                    </w:rPr>
                    <w:t xml:space="preserve"> </w:t>
                  </w:r>
                  <w:r>
                    <w:rPr>
                      <w:rFonts w:hint="eastAsia" w:ascii="Times New Roman" w:hAnsi="Times New Roman" w:eastAsia="宋体" w:cs="Times New Roman"/>
                      <w:color w:val="auto"/>
                      <w:kern w:val="2"/>
                      <w:sz w:val="21"/>
                      <w:szCs w:val="21"/>
                      <w:lang w:val="en-US" w:eastAsia="zh-CN"/>
                    </w:rPr>
                    <w:t>EVA</w:t>
                  </w:r>
                  <w:r>
                    <w:rPr>
                      <w:rFonts w:ascii="Times New Roman" w:hAnsi="Times New Roman" w:eastAsia="宋体" w:cs="Times New Roman"/>
                      <w:color w:val="auto"/>
                      <w:kern w:val="2"/>
                      <w:sz w:val="21"/>
                      <w:szCs w:val="21"/>
                      <w:lang w:val="en-US" w:eastAsia="zh-CN"/>
                    </w:rPr>
                    <w:t>胶膜生产线</w:t>
                  </w:r>
                </w:p>
              </w:tc>
              <w:tc>
                <w:tcPr>
                  <w:tcW w:w="723" w:type="pct"/>
                  <w:noWrap w:val="0"/>
                  <w:vAlign w:val="center"/>
                </w:tcPr>
                <w:p w14:paraId="18E7698E">
                  <w:pPr>
                    <w:pStyle w:val="49"/>
                    <w:keepNext w:val="0"/>
                    <w:keepLines w:val="0"/>
                    <w:pageBreakBefore w:val="0"/>
                    <w:widowControl w:val="0"/>
                    <w:kinsoku/>
                    <w:wordWrap/>
                    <w:overflowPunct/>
                    <w:topLinePunct w:val="0"/>
                    <w:autoSpaceDE/>
                    <w:autoSpaceDN/>
                    <w:bidi w:val="0"/>
                    <w:spacing w:line="240" w:lineRule="auto"/>
                    <w:ind w:firstLine="0" w:firstLineChars="0"/>
                    <w:textAlignment w:val="auto"/>
                    <w:rPr>
                      <w:rFonts w:ascii="Times New Roman" w:hAnsi="Times New Roman" w:eastAsia="宋体"/>
                      <w:color w:val="auto"/>
                      <w:kern w:val="2"/>
                      <w:sz w:val="21"/>
                      <w:lang w:val="en-US" w:eastAsia="zh-CN"/>
                    </w:rPr>
                  </w:pPr>
                  <w:r>
                    <w:rPr>
                      <w:rFonts w:hint="eastAsia" w:ascii="Times New Roman" w:hAnsi="Times New Roman" w:eastAsia="宋体" w:cs="Times New Roman"/>
                      <w:color w:val="auto"/>
                      <w:kern w:val="2"/>
                      <w:sz w:val="21"/>
                      <w:szCs w:val="21"/>
                      <w:lang w:val="en-US" w:eastAsia="zh-CN"/>
                    </w:rPr>
                    <w:t>EVA</w:t>
                  </w:r>
                  <w:r>
                    <w:rPr>
                      <w:rFonts w:ascii="Times New Roman" w:hAnsi="Times New Roman" w:eastAsia="宋体" w:cs="Times New Roman"/>
                      <w:color w:val="auto"/>
                      <w:kern w:val="2"/>
                      <w:sz w:val="21"/>
                      <w:szCs w:val="21"/>
                      <w:lang w:val="en-US" w:eastAsia="zh-CN"/>
                    </w:rPr>
                    <w:t>胶膜</w:t>
                  </w:r>
                  <w:r>
                    <w:rPr>
                      <w:rFonts w:ascii="Times New Roman" w:hAnsi="Times New Roman" w:eastAsia="宋体"/>
                      <w:color w:val="auto"/>
                      <w:sz w:val="21"/>
                      <w:szCs w:val="21"/>
                      <w:vertAlign w:val="superscript"/>
                      <w:lang w:val="en-US" w:eastAsia="zh-CN"/>
                    </w:rPr>
                    <w:fldChar w:fldCharType="begin"/>
                  </w:r>
                  <w:r>
                    <w:rPr>
                      <w:rFonts w:ascii="Times New Roman" w:hAnsi="Times New Roman" w:eastAsia="宋体"/>
                      <w:color w:val="auto"/>
                      <w:sz w:val="21"/>
                      <w:szCs w:val="21"/>
                      <w:vertAlign w:val="superscript"/>
                      <w:lang w:val="en-US" w:eastAsia="zh-CN"/>
                    </w:rPr>
                    <w:instrText xml:space="preserve"> = 2 \* GB3 \* MERGEFORMAT </w:instrText>
                  </w:r>
                  <w:r>
                    <w:rPr>
                      <w:rFonts w:ascii="Times New Roman" w:hAnsi="Times New Roman" w:eastAsia="宋体"/>
                      <w:color w:val="auto"/>
                      <w:sz w:val="21"/>
                      <w:szCs w:val="21"/>
                      <w:vertAlign w:val="superscript"/>
                      <w:lang w:val="en-US" w:eastAsia="zh-CN"/>
                    </w:rPr>
                    <w:fldChar w:fldCharType="separate"/>
                  </w:r>
                  <w:r>
                    <w:rPr>
                      <w:rFonts w:ascii="Times New Roman" w:hAnsi="Times New Roman"/>
                      <w:color w:val="auto"/>
                      <w:vertAlign w:val="superscript"/>
                      <w:lang w:val="en-US" w:eastAsia="zh-CN"/>
                    </w:rPr>
                    <w:t>②</w:t>
                  </w:r>
                  <w:r>
                    <w:rPr>
                      <w:rFonts w:ascii="Times New Roman" w:hAnsi="Times New Roman" w:eastAsia="宋体"/>
                      <w:color w:val="auto"/>
                      <w:sz w:val="21"/>
                      <w:szCs w:val="21"/>
                      <w:vertAlign w:val="superscript"/>
                      <w:lang w:val="en-US" w:eastAsia="zh-CN"/>
                    </w:rPr>
                    <w:fldChar w:fldCharType="end"/>
                  </w:r>
                </w:p>
              </w:tc>
              <w:tc>
                <w:tcPr>
                  <w:tcW w:w="813" w:type="pct"/>
                  <w:noWrap w:val="0"/>
                  <w:vAlign w:val="center"/>
                </w:tcPr>
                <w:p w14:paraId="7F1BFEA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rPr>
                  </w:pPr>
                  <w:r>
                    <w:rPr>
                      <w:rFonts w:hint="eastAsia"/>
                      <w:color w:val="auto"/>
                      <w:lang w:val="en-US" w:eastAsia="zh-CN"/>
                    </w:rPr>
                    <w:t>23</w:t>
                  </w:r>
                  <w:r>
                    <w:rPr>
                      <w:color w:val="auto"/>
                    </w:rPr>
                    <w:t>000万m</w:t>
                  </w:r>
                  <w:r>
                    <w:rPr>
                      <w:color w:val="auto"/>
                      <w:vertAlign w:val="superscript"/>
                    </w:rPr>
                    <w:t>2</w:t>
                  </w:r>
                  <w:r>
                    <w:rPr>
                      <w:color w:val="auto"/>
                    </w:rPr>
                    <w:t>/a</w:t>
                  </w:r>
                </w:p>
              </w:tc>
              <w:tc>
                <w:tcPr>
                  <w:tcW w:w="813" w:type="pct"/>
                  <w:noWrap w:val="0"/>
                  <w:vAlign w:val="center"/>
                </w:tcPr>
                <w:p w14:paraId="6AC481C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rPr>
                  </w:pPr>
                  <w:r>
                    <w:rPr>
                      <w:rFonts w:hint="eastAsia"/>
                      <w:color w:val="auto"/>
                      <w:lang w:val="en-US" w:eastAsia="zh-CN"/>
                    </w:rPr>
                    <w:t>235</w:t>
                  </w:r>
                  <w:r>
                    <w:rPr>
                      <w:color w:val="auto"/>
                    </w:rPr>
                    <w:t>00万m</w:t>
                  </w:r>
                  <w:r>
                    <w:rPr>
                      <w:color w:val="auto"/>
                      <w:vertAlign w:val="superscript"/>
                    </w:rPr>
                    <w:t>2</w:t>
                  </w:r>
                  <w:r>
                    <w:rPr>
                      <w:color w:val="auto"/>
                    </w:rPr>
                    <w:t>/a</w:t>
                  </w:r>
                </w:p>
              </w:tc>
              <w:tc>
                <w:tcPr>
                  <w:tcW w:w="809" w:type="pct"/>
                  <w:noWrap w:val="0"/>
                  <w:vAlign w:val="center"/>
                </w:tcPr>
                <w:p w14:paraId="7ECA3D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rPr>
                  </w:pPr>
                  <w:r>
                    <w:rPr>
                      <w:color w:val="auto"/>
                    </w:rPr>
                    <w:t>+</w:t>
                  </w:r>
                  <w:r>
                    <w:rPr>
                      <w:rFonts w:hint="eastAsia"/>
                      <w:color w:val="auto"/>
                      <w:lang w:val="en-US" w:eastAsia="zh-CN"/>
                    </w:rPr>
                    <w:t>5</w:t>
                  </w:r>
                  <w:r>
                    <w:rPr>
                      <w:color w:val="auto"/>
                    </w:rPr>
                    <w:t>00万m</w:t>
                  </w:r>
                  <w:r>
                    <w:rPr>
                      <w:color w:val="auto"/>
                      <w:vertAlign w:val="superscript"/>
                    </w:rPr>
                    <w:t>2</w:t>
                  </w:r>
                  <w:r>
                    <w:rPr>
                      <w:color w:val="auto"/>
                    </w:rPr>
                    <w:t>/a</w:t>
                  </w:r>
                </w:p>
              </w:tc>
              <w:tc>
                <w:tcPr>
                  <w:tcW w:w="526" w:type="pct"/>
                  <w:vMerge w:val="restart"/>
                  <w:noWrap w:val="0"/>
                  <w:vAlign w:val="center"/>
                </w:tcPr>
                <w:p w14:paraId="6E0A5F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rPr>
                  </w:pPr>
                  <w:r>
                    <w:rPr>
                      <w:rFonts w:hint="eastAsia"/>
                      <w:color w:val="auto"/>
                    </w:rPr>
                    <w:t>720</w:t>
                  </w:r>
                  <w:r>
                    <w:rPr>
                      <w:color w:val="auto"/>
                    </w:rPr>
                    <w:t>0h</w:t>
                  </w:r>
                </w:p>
              </w:tc>
            </w:tr>
            <w:tr w14:paraId="71944503">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29" w:type="pct"/>
                  <w:noWrap w:val="0"/>
                  <w:vAlign w:val="center"/>
                </w:tcPr>
                <w:p w14:paraId="019E433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olor w:val="auto"/>
                      <w:lang w:val="en-US" w:eastAsia="zh-CN"/>
                    </w:rPr>
                  </w:pPr>
                  <w:r>
                    <w:rPr>
                      <w:rFonts w:hint="eastAsia"/>
                      <w:color w:val="auto"/>
                      <w:lang w:val="en-US" w:eastAsia="zh-CN"/>
                    </w:rPr>
                    <w:t>2</w:t>
                  </w:r>
                </w:p>
              </w:tc>
              <w:tc>
                <w:tcPr>
                  <w:tcW w:w="1085" w:type="pct"/>
                  <w:noWrap w:val="0"/>
                  <w:vAlign w:val="center"/>
                </w:tcPr>
                <w:p w14:paraId="76FE40E7">
                  <w:pPr>
                    <w:pStyle w:val="49"/>
                    <w:keepNext w:val="0"/>
                    <w:keepLines w:val="0"/>
                    <w:pageBreakBefore w:val="0"/>
                    <w:widowControl w:val="0"/>
                    <w:kinsoku/>
                    <w:wordWrap/>
                    <w:overflowPunct/>
                    <w:topLinePunct w:val="0"/>
                    <w:autoSpaceDE/>
                    <w:autoSpaceDN/>
                    <w:bidi w:val="0"/>
                    <w:spacing w:line="240" w:lineRule="auto"/>
                    <w:ind w:firstLine="0" w:firstLineChars="0"/>
                    <w:textAlignment w:val="auto"/>
                    <w:rPr>
                      <w:rFonts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POE</w:t>
                  </w:r>
                  <w:r>
                    <w:rPr>
                      <w:rFonts w:ascii="Times New Roman" w:hAnsi="Times New Roman" w:eastAsia="宋体" w:cs="Times New Roman"/>
                      <w:color w:val="auto"/>
                      <w:kern w:val="2"/>
                      <w:sz w:val="21"/>
                      <w:szCs w:val="21"/>
                      <w:lang w:val="en-US" w:eastAsia="zh-CN"/>
                    </w:rPr>
                    <w:t>胶膜生产线</w:t>
                  </w:r>
                </w:p>
              </w:tc>
              <w:tc>
                <w:tcPr>
                  <w:tcW w:w="723" w:type="pct"/>
                  <w:noWrap w:val="0"/>
                  <w:vAlign w:val="center"/>
                </w:tcPr>
                <w:p w14:paraId="46E2F408">
                  <w:pPr>
                    <w:pStyle w:val="49"/>
                    <w:keepNext w:val="0"/>
                    <w:keepLines w:val="0"/>
                    <w:pageBreakBefore w:val="0"/>
                    <w:widowControl w:val="0"/>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POE</w:t>
                  </w:r>
                  <w:r>
                    <w:rPr>
                      <w:rFonts w:ascii="Times New Roman" w:hAnsi="Times New Roman" w:eastAsia="宋体" w:cs="Times New Roman"/>
                      <w:color w:val="auto"/>
                      <w:kern w:val="2"/>
                      <w:sz w:val="21"/>
                      <w:szCs w:val="21"/>
                      <w:lang w:val="en-US" w:eastAsia="zh-CN"/>
                    </w:rPr>
                    <w:t>胶膜</w:t>
                  </w:r>
                </w:p>
              </w:tc>
              <w:tc>
                <w:tcPr>
                  <w:tcW w:w="813" w:type="pct"/>
                  <w:noWrap w:val="0"/>
                  <w:vAlign w:val="center"/>
                </w:tcPr>
                <w:p w14:paraId="2DF8E76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lang w:val="en-US" w:eastAsia="zh-CN"/>
                    </w:rPr>
                  </w:pPr>
                  <w:r>
                    <w:rPr>
                      <w:rFonts w:hint="eastAsia"/>
                      <w:color w:val="auto"/>
                      <w:lang w:val="en-US" w:eastAsia="zh-CN"/>
                    </w:rPr>
                    <w:t>9000</w:t>
                  </w:r>
                  <w:r>
                    <w:rPr>
                      <w:color w:val="auto"/>
                    </w:rPr>
                    <w:t>万m</w:t>
                  </w:r>
                  <w:r>
                    <w:rPr>
                      <w:color w:val="auto"/>
                      <w:vertAlign w:val="superscript"/>
                    </w:rPr>
                    <w:t>2</w:t>
                  </w:r>
                  <w:r>
                    <w:rPr>
                      <w:color w:val="auto"/>
                    </w:rPr>
                    <w:t>/a</w:t>
                  </w:r>
                </w:p>
              </w:tc>
              <w:tc>
                <w:tcPr>
                  <w:tcW w:w="813" w:type="pct"/>
                  <w:noWrap w:val="0"/>
                  <w:vAlign w:val="center"/>
                </w:tcPr>
                <w:p w14:paraId="23CF72F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color w:val="auto"/>
                      <w:lang w:val="en-US" w:eastAsia="zh-CN"/>
                    </w:rPr>
                  </w:pPr>
                  <w:r>
                    <w:rPr>
                      <w:rFonts w:hint="eastAsia"/>
                      <w:color w:val="auto"/>
                      <w:lang w:val="en-US" w:eastAsia="zh-CN"/>
                    </w:rPr>
                    <w:t>9000</w:t>
                  </w:r>
                  <w:r>
                    <w:rPr>
                      <w:color w:val="auto"/>
                    </w:rPr>
                    <w:t>万m</w:t>
                  </w:r>
                  <w:r>
                    <w:rPr>
                      <w:color w:val="auto"/>
                      <w:vertAlign w:val="superscript"/>
                    </w:rPr>
                    <w:t>2</w:t>
                  </w:r>
                  <w:r>
                    <w:rPr>
                      <w:color w:val="auto"/>
                    </w:rPr>
                    <w:t>/a</w:t>
                  </w:r>
                </w:p>
              </w:tc>
              <w:tc>
                <w:tcPr>
                  <w:tcW w:w="809" w:type="pct"/>
                  <w:noWrap w:val="0"/>
                  <w:vAlign w:val="center"/>
                </w:tcPr>
                <w:p w14:paraId="5110AE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rPr>
                  </w:pPr>
                  <w:r>
                    <w:rPr>
                      <w:color w:val="auto"/>
                    </w:rPr>
                    <w:t>+</w:t>
                  </w:r>
                  <w:r>
                    <w:rPr>
                      <w:rFonts w:hint="eastAsia"/>
                      <w:color w:val="auto"/>
                    </w:rPr>
                    <w:t>0</w:t>
                  </w:r>
                </w:p>
              </w:tc>
              <w:tc>
                <w:tcPr>
                  <w:tcW w:w="526" w:type="pct"/>
                  <w:vMerge w:val="continue"/>
                  <w:noWrap w:val="0"/>
                  <w:vAlign w:val="center"/>
                </w:tcPr>
                <w:p w14:paraId="69782B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rPr>
                  </w:pPr>
                </w:p>
              </w:tc>
            </w:tr>
            <w:tr w14:paraId="406E0516">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29" w:type="pct"/>
                  <w:noWrap w:val="0"/>
                  <w:vAlign w:val="center"/>
                </w:tcPr>
                <w:p w14:paraId="2C1C6DD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olor w:val="auto"/>
                      <w:lang w:eastAsia="zh-CN"/>
                    </w:rPr>
                  </w:pPr>
                  <w:r>
                    <w:rPr>
                      <w:rFonts w:hint="eastAsia"/>
                      <w:color w:val="auto"/>
                      <w:lang w:val="en-US" w:eastAsia="zh-CN"/>
                    </w:rPr>
                    <w:t>3</w:t>
                  </w:r>
                </w:p>
              </w:tc>
              <w:tc>
                <w:tcPr>
                  <w:tcW w:w="1085" w:type="pct"/>
                  <w:noWrap w:val="0"/>
                  <w:vAlign w:val="center"/>
                </w:tcPr>
                <w:p w14:paraId="32550C60">
                  <w:pPr>
                    <w:pStyle w:val="49"/>
                    <w:keepNext w:val="0"/>
                    <w:keepLines w:val="0"/>
                    <w:pageBreakBefore w:val="0"/>
                    <w:widowControl w:val="0"/>
                    <w:kinsoku/>
                    <w:wordWrap/>
                    <w:overflowPunct/>
                    <w:topLinePunct w:val="0"/>
                    <w:autoSpaceDE/>
                    <w:autoSpaceDN/>
                    <w:bidi w:val="0"/>
                    <w:spacing w:line="240" w:lineRule="auto"/>
                    <w:ind w:firstLine="0" w:firstLineChars="0"/>
                    <w:textAlignment w:val="auto"/>
                    <w:rPr>
                      <w:rFonts w:ascii="Times New Roman" w:hAnsi="Times New Roman" w:eastAsia="宋体"/>
                      <w:color w:val="auto"/>
                      <w:kern w:val="2"/>
                      <w:sz w:val="21"/>
                      <w:lang w:val="en-US" w:eastAsia="zh-CN"/>
                    </w:rPr>
                  </w:pPr>
                  <w:r>
                    <w:rPr>
                      <w:rFonts w:hint="eastAsia" w:ascii="Times New Roman" w:hAnsi="Times New Roman" w:eastAsia="宋体"/>
                      <w:color w:val="auto"/>
                      <w:kern w:val="2"/>
                      <w:sz w:val="21"/>
                      <w:lang w:val="en-US" w:eastAsia="zh-CN"/>
                    </w:rPr>
                    <w:t>功能性聚烯烃热熔胶</w:t>
                  </w:r>
                  <w:r>
                    <w:rPr>
                      <w:rFonts w:ascii="Times New Roman" w:hAnsi="Times New Roman" w:eastAsia="宋体"/>
                      <w:color w:val="auto"/>
                      <w:kern w:val="2"/>
                      <w:sz w:val="21"/>
                      <w:lang w:val="en-US" w:eastAsia="zh-CN"/>
                    </w:rPr>
                    <w:t>生产线</w:t>
                  </w:r>
                </w:p>
              </w:tc>
              <w:tc>
                <w:tcPr>
                  <w:tcW w:w="723" w:type="pct"/>
                  <w:noWrap w:val="0"/>
                  <w:vAlign w:val="center"/>
                </w:tcPr>
                <w:p w14:paraId="28A5CE51">
                  <w:pPr>
                    <w:pStyle w:val="49"/>
                    <w:keepNext w:val="0"/>
                    <w:keepLines w:val="0"/>
                    <w:pageBreakBefore w:val="0"/>
                    <w:widowControl w:val="0"/>
                    <w:kinsoku/>
                    <w:wordWrap/>
                    <w:overflowPunct/>
                    <w:topLinePunct w:val="0"/>
                    <w:autoSpaceDE/>
                    <w:autoSpaceDN/>
                    <w:bidi w:val="0"/>
                    <w:spacing w:line="240" w:lineRule="auto"/>
                    <w:ind w:firstLine="0" w:firstLineChars="0"/>
                    <w:textAlignment w:val="auto"/>
                    <w:rPr>
                      <w:rFonts w:ascii="Times New Roman" w:hAnsi="Times New Roman" w:eastAsia="宋体"/>
                      <w:color w:val="auto"/>
                      <w:kern w:val="2"/>
                      <w:sz w:val="21"/>
                      <w:lang w:val="en-US" w:eastAsia="zh-CN"/>
                    </w:rPr>
                  </w:pPr>
                  <w:r>
                    <w:rPr>
                      <w:rFonts w:hint="eastAsia" w:ascii="Times New Roman" w:hAnsi="Times New Roman" w:eastAsia="宋体"/>
                      <w:color w:val="auto"/>
                      <w:kern w:val="2"/>
                      <w:sz w:val="21"/>
                      <w:lang w:val="en-US" w:eastAsia="zh-CN"/>
                    </w:rPr>
                    <w:t>功能性聚烯烃热熔胶</w:t>
                  </w:r>
                </w:p>
              </w:tc>
              <w:tc>
                <w:tcPr>
                  <w:tcW w:w="813" w:type="pct"/>
                  <w:noWrap w:val="0"/>
                  <w:vAlign w:val="center"/>
                </w:tcPr>
                <w:p w14:paraId="644A33B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rPr>
                  </w:pPr>
                  <w:r>
                    <w:rPr>
                      <w:rFonts w:hint="eastAsia"/>
                      <w:color w:val="auto"/>
                    </w:rPr>
                    <w:t>40000</w:t>
                  </w:r>
                  <w:r>
                    <w:rPr>
                      <w:color w:val="auto"/>
                    </w:rPr>
                    <w:t>t/a</w:t>
                  </w:r>
                </w:p>
              </w:tc>
              <w:tc>
                <w:tcPr>
                  <w:tcW w:w="813" w:type="pct"/>
                  <w:noWrap w:val="0"/>
                  <w:vAlign w:val="center"/>
                </w:tcPr>
                <w:p w14:paraId="19CEF60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rPr>
                  </w:pPr>
                  <w:r>
                    <w:rPr>
                      <w:rFonts w:hint="eastAsia"/>
                      <w:color w:val="auto"/>
                    </w:rPr>
                    <w:t>40000</w:t>
                  </w:r>
                  <w:r>
                    <w:rPr>
                      <w:color w:val="auto"/>
                    </w:rPr>
                    <w:t>t/a</w:t>
                  </w:r>
                </w:p>
              </w:tc>
              <w:tc>
                <w:tcPr>
                  <w:tcW w:w="809" w:type="pct"/>
                  <w:noWrap w:val="0"/>
                  <w:vAlign w:val="center"/>
                </w:tcPr>
                <w:p w14:paraId="36225A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rPr>
                  </w:pPr>
                  <w:r>
                    <w:rPr>
                      <w:color w:val="auto"/>
                    </w:rPr>
                    <w:t>+</w:t>
                  </w:r>
                  <w:r>
                    <w:rPr>
                      <w:rFonts w:hint="eastAsia"/>
                      <w:color w:val="auto"/>
                    </w:rPr>
                    <w:t>0</w:t>
                  </w:r>
                </w:p>
              </w:tc>
              <w:tc>
                <w:tcPr>
                  <w:tcW w:w="526" w:type="pct"/>
                  <w:vMerge w:val="continue"/>
                  <w:noWrap w:val="0"/>
                  <w:vAlign w:val="center"/>
                </w:tcPr>
                <w:p w14:paraId="64271B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rPr>
                  </w:pPr>
                </w:p>
              </w:tc>
            </w:tr>
            <w:tr w14:paraId="24A1FB23">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29" w:type="pct"/>
                  <w:noWrap w:val="0"/>
                  <w:vAlign w:val="center"/>
                </w:tcPr>
                <w:p w14:paraId="6ACABC8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olor w:val="auto"/>
                      <w:lang w:eastAsia="zh-CN"/>
                    </w:rPr>
                  </w:pPr>
                  <w:r>
                    <w:rPr>
                      <w:rFonts w:hint="eastAsia"/>
                      <w:color w:val="auto"/>
                      <w:lang w:val="en-US" w:eastAsia="zh-CN"/>
                    </w:rPr>
                    <w:t>4</w:t>
                  </w:r>
                </w:p>
              </w:tc>
              <w:tc>
                <w:tcPr>
                  <w:tcW w:w="1085" w:type="pct"/>
                  <w:noWrap w:val="0"/>
                  <w:vAlign w:val="center"/>
                </w:tcPr>
                <w:p w14:paraId="56F1A77C">
                  <w:pPr>
                    <w:pStyle w:val="49"/>
                    <w:keepNext w:val="0"/>
                    <w:keepLines w:val="0"/>
                    <w:pageBreakBefore w:val="0"/>
                    <w:widowControl w:val="0"/>
                    <w:kinsoku/>
                    <w:wordWrap/>
                    <w:overflowPunct/>
                    <w:topLinePunct w:val="0"/>
                    <w:autoSpaceDE/>
                    <w:autoSpaceDN/>
                    <w:bidi w:val="0"/>
                    <w:spacing w:line="240" w:lineRule="auto"/>
                    <w:ind w:firstLine="0" w:firstLineChars="0"/>
                    <w:textAlignment w:val="auto"/>
                    <w:rPr>
                      <w:rFonts w:ascii="Times New Roman" w:hAnsi="Times New Roman" w:eastAsia="宋体"/>
                      <w:color w:val="auto"/>
                      <w:kern w:val="2"/>
                      <w:sz w:val="21"/>
                      <w:lang w:val="en-US" w:eastAsia="zh-CN"/>
                    </w:rPr>
                  </w:pPr>
                  <w:r>
                    <w:rPr>
                      <w:rFonts w:ascii="Times New Roman" w:hAnsi="Times New Roman" w:eastAsia="宋体"/>
                      <w:color w:val="auto"/>
                      <w:sz w:val="21"/>
                      <w:lang w:val="en-US" w:eastAsia="zh-CN"/>
                    </w:rPr>
                    <w:t>功能性塑料</w:t>
                  </w:r>
                  <w:r>
                    <w:rPr>
                      <w:rFonts w:ascii="Times New Roman" w:hAnsi="Times New Roman" w:eastAsia="宋体"/>
                      <w:color w:val="auto"/>
                      <w:kern w:val="2"/>
                      <w:sz w:val="21"/>
                      <w:lang w:val="en-US" w:eastAsia="zh-CN"/>
                    </w:rPr>
                    <w:t>生产线</w:t>
                  </w:r>
                </w:p>
              </w:tc>
              <w:tc>
                <w:tcPr>
                  <w:tcW w:w="723" w:type="pct"/>
                  <w:noWrap w:val="0"/>
                  <w:vAlign w:val="center"/>
                </w:tcPr>
                <w:p w14:paraId="73642624">
                  <w:pPr>
                    <w:pStyle w:val="49"/>
                    <w:keepNext w:val="0"/>
                    <w:keepLines w:val="0"/>
                    <w:pageBreakBefore w:val="0"/>
                    <w:widowControl w:val="0"/>
                    <w:kinsoku/>
                    <w:wordWrap/>
                    <w:overflowPunct/>
                    <w:topLinePunct w:val="0"/>
                    <w:autoSpaceDE/>
                    <w:autoSpaceDN/>
                    <w:bidi w:val="0"/>
                    <w:spacing w:line="240" w:lineRule="auto"/>
                    <w:ind w:firstLine="0" w:firstLineChars="0"/>
                    <w:textAlignment w:val="auto"/>
                    <w:rPr>
                      <w:rFonts w:ascii="Times New Roman" w:hAnsi="Times New Roman" w:eastAsia="宋体"/>
                      <w:color w:val="auto"/>
                      <w:kern w:val="2"/>
                      <w:sz w:val="21"/>
                      <w:lang w:val="en-US" w:eastAsia="zh-CN"/>
                    </w:rPr>
                  </w:pPr>
                  <w:r>
                    <w:rPr>
                      <w:rFonts w:ascii="Times New Roman" w:hAnsi="Times New Roman" w:eastAsia="宋体"/>
                      <w:color w:val="auto"/>
                      <w:sz w:val="21"/>
                      <w:lang w:val="en-US" w:eastAsia="zh-CN"/>
                    </w:rPr>
                    <w:t>功能性塑料</w:t>
                  </w:r>
                </w:p>
              </w:tc>
              <w:tc>
                <w:tcPr>
                  <w:tcW w:w="813" w:type="pct"/>
                  <w:noWrap w:val="0"/>
                  <w:vAlign w:val="center"/>
                </w:tcPr>
                <w:p w14:paraId="01902C1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rPr>
                  </w:pPr>
                  <w:r>
                    <w:rPr>
                      <w:rFonts w:hint="eastAsia"/>
                      <w:color w:val="auto"/>
                      <w:lang w:val="en-US" w:eastAsia="zh-CN"/>
                    </w:rPr>
                    <w:t>18</w:t>
                  </w:r>
                  <w:r>
                    <w:rPr>
                      <w:color w:val="auto"/>
                    </w:rPr>
                    <w:t>000t/a</w:t>
                  </w:r>
                </w:p>
              </w:tc>
              <w:tc>
                <w:tcPr>
                  <w:tcW w:w="813" w:type="pct"/>
                  <w:noWrap w:val="0"/>
                  <w:vAlign w:val="center"/>
                </w:tcPr>
                <w:p w14:paraId="59E519E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rPr>
                  </w:pPr>
                  <w:r>
                    <w:rPr>
                      <w:color w:val="auto"/>
                    </w:rPr>
                    <w:t>18000t/a</w:t>
                  </w:r>
                </w:p>
              </w:tc>
              <w:tc>
                <w:tcPr>
                  <w:tcW w:w="809" w:type="pct"/>
                  <w:noWrap w:val="0"/>
                  <w:vAlign w:val="center"/>
                </w:tcPr>
                <w:p w14:paraId="2A6746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rPr>
                  </w:pPr>
                  <w:r>
                    <w:rPr>
                      <w:color w:val="auto"/>
                    </w:rPr>
                    <w:t>+</w:t>
                  </w:r>
                  <w:r>
                    <w:rPr>
                      <w:rFonts w:hint="eastAsia"/>
                      <w:color w:val="auto"/>
                    </w:rPr>
                    <w:t>0</w:t>
                  </w:r>
                </w:p>
              </w:tc>
              <w:tc>
                <w:tcPr>
                  <w:tcW w:w="526" w:type="pct"/>
                  <w:vMerge w:val="continue"/>
                  <w:noWrap w:val="0"/>
                  <w:vAlign w:val="center"/>
                </w:tcPr>
                <w:p w14:paraId="70ABF7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rPr>
                  </w:pPr>
                </w:p>
              </w:tc>
            </w:tr>
          </w:tbl>
          <w:p w14:paraId="3556B2B0">
            <w:pPr>
              <w:rPr>
                <w:rFonts w:hint="default" w:ascii="Times New Roman" w:hAnsi="Times New Roman" w:eastAsia="宋体" w:cs="Times New Roman"/>
                <w:iCs/>
                <w:color w:val="auto"/>
                <w:sz w:val="21"/>
                <w:szCs w:val="21"/>
              </w:rPr>
            </w:pPr>
            <w:r>
              <w:rPr>
                <w:rFonts w:hint="default" w:ascii="Times New Roman" w:hAnsi="Times New Roman" w:cs="Times New Roman"/>
                <w:iCs/>
                <w:color w:val="auto"/>
              </w:rPr>
              <w:t>注</w:t>
            </w:r>
            <w:r>
              <w:rPr>
                <w:rFonts w:hint="default" w:ascii="Times New Roman" w:hAnsi="Times New Roman" w:eastAsia="宋体" w:cs="Times New Roman"/>
                <w:iCs/>
                <w:color w:val="auto"/>
                <w:sz w:val="21"/>
                <w:szCs w:val="21"/>
              </w:rPr>
              <w:t>：</w:t>
            </w:r>
            <w:r>
              <w:rPr>
                <w:rFonts w:hint="default" w:ascii="Times New Roman" w:hAnsi="Times New Roman" w:eastAsia="宋体" w:cs="Times New Roman"/>
                <w:iCs/>
                <w:color w:val="auto"/>
                <w:sz w:val="21"/>
                <w:szCs w:val="21"/>
              </w:rPr>
              <w:fldChar w:fldCharType="begin"/>
            </w:r>
            <w:r>
              <w:rPr>
                <w:rFonts w:hint="default" w:ascii="Times New Roman" w:hAnsi="Times New Roman" w:eastAsia="宋体" w:cs="Times New Roman"/>
                <w:iCs/>
                <w:color w:val="auto"/>
                <w:sz w:val="21"/>
                <w:szCs w:val="21"/>
              </w:rPr>
              <w:instrText xml:space="preserve"> = 1 \* GB3 \* MERGEFORMAT </w:instrText>
            </w:r>
            <w:r>
              <w:rPr>
                <w:rFonts w:hint="default" w:ascii="Times New Roman" w:hAnsi="Times New Roman" w:eastAsia="宋体" w:cs="Times New Roman"/>
                <w:iCs/>
                <w:color w:val="auto"/>
                <w:sz w:val="21"/>
                <w:szCs w:val="21"/>
              </w:rPr>
              <w:fldChar w:fldCharType="separate"/>
            </w:r>
            <w:r>
              <w:rPr>
                <w:rFonts w:hint="default" w:ascii="Times New Roman" w:hAnsi="Times New Roman" w:eastAsia="宋体" w:cs="Times New Roman"/>
                <w:color w:val="auto"/>
                <w:sz w:val="21"/>
                <w:szCs w:val="21"/>
              </w:rPr>
              <w:t>①</w:t>
            </w:r>
            <w:r>
              <w:rPr>
                <w:rFonts w:hint="default" w:ascii="Times New Roman" w:hAnsi="Times New Roman" w:eastAsia="宋体" w:cs="Times New Roman"/>
                <w:iCs/>
                <w:color w:val="auto"/>
                <w:sz w:val="21"/>
                <w:szCs w:val="21"/>
              </w:rPr>
              <w:fldChar w:fldCharType="end"/>
            </w:r>
            <w:r>
              <w:rPr>
                <w:rFonts w:hint="default" w:ascii="Times New Roman" w:hAnsi="Times New Roman" w:eastAsia="宋体" w:cs="Times New Roman"/>
                <w:iCs/>
                <w:color w:val="auto"/>
                <w:sz w:val="21"/>
                <w:szCs w:val="21"/>
              </w:rPr>
              <w:t>项目产品为非标件，产品尺寸根据订单需求而定；</w:t>
            </w:r>
          </w:p>
          <w:p w14:paraId="6D789ACC">
            <w:pPr>
              <w:pStyle w:val="94"/>
              <w:spacing w:line="240" w:lineRule="auto"/>
              <w:ind w:firstLine="420"/>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 2 \* GB3 \* MERGEFORMAT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②</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lang w:val="en-US" w:eastAsia="zh-CN"/>
              </w:rPr>
              <w:t>本次通过设备更新提升产品产能，现有的4条</w:t>
            </w:r>
            <w:r>
              <w:rPr>
                <w:rFonts w:hint="default" w:ascii="Times New Roman" w:hAnsi="Times New Roman" w:eastAsia="宋体" w:cs="Times New Roman"/>
                <w:color w:val="auto"/>
                <w:sz w:val="21"/>
                <w:szCs w:val="21"/>
              </w:rPr>
              <w:t>EVA胶膜机组</w:t>
            </w:r>
            <w:r>
              <w:rPr>
                <w:rFonts w:hint="default" w:ascii="Times New Roman" w:hAnsi="Times New Roman" w:eastAsia="宋体" w:cs="Times New Roman"/>
                <w:color w:val="auto"/>
                <w:sz w:val="21"/>
                <w:szCs w:val="21"/>
                <w:lang w:val="en-US" w:eastAsia="zh-CN"/>
              </w:rPr>
              <w:t>生产能力为年产</w:t>
            </w:r>
            <w:r>
              <w:rPr>
                <w:rFonts w:hint="default" w:ascii="Times New Roman" w:hAnsi="Times New Roman" w:eastAsia="宋体" w:cs="Times New Roman"/>
                <w:color w:val="auto"/>
                <w:kern w:val="2"/>
                <w:sz w:val="21"/>
                <w:szCs w:val="21"/>
                <w:lang w:val="en-US" w:eastAsia="zh-CN"/>
              </w:rPr>
              <w:t>EVA胶膜</w:t>
            </w:r>
            <w:r>
              <w:rPr>
                <w:rFonts w:hint="default" w:ascii="Times New Roman" w:hAnsi="Times New Roman" w:eastAsia="宋体" w:cs="Times New Roman"/>
                <w:color w:val="auto"/>
                <w:sz w:val="21"/>
                <w:szCs w:val="21"/>
                <w:lang w:val="en-US" w:eastAsia="zh-CN"/>
              </w:rPr>
              <w:t>2500</w:t>
            </w:r>
            <w:r>
              <w:rPr>
                <w:rFonts w:hint="default" w:ascii="Times New Roman" w:hAnsi="Times New Roman" w:eastAsia="宋体" w:cs="Times New Roman"/>
                <w:color w:val="auto"/>
                <w:sz w:val="21"/>
                <w:szCs w:val="21"/>
              </w:rPr>
              <w:t>万m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vertAlign w:val="baseline"/>
                <w:lang w:val="en-US" w:eastAsia="zh-CN"/>
              </w:rPr>
              <w:t>，更新后的</w:t>
            </w:r>
            <w:r>
              <w:rPr>
                <w:rFonts w:hint="default" w:ascii="Times New Roman" w:hAnsi="Times New Roman" w:eastAsia="宋体" w:cs="Times New Roman"/>
                <w:color w:val="auto"/>
                <w:sz w:val="21"/>
                <w:szCs w:val="21"/>
                <w:lang w:val="en-US" w:eastAsia="zh-CN"/>
              </w:rPr>
              <w:t>设备生产能力为年产</w:t>
            </w:r>
            <w:r>
              <w:rPr>
                <w:rFonts w:hint="default" w:ascii="Times New Roman" w:hAnsi="Times New Roman" w:eastAsia="宋体" w:cs="Times New Roman"/>
                <w:color w:val="auto"/>
                <w:kern w:val="2"/>
                <w:sz w:val="21"/>
                <w:szCs w:val="21"/>
                <w:lang w:val="en-US" w:eastAsia="zh-CN"/>
              </w:rPr>
              <w:t>EVA胶膜</w:t>
            </w:r>
            <w:r>
              <w:rPr>
                <w:rFonts w:hint="default" w:ascii="Times New Roman" w:hAnsi="Times New Roman" w:eastAsia="宋体" w:cs="Times New Roman"/>
                <w:color w:val="auto"/>
                <w:sz w:val="21"/>
                <w:szCs w:val="21"/>
                <w:lang w:val="en-US" w:eastAsia="zh-CN"/>
              </w:rPr>
              <w:t>3000</w:t>
            </w:r>
            <w:r>
              <w:rPr>
                <w:rFonts w:hint="default" w:ascii="Times New Roman" w:hAnsi="Times New Roman" w:eastAsia="宋体" w:cs="Times New Roman"/>
                <w:color w:val="auto"/>
                <w:sz w:val="21"/>
                <w:szCs w:val="21"/>
              </w:rPr>
              <w:t>万m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kern w:val="2"/>
                <w:sz w:val="21"/>
                <w:szCs w:val="21"/>
                <w:lang w:val="en-US" w:eastAsia="zh-CN"/>
              </w:rPr>
              <w:t>EVA胶膜</w:t>
            </w:r>
            <w:r>
              <w:rPr>
                <w:rFonts w:hint="default" w:ascii="Times New Roman" w:hAnsi="Times New Roman" w:eastAsia="宋体" w:cs="Times New Roman"/>
                <w:color w:val="auto"/>
                <w:sz w:val="21"/>
                <w:szCs w:val="21"/>
                <w:vertAlign w:val="baseline"/>
                <w:lang w:val="en-US" w:eastAsia="zh-CN"/>
              </w:rPr>
              <w:t>年产能增加</w:t>
            </w:r>
            <w:r>
              <w:rPr>
                <w:rFonts w:hint="default" w:ascii="Times New Roman" w:hAnsi="Times New Roman" w:eastAsia="宋体" w:cs="Times New Roman"/>
                <w:color w:val="auto"/>
                <w:sz w:val="21"/>
                <w:szCs w:val="21"/>
                <w:lang w:val="en-US" w:eastAsia="zh-CN"/>
              </w:rPr>
              <w:t>500</w:t>
            </w:r>
            <w:r>
              <w:rPr>
                <w:rFonts w:hint="default" w:ascii="Times New Roman" w:hAnsi="Times New Roman" w:eastAsia="宋体" w:cs="Times New Roman"/>
                <w:color w:val="auto"/>
                <w:sz w:val="21"/>
                <w:szCs w:val="21"/>
              </w:rPr>
              <w:t>万m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vertAlign w:val="baseline"/>
                <w:lang w:eastAsia="zh-CN"/>
              </w:rPr>
              <w:t>；</w:t>
            </w:r>
          </w:p>
          <w:p w14:paraId="347CCB48">
            <w:pPr>
              <w:pStyle w:val="94"/>
              <w:spacing w:line="240" w:lineRule="auto"/>
              <w:ind w:firstLine="42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 3 \* GB3 \* MERGEFORMAT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③</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lang w:val="en-US" w:eastAsia="zh-CN"/>
              </w:rPr>
              <w:t>本次技改主要针对新型太阳能封装材料扩产项目</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年产EVA胶膜9000万m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中4条</w:t>
            </w:r>
            <w:r>
              <w:rPr>
                <w:rFonts w:hint="default" w:ascii="Times New Roman" w:hAnsi="Times New Roman" w:eastAsia="宋体" w:cs="Times New Roman"/>
                <w:color w:val="auto"/>
                <w:sz w:val="21"/>
                <w:szCs w:val="21"/>
              </w:rPr>
              <w:t>EVA胶膜生产机组</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年产EVA胶膜2500万m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进行改造并提升产能，该项目剩余的13条</w:t>
            </w:r>
            <w:r>
              <w:rPr>
                <w:rFonts w:hint="default" w:ascii="Times New Roman" w:hAnsi="Times New Roman" w:eastAsia="宋体" w:cs="Times New Roman"/>
                <w:color w:val="auto"/>
                <w:sz w:val="21"/>
                <w:szCs w:val="21"/>
              </w:rPr>
              <w:t>EVA胶膜生产机组</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年产EVA胶膜6500万m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设备、原辅料消耗及产能均不发生变化</w:t>
            </w:r>
            <w:r>
              <w:rPr>
                <w:rFonts w:hint="default" w:ascii="Times New Roman" w:hAnsi="Times New Roman" w:eastAsia="宋体" w:cs="Times New Roman"/>
                <w:color w:val="auto"/>
                <w:sz w:val="21"/>
                <w:szCs w:val="21"/>
              </w:rPr>
              <w:t>。</w:t>
            </w:r>
          </w:p>
          <w:p w14:paraId="27632C65">
            <w:pPr>
              <w:pStyle w:val="94"/>
              <w:spacing w:line="240" w:lineRule="auto"/>
              <w:ind w:firstLine="420"/>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fldChar w:fldCharType="begin"/>
            </w:r>
            <w:r>
              <w:rPr>
                <w:rFonts w:hint="default" w:ascii="Times New Roman" w:hAnsi="Times New Roman" w:eastAsia="宋体" w:cs="Times New Roman"/>
                <w:color w:val="FF0000"/>
                <w:sz w:val="21"/>
                <w:szCs w:val="21"/>
                <w:lang w:val="en-US" w:eastAsia="zh-CN"/>
              </w:rPr>
              <w:instrText xml:space="preserve"> = 4 \* GB3 \* MERGEFORMAT </w:instrText>
            </w:r>
            <w:r>
              <w:rPr>
                <w:rFonts w:hint="default" w:ascii="Times New Roman" w:hAnsi="Times New Roman" w:eastAsia="宋体" w:cs="Times New Roman"/>
                <w:color w:val="FF0000"/>
                <w:sz w:val="21"/>
                <w:szCs w:val="21"/>
                <w:lang w:val="en-US" w:eastAsia="zh-CN"/>
              </w:rPr>
              <w:fldChar w:fldCharType="separate"/>
            </w:r>
            <w:r>
              <w:rPr>
                <w:rFonts w:hint="default" w:ascii="Times New Roman" w:hAnsi="Times New Roman" w:cs="Times New Roman"/>
                <w:color w:val="FF0000"/>
              </w:rPr>
              <w:t>④</w:t>
            </w:r>
            <w:r>
              <w:rPr>
                <w:rFonts w:hint="default" w:ascii="Times New Roman" w:hAnsi="Times New Roman" w:eastAsia="宋体" w:cs="Times New Roman"/>
                <w:color w:val="FF0000"/>
                <w:sz w:val="21"/>
                <w:szCs w:val="21"/>
                <w:lang w:val="en-US" w:eastAsia="zh-CN"/>
              </w:rPr>
              <w:fldChar w:fldCharType="end"/>
            </w:r>
            <w:r>
              <w:rPr>
                <w:rFonts w:hint="default" w:ascii="Times New Roman" w:hAnsi="Times New Roman" w:eastAsia="宋体" w:cs="Times New Roman"/>
                <w:color w:val="FF0000"/>
                <w:sz w:val="21"/>
                <w:szCs w:val="21"/>
                <w:lang w:val="en-US" w:eastAsia="zh-CN"/>
              </w:rPr>
              <w:t>本次评价主要针对技改后的4条</w:t>
            </w:r>
            <w:r>
              <w:rPr>
                <w:rFonts w:hint="default" w:ascii="Times New Roman" w:hAnsi="Times New Roman" w:eastAsia="宋体" w:cs="Times New Roman"/>
                <w:color w:val="FF0000"/>
                <w:sz w:val="21"/>
                <w:szCs w:val="21"/>
              </w:rPr>
              <w:t>EVA胶膜机组</w:t>
            </w:r>
            <w:r>
              <w:rPr>
                <w:rFonts w:hint="default" w:ascii="Times New Roman" w:hAnsi="Times New Roman" w:eastAsia="宋体" w:cs="Times New Roman"/>
                <w:color w:val="FF0000"/>
                <w:sz w:val="21"/>
                <w:szCs w:val="21"/>
                <w:lang w:val="en-US" w:eastAsia="zh-CN"/>
              </w:rPr>
              <w:t>产排污情况进行分析，现有的4条</w:t>
            </w:r>
            <w:r>
              <w:rPr>
                <w:rFonts w:hint="default" w:ascii="Times New Roman" w:hAnsi="Times New Roman" w:eastAsia="宋体" w:cs="Times New Roman"/>
                <w:color w:val="FF0000"/>
                <w:sz w:val="21"/>
                <w:szCs w:val="21"/>
              </w:rPr>
              <w:t>EVA胶膜机组</w:t>
            </w:r>
            <w:r>
              <w:rPr>
                <w:rFonts w:hint="default" w:ascii="Times New Roman" w:hAnsi="Times New Roman" w:eastAsia="宋体" w:cs="Times New Roman"/>
                <w:color w:val="FF0000"/>
                <w:sz w:val="21"/>
                <w:szCs w:val="21"/>
                <w:lang w:val="en-US" w:eastAsia="zh-CN"/>
              </w:rPr>
              <w:t>污染物排放均纳入“以新带老”削减量。</w:t>
            </w:r>
          </w:p>
          <w:p w14:paraId="0E295B3C">
            <w:pPr>
              <w:spacing w:line="500" w:lineRule="exact"/>
              <w:ind w:firstLine="420" w:firstLineChars="200"/>
              <w:rPr>
                <w:rFonts w:hint="default" w:ascii="Times New Roman" w:hAnsi="Times New Roman" w:cs="Times New Roman" w:eastAsiaTheme="minorEastAsia"/>
                <w:color w:val="auto"/>
                <w:sz w:val="21"/>
                <w:szCs w:val="21"/>
                <w:lang w:val="en-US" w:eastAsia="zh-CN"/>
              </w:rPr>
            </w:pPr>
          </w:p>
        </w:tc>
      </w:tr>
    </w:tbl>
    <w:p w14:paraId="730143C6">
      <w:pPr>
        <w:pStyle w:val="25"/>
        <w:spacing w:before="0" w:beforeAutospacing="0" w:after="0" w:afterAutospacing="0"/>
        <w:jc w:val="both"/>
        <w:outlineLvl w:val="0"/>
        <w:rPr>
          <w:rFonts w:hint="default" w:ascii="Times New Roman" w:hAnsi="Times New Roman" w:eastAsia="黑体" w:cs="Times New Roman"/>
          <w:snapToGrid w:val="0"/>
          <w:color w:val="auto"/>
          <w:sz w:val="30"/>
          <w:szCs w:val="30"/>
          <w:vertAlign w:val="baseline"/>
        </w:rPr>
        <w:sectPr>
          <w:footerReference r:id="rId6" w:type="default"/>
          <w:pgSz w:w="11906" w:h="16838"/>
          <w:pgMar w:top="1417" w:right="1417" w:bottom="1417" w:left="1417" w:header="851" w:footer="1134" w:gutter="0"/>
          <w:pgBorders>
            <w:top w:val="none" w:sz="0" w:space="0"/>
            <w:left w:val="none" w:sz="0" w:space="0"/>
            <w:bottom w:val="none" w:sz="0" w:space="0"/>
            <w:right w:val="none" w:sz="0" w:space="0"/>
          </w:pgBorders>
          <w:pgNumType w:fmt="decimal"/>
          <w:cols w:space="720" w:num="1"/>
          <w:docGrid w:linePitch="312" w:charSpace="0"/>
        </w:sectPr>
      </w:pPr>
      <w:bookmarkStart w:id="5" w:name="_Toc12048"/>
      <w:bookmarkStart w:id="6" w:name="_Toc4503"/>
    </w:p>
    <w:tbl>
      <w:tblPr>
        <w:tblStyle w:val="3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2"/>
        <w:gridCol w:w="13429"/>
      </w:tblGrid>
      <w:tr w14:paraId="452EE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vAlign w:val="center"/>
          </w:tcPr>
          <w:p w14:paraId="141798E0">
            <w:pPr>
              <w:pStyle w:val="25"/>
              <w:spacing w:before="0" w:beforeAutospacing="0" w:after="0" w:afterAutospacing="0"/>
              <w:jc w:val="center"/>
              <w:outlineLvl w:val="0"/>
              <w:rPr>
                <w:rFonts w:hint="default" w:ascii="Times New Roman" w:hAnsi="Times New Roman" w:eastAsia="黑体" w:cs="Times New Roman"/>
                <w:snapToGrid w:val="0"/>
                <w:color w:val="auto"/>
                <w:sz w:val="30"/>
                <w:szCs w:val="30"/>
                <w:vertAlign w:val="baseline"/>
              </w:rPr>
            </w:pPr>
            <w:r>
              <w:rPr>
                <w:rFonts w:hint="default" w:ascii="Times New Roman" w:hAnsi="Times New Roman" w:cs="Times New Roman" w:eastAsiaTheme="minorEastAsia"/>
                <w:color w:val="auto"/>
                <w:sz w:val="21"/>
                <w:szCs w:val="21"/>
              </w:rPr>
              <w:t>建设内容</w:t>
            </w:r>
          </w:p>
        </w:tc>
        <w:tc>
          <w:tcPr>
            <w:tcW w:w="4724" w:type="pct"/>
          </w:tcPr>
          <w:p w14:paraId="01BFDC54">
            <w:pPr>
              <w:numPr>
                <w:ilvl w:val="0"/>
                <w:numId w:val="2"/>
              </w:numPr>
              <w:adjustRightInd w:val="0"/>
              <w:snapToGrid w:val="0"/>
              <w:spacing w:before="48" w:beforeLines="20" w:line="500" w:lineRule="exact"/>
              <w:ind w:left="0" w:leftChars="0" w:firstLine="422" w:firstLineChars="200"/>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原辅材料</w:t>
            </w:r>
          </w:p>
          <w:p w14:paraId="1FA6A89B">
            <w:pPr>
              <w:adjustRightInd w:val="0"/>
              <w:snapToGrid w:val="0"/>
              <w:spacing w:line="500" w:lineRule="exact"/>
              <w:jc w:val="center"/>
              <w:rPr>
                <w:rFonts w:hint="eastAsia"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rPr>
              <w:t>表2-</w:t>
            </w:r>
            <w:r>
              <w:rPr>
                <w:rFonts w:hint="eastAsia" w:ascii="Times New Roman" w:hAnsi="Times New Roman" w:cs="Times New Roman"/>
                <w:b/>
                <w:bCs/>
                <w:color w:val="auto"/>
                <w:sz w:val="21"/>
                <w:szCs w:val="21"/>
                <w:highlight w:val="none"/>
                <w:lang w:val="en-US" w:eastAsia="zh-CN"/>
              </w:rPr>
              <w:t xml:space="preserve">3 </w:t>
            </w:r>
            <w:r>
              <w:rPr>
                <w:rFonts w:hint="default" w:ascii="Times New Roman" w:hAnsi="Times New Roman" w:cs="Times New Roman"/>
                <w:b/>
                <w:bCs/>
                <w:color w:val="auto"/>
                <w:sz w:val="21"/>
                <w:szCs w:val="21"/>
                <w:highlight w:val="none"/>
              </w:rPr>
              <w:t xml:space="preserve"> </w:t>
            </w:r>
            <w:r>
              <w:rPr>
                <w:b/>
                <w:bCs/>
                <w:color w:val="auto"/>
                <w:sz w:val="21"/>
                <w:szCs w:val="21"/>
              </w:rPr>
              <w:t>建设项目主要原辅材料</w:t>
            </w:r>
            <w:r>
              <w:rPr>
                <w:rFonts w:hint="eastAsia"/>
                <w:b/>
                <w:bCs/>
                <w:color w:val="auto"/>
                <w:sz w:val="21"/>
                <w:szCs w:val="21"/>
                <w:lang w:val="en-US" w:eastAsia="zh-CN"/>
              </w:rPr>
              <w:t>消耗</w:t>
            </w:r>
            <w:r>
              <w:rPr>
                <w:b/>
                <w:bCs/>
                <w:color w:val="auto"/>
                <w:sz w:val="21"/>
                <w:szCs w:val="21"/>
              </w:rPr>
              <w:t>一览表</w:t>
            </w:r>
          </w:p>
          <w:tbl>
            <w:tblPr>
              <w:tblStyle w:val="31"/>
              <w:tblW w:w="499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1873"/>
              <w:gridCol w:w="3513"/>
              <w:gridCol w:w="1873"/>
              <w:gridCol w:w="1664"/>
              <w:gridCol w:w="2142"/>
              <w:gridCol w:w="2135"/>
            </w:tblGrid>
            <w:tr w14:paraId="319ACE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09" w:type="pct"/>
                  <w:vAlign w:val="center"/>
                </w:tcPr>
                <w:p w14:paraId="640F405B">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1330" w:type="pct"/>
                  <w:vAlign w:val="center"/>
                </w:tcPr>
                <w:p w14:paraId="3D66B93E">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cs="Times New Roman"/>
                      <w:b/>
                      <w:bCs/>
                      <w:color w:val="auto"/>
                      <w:szCs w:val="21"/>
                    </w:rPr>
                    <w:t>规格、成分</w:t>
                  </w:r>
                </w:p>
              </w:tc>
              <w:tc>
                <w:tcPr>
                  <w:tcW w:w="709" w:type="pct"/>
                  <w:tcBorders>
                    <w:bottom w:val="single" w:color="auto" w:sz="4" w:space="0"/>
                  </w:tcBorders>
                  <w:vAlign w:val="center"/>
                </w:tcPr>
                <w:p w14:paraId="0423BD8A">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消耗量（</w:t>
                  </w:r>
                  <w:r>
                    <w:rPr>
                      <w:rFonts w:hint="eastAsia" w:cs="Times New Roman"/>
                      <w:b/>
                      <w:bCs/>
                      <w:color w:val="auto"/>
                      <w:sz w:val="21"/>
                      <w:szCs w:val="21"/>
                      <w:lang w:val="en-US" w:eastAsia="zh-CN"/>
                    </w:rPr>
                    <w:t>t</w:t>
                  </w:r>
                  <w:r>
                    <w:rPr>
                      <w:rFonts w:hint="default" w:ascii="Times New Roman" w:hAnsi="Times New Roman" w:eastAsia="宋体" w:cs="Times New Roman"/>
                      <w:b/>
                      <w:bCs/>
                      <w:color w:val="auto"/>
                      <w:sz w:val="21"/>
                      <w:szCs w:val="21"/>
                    </w:rPr>
                    <w:t>/a）</w:t>
                  </w:r>
                </w:p>
              </w:tc>
              <w:tc>
                <w:tcPr>
                  <w:tcW w:w="630" w:type="pct"/>
                  <w:tcBorders>
                    <w:bottom w:val="single" w:color="auto" w:sz="4" w:space="0"/>
                  </w:tcBorders>
                  <w:vAlign w:val="center"/>
                </w:tcPr>
                <w:p w14:paraId="1BEA241A">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包装规格</w:t>
                  </w:r>
                </w:p>
              </w:tc>
              <w:tc>
                <w:tcPr>
                  <w:tcW w:w="811" w:type="pct"/>
                  <w:vAlign w:val="center"/>
                </w:tcPr>
                <w:p w14:paraId="02C65968">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cs="Times New Roman"/>
                      <w:b/>
                      <w:bCs/>
                      <w:color w:val="auto"/>
                      <w:szCs w:val="21"/>
                    </w:rPr>
                    <w:t>最</w:t>
                  </w:r>
                  <w:r>
                    <w:rPr>
                      <w:rFonts w:hint="default" w:ascii="Times New Roman" w:hAnsi="Times New Roman" w:eastAsia="宋体" w:cs="Times New Roman"/>
                      <w:b/>
                      <w:bCs/>
                      <w:color w:val="auto"/>
                      <w:szCs w:val="21"/>
                    </w:rPr>
                    <w:t>大储存量</w:t>
                  </w:r>
                  <w:r>
                    <w:rPr>
                      <w:rFonts w:hint="default" w:ascii="Times New Roman" w:hAnsi="Times New Roman" w:eastAsia="宋体" w:cs="Times New Roman"/>
                      <w:b/>
                      <w:bCs/>
                      <w:color w:val="auto"/>
                      <w:sz w:val="21"/>
                      <w:szCs w:val="21"/>
                    </w:rPr>
                    <w:t>（</w:t>
                  </w:r>
                  <w:r>
                    <w:rPr>
                      <w:rFonts w:hint="eastAsia" w:cs="Times New Roman"/>
                      <w:b/>
                      <w:bCs/>
                      <w:color w:val="auto"/>
                      <w:sz w:val="21"/>
                      <w:szCs w:val="21"/>
                      <w:lang w:val="en-US" w:eastAsia="zh-CN"/>
                    </w:rPr>
                    <w:t>t</w:t>
                  </w:r>
                  <w:r>
                    <w:rPr>
                      <w:rFonts w:hint="default" w:ascii="Times New Roman" w:hAnsi="Times New Roman" w:eastAsia="宋体" w:cs="Times New Roman"/>
                      <w:b/>
                      <w:bCs/>
                      <w:color w:val="auto"/>
                      <w:sz w:val="21"/>
                      <w:szCs w:val="21"/>
                    </w:rPr>
                    <w:t>）</w:t>
                  </w:r>
                </w:p>
              </w:tc>
              <w:tc>
                <w:tcPr>
                  <w:tcW w:w="808" w:type="pct"/>
                  <w:vAlign w:val="center"/>
                </w:tcPr>
                <w:p w14:paraId="380E8114">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cs="Times New Roman"/>
                      <w:b/>
                      <w:bCs/>
                      <w:color w:val="auto"/>
                      <w:szCs w:val="21"/>
                    </w:rPr>
                    <w:t>来源及运输方式</w:t>
                  </w:r>
                </w:p>
              </w:tc>
            </w:tr>
            <w:tr w14:paraId="5433CC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09" w:type="pct"/>
                  <w:vAlign w:val="center"/>
                </w:tcPr>
                <w:p w14:paraId="6F22FC82">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rPr>
                    <w:t>EVA颗粒</w:t>
                  </w:r>
                </w:p>
              </w:tc>
              <w:tc>
                <w:tcPr>
                  <w:tcW w:w="1330" w:type="pct"/>
                  <w:tcBorders>
                    <w:top w:val="single" w:color="auto" w:sz="4" w:space="0"/>
                  </w:tcBorders>
                  <w:vAlign w:val="center"/>
                </w:tcPr>
                <w:p w14:paraId="0585BA73">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color w:val="auto"/>
                      <w:kern w:val="2"/>
                      <w:sz w:val="21"/>
                      <w:szCs w:val="21"/>
                      <w:lang w:val="en-US" w:eastAsia="zh-CN" w:bidi="ar-SA"/>
                    </w:rPr>
                  </w:pPr>
                  <w:r>
                    <w:rPr>
                      <w:rFonts w:hint="eastAsia" w:ascii="宋体" w:hAnsi="宋体" w:eastAsia="宋体" w:cs="宋体"/>
                      <w:color w:val="auto"/>
                      <w:sz w:val="21"/>
                      <w:shd w:val="clear" w:color="auto" w:fill="FFFFFF"/>
                    </w:rPr>
                    <w:t>乙烯-醋酸乙烯酯共聚物</w:t>
                  </w:r>
                </w:p>
              </w:tc>
              <w:tc>
                <w:tcPr>
                  <w:tcW w:w="709" w:type="pct"/>
                  <w:tcBorders>
                    <w:top w:val="single" w:color="auto" w:sz="4" w:space="0"/>
                  </w:tcBorders>
                  <w:vAlign w:val="center"/>
                </w:tcPr>
                <w:p w14:paraId="0BBD9594">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cs="Times New Roman"/>
                      <w:color w:val="auto"/>
                      <w:sz w:val="21"/>
                      <w:szCs w:val="21"/>
                      <w:lang w:val="en-US" w:eastAsia="zh-CN"/>
                    </w:rPr>
                  </w:pPr>
                  <w:r>
                    <w:rPr>
                      <w:rFonts w:hint="eastAsia" w:ascii="Times New Roman" w:hAnsi="Times New Roman" w:eastAsia="宋体" w:cs="Times New Roman"/>
                      <w:color w:val="auto"/>
                      <w:sz w:val="21"/>
                      <w:szCs w:val="21"/>
                      <w:shd w:val="clear" w:color="auto" w:fill="FFFFFF"/>
                      <w:lang w:val="en-US" w:eastAsia="zh-CN"/>
                    </w:rPr>
                    <w:t>1111.1</w:t>
                  </w:r>
                </w:p>
              </w:tc>
              <w:tc>
                <w:tcPr>
                  <w:tcW w:w="630" w:type="pct"/>
                  <w:tcBorders>
                    <w:top w:val="single" w:color="auto" w:sz="4" w:space="0"/>
                  </w:tcBorders>
                  <w:vAlign w:val="center"/>
                </w:tcPr>
                <w:p w14:paraId="0E23FFE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44"/>
                      <w:sz w:val="21"/>
                      <w:szCs w:val="20"/>
                      <w:lang w:val="en-US" w:eastAsia="zh-CN" w:bidi="ar-SA"/>
                    </w:rPr>
                  </w:pPr>
                  <w:r>
                    <w:rPr>
                      <w:rFonts w:hint="eastAsia" w:cs="Times New Roman"/>
                      <w:color w:val="auto"/>
                      <w:kern w:val="44"/>
                      <w:sz w:val="21"/>
                      <w:szCs w:val="20"/>
                      <w:lang w:val="en-US" w:eastAsia="zh-CN" w:bidi="ar-SA"/>
                    </w:rPr>
                    <w:t>25kg/袋</w:t>
                  </w:r>
                </w:p>
              </w:tc>
              <w:tc>
                <w:tcPr>
                  <w:tcW w:w="811" w:type="pct"/>
                  <w:tcBorders>
                    <w:top w:val="single" w:color="auto" w:sz="4" w:space="0"/>
                  </w:tcBorders>
                  <w:vAlign w:val="center"/>
                </w:tcPr>
                <w:p w14:paraId="2D3FA687">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44"/>
                      <w:sz w:val="21"/>
                      <w:szCs w:val="20"/>
                      <w:lang w:val="en-US" w:eastAsia="zh-CN" w:bidi="ar-SA"/>
                    </w:rPr>
                  </w:pPr>
                  <w:r>
                    <w:rPr>
                      <w:rFonts w:hint="eastAsia" w:cs="Times New Roman"/>
                      <w:color w:val="auto"/>
                      <w:kern w:val="44"/>
                      <w:sz w:val="21"/>
                      <w:szCs w:val="20"/>
                      <w:lang w:val="en-US" w:eastAsia="zh-CN" w:bidi="ar-SA"/>
                    </w:rPr>
                    <w:t>1</w:t>
                  </w:r>
                  <w:r>
                    <w:rPr>
                      <w:rFonts w:hint="eastAsia" w:ascii="Times New Roman" w:hAnsi="Times New Roman" w:eastAsia="宋体" w:cs="Times New Roman"/>
                      <w:color w:val="auto"/>
                      <w:kern w:val="44"/>
                      <w:sz w:val="21"/>
                      <w:szCs w:val="20"/>
                      <w:lang w:val="en-US" w:eastAsia="zh-CN" w:bidi="ar-SA"/>
                    </w:rPr>
                    <w:t>00</w:t>
                  </w:r>
                </w:p>
              </w:tc>
              <w:tc>
                <w:tcPr>
                  <w:tcW w:w="808" w:type="pct"/>
                  <w:tcBorders>
                    <w:top w:val="single" w:color="auto" w:sz="4" w:space="0"/>
                  </w:tcBorders>
                  <w:vAlign w:val="center"/>
                </w:tcPr>
                <w:p w14:paraId="495C9904">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新购，</w:t>
                  </w:r>
                  <w:r>
                    <w:rPr>
                      <w:rFonts w:hint="default" w:ascii="Times New Roman" w:hAnsi="Times New Roman" w:cs="Times New Roman"/>
                      <w:color w:val="auto"/>
                      <w:szCs w:val="21"/>
                    </w:rPr>
                    <w:t>汽运</w:t>
                  </w:r>
                </w:p>
              </w:tc>
            </w:tr>
            <w:tr w14:paraId="69703C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09" w:type="pct"/>
                  <w:vAlign w:val="center"/>
                </w:tcPr>
                <w:p w14:paraId="7D83610F">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color w:val="auto"/>
                      <w:kern w:val="2"/>
                      <w:sz w:val="21"/>
                      <w:szCs w:val="21"/>
                      <w:lang w:val="en-US" w:eastAsia="zh-CN" w:bidi="ar-SA"/>
                    </w:rPr>
                  </w:pPr>
                  <w:r>
                    <w:rPr>
                      <w:rFonts w:hint="eastAsia" w:ascii="Arial" w:hAnsi="Arial" w:eastAsia="宋体" w:cs="Arial"/>
                      <w:color w:val="auto"/>
                      <w:sz w:val="21"/>
                      <w:shd w:val="clear" w:color="auto" w:fill="FFFFFF"/>
                    </w:rPr>
                    <w:t>交联</w:t>
                  </w:r>
                  <w:r>
                    <w:rPr>
                      <w:rFonts w:ascii="Arial" w:hAnsi="Arial" w:eastAsia="宋体" w:cs="Arial"/>
                      <w:color w:val="auto"/>
                      <w:sz w:val="21"/>
                      <w:shd w:val="clear" w:color="auto" w:fill="FFFFFF"/>
                    </w:rPr>
                    <w:t>剂</w:t>
                  </w:r>
                </w:p>
              </w:tc>
              <w:tc>
                <w:tcPr>
                  <w:tcW w:w="1330" w:type="pct"/>
                  <w:tcBorders>
                    <w:top w:val="single" w:color="auto" w:sz="4" w:space="0"/>
                  </w:tcBorders>
                  <w:vAlign w:val="center"/>
                </w:tcPr>
                <w:p w14:paraId="517A20C0">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color w:val="auto"/>
                      <w:kern w:val="2"/>
                      <w:sz w:val="21"/>
                      <w:szCs w:val="21"/>
                      <w:lang w:val="en-US" w:eastAsia="zh-CN" w:bidi="ar-SA"/>
                    </w:rPr>
                  </w:pPr>
                  <w:r>
                    <w:rPr>
                      <w:rFonts w:hint="eastAsia" w:ascii="宋体" w:hAnsi="宋体" w:eastAsia="宋体" w:cs="宋体"/>
                      <w:color w:val="auto"/>
                      <w:sz w:val="21"/>
                    </w:rPr>
                    <w:t>有机过氧化物</w:t>
                  </w:r>
                </w:p>
              </w:tc>
              <w:tc>
                <w:tcPr>
                  <w:tcW w:w="709" w:type="pct"/>
                  <w:tcBorders>
                    <w:top w:val="single" w:color="auto" w:sz="4" w:space="0"/>
                  </w:tcBorders>
                  <w:vAlign w:val="center"/>
                </w:tcPr>
                <w:p w14:paraId="7DEAB493">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cs="Times New Roman"/>
                      <w:color w:val="auto"/>
                      <w:sz w:val="21"/>
                      <w:szCs w:val="21"/>
                      <w:lang w:val="en-US" w:eastAsia="zh-CN"/>
                    </w:rPr>
                  </w:pPr>
                  <w:r>
                    <w:rPr>
                      <w:rFonts w:hint="eastAsia" w:ascii="Times New Roman" w:hAnsi="Times New Roman" w:eastAsia="宋体" w:cs="Times New Roman"/>
                      <w:color w:val="auto"/>
                      <w:sz w:val="21"/>
                      <w:szCs w:val="21"/>
                      <w:shd w:val="clear" w:color="auto" w:fill="FFFFFF"/>
                      <w:lang w:val="en-US" w:eastAsia="zh-CN"/>
                    </w:rPr>
                    <w:t>3.3</w:t>
                  </w:r>
                </w:p>
              </w:tc>
              <w:tc>
                <w:tcPr>
                  <w:tcW w:w="630" w:type="pct"/>
                  <w:tcBorders>
                    <w:top w:val="single" w:color="auto" w:sz="4" w:space="0"/>
                  </w:tcBorders>
                  <w:vAlign w:val="center"/>
                </w:tcPr>
                <w:p w14:paraId="69F85D76">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44"/>
                      <w:sz w:val="21"/>
                      <w:szCs w:val="20"/>
                      <w:lang w:val="en-US" w:eastAsia="zh-CN" w:bidi="ar-SA"/>
                    </w:rPr>
                  </w:pPr>
                  <w:r>
                    <w:rPr>
                      <w:rFonts w:hint="eastAsia" w:cs="Times New Roman"/>
                      <w:color w:val="auto"/>
                      <w:kern w:val="44"/>
                      <w:sz w:val="21"/>
                      <w:szCs w:val="20"/>
                      <w:lang w:val="en-US" w:eastAsia="zh-CN" w:bidi="ar-SA"/>
                    </w:rPr>
                    <w:t>25kg/袋</w:t>
                  </w:r>
                </w:p>
              </w:tc>
              <w:tc>
                <w:tcPr>
                  <w:tcW w:w="811" w:type="pct"/>
                  <w:tcBorders>
                    <w:top w:val="single" w:color="auto" w:sz="4" w:space="0"/>
                  </w:tcBorders>
                  <w:vAlign w:val="center"/>
                </w:tcPr>
                <w:p w14:paraId="34F664EE">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44"/>
                      <w:sz w:val="21"/>
                      <w:szCs w:val="20"/>
                      <w:lang w:val="en-US" w:eastAsia="zh-CN" w:bidi="ar-SA"/>
                    </w:rPr>
                  </w:pPr>
                  <w:r>
                    <w:rPr>
                      <w:rFonts w:hint="eastAsia" w:ascii="Times New Roman" w:hAnsi="Times New Roman" w:eastAsia="宋体" w:cs="Times New Roman"/>
                      <w:color w:val="auto"/>
                      <w:kern w:val="44"/>
                      <w:sz w:val="21"/>
                      <w:szCs w:val="20"/>
                      <w:lang w:val="en-US" w:eastAsia="zh-CN" w:bidi="ar-SA"/>
                    </w:rPr>
                    <w:t>1</w:t>
                  </w:r>
                </w:p>
              </w:tc>
              <w:tc>
                <w:tcPr>
                  <w:tcW w:w="808" w:type="pct"/>
                  <w:tcBorders>
                    <w:top w:val="single" w:color="auto" w:sz="4" w:space="0"/>
                  </w:tcBorders>
                  <w:vAlign w:val="center"/>
                </w:tcPr>
                <w:p w14:paraId="396173D2">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新购，</w:t>
                  </w:r>
                  <w:r>
                    <w:rPr>
                      <w:rFonts w:hint="default" w:ascii="Times New Roman" w:hAnsi="Times New Roman" w:cs="Times New Roman"/>
                      <w:color w:val="auto"/>
                      <w:szCs w:val="21"/>
                    </w:rPr>
                    <w:t>汽运</w:t>
                  </w:r>
                </w:p>
              </w:tc>
            </w:tr>
            <w:tr w14:paraId="409E03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09" w:type="pct"/>
                  <w:vAlign w:val="center"/>
                </w:tcPr>
                <w:p w14:paraId="0AA21AF2">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color w:val="auto"/>
                      <w:kern w:val="2"/>
                      <w:sz w:val="21"/>
                      <w:szCs w:val="21"/>
                      <w:lang w:val="en-US" w:eastAsia="zh-CN" w:bidi="ar-SA"/>
                    </w:rPr>
                  </w:pPr>
                  <w:r>
                    <w:rPr>
                      <w:rFonts w:hint="eastAsia" w:ascii="Arial" w:hAnsi="Arial" w:eastAsia="宋体" w:cs="Arial"/>
                      <w:color w:val="auto"/>
                      <w:sz w:val="21"/>
                      <w:shd w:val="clear" w:color="auto" w:fill="FFFFFF"/>
                    </w:rPr>
                    <w:t>耐紫外光助</w:t>
                  </w:r>
                  <w:r>
                    <w:rPr>
                      <w:rFonts w:ascii="Arial" w:hAnsi="Arial" w:eastAsia="宋体" w:cs="Arial"/>
                      <w:color w:val="auto"/>
                      <w:sz w:val="21"/>
                      <w:shd w:val="clear" w:color="auto" w:fill="FFFFFF"/>
                    </w:rPr>
                    <w:t>剂</w:t>
                  </w:r>
                </w:p>
              </w:tc>
              <w:tc>
                <w:tcPr>
                  <w:tcW w:w="1330" w:type="pct"/>
                  <w:tcBorders>
                    <w:top w:val="single" w:color="auto" w:sz="4" w:space="0"/>
                  </w:tcBorders>
                  <w:vAlign w:val="center"/>
                </w:tcPr>
                <w:p w14:paraId="3D8C2C14">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color w:val="auto"/>
                      <w:kern w:val="2"/>
                      <w:sz w:val="21"/>
                      <w:szCs w:val="21"/>
                      <w:lang w:val="en-US" w:eastAsia="zh-CN" w:bidi="ar-SA"/>
                    </w:rPr>
                  </w:pPr>
                  <w:r>
                    <w:rPr>
                      <w:rFonts w:hint="eastAsia" w:ascii="宋体" w:hAnsi="宋体" w:eastAsia="宋体" w:cs="宋体"/>
                      <w:color w:val="auto"/>
                      <w:sz w:val="21"/>
                    </w:rPr>
                    <w:t>受阻胺化合物</w:t>
                  </w:r>
                </w:p>
              </w:tc>
              <w:tc>
                <w:tcPr>
                  <w:tcW w:w="709" w:type="pct"/>
                  <w:tcBorders>
                    <w:top w:val="single" w:color="auto" w:sz="4" w:space="0"/>
                  </w:tcBorders>
                  <w:vAlign w:val="center"/>
                </w:tcPr>
                <w:p w14:paraId="7C9DE39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shd w:val="clear" w:color="auto" w:fill="FFFFFF"/>
                      <w:lang w:val="en-US" w:eastAsia="zh-CN"/>
                    </w:rPr>
                    <w:t>3.3</w:t>
                  </w:r>
                </w:p>
              </w:tc>
              <w:tc>
                <w:tcPr>
                  <w:tcW w:w="630" w:type="pct"/>
                  <w:tcBorders>
                    <w:top w:val="single" w:color="auto" w:sz="4" w:space="0"/>
                  </w:tcBorders>
                  <w:vAlign w:val="center"/>
                </w:tcPr>
                <w:p w14:paraId="414E3C40">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44"/>
                      <w:sz w:val="21"/>
                      <w:szCs w:val="20"/>
                      <w:lang w:val="en-US" w:eastAsia="zh-CN" w:bidi="ar-SA"/>
                    </w:rPr>
                  </w:pPr>
                  <w:r>
                    <w:rPr>
                      <w:rFonts w:hint="eastAsia" w:cs="Times New Roman"/>
                      <w:color w:val="auto"/>
                      <w:kern w:val="44"/>
                      <w:sz w:val="21"/>
                      <w:szCs w:val="20"/>
                      <w:lang w:val="en-US" w:eastAsia="zh-CN" w:bidi="ar-SA"/>
                    </w:rPr>
                    <w:t>25kg/袋</w:t>
                  </w:r>
                </w:p>
              </w:tc>
              <w:tc>
                <w:tcPr>
                  <w:tcW w:w="811" w:type="pct"/>
                  <w:tcBorders>
                    <w:top w:val="single" w:color="auto" w:sz="4" w:space="0"/>
                  </w:tcBorders>
                  <w:vAlign w:val="center"/>
                </w:tcPr>
                <w:p w14:paraId="1562DB5B">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44"/>
                      <w:sz w:val="21"/>
                      <w:szCs w:val="20"/>
                      <w:lang w:val="en-US" w:eastAsia="zh-CN" w:bidi="ar-SA"/>
                    </w:rPr>
                  </w:pPr>
                  <w:r>
                    <w:rPr>
                      <w:rFonts w:hint="eastAsia" w:ascii="Times New Roman" w:hAnsi="Times New Roman" w:eastAsia="宋体" w:cs="Times New Roman"/>
                      <w:color w:val="auto"/>
                      <w:kern w:val="44"/>
                      <w:sz w:val="21"/>
                      <w:szCs w:val="20"/>
                      <w:lang w:val="en-US" w:eastAsia="zh-CN" w:bidi="ar-SA"/>
                    </w:rPr>
                    <w:t>1</w:t>
                  </w:r>
                </w:p>
              </w:tc>
              <w:tc>
                <w:tcPr>
                  <w:tcW w:w="808" w:type="pct"/>
                  <w:tcBorders>
                    <w:top w:val="single" w:color="auto" w:sz="4" w:space="0"/>
                  </w:tcBorders>
                  <w:vAlign w:val="center"/>
                </w:tcPr>
                <w:p w14:paraId="7D1E5821">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新购，</w:t>
                  </w:r>
                  <w:r>
                    <w:rPr>
                      <w:rFonts w:hint="default" w:ascii="Times New Roman" w:hAnsi="Times New Roman" w:cs="Times New Roman"/>
                      <w:color w:val="auto"/>
                      <w:szCs w:val="21"/>
                    </w:rPr>
                    <w:t>汽运</w:t>
                  </w:r>
                </w:p>
              </w:tc>
            </w:tr>
            <w:tr w14:paraId="2D2B43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09" w:type="pct"/>
                  <w:vAlign w:val="center"/>
                </w:tcPr>
                <w:p w14:paraId="59917AC5">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rPr>
                    <w:t>偶联</w:t>
                  </w:r>
                  <w:r>
                    <w:rPr>
                      <w:rFonts w:ascii="Times New Roman" w:hAnsi="Times New Roman" w:eastAsia="宋体"/>
                      <w:color w:val="auto"/>
                      <w:sz w:val="21"/>
                    </w:rPr>
                    <w:t>剂</w:t>
                  </w:r>
                </w:p>
              </w:tc>
              <w:tc>
                <w:tcPr>
                  <w:tcW w:w="1330" w:type="pct"/>
                  <w:tcBorders>
                    <w:top w:val="single" w:color="auto" w:sz="4" w:space="0"/>
                  </w:tcBorders>
                  <w:vAlign w:val="center"/>
                </w:tcPr>
                <w:p w14:paraId="2D4D4D2F">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color w:val="auto"/>
                      <w:sz w:val="21"/>
                      <w:szCs w:val="21"/>
                      <w:lang w:val="en-US" w:eastAsia="zh-CN"/>
                    </w:rPr>
                  </w:pPr>
                  <w:r>
                    <w:rPr>
                      <w:rFonts w:hint="eastAsia" w:ascii="宋体" w:hAnsi="宋体" w:eastAsia="宋体" w:cs="宋体"/>
                      <w:color w:val="auto"/>
                      <w:sz w:val="21"/>
                    </w:rPr>
                    <w:t>硅氧烷化合物</w:t>
                  </w:r>
                </w:p>
              </w:tc>
              <w:tc>
                <w:tcPr>
                  <w:tcW w:w="709" w:type="pct"/>
                  <w:tcBorders>
                    <w:top w:val="single" w:color="auto" w:sz="4" w:space="0"/>
                  </w:tcBorders>
                  <w:vAlign w:val="center"/>
                </w:tcPr>
                <w:p w14:paraId="391B1EF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shd w:val="clear" w:color="auto" w:fill="FFFFFF"/>
                      <w:lang w:val="en-US" w:eastAsia="zh-CN"/>
                    </w:rPr>
                    <w:t>3.3</w:t>
                  </w:r>
                </w:p>
              </w:tc>
              <w:tc>
                <w:tcPr>
                  <w:tcW w:w="630" w:type="pct"/>
                  <w:tcBorders>
                    <w:top w:val="single" w:color="auto" w:sz="4" w:space="0"/>
                  </w:tcBorders>
                  <w:vAlign w:val="center"/>
                </w:tcPr>
                <w:p w14:paraId="7459D3C0">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44"/>
                      <w:sz w:val="21"/>
                      <w:szCs w:val="20"/>
                      <w:lang w:val="en-US" w:eastAsia="zh-CN" w:bidi="ar-SA"/>
                    </w:rPr>
                  </w:pPr>
                  <w:r>
                    <w:rPr>
                      <w:rFonts w:hint="eastAsia" w:cs="Times New Roman"/>
                      <w:color w:val="auto"/>
                      <w:kern w:val="44"/>
                      <w:sz w:val="21"/>
                      <w:szCs w:val="20"/>
                      <w:lang w:val="en-US" w:eastAsia="zh-CN" w:bidi="ar-SA"/>
                    </w:rPr>
                    <w:t>25kg/袋</w:t>
                  </w:r>
                </w:p>
              </w:tc>
              <w:tc>
                <w:tcPr>
                  <w:tcW w:w="811" w:type="pct"/>
                  <w:tcBorders>
                    <w:top w:val="single" w:color="auto" w:sz="4" w:space="0"/>
                  </w:tcBorders>
                  <w:vAlign w:val="center"/>
                </w:tcPr>
                <w:p w14:paraId="6F38BECE">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44"/>
                      <w:sz w:val="21"/>
                      <w:szCs w:val="20"/>
                      <w:lang w:val="en-US" w:eastAsia="zh-CN" w:bidi="ar-SA"/>
                    </w:rPr>
                  </w:pPr>
                  <w:r>
                    <w:rPr>
                      <w:rFonts w:hint="eastAsia" w:ascii="Times New Roman" w:hAnsi="Times New Roman" w:eastAsia="宋体" w:cs="Times New Roman"/>
                      <w:color w:val="auto"/>
                      <w:kern w:val="44"/>
                      <w:sz w:val="21"/>
                      <w:szCs w:val="20"/>
                      <w:lang w:val="en-US" w:eastAsia="zh-CN" w:bidi="ar-SA"/>
                    </w:rPr>
                    <w:t>1</w:t>
                  </w:r>
                </w:p>
              </w:tc>
              <w:tc>
                <w:tcPr>
                  <w:tcW w:w="808" w:type="pct"/>
                  <w:tcBorders>
                    <w:top w:val="single" w:color="auto" w:sz="4" w:space="0"/>
                  </w:tcBorders>
                  <w:vAlign w:val="center"/>
                </w:tcPr>
                <w:p w14:paraId="0C54E1AA">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eastAsia" w:eastAsia="宋体"/>
                      <w:color w:val="auto"/>
                      <w:sz w:val="21"/>
                      <w:szCs w:val="21"/>
                      <w:lang w:val="en-US" w:eastAsia="zh-CN"/>
                    </w:rPr>
                  </w:pPr>
                  <w:r>
                    <w:rPr>
                      <w:rFonts w:hint="eastAsia" w:cs="Times New Roman"/>
                      <w:color w:val="auto"/>
                      <w:szCs w:val="21"/>
                      <w:lang w:val="en-US" w:eastAsia="zh-CN"/>
                    </w:rPr>
                    <w:t>新购，</w:t>
                  </w:r>
                  <w:r>
                    <w:rPr>
                      <w:rFonts w:hint="default" w:ascii="Times New Roman" w:hAnsi="Times New Roman" w:cs="Times New Roman"/>
                      <w:color w:val="auto"/>
                      <w:szCs w:val="21"/>
                    </w:rPr>
                    <w:t>汽运</w:t>
                  </w:r>
                </w:p>
              </w:tc>
            </w:tr>
            <w:tr w14:paraId="6B0214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09" w:type="pct"/>
                  <w:vAlign w:val="center"/>
                </w:tcPr>
                <w:p w14:paraId="4328C6E3">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olor w:val="auto"/>
                      <w:sz w:val="21"/>
                    </w:rPr>
                    <w:t>机油</w:t>
                  </w:r>
                </w:p>
              </w:tc>
              <w:tc>
                <w:tcPr>
                  <w:tcW w:w="1330" w:type="pct"/>
                  <w:tcBorders>
                    <w:top w:val="single" w:color="auto" w:sz="4" w:space="0"/>
                    <w:bottom w:val="single" w:color="auto" w:sz="4" w:space="0"/>
                  </w:tcBorders>
                  <w:vAlign w:val="center"/>
                </w:tcPr>
                <w:p w14:paraId="33A4EAF8">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eastAsia" w:ascii="宋体" w:hAnsi="宋体" w:eastAsia="宋体" w:cs="宋体"/>
                      <w:color w:val="auto"/>
                      <w:sz w:val="21"/>
                    </w:rPr>
                    <w:t>合成矿物油</w:t>
                  </w:r>
                </w:p>
              </w:tc>
              <w:tc>
                <w:tcPr>
                  <w:tcW w:w="709" w:type="pct"/>
                  <w:tcBorders>
                    <w:top w:val="single" w:color="auto" w:sz="4" w:space="0"/>
                    <w:bottom w:val="single" w:color="auto" w:sz="4" w:space="0"/>
                  </w:tcBorders>
                  <w:vAlign w:val="center"/>
                </w:tcPr>
                <w:p w14:paraId="0C4CAE84">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shd w:val="clear" w:color="auto" w:fill="FFFFFF"/>
                      <w:lang w:val="en-US" w:eastAsia="zh-CN"/>
                    </w:rPr>
                    <w:t>0.2</w:t>
                  </w:r>
                </w:p>
              </w:tc>
              <w:tc>
                <w:tcPr>
                  <w:tcW w:w="630" w:type="pct"/>
                  <w:tcBorders>
                    <w:top w:val="single" w:color="auto" w:sz="4" w:space="0"/>
                    <w:bottom w:val="single" w:color="auto" w:sz="4" w:space="0"/>
                  </w:tcBorders>
                  <w:vAlign w:val="center"/>
                </w:tcPr>
                <w:p w14:paraId="0E7BAF2F">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44"/>
                      <w:sz w:val="21"/>
                      <w:szCs w:val="20"/>
                      <w:lang w:val="en-US" w:eastAsia="zh-CN" w:bidi="ar-SA"/>
                    </w:rPr>
                  </w:pPr>
                  <w:r>
                    <w:rPr>
                      <w:rFonts w:hint="eastAsia" w:cs="Times New Roman"/>
                      <w:color w:val="auto"/>
                      <w:kern w:val="44"/>
                      <w:sz w:val="21"/>
                      <w:szCs w:val="20"/>
                      <w:lang w:val="en-US" w:eastAsia="zh-CN" w:bidi="ar-SA"/>
                    </w:rPr>
                    <w:t>200kg/桶</w:t>
                  </w:r>
                </w:p>
              </w:tc>
              <w:tc>
                <w:tcPr>
                  <w:tcW w:w="811" w:type="pct"/>
                  <w:tcBorders>
                    <w:top w:val="single" w:color="auto" w:sz="4" w:space="0"/>
                    <w:bottom w:val="single" w:color="auto" w:sz="4" w:space="0"/>
                  </w:tcBorders>
                  <w:vAlign w:val="center"/>
                </w:tcPr>
                <w:p w14:paraId="5C3EA7D7">
                  <w:pPr>
                    <w:pStyle w:val="25"/>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44"/>
                      <w:sz w:val="21"/>
                      <w:szCs w:val="20"/>
                      <w:lang w:val="en-US" w:eastAsia="zh-CN" w:bidi="ar-SA"/>
                    </w:rPr>
                  </w:pPr>
                  <w:r>
                    <w:rPr>
                      <w:rFonts w:hint="eastAsia" w:ascii="Times New Roman" w:hAnsi="Times New Roman" w:eastAsia="宋体" w:cs="Times New Roman"/>
                      <w:color w:val="auto"/>
                      <w:kern w:val="44"/>
                      <w:sz w:val="21"/>
                      <w:szCs w:val="20"/>
                      <w:lang w:val="en-US" w:eastAsia="zh-CN" w:bidi="ar-SA"/>
                    </w:rPr>
                    <w:t>0.</w:t>
                  </w:r>
                  <w:r>
                    <w:rPr>
                      <w:rFonts w:hint="eastAsia" w:ascii="Times New Roman" w:hAnsi="Times New Roman" w:cs="Times New Roman"/>
                      <w:color w:val="auto"/>
                      <w:kern w:val="44"/>
                      <w:sz w:val="21"/>
                      <w:szCs w:val="20"/>
                      <w:lang w:val="en-US" w:eastAsia="zh-CN" w:bidi="ar-SA"/>
                    </w:rPr>
                    <w:t>2</w:t>
                  </w:r>
                </w:p>
              </w:tc>
              <w:tc>
                <w:tcPr>
                  <w:tcW w:w="808" w:type="pct"/>
                  <w:tcBorders>
                    <w:top w:val="single" w:color="auto" w:sz="4" w:space="0"/>
                    <w:bottom w:val="single" w:color="auto" w:sz="4" w:space="0"/>
                  </w:tcBorders>
                  <w:vAlign w:val="center"/>
                </w:tcPr>
                <w:p w14:paraId="366114ED">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新购，</w:t>
                  </w:r>
                  <w:r>
                    <w:rPr>
                      <w:rFonts w:hint="default" w:ascii="Times New Roman" w:hAnsi="Times New Roman" w:cs="Times New Roman"/>
                      <w:color w:val="auto"/>
                      <w:szCs w:val="21"/>
                    </w:rPr>
                    <w:t>汽运</w:t>
                  </w:r>
                </w:p>
              </w:tc>
            </w:tr>
            <w:tr w14:paraId="0C0730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09" w:type="pct"/>
                  <w:vAlign w:val="center"/>
                </w:tcPr>
                <w:p w14:paraId="743342F9">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olor w:val="auto"/>
                      <w:sz w:val="21"/>
                    </w:rPr>
                  </w:pPr>
                  <w:r>
                    <w:rPr>
                      <w:rFonts w:ascii="Times New Roman" w:hAnsi="Times New Roman" w:eastAsia="宋体"/>
                      <w:color w:val="auto"/>
                      <w:sz w:val="21"/>
                    </w:rPr>
                    <w:t>包装材料</w:t>
                  </w:r>
                </w:p>
              </w:tc>
              <w:tc>
                <w:tcPr>
                  <w:tcW w:w="1330" w:type="pct"/>
                  <w:tcBorders>
                    <w:top w:val="single" w:color="auto" w:sz="4" w:space="0"/>
                  </w:tcBorders>
                  <w:vAlign w:val="center"/>
                </w:tcPr>
                <w:p w14:paraId="0C72222C">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cs="Times New Roman"/>
                      <w:color w:val="auto"/>
                      <w:kern w:val="2"/>
                      <w:sz w:val="21"/>
                      <w:szCs w:val="21"/>
                      <w:lang w:val="en-US" w:eastAsia="zh-CN" w:bidi="ar-SA"/>
                    </w:rPr>
                  </w:pPr>
                  <w:r>
                    <w:rPr>
                      <w:rFonts w:hint="eastAsia" w:ascii="宋体" w:hAnsi="宋体" w:eastAsia="宋体" w:cs="宋体"/>
                      <w:color w:val="auto"/>
                      <w:sz w:val="21"/>
                    </w:rPr>
                    <w:t>塑料</w:t>
                  </w:r>
                </w:p>
              </w:tc>
              <w:tc>
                <w:tcPr>
                  <w:tcW w:w="709" w:type="pct"/>
                  <w:tcBorders>
                    <w:top w:val="single" w:color="auto" w:sz="4" w:space="0"/>
                  </w:tcBorders>
                  <w:vAlign w:val="center"/>
                </w:tcPr>
                <w:p w14:paraId="49F4D4A9">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cs="Times New Roman"/>
                      <w:color w:val="auto"/>
                      <w:sz w:val="21"/>
                      <w:szCs w:val="21"/>
                      <w:lang w:val="en-US" w:eastAsia="zh-CN"/>
                    </w:rPr>
                  </w:pPr>
                  <w:r>
                    <w:rPr>
                      <w:rFonts w:hint="eastAsia" w:ascii="Times New Roman" w:hAnsi="Times New Roman" w:eastAsia="宋体" w:cs="Times New Roman"/>
                      <w:color w:val="auto"/>
                      <w:sz w:val="21"/>
                      <w:szCs w:val="21"/>
                      <w:shd w:val="clear" w:color="auto" w:fill="FFFFFF"/>
                      <w:lang w:val="en-US" w:eastAsia="zh-CN"/>
                    </w:rPr>
                    <w:t>1</w:t>
                  </w:r>
                </w:p>
              </w:tc>
              <w:tc>
                <w:tcPr>
                  <w:tcW w:w="630" w:type="pct"/>
                  <w:tcBorders>
                    <w:top w:val="single" w:color="auto" w:sz="4" w:space="0"/>
                  </w:tcBorders>
                  <w:vAlign w:val="center"/>
                </w:tcPr>
                <w:p w14:paraId="17A9EF39">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44"/>
                      <w:sz w:val="21"/>
                      <w:szCs w:val="20"/>
                      <w:lang w:val="en-US" w:eastAsia="zh-CN" w:bidi="ar-SA"/>
                    </w:rPr>
                  </w:pPr>
                  <w:r>
                    <w:rPr>
                      <w:rFonts w:hint="eastAsia" w:cs="Times New Roman"/>
                      <w:color w:val="auto"/>
                      <w:kern w:val="44"/>
                      <w:sz w:val="21"/>
                      <w:szCs w:val="20"/>
                      <w:lang w:val="en-US" w:eastAsia="zh-CN" w:bidi="ar-SA"/>
                    </w:rPr>
                    <w:t>箱装</w:t>
                  </w:r>
                </w:p>
              </w:tc>
              <w:tc>
                <w:tcPr>
                  <w:tcW w:w="811" w:type="pct"/>
                  <w:tcBorders>
                    <w:top w:val="single" w:color="auto" w:sz="4" w:space="0"/>
                  </w:tcBorders>
                  <w:vAlign w:val="center"/>
                </w:tcPr>
                <w:p w14:paraId="777BC64D">
                  <w:pPr>
                    <w:pStyle w:val="25"/>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44"/>
                      <w:sz w:val="21"/>
                      <w:szCs w:val="20"/>
                      <w:lang w:val="en-US" w:eastAsia="zh-CN" w:bidi="ar-SA"/>
                    </w:rPr>
                  </w:pPr>
                  <w:r>
                    <w:rPr>
                      <w:rFonts w:hint="eastAsia" w:ascii="Times New Roman" w:hAnsi="Times New Roman" w:eastAsia="宋体" w:cs="Times New Roman"/>
                      <w:color w:val="auto"/>
                      <w:kern w:val="44"/>
                      <w:sz w:val="21"/>
                      <w:szCs w:val="20"/>
                      <w:lang w:val="en-US" w:eastAsia="zh-CN" w:bidi="ar-SA"/>
                    </w:rPr>
                    <w:t>1</w:t>
                  </w:r>
                </w:p>
              </w:tc>
              <w:tc>
                <w:tcPr>
                  <w:tcW w:w="808" w:type="pct"/>
                  <w:tcBorders>
                    <w:top w:val="single" w:color="auto" w:sz="4" w:space="0"/>
                  </w:tcBorders>
                  <w:vAlign w:val="center"/>
                </w:tcPr>
                <w:p w14:paraId="7B35E664">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color w:val="auto"/>
                      <w:szCs w:val="21"/>
                    </w:rPr>
                  </w:pPr>
                  <w:r>
                    <w:rPr>
                      <w:rFonts w:hint="eastAsia" w:cs="Times New Roman"/>
                      <w:color w:val="auto"/>
                      <w:szCs w:val="21"/>
                      <w:lang w:val="en-US" w:eastAsia="zh-CN"/>
                    </w:rPr>
                    <w:t>新购，</w:t>
                  </w:r>
                  <w:r>
                    <w:rPr>
                      <w:rFonts w:hint="default" w:ascii="Times New Roman" w:hAnsi="Times New Roman" w:cs="Times New Roman"/>
                      <w:color w:val="auto"/>
                      <w:szCs w:val="21"/>
                    </w:rPr>
                    <w:t>汽运</w:t>
                  </w:r>
                </w:p>
              </w:tc>
            </w:tr>
          </w:tbl>
          <w:p w14:paraId="630445F1">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注：项目不使用回用塑料。</w:t>
            </w:r>
          </w:p>
          <w:p w14:paraId="5E92E33D">
            <w:pPr>
              <w:adjustRightInd w:val="0"/>
              <w:snapToGrid w:val="0"/>
              <w:spacing w:line="500" w:lineRule="exact"/>
              <w:jc w:val="center"/>
              <w:rPr>
                <w:rFonts w:hint="default" w:ascii="Times New Roman" w:hAnsi="Times New Roman" w:cs="Times New Roman" w:eastAsiaTheme="minorEastAsia"/>
                <w:b/>
                <w:bCs/>
                <w:color w:val="auto"/>
                <w:sz w:val="21"/>
                <w:szCs w:val="21"/>
                <w:highlight w:val="none"/>
                <w:lang w:eastAsia="zh-CN"/>
              </w:rPr>
            </w:pPr>
            <w:r>
              <w:rPr>
                <w:rFonts w:hint="default" w:ascii="Times New Roman" w:hAnsi="Times New Roman" w:cs="Times New Roman" w:eastAsiaTheme="minorEastAsia"/>
                <w:b/>
                <w:bCs/>
                <w:color w:val="auto"/>
                <w:sz w:val="21"/>
                <w:szCs w:val="21"/>
                <w:highlight w:val="none"/>
              </w:rPr>
              <w:t>表2-</w:t>
            </w:r>
            <w:r>
              <w:rPr>
                <w:rFonts w:hint="eastAsia" w:cs="Times New Roman" w:eastAsiaTheme="minorEastAsia"/>
                <w:b/>
                <w:bCs/>
                <w:color w:val="auto"/>
                <w:sz w:val="21"/>
                <w:szCs w:val="21"/>
                <w:highlight w:val="none"/>
                <w:lang w:val="en-US" w:eastAsia="zh-CN"/>
              </w:rPr>
              <w:t>4</w:t>
            </w:r>
            <w:r>
              <w:rPr>
                <w:rFonts w:hint="default" w:ascii="Times New Roman" w:hAnsi="Times New Roman" w:cs="Times New Roman" w:eastAsiaTheme="minorEastAsia"/>
                <w:b/>
                <w:bCs/>
                <w:color w:val="auto"/>
                <w:sz w:val="21"/>
                <w:szCs w:val="21"/>
                <w:highlight w:val="none"/>
              </w:rPr>
              <w:t>本项目</w:t>
            </w:r>
            <w:r>
              <w:rPr>
                <w:rFonts w:hint="eastAsia"/>
                <w:b/>
                <w:bCs/>
                <w:color w:val="auto"/>
                <w:sz w:val="21"/>
                <w:szCs w:val="21"/>
                <w:lang w:val="en-US" w:eastAsia="zh-CN"/>
              </w:rPr>
              <w:t>建成后全厂</w:t>
            </w:r>
            <w:r>
              <w:rPr>
                <w:b/>
                <w:bCs/>
                <w:color w:val="auto"/>
                <w:sz w:val="21"/>
                <w:szCs w:val="21"/>
              </w:rPr>
              <w:t>主要原辅材料一览表</w:t>
            </w:r>
          </w:p>
          <w:tbl>
            <w:tblPr>
              <w:tblStyle w:val="31"/>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1326"/>
              <w:gridCol w:w="1324"/>
              <w:gridCol w:w="1575"/>
              <w:gridCol w:w="2483"/>
              <w:gridCol w:w="1104"/>
              <w:gridCol w:w="1054"/>
              <w:gridCol w:w="1155"/>
              <w:gridCol w:w="1667"/>
              <w:gridCol w:w="1514"/>
            </w:tblGrid>
            <w:tr w14:paraId="6312E4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02" w:type="pct"/>
                  <w:vMerge w:val="restart"/>
                  <w:vAlign w:val="center"/>
                </w:tcPr>
                <w:p w14:paraId="05C06A99">
                  <w:pPr>
                    <w:adjustRightInd w:val="0"/>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项目名称</w:t>
                  </w:r>
                </w:p>
              </w:tc>
              <w:tc>
                <w:tcPr>
                  <w:tcW w:w="501" w:type="pct"/>
                  <w:vMerge w:val="restart"/>
                  <w:vAlign w:val="center"/>
                </w:tcPr>
                <w:p w14:paraId="38CEF6EB">
                  <w:pPr>
                    <w:adjustRightInd w:val="0"/>
                    <w:snapToGrid w:val="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项目产品</w:t>
                  </w:r>
                </w:p>
              </w:tc>
              <w:tc>
                <w:tcPr>
                  <w:tcW w:w="596" w:type="pct"/>
                  <w:vMerge w:val="restart"/>
                  <w:vAlign w:val="center"/>
                </w:tcPr>
                <w:p w14:paraId="37476080">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cs="Times New Roman"/>
                      <w:b/>
                      <w:bCs/>
                      <w:color w:val="auto"/>
                      <w:sz w:val="21"/>
                      <w:szCs w:val="21"/>
                      <w:lang w:val="en-US" w:eastAsia="zh-CN"/>
                    </w:rPr>
                    <w:t>原料</w:t>
                  </w:r>
                  <w:r>
                    <w:rPr>
                      <w:rFonts w:hint="default" w:ascii="Times New Roman" w:hAnsi="Times New Roman" w:eastAsia="宋体" w:cs="Times New Roman"/>
                      <w:b/>
                      <w:bCs/>
                      <w:color w:val="auto"/>
                      <w:sz w:val="21"/>
                      <w:szCs w:val="21"/>
                    </w:rPr>
                    <w:t>名称</w:t>
                  </w:r>
                </w:p>
              </w:tc>
              <w:tc>
                <w:tcPr>
                  <w:tcW w:w="940" w:type="pct"/>
                  <w:vMerge w:val="restart"/>
                  <w:vAlign w:val="center"/>
                </w:tcPr>
                <w:p w14:paraId="10E920D0">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cs="Times New Roman"/>
                      <w:b/>
                      <w:bCs/>
                      <w:color w:val="auto"/>
                      <w:szCs w:val="21"/>
                    </w:rPr>
                    <w:t>规格、成分</w:t>
                  </w:r>
                </w:p>
              </w:tc>
              <w:tc>
                <w:tcPr>
                  <w:tcW w:w="1254" w:type="pct"/>
                  <w:gridSpan w:val="3"/>
                  <w:tcBorders>
                    <w:bottom w:val="single" w:color="auto" w:sz="4" w:space="0"/>
                  </w:tcBorders>
                  <w:vAlign w:val="center"/>
                </w:tcPr>
                <w:p w14:paraId="6E817D6C">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消耗量（</w:t>
                  </w:r>
                  <w:r>
                    <w:rPr>
                      <w:rFonts w:hint="default" w:ascii="Times New Roman" w:hAnsi="Times New Roman" w:cs="Times New Roman"/>
                      <w:b/>
                      <w:bCs/>
                      <w:color w:val="auto"/>
                      <w:sz w:val="21"/>
                      <w:szCs w:val="21"/>
                      <w:lang w:val="en-US" w:eastAsia="zh-CN"/>
                    </w:rPr>
                    <w:t>t</w:t>
                  </w:r>
                  <w:r>
                    <w:rPr>
                      <w:rFonts w:hint="default" w:ascii="Times New Roman" w:hAnsi="Times New Roman" w:eastAsia="宋体" w:cs="Times New Roman"/>
                      <w:b/>
                      <w:bCs/>
                      <w:color w:val="auto"/>
                      <w:sz w:val="21"/>
                      <w:szCs w:val="21"/>
                    </w:rPr>
                    <w:t>/a）</w:t>
                  </w:r>
                </w:p>
              </w:tc>
              <w:tc>
                <w:tcPr>
                  <w:tcW w:w="631" w:type="pct"/>
                  <w:vMerge w:val="restart"/>
                  <w:vAlign w:val="center"/>
                </w:tcPr>
                <w:p w14:paraId="32D976F6">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b/>
                      <w:bCs/>
                      <w:color w:val="auto"/>
                      <w:sz w:val="21"/>
                      <w:szCs w:val="21"/>
                    </w:rPr>
                  </w:pPr>
                  <w:r>
                    <w:rPr>
                      <w:rFonts w:hint="default" w:ascii="Times New Roman" w:hAnsi="Times New Roman" w:cs="Times New Roman"/>
                      <w:b/>
                      <w:bCs/>
                      <w:color w:val="auto"/>
                      <w:szCs w:val="21"/>
                    </w:rPr>
                    <w:t>最</w:t>
                  </w:r>
                  <w:r>
                    <w:rPr>
                      <w:rFonts w:hint="default" w:ascii="Times New Roman" w:hAnsi="Times New Roman" w:eastAsia="宋体" w:cs="Times New Roman"/>
                      <w:b/>
                      <w:bCs/>
                      <w:color w:val="auto"/>
                      <w:szCs w:val="21"/>
                    </w:rPr>
                    <w:t>大储存量</w:t>
                  </w:r>
                  <w:r>
                    <w:rPr>
                      <w:rFonts w:hint="default" w:ascii="Times New Roman" w:hAnsi="Times New Roman" w:eastAsia="宋体" w:cs="Times New Roman"/>
                      <w:b/>
                      <w:bCs/>
                      <w:color w:val="auto"/>
                      <w:sz w:val="21"/>
                      <w:szCs w:val="21"/>
                    </w:rPr>
                    <w:t>（</w:t>
                  </w:r>
                  <w:r>
                    <w:rPr>
                      <w:rFonts w:hint="default" w:ascii="Times New Roman" w:hAnsi="Times New Roman" w:cs="Times New Roman"/>
                      <w:b/>
                      <w:bCs/>
                      <w:color w:val="auto"/>
                      <w:sz w:val="21"/>
                      <w:szCs w:val="21"/>
                      <w:lang w:val="en-US" w:eastAsia="zh-CN"/>
                    </w:rPr>
                    <w:t>t</w:t>
                  </w:r>
                  <w:r>
                    <w:rPr>
                      <w:rFonts w:hint="default" w:ascii="Times New Roman" w:hAnsi="Times New Roman" w:eastAsia="宋体" w:cs="Times New Roman"/>
                      <w:b/>
                      <w:bCs/>
                      <w:color w:val="auto"/>
                      <w:sz w:val="21"/>
                      <w:szCs w:val="21"/>
                    </w:rPr>
                    <w:t>）</w:t>
                  </w:r>
                </w:p>
              </w:tc>
              <w:tc>
                <w:tcPr>
                  <w:tcW w:w="573" w:type="pct"/>
                  <w:vMerge w:val="restart"/>
                  <w:vAlign w:val="center"/>
                </w:tcPr>
                <w:p w14:paraId="6AF40AEB">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b/>
                      <w:bCs/>
                      <w:color w:val="auto"/>
                      <w:sz w:val="21"/>
                      <w:szCs w:val="21"/>
                    </w:rPr>
                  </w:pPr>
                  <w:r>
                    <w:rPr>
                      <w:rFonts w:hint="default" w:ascii="Times New Roman" w:hAnsi="Times New Roman" w:cs="Times New Roman"/>
                      <w:b/>
                      <w:bCs/>
                      <w:color w:val="auto"/>
                      <w:szCs w:val="21"/>
                    </w:rPr>
                    <w:t>来源及运输方式</w:t>
                  </w:r>
                </w:p>
              </w:tc>
            </w:tr>
            <w:tr w14:paraId="41D08D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02" w:type="pct"/>
                  <w:vMerge w:val="continue"/>
                  <w:vAlign w:val="center"/>
                </w:tcPr>
                <w:p w14:paraId="2746EE9A">
                  <w:pPr>
                    <w:adjustRightInd w:val="0"/>
                    <w:snapToGrid w:val="0"/>
                    <w:jc w:val="center"/>
                    <w:rPr>
                      <w:rFonts w:hint="default" w:ascii="Times New Roman" w:hAnsi="Times New Roman" w:eastAsia="宋体" w:cs="Times New Roman"/>
                      <w:b/>
                      <w:bCs/>
                      <w:color w:val="auto"/>
                      <w:sz w:val="21"/>
                      <w:szCs w:val="21"/>
                    </w:rPr>
                  </w:pPr>
                </w:p>
              </w:tc>
              <w:tc>
                <w:tcPr>
                  <w:tcW w:w="501" w:type="pct"/>
                  <w:vMerge w:val="continue"/>
                  <w:vAlign w:val="center"/>
                </w:tcPr>
                <w:p w14:paraId="7DCB6EBD">
                  <w:pPr>
                    <w:adjustRightInd w:val="0"/>
                    <w:snapToGrid w:val="0"/>
                    <w:jc w:val="center"/>
                    <w:rPr>
                      <w:rFonts w:hint="default" w:ascii="Times New Roman" w:hAnsi="Times New Roman" w:eastAsia="宋体" w:cs="Times New Roman"/>
                      <w:b/>
                      <w:bCs/>
                      <w:color w:val="auto"/>
                      <w:sz w:val="21"/>
                      <w:szCs w:val="21"/>
                    </w:rPr>
                  </w:pPr>
                </w:p>
              </w:tc>
              <w:tc>
                <w:tcPr>
                  <w:tcW w:w="596" w:type="pct"/>
                  <w:vMerge w:val="continue"/>
                  <w:vAlign w:val="center"/>
                </w:tcPr>
                <w:p w14:paraId="0E28E47E">
                  <w:pPr>
                    <w:adjustRightInd w:val="0"/>
                    <w:snapToGrid w:val="0"/>
                    <w:jc w:val="center"/>
                    <w:rPr>
                      <w:rFonts w:hint="default" w:ascii="Times New Roman" w:hAnsi="Times New Roman" w:eastAsia="宋体" w:cs="Times New Roman"/>
                      <w:b/>
                      <w:bCs/>
                      <w:color w:val="auto"/>
                      <w:sz w:val="21"/>
                      <w:szCs w:val="21"/>
                    </w:rPr>
                  </w:pPr>
                </w:p>
              </w:tc>
              <w:tc>
                <w:tcPr>
                  <w:tcW w:w="940" w:type="pct"/>
                  <w:vMerge w:val="continue"/>
                  <w:tcBorders>
                    <w:bottom w:val="single" w:color="auto" w:sz="4" w:space="0"/>
                  </w:tcBorders>
                  <w:vAlign w:val="center"/>
                </w:tcPr>
                <w:p w14:paraId="2B3BA4A3">
                  <w:pPr>
                    <w:adjustRightInd w:val="0"/>
                    <w:snapToGrid w:val="0"/>
                    <w:jc w:val="center"/>
                    <w:rPr>
                      <w:rFonts w:hint="default" w:ascii="Times New Roman" w:hAnsi="Times New Roman" w:eastAsia="宋体" w:cs="Times New Roman"/>
                      <w:b/>
                      <w:bCs/>
                      <w:color w:val="auto"/>
                      <w:sz w:val="21"/>
                      <w:szCs w:val="21"/>
                    </w:rPr>
                  </w:pPr>
                </w:p>
              </w:tc>
              <w:tc>
                <w:tcPr>
                  <w:tcW w:w="418" w:type="pct"/>
                  <w:tcBorders>
                    <w:top w:val="single" w:color="auto" w:sz="4" w:space="0"/>
                    <w:bottom w:val="single" w:color="auto" w:sz="4" w:space="0"/>
                    <w:right w:val="single" w:color="auto" w:sz="4" w:space="0"/>
                  </w:tcBorders>
                  <w:vAlign w:val="center"/>
                </w:tcPr>
                <w:p w14:paraId="23CB201C">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cs="Times New Roman"/>
                      <w:b/>
                      <w:bCs/>
                      <w:color w:val="auto"/>
                      <w:sz w:val="21"/>
                      <w:szCs w:val="21"/>
                      <w:lang w:eastAsia="zh-CN"/>
                    </w:rPr>
                    <w:t>改</w:t>
                  </w:r>
                  <w:r>
                    <w:rPr>
                      <w:rFonts w:hint="default" w:ascii="Times New Roman" w:hAnsi="Times New Roman" w:eastAsia="宋体" w:cs="Times New Roman"/>
                      <w:b/>
                      <w:bCs/>
                      <w:color w:val="auto"/>
                      <w:sz w:val="21"/>
                      <w:szCs w:val="21"/>
                    </w:rPr>
                    <w:t>扩建前</w:t>
                  </w:r>
                </w:p>
              </w:tc>
              <w:tc>
                <w:tcPr>
                  <w:tcW w:w="399" w:type="pct"/>
                  <w:tcBorders>
                    <w:top w:val="single" w:color="auto" w:sz="4" w:space="0"/>
                    <w:bottom w:val="single" w:color="auto" w:sz="4" w:space="0"/>
                    <w:right w:val="single" w:color="auto" w:sz="4" w:space="0"/>
                  </w:tcBorders>
                  <w:vAlign w:val="center"/>
                </w:tcPr>
                <w:p w14:paraId="2EB59049">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cs="Times New Roman"/>
                      <w:b/>
                      <w:bCs/>
                      <w:color w:val="auto"/>
                      <w:sz w:val="21"/>
                      <w:szCs w:val="21"/>
                      <w:lang w:eastAsia="zh-CN"/>
                    </w:rPr>
                    <w:t>改</w:t>
                  </w:r>
                  <w:r>
                    <w:rPr>
                      <w:rFonts w:hint="default" w:ascii="Times New Roman" w:hAnsi="Times New Roman" w:eastAsia="宋体" w:cs="Times New Roman"/>
                      <w:b/>
                      <w:bCs/>
                      <w:color w:val="auto"/>
                      <w:sz w:val="21"/>
                      <w:szCs w:val="21"/>
                    </w:rPr>
                    <w:t>扩建后</w:t>
                  </w:r>
                </w:p>
              </w:tc>
              <w:tc>
                <w:tcPr>
                  <w:tcW w:w="436" w:type="pct"/>
                  <w:tcBorders>
                    <w:top w:val="single" w:color="auto" w:sz="4" w:space="0"/>
                    <w:bottom w:val="single" w:color="auto" w:sz="4" w:space="0"/>
                    <w:right w:val="single" w:color="auto" w:sz="4" w:space="0"/>
                  </w:tcBorders>
                  <w:vAlign w:val="center"/>
                </w:tcPr>
                <w:p w14:paraId="360F8C47">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变化量</w:t>
                  </w:r>
                </w:p>
              </w:tc>
              <w:tc>
                <w:tcPr>
                  <w:tcW w:w="631" w:type="pct"/>
                  <w:vMerge w:val="continue"/>
                  <w:tcBorders>
                    <w:bottom w:val="single" w:color="auto" w:sz="4" w:space="0"/>
                  </w:tcBorders>
                  <w:vAlign w:val="center"/>
                </w:tcPr>
                <w:p w14:paraId="76D3ED35">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b/>
                      <w:bCs/>
                      <w:color w:val="auto"/>
                      <w:sz w:val="21"/>
                      <w:szCs w:val="21"/>
                    </w:rPr>
                  </w:pPr>
                </w:p>
              </w:tc>
              <w:tc>
                <w:tcPr>
                  <w:tcW w:w="573" w:type="pct"/>
                  <w:vMerge w:val="continue"/>
                  <w:tcBorders>
                    <w:bottom w:val="single" w:color="auto" w:sz="4" w:space="0"/>
                  </w:tcBorders>
                  <w:vAlign w:val="center"/>
                </w:tcPr>
                <w:p w14:paraId="025B93B9">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b/>
                      <w:bCs/>
                      <w:color w:val="auto"/>
                      <w:sz w:val="21"/>
                      <w:szCs w:val="21"/>
                    </w:rPr>
                  </w:pPr>
                </w:p>
              </w:tc>
            </w:tr>
            <w:tr w14:paraId="70EBCF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02" w:type="pct"/>
                  <w:vMerge w:val="restart"/>
                  <w:vAlign w:val="center"/>
                </w:tcPr>
                <w:p w14:paraId="1E9FB23F">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新型太阳能封装材料扩产项目</w:t>
                  </w:r>
                </w:p>
              </w:tc>
              <w:tc>
                <w:tcPr>
                  <w:tcW w:w="501" w:type="pct"/>
                  <w:vMerge w:val="restart"/>
                  <w:vAlign w:val="center"/>
                </w:tcPr>
                <w:p w14:paraId="0DC40B78">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EVA胶膜（</w:t>
                  </w:r>
                  <w:r>
                    <w:rPr>
                      <w:rFonts w:hint="eastAsia" w:ascii="Times New Roman" w:hAnsi="Times New Roman" w:eastAsia="宋体" w:cs="Times New Roman"/>
                      <w:color w:val="auto"/>
                      <w:sz w:val="21"/>
                      <w:szCs w:val="21"/>
                      <w:lang w:val="en-US" w:eastAsia="zh-CN"/>
                    </w:rPr>
                    <w:t>95</w:t>
                  </w:r>
                  <w:r>
                    <w:rPr>
                      <w:rFonts w:hint="default" w:ascii="Times New Roman" w:hAnsi="Times New Roman" w:eastAsia="宋体" w:cs="Times New Roman"/>
                      <w:color w:val="auto"/>
                      <w:sz w:val="21"/>
                      <w:szCs w:val="21"/>
                      <w:lang w:val="en-US" w:eastAsia="zh-CN"/>
                    </w:rPr>
                    <w:t>00万m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vertAlign w:val="baseline"/>
                      <w:lang w:val="en-US" w:eastAsia="zh-CN"/>
                    </w:rPr>
                    <w:t>/a</w:t>
                  </w:r>
                  <w:r>
                    <w:rPr>
                      <w:rFonts w:hint="default" w:ascii="Times New Roman" w:hAnsi="Times New Roman" w:eastAsia="宋体" w:cs="Times New Roman"/>
                      <w:color w:val="auto"/>
                      <w:sz w:val="21"/>
                      <w:lang w:val="en-US" w:eastAsia="zh-CN"/>
                    </w:rPr>
                    <w:t>）</w:t>
                  </w:r>
                </w:p>
              </w:tc>
              <w:tc>
                <w:tcPr>
                  <w:tcW w:w="596" w:type="pct"/>
                  <w:vAlign w:val="center"/>
                </w:tcPr>
                <w:p w14:paraId="1F578312">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rPr>
                    <w:t>EVA颗粒</w:t>
                  </w:r>
                </w:p>
              </w:tc>
              <w:tc>
                <w:tcPr>
                  <w:tcW w:w="940" w:type="pct"/>
                  <w:tcBorders>
                    <w:top w:val="single" w:color="auto" w:sz="4" w:space="0"/>
                  </w:tcBorders>
                  <w:vAlign w:val="center"/>
                </w:tcPr>
                <w:p w14:paraId="12030EAF">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hd w:val="clear" w:color="auto" w:fill="FFFFFF"/>
                    </w:rPr>
                    <w:t>乙烯-醋酸乙烯酯共聚物</w:t>
                  </w:r>
                </w:p>
              </w:tc>
              <w:tc>
                <w:tcPr>
                  <w:tcW w:w="418" w:type="pct"/>
                  <w:tcBorders>
                    <w:top w:val="single" w:color="auto" w:sz="4" w:space="0"/>
                  </w:tcBorders>
                  <w:vAlign w:val="center"/>
                </w:tcPr>
                <w:p w14:paraId="7414A75B">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20000</w:t>
                  </w:r>
                </w:p>
              </w:tc>
              <w:tc>
                <w:tcPr>
                  <w:tcW w:w="399" w:type="pct"/>
                  <w:tcBorders>
                    <w:top w:val="single" w:color="auto" w:sz="4" w:space="0"/>
                  </w:tcBorders>
                  <w:vAlign w:val="center"/>
                </w:tcPr>
                <w:p w14:paraId="6D1C8DDC">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2</w:t>
                  </w:r>
                  <w:r>
                    <w:rPr>
                      <w:rFonts w:hint="eastAsia" w:ascii="Times New Roman" w:hAnsi="Times New Roman" w:eastAsia="宋体" w:cs="Times New Roman"/>
                      <w:color w:val="auto"/>
                      <w:sz w:val="21"/>
                      <w:szCs w:val="21"/>
                      <w:shd w:val="clear" w:color="auto" w:fill="FFFFFF"/>
                      <w:lang w:val="en-US" w:eastAsia="zh-CN"/>
                    </w:rPr>
                    <w:t>1111.1</w:t>
                  </w:r>
                </w:p>
              </w:tc>
              <w:tc>
                <w:tcPr>
                  <w:tcW w:w="1155" w:type="dxa"/>
                  <w:tcBorders>
                    <w:top w:val="single" w:color="auto" w:sz="4" w:space="0"/>
                  </w:tcBorders>
                  <w:vAlign w:val="center"/>
                </w:tcPr>
                <w:p w14:paraId="236DF483">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w:t>
                  </w:r>
                  <w:r>
                    <w:rPr>
                      <w:rFonts w:hint="eastAsia" w:ascii="Times New Roman" w:hAnsi="Times New Roman" w:eastAsia="宋体" w:cs="Times New Roman"/>
                      <w:color w:val="auto"/>
                      <w:sz w:val="21"/>
                      <w:szCs w:val="21"/>
                      <w:shd w:val="clear" w:color="auto" w:fill="FFFFFF"/>
                      <w:lang w:val="en-US" w:eastAsia="zh-CN"/>
                    </w:rPr>
                    <w:t>1111.1</w:t>
                  </w:r>
                </w:p>
              </w:tc>
              <w:tc>
                <w:tcPr>
                  <w:tcW w:w="631" w:type="pct"/>
                  <w:tcBorders>
                    <w:top w:val="single" w:color="auto" w:sz="4" w:space="0"/>
                  </w:tcBorders>
                  <w:vAlign w:val="center"/>
                </w:tcPr>
                <w:p w14:paraId="2BDC67E9">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1000</w:t>
                  </w:r>
                </w:p>
              </w:tc>
              <w:tc>
                <w:tcPr>
                  <w:tcW w:w="573" w:type="pct"/>
                  <w:tcBorders>
                    <w:top w:val="single" w:color="auto" w:sz="4" w:space="0"/>
                  </w:tcBorders>
                  <w:vAlign w:val="center"/>
                </w:tcPr>
                <w:p w14:paraId="71F211BF">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国内汽运</w:t>
                  </w:r>
                </w:p>
              </w:tc>
            </w:tr>
            <w:tr w14:paraId="19C1CD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02" w:type="pct"/>
                  <w:vMerge w:val="continue"/>
                  <w:vAlign w:val="center"/>
                </w:tcPr>
                <w:p w14:paraId="36E7460A">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hd w:val="clear" w:color="auto" w:fill="FFFFFF"/>
                    </w:rPr>
                  </w:pPr>
                </w:p>
              </w:tc>
              <w:tc>
                <w:tcPr>
                  <w:tcW w:w="501" w:type="pct"/>
                  <w:vMerge w:val="continue"/>
                  <w:vAlign w:val="center"/>
                </w:tcPr>
                <w:p w14:paraId="6C8EA172">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hd w:val="clear" w:color="auto" w:fill="FFFFFF"/>
                    </w:rPr>
                  </w:pPr>
                </w:p>
              </w:tc>
              <w:tc>
                <w:tcPr>
                  <w:tcW w:w="596" w:type="pct"/>
                  <w:vAlign w:val="center"/>
                </w:tcPr>
                <w:p w14:paraId="20972975">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hd w:val="clear" w:color="auto" w:fill="FFFFFF"/>
                    </w:rPr>
                    <w:t>交联剂</w:t>
                  </w:r>
                </w:p>
              </w:tc>
              <w:tc>
                <w:tcPr>
                  <w:tcW w:w="940" w:type="pct"/>
                  <w:tcBorders>
                    <w:top w:val="single" w:color="auto" w:sz="4" w:space="0"/>
                  </w:tcBorders>
                  <w:vAlign w:val="center"/>
                </w:tcPr>
                <w:p w14:paraId="7C0A41B5">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rPr>
                    <w:t>有机过氧化物</w:t>
                  </w:r>
                </w:p>
              </w:tc>
              <w:tc>
                <w:tcPr>
                  <w:tcW w:w="418" w:type="pct"/>
                  <w:tcBorders>
                    <w:top w:val="single" w:color="auto" w:sz="4" w:space="0"/>
                  </w:tcBorders>
                  <w:vAlign w:val="center"/>
                </w:tcPr>
                <w:p w14:paraId="6D87055A">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60</w:t>
                  </w:r>
                </w:p>
              </w:tc>
              <w:tc>
                <w:tcPr>
                  <w:tcW w:w="399" w:type="pct"/>
                  <w:tcBorders>
                    <w:top w:val="single" w:color="auto" w:sz="4" w:space="0"/>
                  </w:tcBorders>
                  <w:vAlign w:val="center"/>
                </w:tcPr>
                <w:p w14:paraId="075FE812">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6</w:t>
                  </w:r>
                  <w:r>
                    <w:rPr>
                      <w:rFonts w:hint="eastAsia" w:ascii="Times New Roman" w:hAnsi="Times New Roman" w:eastAsia="宋体" w:cs="Times New Roman"/>
                      <w:color w:val="auto"/>
                      <w:sz w:val="21"/>
                      <w:szCs w:val="21"/>
                      <w:shd w:val="clear" w:color="auto" w:fill="FFFFFF"/>
                      <w:lang w:val="en-US" w:eastAsia="zh-CN"/>
                    </w:rPr>
                    <w:t>3.3</w:t>
                  </w:r>
                </w:p>
              </w:tc>
              <w:tc>
                <w:tcPr>
                  <w:tcW w:w="1155" w:type="dxa"/>
                  <w:tcBorders>
                    <w:top w:val="single" w:color="auto" w:sz="4" w:space="0"/>
                  </w:tcBorders>
                  <w:vAlign w:val="center"/>
                </w:tcPr>
                <w:p w14:paraId="637258EF">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w:t>
                  </w:r>
                  <w:r>
                    <w:rPr>
                      <w:rFonts w:hint="eastAsia" w:ascii="Times New Roman" w:hAnsi="Times New Roman" w:eastAsia="宋体" w:cs="Times New Roman"/>
                      <w:color w:val="auto"/>
                      <w:sz w:val="21"/>
                      <w:szCs w:val="21"/>
                      <w:shd w:val="clear" w:color="auto" w:fill="FFFFFF"/>
                      <w:lang w:val="en-US" w:eastAsia="zh-CN"/>
                    </w:rPr>
                    <w:t>3.3</w:t>
                  </w:r>
                </w:p>
              </w:tc>
              <w:tc>
                <w:tcPr>
                  <w:tcW w:w="631" w:type="pct"/>
                  <w:tcBorders>
                    <w:top w:val="single" w:color="auto" w:sz="4" w:space="0"/>
                  </w:tcBorders>
                  <w:vAlign w:val="center"/>
                </w:tcPr>
                <w:p w14:paraId="5598211B">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9</w:t>
                  </w:r>
                </w:p>
              </w:tc>
              <w:tc>
                <w:tcPr>
                  <w:tcW w:w="573" w:type="pct"/>
                  <w:tcBorders>
                    <w:top w:val="single" w:color="auto" w:sz="4" w:space="0"/>
                  </w:tcBorders>
                  <w:vAlign w:val="center"/>
                </w:tcPr>
                <w:p w14:paraId="53DBDA49">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国内汽运</w:t>
                  </w:r>
                </w:p>
              </w:tc>
            </w:tr>
            <w:tr w14:paraId="1E1E8C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02" w:type="pct"/>
                  <w:vMerge w:val="continue"/>
                  <w:vAlign w:val="center"/>
                </w:tcPr>
                <w:p w14:paraId="0966677B">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hd w:val="clear" w:color="auto" w:fill="FFFFFF"/>
                    </w:rPr>
                  </w:pPr>
                </w:p>
              </w:tc>
              <w:tc>
                <w:tcPr>
                  <w:tcW w:w="501" w:type="pct"/>
                  <w:vMerge w:val="continue"/>
                  <w:vAlign w:val="center"/>
                </w:tcPr>
                <w:p w14:paraId="3F210A8C">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hd w:val="clear" w:color="auto" w:fill="FFFFFF"/>
                    </w:rPr>
                  </w:pPr>
                </w:p>
              </w:tc>
              <w:tc>
                <w:tcPr>
                  <w:tcW w:w="596" w:type="pct"/>
                  <w:vAlign w:val="center"/>
                </w:tcPr>
                <w:p w14:paraId="4AFDD190">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hd w:val="clear" w:color="auto" w:fill="FFFFFF"/>
                    </w:rPr>
                    <w:t>耐紫外光助剂</w:t>
                  </w:r>
                </w:p>
              </w:tc>
              <w:tc>
                <w:tcPr>
                  <w:tcW w:w="940" w:type="pct"/>
                  <w:tcBorders>
                    <w:top w:val="single" w:color="auto" w:sz="4" w:space="0"/>
                  </w:tcBorders>
                  <w:vAlign w:val="center"/>
                </w:tcPr>
                <w:p w14:paraId="47DAFAFF">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rPr>
                    <w:t>受阻胺化合物</w:t>
                  </w:r>
                </w:p>
              </w:tc>
              <w:tc>
                <w:tcPr>
                  <w:tcW w:w="418" w:type="pct"/>
                  <w:tcBorders>
                    <w:top w:val="single" w:color="auto" w:sz="4" w:space="0"/>
                  </w:tcBorders>
                  <w:vAlign w:val="center"/>
                </w:tcPr>
                <w:p w14:paraId="1F1CE35B">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60</w:t>
                  </w:r>
                </w:p>
              </w:tc>
              <w:tc>
                <w:tcPr>
                  <w:tcW w:w="399" w:type="pct"/>
                  <w:tcBorders>
                    <w:top w:val="single" w:color="auto" w:sz="4" w:space="0"/>
                  </w:tcBorders>
                  <w:vAlign w:val="center"/>
                </w:tcPr>
                <w:p w14:paraId="4C36CAE8">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6</w:t>
                  </w:r>
                  <w:r>
                    <w:rPr>
                      <w:rFonts w:hint="eastAsia" w:ascii="Times New Roman" w:hAnsi="Times New Roman" w:eastAsia="宋体" w:cs="Times New Roman"/>
                      <w:color w:val="auto"/>
                      <w:sz w:val="21"/>
                      <w:szCs w:val="21"/>
                      <w:shd w:val="clear" w:color="auto" w:fill="FFFFFF"/>
                      <w:lang w:val="en-US" w:eastAsia="zh-CN"/>
                    </w:rPr>
                    <w:t>3.3</w:t>
                  </w:r>
                </w:p>
              </w:tc>
              <w:tc>
                <w:tcPr>
                  <w:tcW w:w="1155" w:type="dxa"/>
                  <w:tcBorders>
                    <w:top w:val="single" w:color="auto" w:sz="4" w:space="0"/>
                  </w:tcBorders>
                  <w:vAlign w:val="center"/>
                </w:tcPr>
                <w:p w14:paraId="5D9A6439">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w:t>
                  </w:r>
                  <w:r>
                    <w:rPr>
                      <w:rFonts w:hint="eastAsia" w:ascii="Times New Roman" w:hAnsi="Times New Roman" w:eastAsia="宋体" w:cs="Times New Roman"/>
                      <w:color w:val="auto"/>
                      <w:sz w:val="21"/>
                      <w:szCs w:val="21"/>
                      <w:shd w:val="clear" w:color="auto" w:fill="FFFFFF"/>
                      <w:lang w:val="en-US" w:eastAsia="zh-CN"/>
                    </w:rPr>
                    <w:t>3.3</w:t>
                  </w:r>
                </w:p>
              </w:tc>
              <w:tc>
                <w:tcPr>
                  <w:tcW w:w="631" w:type="pct"/>
                  <w:tcBorders>
                    <w:top w:val="single" w:color="auto" w:sz="4" w:space="0"/>
                  </w:tcBorders>
                  <w:vAlign w:val="center"/>
                </w:tcPr>
                <w:p w14:paraId="50138B3F">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9</w:t>
                  </w:r>
                </w:p>
              </w:tc>
              <w:tc>
                <w:tcPr>
                  <w:tcW w:w="573" w:type="pct"/>
                  <w:tcBorders>
                    <w:top w:val="single" w:color="auto" w:sz="4" w:space="0"/>
                  </w:tcBorders>
                  <w:vAlign w:val="center"/>
                </w:tcPr>
                <w:p w14:paraId="61198DEF">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国内汽运</w:t>
                  </w:r>
                </w:p>
              </w:tc>
            </w:tr>
            <w:tr w14:paraId="7AE5C3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02" w:type="pct"/>
                  <w:vMerge w:val="continue"/>
                  <w:vAlign w:val="center"/>
                </w:tcPr>
                <w:p w14:paraId="32E43B9D">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p>
              </w:tc>
              <w:tc>
                <w:tcPr>
                  <w:tcW w:w="501" w:type="pct"/>
                  <w:vMerge w:val="continue"/>
                  <w:vAlign w:val="center"/>
                </w:tcPr>
                <w:p w14:paraId="4C0EE47E">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p>
              </w:tc>
              <w:tc>
                <w:tcPr>
                  <w:tcW w:w="596" w:type="pct"/>
                  <w:vAlign w:val="center"/>
                </w:tcPr>
                <w:p w14:paraId="1949CC20">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rPr>
                    <w:t>偶联剂</w:t>
                  </w:r>
                </w:p>
              </w:tc>
              <w:tc>
                <w:tcPr>
                  <w:tcW w:w="940" w:type="pct"/>
                  <w:tcBorders>
                    <w:top w:val="single" w:color="auto" w:sz="4" w:space="0"/>
                  </w:tcBorders>
                  <w:vAlign w:val="center"/>
                </w:tcPr>
                <w:p w14:paraId="20803F30">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rPr>
                    <w:t>硅氧烷化合物</w:t>
                  </w:r>
                </w:p>
              </w:tc>
              <w:tc>
                <w:tcPr>
                  <w:tcW w:w="418" w:type="pct"/>
                  <w:tcBorders>
                    <w:top w:val="single" w:color="auto" w:sz="4" w:space="0"/>
                  </w:tcBorders>
                  <w:vAlign w:val="center"/>
                </w:tcPr>
                <w:p w14:paraId="6C9F1346">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60</w:t>
                  </w:r>
                </w:p>
              </w:tc>
              <w:tc>
                <w:tcPr>
                  <w:tcW w:w="399" w:type="pct"/>
                  <w:tcBorders>
                    <w:top w:val="single" w:color="auto" w:sz="4" w:space="0"/>
                  </w:tcBorders>
                  <w:vAlign w:val="center"/>
                </w:tcPr>
                <w:p w14:paraId="673BFCCD">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6</w:t>
                  </w:r>
                  <w:r>
                    <w:rPr>
                      <w:rFonts w:hint="eastAsia" w:ascii="Times New Roman" w:hAnsi="Times New Roman" w:eastAsia="宋体" w:cs="Times New Roman"/>
                      <w:color w:val="auto"/>
                      <w:sz w:val="21"/>
                      <w:szCs w:val="21"/>
                      <w:shd w:val="clear" w:color="auto" w:fill="FFFFFF"/>
                      <w:lang w:val="en-US" w:eastAsia="zh-CN"/>
                    </w:rPr>
                    <w:t>3.3</w:t>
                  </w:r>
                </w:p>
              </w:tc>
              <w:tc>
                <w:tcPr>
                  <w:tcW w:w="1155" w:type="dxa"/>
                  <w:tcBorders>
                    <w:top w:val="single" w:color="auto" w:sz="4" w:space="0"/>
                  </w:tcBorders>
                  <w:vAlign w:val="center"/>
                </w:tcPr>
                <w:p w14:paraId="02630FB6">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w:t>
                  </w:r>
                  <w:r>
                    <w:rPr>
                      <w:rFonts w:hint="eastAsia" w:ascii="Times New Roman" w:hAnsi="Times New Roman" w:eastAsia="宋体" w:cs="Times New Roman"/>
                      <w:color w:val="auto"/>
                      <w:sz w:val="21"/>
                      <w:szCs w:val="21"/>
                      <w:shd w:val="clear" w:color="auto" w:fill="FFFFFF"/>
                      <w:lang w:val="en-US" w:eastAsia="zh-CN"/>
                    </w:rPr>
                    <w:t>3.3</w:t>
                  </w:r>
                </w:p>
              </w:tc>
              <w:tc>
                <w:tcPr>
                  <w:tcW w:w="631" w:type="pct"/>
                  <w:tcBorders>
                    <w:top w:val="single" w:color="auto" w:sz="4" w:space="0"/>
                  </w:tcBorders>
                  <w:vAlign w:val="center"/>
                </w:tcPr>
                <w:p w14:paraId="1517C4A8">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9</w:t>
                  </w:r>
                </w:p>
              </w:tc>
              <w:tc>
                <w:tcPr>
                  <w:tcW w:w="573" w:type="pct"/>
                  <w:tcBorders>
                    <w:top w:val="single" w:color="auto" w:sz="4" w:space="0"/>
                  </w:tcBorders>
                  <w:vAlign w:val="center"/>
                </w:tcPr>
                <w:p w14:paraId="03D311B8">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Cs w:val="21"/>
                    </w:rPr>
                    <w:t>国内汽运</w:t>
                  </w:r>
                </w:p>
              </w:tc>
            </w:tr>
            <w:tr w14:paraId="7CD007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02" w:type="pct"/>
                  <w:vMerge w:val="continue"/>
                  <w:vAlign w:val="center"/>
                </w:tcPr>
                <w:p w14:paraId="0F92CB59">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p>
              </w:tc>
              <w:tc>
                <w:tcPr>
                  <w:tcW w:w="501" w:type="pct"/>
                  <w:vMerge w:val="continue"/>
                  <w:vAlign w:val="center"/>
                </w:tcPr>
                <w:p w14:paraId="16DFB11A">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p>
              </w:tc>
              <w:tc>
                <w:tcPr>
                  <w:tcW w:w="596" w:type="pct"/>
                  <w:vAlign w:val="center"/>
                </w:tcPr>
                <w:p w14:paraId="3C8CF658">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机油</w:t>
                  </w:r>
                </w:p>
              </w:tc>
              <w:tc>
                <w:tcPr>
                  <w:tcW w:w="940" w:type="pct"/>
                  <w:tcBorders>
                    <w:top w:val="single" w:color="auto" w:sz="4" w:space="0"/>
                  </w:tcBorders>
                  <w:vAlign w:val="center"/>
                </w:tcPr>
                <w:p w14:paraId="439AB176">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合成矿物油</w:t>
                  </w:r>
                </w:p>
              </w:tc>
              <w:tc>
                <w:tcPr>
                  <w:tcW w:w="418" w:type="pct"/>
                  <w:tcBorders>
                    <w:top w:val="single" w:color="auto" w:sz="4" w:space="0"/>
                  </w:tcBorders>
                  <w:vAlign w:val="center"/>
                </w:tcPr>
                <w:p w14:paraId="36990C7F">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2</w:t>
                  </w:r>
                </w:p>
              </w:tc>
              <w:tc>
                <w:tcPr>
                  <w:tcW w:w="399" w:type="pct"/>
                  <w:tcBorders>
                    <w:top w:val="single" w:color="auto" w:sz="4" w:space="0"/>
                  </w:tcBorders>
                  <w:vAlign w:val="center"/>
                </w:tcPr>
                <w:p w14:paraId="3C1C856F">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2.2</w:t>
                  </w:r>
                </w:p>
              </w:tc>
              <w:tc>
                <w:tcPr>
                  <w:tcW w:w="436" w:type="pct"/>
                  <w:tcBorders>
                    <w:top w:val="single" w:color="auto" w:sz="4" w:space="0"/>
                  </w:tcBorders>
                  <w:vAlign w:val="center"/>
                </w:tcPr>
                <w:p w14:paraId="15673794">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+0.2</w:t>
                  </w:r>
                </w:p>
              </w:tc>
              <w:tc>
                <w:tcPr>
                  <w:tcW w:w="631" w:type="pct"/>
                  <w:tcBorders>
                    <w:top w:val="single" w:color="auto" w:sz="4" w:space="0"/>
                  </w:tcBorders>
                  <w:vAlign w:val="center"/>
                </w:tcPr>
                <w:p w14:paraId="7057C7E7">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0.2</w:t>
                  </w:r>
                </w:p>
              </w:tc>
              <w:tc>
                <w:tcPr>
                  <w:tcW w:w="573" w:type="pct"/>
                  <w:tcBorders>
                    <w:top w:val="single" w:color="auto" w:sz="4" w:space="0"/>
                  </w:tcBorders>
                  <w:vAlign w:val="center"/>
                </w:tcPr>
                <w:p w14:paraId="0D78BBAF">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rPr>
                    <w:t>国内汽运</w:t>
                  </w:r>
                </w:p>
              </w:tc>
            </w:tr>
            <w:tr w14:paraId="68D7C0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02" w:type="pct"/>
                  <w:vMerge w:val="continue"/>
                  <w:vAlign w:val="center"/>
                </w:tcPr>
                <w:p w14:paraId="666DE891">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p>
              </w:tc>
              <w:tc>
                <w:tcPr>
                  <w:tcW w:w="501" w:type="pct"/>
                  <w:vMerge w:val="continue"/>
                  <w:vAlign w:val="center"/>
                </w:tcPr>
                <w:p w14:paraId="7CDD4362">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p>
              </w:tc>
              <w:tc>
                <w:tcPr>
                  <w:tcW w:w="596" w:type="pct"/>
                  <w:vAlign w:val="center"/>
                </w:tcPr>
                <w:p w14:paraId="2380A3E3">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包装材料</w:t>
                  </w:r>
                </w:p>
              </w:tc>
              <w:tc>
                <w:tcPr>
                  <w:tcW w:w="940" w:type="pct"/>
                  <w:tcBorders>
                    <w:top w:val="single" w:color="auto" w:sz="4" w:space="0"/>
                  </w:tcBorders>
                  <w:vAlign w:val="center"/>
                </w:tcPr>
                <w:p w14:paraId="58D590B1">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塑料</w:t>
                  </w:r>
                </w:p>
              </w:tc>
              <w:tc>
                <w:tcPr>
                  <w:tcW w:w="418" w:type="pct"/>
                  <w:tcBorders>
                    <w:top w:val="single" w:color="auto" w:sz="4" w:space="0"/>
                  </w:tcBorders>
                  <w:vAlign w:val="center"/>
                </w:tcPr>
                <w:p w14:paraId="3F33D000">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10</w:t>
                  </w:r>
                </w:p>
              </w:tc>
              <w:tc>
                <w:tcPr>
                  <w:tcW w:w="399" w:type="pct"/>
                  <w:tcBorders>
                    <w:top w:val="single" w:color="auto" w:sz="4" w:space="0"/>
                  </w:tcBorders>
                  <w:vAlign w:val="center"/>
                </w:tcPr>
                <w:p w14:paraId="5F4E4DBB">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11</w:t>
                  </w:r>
                </w:p>
              </w:tc>
              <w:tc>
                <w:tcPr>
                  <w:tcW w:w="436" w:type="pct"/>
                  <w:tcBorders>
                    <w:top w:val="single" w:color="auto" w:sz="4" w:space="0"/>
                  </w:tcBorders>
                  <w:vAlign w:val="center"/>
                </w:tcPr>
                <w:p w14:paraId="77ECC732">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+1</w:t>
                  </w:r>
                </w:p>
              </w:tc>
              <w:tc>
                <w:tcPr>
                  <w:tcW w:w="631" w:type="pct"/>
                  <w:tcBorders>
                    <w:top w:val="single" w:color="auto" w:sz="4" w:space="0"/>
                  </w:tcBorders>
                  <w:vAlign w:val="center"/>
                </w:tcPr>
                <w:p w14:paraId="15C115A0">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1</w:t>
                  </w:r>
                </w:p>
              </w:tc>
              <w:tc>
                <w:tcPr>
                  <w:tcW w:w="573" w:type="pct"/>
                  <w:tcBorders>
                    <w:top w:val="single" w:color="auto" w:sz="4" w:space="0"/>
                  </w:tcBorders>
                  <w:vAlign w:val="center"/>
                </w:tcPr>
                <w:p w14:paraId="177DB5A7">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rPr>
                    <w:t>国内汽运</w:t>
                  </w:r>
                </w:p>
              </w:tc>
            </w:tr>
            <w:tr w14:paraId="1A8F73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02" w:type="pct"/>
                  <w:vMerge w:val="restart"/>
                  <w:vAlign w:val="center"/>
                </w:tcPr>
                <w:p w14:paraId="44187F5F">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新建年产光伏组件用高性能EVA胶膜、功能性塑料项目</w:t>
                  </w:r>
                </w:p>
              </w:tc>
              <w:tc>
                <w:tcPr>
                  <w:tcW w:w="501" w:type="pct"/>
                  <w:vMerge w:val="restart"/>
                  <w:vAlign w:val="center"/>
                </w:tcPr>
                <w:p w14:paraId="263D467D">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EVA胶膜（</w:t>
                  </w:r>
                  <w:r>
                    <w:rPr>
                      <w:rFonts w:hint="default" w:ascii="Times New Roman" w:hAnsi="Times New Roman" w:eastAsia="宋体" w:cs="Times New Roman"/>
                      <w:color w:val="auto"/>
                      <w:sz w:val="21"/>
                      <w:szCs w:val="21"/>
                      <w:lang w:val="en-US" w:eastAsia="zh-CN"/>
                    </w:rPr>
                    <w:t>5000万m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vertAlign w:val="baseline"/>
                      <w:lang w:val="en-US" w:eastAsia="zh-CN"/>
                    </w:rPr>
                    <w:t>/a</w:t>
                  </w:r>
                  <w:r>
                    <w:rPr>
                      <w:rFonts w:hint="default" w:ascii="Times New Roman" w:hAnsi="Times New Roman" w:eastAsia="宋体" w:cs="Times New Roman"/>
                      <w:color w:val="auto"/>
                      <w:sz w:val="21"/>
                      <w:lang w:val="en-US" w:eastAsia="zh-CN"/>
                    </w:rPr>
                    <w:t>）</w:t>
                  </w:r>
                </w:p>
              </w:tc>
              <w:tc>
                <w:tcPr>
                  <w:tcW w:w="596" w:type="pct"/>
                  <w:vAlign w:val="center"/>
                </w:tcPr>
                <w:p w14:paraId="60290BDB">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EVA颗粒</w:t>
                  </w:r>
                </w:p>
              </w:tc>
              <w:tc>
                <w:tcPr>
                  <w:tcW w:w="940" w:type="pct"/>
                  <w:tcBorders>
                    <w:top w:val="single" w:color="auto" w:sz="4" w:space="0"/>
                  </w:tcBorders>
                  <w:vAlign w:val="center"/>
                </w:tcPr>
                <w:p w14:paraId="655A4170">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hd w:val="clear" w:color="auto" w:fill="FFFFFF"/>
                    </w:rPr>
                    <w:t>乙烯-醋酸乙烯酯共聚物</w:t>
                  </w:r>
                </w:p>
              </w:tc>
              <w:tc>
                <w:tcPr>
                  <w:tcW w:w="418" w:type="pct"/>
                  <w:tcBorders>
                    <w:top w:val="single" w:color="auto" w:sz="4" w:space="0"/>
                  </w:tcBorders>
                  <w:vAlign w:val="center"/>
                </w:tcPr>
                <w:p w14:paraId="78B6690A">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20400</w:t>
                  </w:r>
                </w:p>
              </w:tc>
              <w:tc>
                <w:tcPr>
                  <w:tcW w:w="399" w:type="pct"/>
                  <w:tcBorders>
                    <w:top w:val="single" w:color="auto" w:sz="4" w:space="0"/>
                  </w:tcBorders>
                  <w:vAlign w:val="center"/>
                </w:tcPr>
                <w:p w14:paraId="3DFDE9A7">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20400</w:t>
                  </w:r>
                </w:p>
              </w:tc>
              <w:tc>
                <w:tcPr>
                  <w:tcW w:w="436" w:type="pct"/>
                  <w:tcBorders>
                    <w:top w:val="single" w:color="auto" w:sz="4" w:space="0"/>
                  </w:tcBorders>
                  <w:vAlign w:val="center"/>
                </w:tcPr>
                <w:p w14:paraId="0752A7D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+0</w:t>
                  </w:r>
                </w:p>
              </w:tc>
              <w:tc>
                <w:tcPr>
                  <w:tcW w:w="631" w:type="pct"/>
                  <w:tcBorders>
                    <w:top w:val="single" w:color="auto" w:sz="4" w:space="0"/>
                  </w:tcBorders>
                  <w:vAlign w:val="center"/>
                </w:tcPr>
                <w:p w14:paraId="4D73DE14">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1000</w:t>
                  </w:r>
                </w:p>
              </w:tc>
              <w:tc>
                <w:tcPr>
                  <w:tcW w:w="573" w:type="pct"/>
                  <w:tcBorders>
                    <w:top w:val="single" w:color="auto" w:sz="4" w:space="0"/>
                  </w:tcBorders>
                  <w:vAlign w:val="center"/>
                </w:tcPr>
                <w:p w14:paraId="5315F3CE">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rPr>
                    <w:t>国内汽运</w:t>
                  </w:r>
                </w:p>
              </w:tc>
            </w:tr>
            <w:tr w14:paraId="7BA70E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02" w:type="pct"/>
                  <w:vMerge w:val="continue"/>
                  <w:vAlign w:val="center"/>
                </w:tcPr>
                <w:p w14:paraId="4280376C">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lang w:val="en-US" w:eastAsia="zh-CN"/>
                    </w:rPr>
                  </w:pPr>
                </w:p>
              </w:tc>
              <w:tc>
                <w:tcPr>
                  <w:tcW w:w="501" w:type="pct"/>
                  <w:vMerge w:val="continue"/>
                  <w:vAlign w:val="center"/>
                </w:tcPr>
                <w:p w14:paraId="40BD710D">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lang w:val="en-US" w:eastAsia="zh-CN"/>
                    </w:rPr>
                  </w:pPr>
                </w:p>
              </w:tc>
              <w:tc>
                <w:tcPr>
                  <w:tcW w:w="596" w:type="pct"/>
                  <w:vAlign w:val="center"/>
                </w:tcPr>
                <w:p w14:paraId="4357C5ED">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hd w:val="clear" w:color="auto" w:fill="FFFFFF"/>
                    </w:rPr>
                    <w:t>交联剂</w:t>
                  </w:r>
                </w:p>
              </w:tc>
              <w:tc>
                <w:tcPr>
                  <w:tcW w:w="940" w:type="pct"/>
                  <w:tcBorders>
                    <w:top w:val="single" w:color="auto" w:sz="4" w:space="0"/>
                  </w:tcBorders>
                  <w:vAlign w:val="center"/>
                </w:tcPr>
                <w:p w14:paraId="60B64CE6">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有机过氧化物</w:t>
                  </w:r>
                </w:p>
              </w:tc>
              <w:tc>
                <w:tcPr>
                  <w:tcW w:w="418" w:type="pct"/>
                  <w:tcBorders>
                    <w:top w:val="single" w:color="auto" w:sz="4" w:space="0"/>
                  </w:tcBorders>
                  <w:vAlign w:val="center"/>
                </w:tcPr>
                <w:p w14:paraId="4AA3C22B">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223</w:t>
                  </w:r>
                </w:p>
              </w:tc>
              <w:tc>
                <w:tcPr>
                  <w:tcW w:w="399" w:type="pct"/>
                  <w:tcBorders>
                    <w:top w:val="single" w:color="auto" w:sz="4" w:space="0"/>
                  </w:tcBorders>
                  <w:vAlign w:val="center"/>
                </w:tcPr>
                <w:p w14:paraId="4521A126">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223</w:t>
                  </w:r>
                </w:p>
              </w:tc>
              <w:tc>
                <w:tcPr>
                  <w:tcW w:w="436" w:type="pct"/>
                  <w:tcBorders>
                    <w:top w:val="single" w:color="auto" w:sz="4" w:space="0"/>
                  </w:tcBorders>
                  <w:vAlign w:val="center"/>
                </w:tcPr>
                <w:p w14:paraId="3ABBF4C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+0</w:t>
                  </w:r>
                </w:p>
              </w:tc>
              <w:tc>
                <w:tcPr>
                  <w:tcW w:w="631" w:type="pct"/>
                  <w:tcBorders>
                    <w:top w:val="single" w:color="auto" w:sz="4" w:space="0"/>
                  </w:tcBorders>
                  <w:vAlign w:val="center"/>
                </w:tcPr>
                <w:p w14:paraId="20EC8688">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30</w:t>
                  </w:r>
                </w:p>
              </w:tc>
              <w:tc>
                <w:tcPr>
                  <w:tcW w:w="573" w:type="pct"/>
                  <w:tcBorders>
                    <w:top w:val="single" w:color="auto" w:sz="4" w:space="0"/>
                  </w:tcBorders>
                  <w:vAlign w:val="center"/>
                </w:tcPr>
                <w:p w14:paraId="5946BA21">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rPr>
                    <w:t>国内汽运</w:t>
                  </w:r>
                </w:p>
              </w:tc>
            </w:tr>
            <w:tr w14:paraId="29B41F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02" w:type="pct"/>
                  <w:vMerge w:val="continue"/>
                  <w:vAlign w:val="center"/>
                </w:tcPr>
                <w:p w14:paraId="4AE4AFEC">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lang w:val="en-US" w:eastAsia="zh-CN"/>
                    </w:rPr>
                  </w:pPr>
                </w:p>
              </w:tc>
              <w:tc>
                <w:tcPr>
                  <w:tcW w:w="501" w:type="pct"/>
                  <w:vMerge w:val="continue"/>
                  <w:vAlign w:val="center"/>
                </w:tcPr>
                <w:p w14:paraId="3A223466">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lang w:val="en-US" w:eastAsia="zh-CN"/>
                    </w:rPr>
                  </w:pPr>
                </w:p>
              </w:tc>
              <w:tc>
                <w:tcPr>
                  <w:tcW w:w="596" w:type="pct"/>
                  <w:vAlign w:val="center"/>
                </w:tcPr>
                <w:p w14:paraId="5E2D157E">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hd w:val="clear" w:color="auto" w:fill="FFFFFF"/>
                    </w:rPr>
                    <w:t>耐紫外光助剂</w:t>
                  </w:r>
                </w:p>
              </w:tc>
              <w:tc>
                <w:tcPr>
                  <w:tcW w:w="940" w:type="pct"/>
                  <w:tcBorders>
                    <w:top w:val="single" w:color="auto" w:sz="4" w:space="0"/>
                  </w:tcBorders>
                  <w:vAlign w:val="center"/>
                </w:tcPr>
                <w:p w14:paraId="3628D4D5">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受阻胺化合物</w:t>
                  </w:r>
                </w:p>
              </w:tc>
              <w:tc>
                <w:tcPr>
                  <w:tcW w:w="418" w:type="pct"/>
                  <w:tcBorders>
                    <w:top w:val="single" w:color="auto" w:sz="4" w:space="0"/>
                  </w:tcBorders>
                  <w:vAlign w:val="center"/>
                </w:tcPr>
                <w:p w14:paraId="65AF63CB">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63</w:t>
                  </w:r>
                </w:p>
              </w:tc>
              <w:tc>
                <w:tcPr>
                  <w:tcW w:w="399" w:type="pct"/>
                  <w:tcBorders>
                    <w:top w:val="single" w:color="auto" w:sz="4" w:space="0"/>
                  </w:tcBorders>
                  <w:vAlign w:val="center"/>
                </w:tcPr>
                <w:p w14:paraId="11935759">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63</w:t>
                  </w:r>
                </w:p>
              </w:tc>
              <w:tc>
                <w:tcPr>
                  <w:tcW w:w="436" w:type="pct"/>
                  <w:tcBorders>
                    <w:top w:val="single" w:color="auto" w:sz="4" w:space="0"/>
                  </w:tcBorders>
                  <w:vAlign w:val="center"/>
                </w:tcPr>
                <w:p w14:paraId="1B1C159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+0</w:t>
                  </w:r>
                </w:p>
              </w:tc>
              <w:tc>
                <w:tcPr>
                  <w:tcW w:w="631" w:type="pct"/>
                  <w:tcBorders>
                    <w:top w:val="single" w:color="auto" w:sz="4" w:space="0"/>
                  </w:tcBorders>
                  <w:vAlign w:val="center"/>
                </w:tcPr>
                <w:p w14:paraId="75C818C3">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30</w:t>
                  </w:r>
                </w:p>
              </w:tc>
              <w:tc>
                <w:tcPr>
                  <w:tcW w:w="573" w:type="pct"/>
                  <w:tcBorders>
                    <w:top w:val="single" w:color="auto" w:sz="4" w:space="0"/>
                  </w:tcBorders>
                  <w:vAlign w:val="center"/>
                </w:tcPr>
                <w:p w14:paraId="51D04CD9">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rPr>
                    <w:t>国内汽运</w:t>
                  </w:r>
                </w:p>
              </w:tc>
            </w:tr>
            <w:tr w14:paraId="46A7EC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02" w:type="pct"/>
                  <w:vMerge w:val="continue"/>
                  <w:vAlign w:val="center"/>
                </w:tcPr>
                <w:p w14:paraId="55985D0E">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lang w:val="en-US" w:eastAsia="zh-CN"/>
                    </w:rPr>
                  </w:pPr>
                </w:p>
              </w:tc>
              <w:tc>
                <w:tcPr>
                  <w:tcW w:w="501" w:type="pct"/>
                  <w:vMerge w:val="continue"/>
                  <w:vAlign w:val="center"/>
                </w:tcPr>
                <w:p w14:paraId="30BC96A8">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lang w:val="en-US" w:eastAsia="zh-CN"/>
                    </w:rPr>
                  </w:pPr>
                </w:p>
              </w:tc>
              <w:tc>
                <w:tcPr>
                  <w:tcW w:w="596" w:type="pct"/>
                  <w:vAlign w:val="center"/>
                </w:tcPr>
                <w:p w14:paraId="3EF15D1C">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偶联剂</w:t>
                  </w:r>
                </w:p>
              </w:tc>
              <w:tc>
                <w:tcPr>
                  <w:tcW w:w="940" w:type="pct"/>
                  <w:tcBorders>
                    <w:top w:val="single" w:color="auto" w:sz="4" w:space="0"/>
                  </w:tcBorders>
                  <w:vAlign w:val="center"/>
                </w:tcPr>
                <w:p w14:paraId="3AEF99CF">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硅氧烷化合物</w:t>
                  </w:r>
                </w:p>
              </w:tc>
              <w:tc>
                <w:tcPr>
                  <w:tcW w:w="418" w:type="pct"/>
                  <w:tcBorders>
                    <w:top w:val="single" w:color="auto" w:sz="4" w:space="0"/>
                  </w:tcBorders>
                  <w:vAlign w:val="center"/>
                </w:tcPr>
                <w:p w14:paraId="659DB045">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163</w:t>
                  </w:r>
                </w:p>
              </w:tc>
              <w:tc>
                <w:tcPr>
                  <w:tcW w:w="399" w:type="pct"/>
                  <w:tcBorders>
                    <w:top w:val="single" w:color="auto" w:sz="4" w:space="0"/>
                  </w:tcBorders>
                  <w:vAlign w:val="center"/>
                </w:tcPr>
                <w:p w14:paraId="2971ECAC">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163</w:t>
                  </w:r>
                </w:p>
              </w:tc>
              <w:tc>
                <w:tcPr>
                  <w:tcW w:w="436" w:type="pct"/>
                  <w:tcBorders>
                    <w:top w:val="single" w:color="auto" w:sz="4" w:space="0"/>
                  </w:tcBorders>
                  <w:vAlign w:val="center"/>
                </w:tcPr>
                <w:p w14:paraId="500CD33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+0</w:t>
                  </w:r>
                </w:p>
              </w:tc>
              <w:tc>
                <w:tcPr>
                  <w:tcW w:w="631" w:type="pct"/>
                  <w:tcBorders>
                    <w:top w:val="single" w:color="auto" w:sz="4" w:space="0"/>
                  </w:tcBorders>
                  <w:vAlign w:val="center"/>
                </w:tcPr>
                <w:p w14:paraId="008F1A62">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50</w:t>
                  </w:r>
                </w:p>
              </w:tc>
              <w:tc>
                <w:tcPr>
                  <w:tcW w:w="573" w:type="pct"/>
                  <w:tcBorders>
                    <w:top w:val="single" w:color="auto" w:sz="4" w:space="0"/>
                  </w:tcBorders>
                  <w:vAlign w:val="center"/>
                </w:tcPr>
                <w:p w14:paraId="38F49F4B">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rPr>
                    <w:t>国内汽运</w:t>
                  </w:r>
                </w:p>
              </w:tc>
            </w:tr>
            <w:tr w14:paraId="53E5CF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02" w:type="pct"/>
                  <w:vMerge w:val="continue"/>
                  <w:vAlign w:val="center"/>
                </w:tcPr>
                <w:p w14:paraId="50CB0093">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lang w:val="en-US" w:eastAsia="zh-CN"/>
                    </w:rPr>
                  </w:pPr>
                </w:p>
              </w:tc>
              <w:tc>
                <w:tcPr>
                  <w:tcW w:w="501" w:type="pct"/>
                  <w:vMerge w:val="restart"/>
                  <w:vAlign w:val="center"/>
                </w:tcPr>
                <w:p w14:paraId="70A9DE5D">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功能性塑料（1.8万t</w:t>
                  </w:r>
                  <w:r>
                    <w:rPr>
                      <w:rFonts w:hint="default" w:ascii="Times New Roman" w:hAnsi="Times New Roman" w:eastAsia="宋体" w:cs="Times New Roman"/>
                      <w:color w:val="auto"/>
                      <w:sz w:val="21"/>
                      <w:szCs w:val="21"/>
                      <w:vertAlign w:val="baseline"/>
                      <w:lang w:val="en-US" w:eastAsia="zh-CN"/>
                    </w:rPr>
                    <w:t>/a</w:t>
                  </w:r>
                  <w:r>
                    <w:rPr>
                      <w:rFonts w:hint="default" w:ascii="Times New Roman" w:hAnsi="Times New Roman" w:eastAsia="宋体" w:cs="Times New Roman"/>
                      <w:color w:val="auto"/>
                      <w:sz w:val="21"/>
                      <w:lang w:val="en-US" w:eastAsia="zh-CN"/>
                    </w:rPr>
                    <w:t>）</w:t>
                  </w:r>
                </w:p>
              </w:tc>
              <w:tc>
                <w:tcPr>
                  <w:tcW w:w="596" w:type="pct"/>
                  <w:vAlign w:val="center"/>
                </w:tcPr>
                <w:p w14:paraId="0C9BE3EC">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高密度聚乙烯</w:t>
                  </w:r>
                </w:p>
              </w:tc>
              <w:tc>
                <w:tcPr>
                  <w:tcW w:w="940" w:type="pct"/>
                  <w:tcBorders>
                    <w:top w:val="single" w:color="auto" w:sz="4" w:space="0"/>
                  </w:tcBorders>
                  <w:vAlign w:val="center"/>
                </w:tcPr>
                <w:p w14:paraId="5BF9FC3A">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HDPE</w:t>
                  </w:r>
                </w:p>
              </w:tc>
              <w:tc>
                <w:tcPr>
                  <w:tcW w:w="418" w:type="pct"/>
                  <w:tcBorders>
                    <w:top w:val="single" w:color="auto" w:sz="4" w:space="0"/>
                  </w:tcBorders>
                  <w:vAlign w:val="center"/>
                </w:tcPr>
                <w:p w14:paraId="36103744">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8000</w:t>
                  </w:r>
                </w:p>
              </w:tc>
              <w:tc>
                <w:tcPr>
                  <w:tcW w:w="399" w:type="pct"/>
                  <w:tcBorders>
                    <w:top w:val="single" w:color="auto" w:sz="4" w:space="0"/>
                  </w:tcBorders>
                  <w:vAlign w:val="center"/>
                </w:tcPr>
                <w:p w14:paraId="358BF22F">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8000</w:t>
                  </w:r>
                </w:p>
              </w:tc>
              <w:tc>
                <w:tcPr>
                  <w:tcW w:w="436" w:type="pct"/>
                  <w:tcBorders>
                    <w:top w:val="single" w:color="auto" w:sz="4" w:space="0"/>
                  </w:tcBorders>
                  <w:vAlign w:val="center"/>
                </w:tcPr>
                <w:p w14:paraId="72DDC4CE">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+0</w:t>
                  </w:r>
                </w:p>
              </w:tc>
              <w:tc>
                <w:tcPr>
                  <w:tcW w:w="631" w:type="pct"/>
                  <w:tcBorders>
                    <w:top w:val="single" w:color="auto" w:sz="4" w:space="0"/>
                  </w:tcBorders>
                  <w:vAlign w:val="center"/>
                </w:tcPr>
                <w:p w14:paraId="45A6D696">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800</w:t>
                  </w:r>
                </w:p>
              </w:tc>
              <w:tc>
                <w:tcPr>
                  <w:tcW w:w="573" w:type="pct"/>
                  <w:tcBorders>
                    <w:top w:val="single" w:color="auto" w:sz="4" w:space="0"/>
                  </w:tcBorders>
                  <w:vAlign w:val="center"/>
                </w:tcPr>
                <w:p w14:paraId="41B1D3F3">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rPr>
                    <w:t>国内汽运</w:t>
                  </w:r>
                </w:p>
              </w:tc>
            </w:tr>
            <w:tr w14:paraId="28B0BC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02" w:type="pct"/>
                  <w:vMerge w:val="continue"/>
                  <w:vAlign w:val="center"/>
                </w:tcPr>
                <w:p w14:paraId="7F027DE1">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lang w:val="en-US" w:eastAsia="zh-CN"/>
                    </w:rPr>
                  </w:pPr>
                </w:p>
              </w:tc>
              <w:tc>
                <w:tcPr>
                  <w:tcW w:w="501" w:type="pct"/>
                  <w:vMerge w:val="continue"/>
                  <w:vAlign w:val="center"/>
                </w:tcPr>
                <w:p w14:paraId="56D3D50D">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lang w:val="en-US" w:eastAsia="zh-CN"/>
                    </w:rPr>
                  </w:pPr>
                </w:p>
              </w:tc>
              <w:tc>
                <w:tcPr>
                  <w:tcW w:w="596" w:type="pct"/>
                  <w:vAlign w:val="center"/>
                </w:tcPr>
                <w:p w14:paraId="5D89BB58">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低密度聚乙烯</w:t>
                  </w:r>
                </w:p>
              </w:tc>
              <w:tc>
                <w:tcPr>
                  <w:tcW w:w="940" w:type="pct"/>
                  <w:tcBorders>
                    <w:top w:val="single" w:color="auto" w:sz="4" w:space="0"/>
                  </w:tcBorders>
                  <w:vAlign w:val="center"/>
                </w:tcPr>
                <w:p w14:paraId="75DD720F">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LDPE</w:t>
                  </w:r>
                </w:p>
              </w:tc>
              <w:tc>
                <w:tcPr>
                  <w:tcW w:w="418" w:type="pct"/>
                  <w:tcBorders>
                    <w:top w:val="single" w:color="auto" w:sz="4" w:space="0"/>
                  </w:tcBorders>
                  <w:vAlign w:val="center"/>
                </w:tcPr>
                <w:p w14:paraId="6C857AAB">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7000</w:t>
                  </w:r>
                </w:p>
              </w:tc>
              <w:tc>
                <w:tcPr>
                  <w:tcW w:w="399" w:type="pct"/>
                  <w:tcBorders>
                    <w:top w:val="single" w:color="auto" w:sz="4" w:space="0"/>
                  </w:tcBorders>
                  <w:vAlign w:val="center"/>
                </w:tcPr>
                <w:p w14:paraId="7551EB76">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7000</w:t>
                  </w:r>
                </w:p>
              </w:tc>
              <w:tc>
                <w:tcPr>
                  <w:tcW w:w="436" w:type="pct"/>
                  <w:tcBorders>
                    <w:top w:val="single" w:color="auto" w:sz="4" w:space="0"/>
                  </w:tcBorders>
                  <w:vAlign w:val="center"/>
                </w:tcPr>
                <w:p w14:paraId="41B9B3E2">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+0</w:t>
                  </w:r>
                </w:p>
              </w:tc>
              <w:tc>
                <w:tcPr>
                  <w:tcW w:w="631" w:type="pct"/>
                  <w:tcBorders>
                    <w:top w:val="single" w:color="auto" w:sz="4" w:space="0"/>
                  </w:tcBorders>
                  <w:vAlign w:val="center"/>
                </w:tcPr>
                <w:p w14:paraId="6EA536B9">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700</w:t>
                  </w:r>
                </w:p>
              </w:tc>
              <w:tc>
                <w:tcPr>
                  <w:tcW w:w="573" w:type="pct"/>
                  <w:tcBorders>
                    <w:top w:val="single" w:color="auto" w:sz="4" w:space="0"/>
                  </w:tcBorders>
                  <w:vAlign w:val="center"/>
                </w:tcPr>
                <w:p w14:paraId="0102D95A">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rPr>
                    <w:t>国内汽运</w:t>
                  </w:r>
                </w:p>
              </w:tc>
            </w:tr>
            <w:tr w14:paraId="2610DE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02" w:type="pct"/>
                  <w:vMerge w:val="continue"/>
                  <w:vAlign w:val="center"/>
                </w:tcPr>
                <w:p w14:paraId="18C0641A">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lang w:val="en-US" w:eastAsia="zh-CN"/>
                    </w:rPr>
                  </w:pPr>
                </w:p>
              </w:tc>
              <w:tc>
                <w:tcPr>
                  <w:tcW w:w="501" w:type="pct"/>
                  <w:vMerge w:val="continue"/>
                  <w:vAlign w:val="center"/>
                </w:tcPr>
                <w:p w14:paraId="62EEB3B4">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lang w:val="en-US" w:eastAsia="zh-CN"/>
                    </w:rPr>
                  </w:pPr>
                </w:p>
              </w:tc>
              <w:tc>
                <w:tcPr>
                  <w:tcW w:w="596" w:type="pct"/>
                  <w:vAlign w:val="center"/>
                </w:tcPr>
                <w:p w14:paraId="26C88229">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线性低密度聚乙烯</w:t>
                  </w:r>
                </w:p>
              </w:tc>
              <w:tc>
                <w:tcPr>
                  <w:tcW w:w="940" w:type="pct"/>
                  <w:tcBorders>
                    <w:top w:val="single" w:color="auto" w:sz="4" w:space="0"/>
                  </w:tcBorders>
                  <w:vAlign w:val="center"/>
                </w:tcPr>
                <w:p w14:paraId="54EB1A12">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LLDPE</w:t>
                  </w:r>
                </w:p>
              </w:tc>
              <w:tc>
                <w:tcPr>
                  <w:tcW w:w="418" w:type="pct"/>
                  <w:tcBorders>
                    <w:top w:val="single" w:color="auto" w:sz="4" w:space="0"/>
                  </w:tcBorders>
                  <w:vAlign w:val="center"/>
                </w:tcPr>
                <w:p w14:paraId="6C0AA5C2">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1000</w:t>
                  </w:r>
                </w:p>
              </w:tc>
              <w:tc>
                <w:tcPr>
                  <w:tcW w:w="399" w:type="pct"/>
                  <w:tcBorders>
                    <w:top w:val="single" w:color="auto" w:sz="4" w:space="0"/>
                  </w:tcBorders>
                  <w:vAlign w:val="center"/>
                </w:tcPr>
                <w:p w14:paraId="3BB43F67">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1000</w:t>
                  </w:r>
                </w:p>
              </w:tc>
              <w:tc>
                <w:tcPr>
                  <w:tcW w:w="436" w:type="pct"/>
                  <w:tcBorders>
                    <w:top w:val="single" w:color="auto" w:sz="4" w:space="0"/>
                  </w:tcBorders>
                  <w:vAlign w:val="center"/>
                </w:tcPr>
                <w:p w14:paraId="13FDEA35">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+0</w:t>
                  </w:r>
                </w:p>
              </w:tc>
              <w:tc>
                <w:tcPr>
                  <w:tcW w:w="631" w:type="pct"/>
                  <w:tcBorders>
                    <w:top w:val="single" w:color="auto" w:sz="4" w:space="0"/>
                  </w:tcBorders>
                  <w:vAlign w:val="center"/>
                </w:tcPr>
                <w:p w14:paraId="0F48F668">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100</w:t>
                  </w:r>
                </w:p>
              </w:tc>
              <w:tc>
                <w:tcPr>
                  <w:tcW w:w="573" w:type="pct"/>
                  <w:tcBorders>
                    <w:top w:val="single" w:color="auto" w:sz="4" w:space="0"/>
                  </w:tcBorders>
                  <w:vAlign w:val="center"/>
                </w:tcPr>
                <w:p w14:paraId="0AEF10BB">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rPr>
                    <w:t>国内汽运</w:t>
                  </w:r>
                </w:p>
              </w:tc>
            </w:tr>
            <w:tr w14:paraId="17830C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02" w:type="pct"/>
                  <w:vMerge w:val="continue"/>
                  <w:vAlign w:val="center"/>
                </w:tcPr>
                <w:p w14:paraId="0A4DEE35">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lang w:val="en-US" w:eastAsia="zh-CN"/>
                    </w:rPr>
                  </w:pPr>
                </w:p>
              </w:tc>
              <w:tc>
                <w:tcPr>
                  <w:tcW w:w="501" w:type="pct"/>
                  <w:vMerge w:val="continue"/>
                  <w:vAlign w:val="center"/>
                </w:tcPr>
                <w:p w14:paraId="65A918D4">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lang w:val="en-US" w:eastAsia="zh-CN"/>
                    </w:rPr>
                  </w:pPr>
                </w:p>
              </w:tc>
              <w:tc>
                <w:tcPr>
                  <w:tcW w:w="596" w:type="pct"/>
                  <w:vAlign w:val="center"/>
                </w:tcPr>
                <w:p w14:paraId="1DCD1752">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聚丙烯</w:t>
                  </w:r>
                </w:p>
              </w:tc>
              <w:tc>
                <w:tcPr>
                  <w:tcW w:w="940" w:type="pct"/>
                  <w:tcBorders>
                    <w:top w:val="single" w:color="auto" w:sz="4" w:space="0"/>
                  </w:tcBorders>
                  <w:vAlign w:val="center"/>
                </w:tcPr>
                <w:p w14:paraId="000EB81B">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PP</w:t>
                  </w:r>
                </w:p>
              </w:tc>
              <w:tc>
                <w:tcPr>
                  <w:tcW w:w="418" w:type="pct"/>
                  <w:tcBorders>
                    <w:top w:val="single" w:color="auto" w:sz="4" w:space="0"/>
                  </w:tcBorders>
                  <w:vAlign w:val="center"/>
                </w:tcPr>
                <w:p w14:paraId="7E949339">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2000</w:t>
                  </w:r>
                </w:p>
              </w:tc>
              <w:tc>
                <w:tcPr>
                  <w:tcW w:w="399" w:type="pct"/>
                  <w:tcBorders>
                    <w:top w:val="single" w:color="auto" w:sz="4" w:space="0"/>
                  </w:tcBorders>
                  <w:vAlign w:val="center"/>
                </w:tcPr>
                <w:p w14:paraId="3101B4DC">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2000</w:t>
                  </w:r>
                </w:p>
              </w:tc>
              <w:tc>
                <w:tcPr>
                  <w:tcW w:w="436" w:type="pct"/>
                  <w:tcBorders>
                    <w:top w:val="single" w:color="auto" w:sz="4" w:space="0"/>
                  </w:tcBorders>
                  <w:vAlign w:val="center"/>
                </w:tcPr>
                <w:p w14:paraId="369D9FBF">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+0</w:t>
                  </w:r>
                </w:p>
              </w:tc>
              <w:tc>
                <w:tcPr>
                  <w:tcW w:w="631" w:type="pct"/>
                  <w:tcBorders>
                    <w:top w:val="single" w:color="auto" w:sz="4" w:space="0"/>
                  </w:tcBorders>
                  <w:vAlign w:val="center"/>
                </w:tcPr>
                <w:p w14:paraId="5464B8A6">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200</w:t>
                  </w:r>
                </w:p>
              </w:tc>
              <w:tc>
                <w:tcPr>
                  <w:tcW w:w="573" w:type="pct"/>
                  <w:tcBorders>
                    <w:top w:val="single" w:color="auto" w:sz="4" w:space="0"/>
                  </w:tcBorders>
                  <w:vAlign w:val="center"/>
                </w:tcPr>
                <w:p w14:paraId="099C2824">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rPr>
                    <w:t>国内汽运</w:t>
                  </w:r>
                </w:p>
              </w:tc>
            </w:tr>
            <w:tr w14:paraId="1F4796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02" w:type="pct"/>
                  <w:vMerge w:val="continue"/>
                  <w:vAlign w:val="center"/>
                </w:tcPr>
                <w:p w14:paraId="6DC37EB8">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lang w:val="en-US" w:eastAsia="zh-CN"/>
                    </w:rPr>
                  </w:pPr>
                </w:p>
              </w:tc>
              <w:tc>
                <w:tcPr>
                  <w:tcW w:w="501" w:type="pct"/>
                  <w:vMerge w:val="continue"/>
                  <w:vAlign w:val="center"/>
                </w:tcPr>
                <w:p w14:paraId="25604029">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lang w:val="en-US" w:eastAsia="zh-CN"/>
                    </w:rPr>
                  </w:pPr>
                </w:p>
              </w:tc>
              <w:tc>
                <w:tcPr>
                  <w:tcW w:w="596" w:type="pct"/>
                  <w:vAlign w:val="center"/>
                </w:tcPr>
                <w:p w14:paraId="2DB8CA33">
                  <w:pPr>
                    <w:keepNext w:val="0"/>
                    <w:keepLines w:val="0"/>
                    <w:pageBreakBefore w:val="0"/>
                    <w:widowControl/>
                    <w:suppressLineNumbers w:val="0"/>
                    <w:kinsoku/>
                    <w:wordWrap/>
                    <w:overflowPunct/>
                    <w:topLinePunct w:val="0"/>
                    <w:autoSpaceDE/>
                    <w:autoSpaceDN/>
                    <w:bidi w:val="0"/>
                    <w:spacing w:line="240" w:lineRule="auto"/>
                    <w:ind w:firstLine="0" w:firstLineChars="0"/>
                    <w:jc w:val="left"/>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kern w:val="44"/>
                      <w:sz w:val="21"/>
                      <w:szCs w:val="21"/>
                      <w:lang w:val="en-US" w:eastAsia="zh-CN" w:bidi="ar-SA"/>
                    </w:rPr>
                    <w:t>聚烯烃弹性体</w:t>
                  </w:r>
                </w:p>
              </w:tc>
              <w:tc>
                <w:tcPr>
                  <w:tcW w:w="940" w:type="pct"/>
                  <w:tcBorders>
                    <w:top w:val="single" w:color="auto" w:sz="4" w:space="0"/>
                  </w:tcBorders>
                  <w:vAlign w:val="center"/>
                </w:tcPr>
                <w:p w14:paraId="7238D21F">
                  <w:pPr>
                    <w:pStyle w:val="49"/>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w:t>
                  </w:r>
                </w:p>
              </w:tc>
              <w:tc>
                <w:tcPr>
                  <w:tcW w:w="418" w:type="pct"/>
                  <w:tcBorders>
                    <w:top w:val="single" w:color="auto" w:sz="4" w:space="0"/>
                  </w:tcBorders>
                  <w:vAlign w:val="center"/>
                </w:tcPr>
                <w:p w14:paraId="79F4F97B">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3000</w:t>
                  </w:r>
                </w:p>
              </w:tc>
              <w:tc>
                <w:tcPr>
                  <w:tcW w:w="399" w:type="pct"/>
                  <w:tcBorders>
                    <w:top w:val="single" w:color="auto" w:sz="4" w:space="0"/>
                  </w:tcBorders>
                  <w:vAlign w:val="center"/>
                </w:tcPr>
                <w:p w14:paraId="415A3492">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3000</w:t>
                  </w:r>
                </w:p>
              </w:tc>
              <w:tc>
                <w:tcPr>
                  <w:tcW w:w="436" w:type="pct"/>
                  <w:tcBorders>
                    <w:top w:val="single" w:color="auto" w:sz="4" w:space="0"/>
                  </w:tcBorders>
                  <w:vAlign w:val="center"/>
                </w:tcPr>
                <w:p w14:paraId="2E7C8758">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+0</w:t>
                  </w:r>
                </w:p>
              </w:tc>
              <w:tc>
                <w:tcPr>
                  <w:tcW w:w="631" w:type="pct"/>
                  <w:tcBorders>
                    <w:top w:val="single" w:color="auto" w:sz="4" w:space="0"/>
                  </w:tcBorders>
                  <w:vAlign w:val="center"/>
                </w:tcPr>
                <w:p w14:paraId="2629C59F">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300</w:t>
                  </w:r>
                </w:p>
              </w:tc>
              <w:tc>
                <w:tcPr>
                  <w:tcW w:w="573" w:type="pct"/>
                  <w:tcBorders>
                    <w:top w:val="single" w:color="auto" w:sz="4" w:space="0"/>
                  </w:tcBorders>
                  <w:vAlign w:val="center"/>
                </w:tcPr>
                <w:p w14:paraId="7A0ACE99">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rPr>
                    <w:t>国内汽运</w:t>
                  </w:r>
                </w:p>
              </w:tc>
            </w:tr>
            <w:tr w14:paraId="05E6B1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02" w:type="pct"/>
                  <w:vMerge w:val="continue"/>
                  <w:vAlign w:val="center"/>
                </w:tcPr>
                <w:p w14:paraId="5772C23D">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lang w:val="en-US" w:eastAsia="zh-CN"/>
                    </w:rPr>
                  </w:pPr>
                </w:p>
              </w:tc>
              <w:tc>
                <w:tcPr>
                  <w:tcW w:w="501" w:type="pct"/>
                  <w:vMerge w:val="continue"/>
                  <w:vAlign w:val="center"/>
                </w:tcPr>
                <w:p w14:paraId="6C1AAB79">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lang w:val="en-US" w:eastAsia="zh-CN"/>
                    </w:rPr>
                  </w:pPr>
                </w:p>
              </w:tc>
              <w:tc>
                <w:tcPr>
                  <w:tcW w:w="596" w:type="pct"/>
                  <w:vAlign w:val="center"/>
                </w:tcPr>
                <w:p w14:paraId="4C26832D">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功能性单体</w:t>
                  </w:r>
                </w:p>
              </w:tc>
              <w:tc>
                <w:tcPr>
                  <w:tcW w:w="940" w:type="pct"/>
                  <w:tcBorders>
                    <w:top w:val="single" w:color="auto" w:sz="4" w:space="0"/>
                  </w:tcBorders>
                  <w:vAlign w:val="center"/>
                </w:tcPr>
                <w:p w14:paraId="2090CD36">
                  <w:pPr>
                    <w:pStyle w:val="49"/>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w:t>
                  </w:r>
                </w:p>
              </w:tc>
              <w:tc>
                <w:tcPr>
                  <w:tcW w:w="1104" w:type="dxa"/>
                  <w:tcBorders>
                    <w:top w:val="single" w:color="auto" w:sz="4" w:space="0"/>
                  </w:tcBorders>
                  <w:vAlign w:val="center"/>
                </w:tcPr>
                <w:p w14:paraId="476B7912">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50</w:t>
                  </w:r>
                </w:p>
              </w:tc>
              <w:tc>
                <w:tcPr>
                  <w:tcW w:w="399" w:type="pct"/>
                  <w:tcBorders>
                    <w:top w:val="single" w:color="auto" w:sz="4" w:space="0"/>
                  </w:tcBorders>
                  <w:vAlign w:val="center"/>
                </w:tcPr>
                <w:p w14:paraId="7716ADD6">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50</w:t>
                  </w:r>
                </w:p>
              </w:tc>
              <w:tc>
                <w:tcPr>
                  <w:tcW w:w="436" w:type="pct"/>
                  <w:tcBorders>
                    <w:top w:val="single" w:color="auto" w:sz="4" w:space="0"/>
                  </w:tcBorders>
                  <w:vAlign w:val="center"/>
                </w:tcPr>
                <w:p w14:paraId="5EF6F32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+0</w:t>
                  </w:r>
                </w:p>
              </w:tc>
              <w:tc>
                <w:tcPr>
                  <w:tcW w:w="631" w:type="pct"/>
                  <w:tcBorders>
                    <w:top w:val="single" w:color="auto" w:sz="4" w:space="0"/>
                  </w:tcBorders>
                  <w:vAlign w:val="center"/>
                </w:tcPr>
                <w:p w14:paraId="1648F6EB">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5</w:t>
                  </w:r>
                </w:p>
              </w:tc>
              <w:tc>
                <w:tcPr>
                  <w:tcW w:w="573" w:type="pct"/>
                  <w:tcBorders>
                    <w:top w:val="single" w:color="auto" w:sz="4" w:space="0"/>
                  </w:tcBorders>
                  <w:vAlign w:val="center"/>
                </w:tcPr>
                <w:p w14:paraId="1CDF3698">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rPr>
                    <w:t>国内汽运</w:t>
                  </w:r>
                </w:p>
              </w:tc>
            </w:tr>
            <w:tr w14:paraId="2C8AFC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02" w:type="pct"/>
                  <w:vMerge w:val="continue"/>
                  <w:vAlign w:val="center"/>
                </w:tcPr>
                <w:p w14:paraId="7F4536D9">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lang w:val="en-US" w:eastAsia="zh-CN"/>
                    </w:rPr>
                  </w:pPr>
                </w:p>
              </w:tc>
              <w:tc>
                <w:tcPr>
                  <w:tcW w:w="501" w:type="pct"/>
                  <w:vAlign w:val="center"/>
                </w:tcPr>
                <w:p w14:paraId="195E79C1">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w:t>
                  </w:r>
                </w:p>
              </w:tc>
              <w:tc>
                <w:tcPr>
                  <w:tcW w:w="596" w:type="pct"/>
                  <w:vAlign w:val="center"/>
                </w:tcPr>
                <w:p w14:paraId="48661073">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机油</w:t>
                  </w:r>
                </w:p>
              </w:tc>
              <w:tc>
                <w:tcPr>
                  <w:tcW w:w="940" w:type="pct"/>
                  <w:tcBorders>
                    <w:top w:val="single" w:color="auto" w:sz="4" w:space="0"/>
                  </w:tcBorders>
                  <w:vAlign w:val="center"/>
                </w:tcPr>
                <w:p w14:paraId="3EC71F2C">
                  <w:pPr>
                    <w:pStyle w:val="49"/>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合成矿物油</w:t>
                  </w:r>
                </w:p>
              </w:tc>
              <w:tc>
                <w:tcPr>
                  <w:tcW w:w="1104" w:type="dxa"/>
                  <w:tcBorders>
                    <w:top w:val="single" w:color="auto" w:sz="4" w:space="0"/>
                  </w:tcBorders>
                  <w:vAlign w:val="center"/>
                </w:tcPr>
                <w:p w14:paraId="4D274057">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FF0000"/>
                      <w:sz w:val="21"/>
                      <w:szCs w:val="21"/>
                      <w:shd w:val="clear" w:color="auto" w:fill="FFFFFF"/>
                      <w:lang w:val="en-US" w:eastAsia="zh-CN"/>
                    </w:rPr>
                  </w:pPr>
                  <w:r>
                    <w:rPr>
                      <w:rFonts w:hint="eastAsia" w:ascii="Times New Roman" w:hAnsi="Times New Roman" w:eastAsia="宋体" w:cs="Times New Roman"/>
                      <w:color w:val="FF0000"/>
                      <w:sz w:val="21"/>
                      <w:szCs w:val="21"/>
                      <w:shd w:val="clear" w:color="auto" w:fill="FFFFFF"/>
                      <w:lang w:val="en-US" w:eastAsia="zh-CN"/>
                    </w:rPr>
                    <w:t>1.2</w:t>
                  </w:r>
                </w:p>
              </w:tc>
              <w:tc>
                <w:tcPr>
                  <w:tcW w:w="1054" w:type="dxa"/>
                  <w:tcBorders>
                    <w:top w:val="single" w:color="auto" w:sz="4" w:space="0"/>
                  </w:tcBorders>
                  <w:vAlign w:val="center"/>
                </w:tcPr>
                <w:p w14:paraId="5B769F1B">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FF0000"/>
                      <w:sz w:val="21"/>
                      <w:szCs w:val="21"/>
                      <w:shd w:val="clear" w:color="auto" w:fill="FFFFFF"/>
                      <w:lang w:val="en-US" w:eastAsia="zh-CN"/>
                    </w:rPr>
                  </w:pPr>
                  <w:r>
                    <w:rPr>
                      <w:rFonts w:hint="eastAsia" w:ascii="Times New Roman" w:hAnsi="Times New Roman" w:eastAsia="宋体" w:cs="Times New Roman"/>
                      <w:color w:val="FF0000"/>
                      <w:sz w:val="21"/>
                      <w:szCs w:val="21"/>
                      <w:shd w:val="clear" w:color="auto" w:fill="FFFFFF"/>
                      <w:lang w:val="en-US" w:eastAsia="zh-CN"/>
                    </w:rPr>
                    <w:t>1.2</w:t>
                  </w:r>
                </w:p>
              </w:tc>
              <w:tc>
                <w:tcPr>
                  <w:tcW w:w="436" w:type="pct"/>
                  <w:tcBorders>
                    <w:top w:val="single" w:color="auto" w:sz="4" w:space="0"/>
                  </w:tcBorders>
                  <w:vAlign w:val="center"/>
                </w:tcPr>
                <w:p w14:paraId="27CDEF1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shd w:val="clear" w:color="auto" w:fill="FFFFFF"/>
                      <w:lang w:val="en-US" w:eastAsia="zh-CN"/>
                    </w:rPr>
                  </w:pPr>
                  <w:r>
                    <w:rPr>
                      <w:rFonts w:hint="default" w:ascii="Times New Roman" w:hAnsi="Times New Roman" w:eastAsia="宋体" w:cs="Times New Roman"/>
                      <w:color w:val="FF0000"/>
                      <w:sz w:val="21"/>
                      <w:szCs w:val="21"/>
                      <w:shd w:val="clear" w:color="auto" w:fill="FFFFFF"/>
                      <w:lang w:val="en-US" w:eastAsia="zh-CN"/>
                    </w:rPr>
                    <w:t>+0</w:t>
                  </w:r>
                </w:p>
              </w:tc>
              <w:tc>
                <w:tcPr>
                  <w:tcW w:w="631" w:type="pct"/>
                  <w:tcBorders>
                    <w:top w:val="single" w:color="auto" w:sz="4" w:space="0"/>
                  </w:tcBorders>
                  <w:vAlign w:val="center"/>
                </w:tcPr>
                <w:p w14:paraId="11F54F28">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0.4</w:t>
                  </w:r>
                </w:p>
              </w:tc>
              <w:tc>
                <w:tcPr>
                  <w:tcW w:w="573" w:type="pct"/>
                  <w:tcBorders>
                    <w:top w:val="single" w:color="auto" w:sz="4" w:space="0"/>
                  </w:tcBorders>
                  <w:vAlign w:val="center"/>
                </w:tcPr>
                <w:p w14:paraId="27D651CB">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rPr>
                    <w:t>国内汽运</w:t>
                  </w:r>
                </w:p>
              </w:tc>
            </w:tr>
            <w:tr w14:paraId="273010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02" w:type="pct"/>
                  <w:vMerge w:val="continue"/>
                  <w:vAlign w:val="center"/>
                </w:tcPr>
                <w:p w14:paraId="4C0F5BEC">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lang w:val="en-US" w:eastAsia="zh-CN"/>
                    </w:rPr>
                  </w:pPr>
                </w:p>
              </w:tc>
              <w:tc>
                <w:tcPr>
                  <w:tcW w:w="501" w:type="pct"/>
                  <w:vAlign w:val="center"/>
                </w:tcPr>
                <w:p w14:paraId="4A8B102B">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w:t>
                  </w:r>
                </w:p>
              </w:tc>
              <w:tc>
                <w:tcPr>
                  <w:tcW w:w="596" w:type="pct"/>
                  <w:vAlign w:val="center"/>
                </w:tcPr>
                <w:p w14:paraId="577B4F64">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包装材料</w:t>
                  </w:r>
                </w:p>
              </w:tc>
              <w:tc>
                <w:tcPr>
                  <w:tcW w:w="940" w:type="pct"/>
                  <w:tcBorders>
                    <w:top w:val="single" w:color="auto" w:sz="4" w:space="0"/>
                  </w:tcBorders>
                  <w:vAlign w:val="center"/>
                </w:tcPr>
                <w:p w14:paraId="52A3D6D2">
                  <w:pPr>
                    <w:pStyle w:val="49"/>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塑料</w:t>
                  </w:r>
                </w:p>
              </w:tc>
              <w:tc>
                <w:tcPr>
                  <w:tcW w:w="1104" w:type="dxa"/>
                  <w:tcBorders>
                    <w:top w:val="single" w:color="auto" w:sz="4" w:space="0"/>
                  </w:tcBorders>
                  <w:vAlign w:val="center"/>
                </w:tcPr>
                <w:p w14:paraId="675C722B">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FF0000"/>
                      <w:sz w:val="21"/>
                      <w:szCs w:val="21"/>
                      <w:shd w:val="clear" w:color="auto" w:fill="FFFFFF"/>
                      <w:lang w:val="en-US" w:eastAsia="zh-CN"/>
                    </w:rPr>
                  </w:pPr>
                  <w:r>
                    <w:rPr>
                      <w:rFonts w:hint="eastAsia" w:ascii="Times New Roman" w:hAnsi="Times New Roman" w:eastAsia="宋体" w:cs="Times New Roman"/>
                      <w:color w:val="FF0000"/>
                      <w:sz w:val="21"/>
                      <w:szCs w:val="21"/>
                      <w:shd w:val="clear" w:color="auto" w:fill="FFFFFF"/>
                      <w:lang w:val="en-US" w:eastAsia="zh-CN"/>
                    </w:rPr>
                    <w:t>5</w:t>
                  </w:r>
                </w:p>
              </w:tc>
              <w:tc>
                <w:tcPr>
                  <w:tcW w:w="1054" w:type="dxa"/>
                  <w:tcBorders>
                    <w:top w:val="single" w:color="auto" w:sz="4" w:space="0"/>
                  </w:tcBorders>
                  <w:vAlign w:val="center"/>
                </w:tcPr>
                <w:p w14:paraId="104BB731">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FF0000"/>
                      <w:sz w:val="21"/>
                      <w:szCs w:val="21"/>
                      <w:shd w:val="clear" w:color="auto" w:fill="FFFFFF"/>
                      <w:lang w:val="en-US" w:eastAsia="zh-CN"/>
                    </w:rPr>
                  </w:pPr>
                  <w:r>
                    <w:rPr>
                      <w:rFonts w:hint="eastAsia" w:ascii="Times New Roman" w:hAnsi="Times New Roman" w:eastAsia="宋体" w:cs="Times New Roman"/>
                      <w:color w:val="FF0000"/>
                      <w:sz w:val="21"/>
                      <w:szCs w:val="21"/>
                      <w:shd w:val="clear" w:color="auto" w:fill="FFFFFF"/>
                      <w:lang w:val="en-US" w:eastAsia="zh-CN"/>
                    </w:rPr>
                    <w:t>5</w:t>
                  </w:r>
                </w:p>
              </w:tc>
              <w:tc>
                <w:tcPr>
                  <w:tcW w:w="436" w:type="pct"/>
                  <w:tcBorders>
                    <w:top w:val="single" w:color="auto" w:sz="4" w:space="0"/>
                  </w:tcBorders>
                  <w:vAlign w:val="center"/>
                </w:tcPr>
                <w:p w14:paraId="7E762EE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shd w:val="clear" w:color="auto" w:fill="FFFFFF"/>
                      <w:lang w:val="en-US" w:eastAsia="zh-CN"/>
                    </w:rPr>
                  </w:pPr>
                  <w:r>
                    <w:rPr>
                      <w:rFonts w:hint="default" w:ascii="Times New Roman" w:hAnsi="Times New Roman" w:eastAsia="宋体" w:cs="Times New Roman"/>
                      <w:color w:val="FF0000"/>
                      <w:sz w:val="21"/>
                      <w:szCs w:val="21"/>
                      <w:shd w:val="clear" w:color="auto" w:fill="FFFFFF"/>
                      <w:lang w:val="en-US" w:eastAsia="zh-CN"/>
                    </w:rPr>
                    <w:t>+0</w:t>
                  </w:r>
                </w:p>
              </w:tc>
              <w:tc>
                <w:tcPr>
                  <w:tcW w:w="631" w:type="pct"/>
                  <w:tcBorders>
                    <w:top w:val="single" w:color="auto" w:sz="4" w:space="0"/>
                  </w:tcBorders>
                  <w:vAlign w:val="center"/>
                </w:tcPr>
                <w:p w14:paraId="0518CE9F">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1</w:t>
                  </w:r>
                </w:p>
              </w:tc>
              <w:tc>
                <w:tcPr>
                  <w:tcW w:w="573" w:type="pct"/>
                  <w:tcBorders>
                    <w:top w:val="single" w:color="auto" w:sz="4" w:space="0"/>
                  </w:tcBorders>
                  <w:vAlign w:val="center"/>
                </w:tcPr>
                <w:p w14:paraId="16C89195">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rPr>
                    <w:t>国内汽运</w:t>
                  </w:r>
                </w:p>
              </w:tc>
            </w:tr>
            <w:tr w14:paraId="52B409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02" w:type="pct"/>
                  <w:vMerge w:val="restart"/>
                  <w:vAlign w:val="center"/>
                </w:tcPr>
                <w:p w14:paraId="1B8819DE">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功能性聚烯烃热熔胶扩产项目</w:t>
                  </w:r>
                </w:p>
              </w:tc>
              <w:tc>
                <w:tcPr>
                  <w:tcW w:w="501" w:type="pct"/>
                  <w:vMerge w:val="restart"/>
                  <w:vAlign w:val="center"/>
                </w:tcPr>
                <w:p w14:paraId="2C6BA9E3">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热熔胶（4万t</w:t>
                  </w:r>
                  <w:r>
                    <w:rPr>
                      <w:rFonts w:hint="default" w:ascii="Times New Roman" w:hAnsi="Times New Roman" w:eastAsia="宋体" w:cs="Times New Roman"/>
                      <w:color w:val="auto"/>
                      <w:sz w:val="21"/>
                      <w:szCs w:val="21"/>
                      <w:vertAlign w:val="baseline"/>
                      <w:lang w:val="en-US" w:eastAsia="zh-CN"/>
                    </w:rPr>
                    <w:t>/a</w:t>
                  </w:r>
                  <w:r>
                    <w:rPr>
                      <w:rFonts w:hint="default" w:ascii="Times New Roman" w:hAnsi="Times New Roman" w:eastAsia="宋体" w:cs="Times New Roman"/>
                      <w:color w:val="auto"/>
                      <w:sz w:val="21"/>
                      <w:lang w:val="en-US" w:eastAsia="zh-CN"/>
                    </w:rPr>
                    <w:t>）</w:t>
                  </w:r>
                </w:p>
              </w:tc>
              <w:tc>
                <w:tcPr>
                  <w:tcW w:w="596" w:type="pct"/>
                  <w:vAlign w:val="center"/>
                </w:tcPr>
                <w:p w14:paraId="7713E466">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PE</w:t>
                  </w:r>
                  <w:r>
                    <w:rPr>
                      <w:rFonts w:hint="default" w:ascii="Times New Roman" w:hAnsi="Times New Roman" w:eastAsia="宋体" w:cs="Times New Roman"/>
                      <w:color w:val="auto"/>
                      <w:sz w:val="21"/>
                      <w:szCs w:val="21"/>
                      <w:shd w:val="clear" w:color="auto" w:fill="FFFFFF"/>
                      <w:lang w:val="en-US" w:eastAsia="zh-CN"/>
                    </w:rPr>
                    <w:t>粒子</w:t>
                  </w:r>
                </w:p>
              </w:tc>
              <w:tc>
                <w:tcPr>
                  <w:tcW w:w="940" w:type="pct"/>
                  <w:tcBorders>
                    <w:top w:val="single" w:color="auto" w:sz="4" w:space="0"/>
                  </w:tcBorders>
                  <w:vAlign w:val="center"/>
                </w:tcPr>
                <w:p w14:paraId="28D67AC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w:t>
                  </w:r>
                </w:p>
              </w:tc>
              <w:tc>
                <w:tcPr>
                  <w:tcW w:w="418" w:type="pct"/>
                  <w:tcBorders>
                    <w:top w:val="single" w:color="auto" w:sz="4" w:space="0"/>
                  </w:tcBorders>
                  <w:vAlign w:val="center"/>
                </w:tcPr>
                <w:p w14:paraId="64B501E0">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28000</w:t>
                  </w:r>
                </w:p>
              </w:tc>
              <w:tc>
                <w:tcPr>
                  <w:tcW w:w="399" w:type="pct"/>
                  <w:tcBorders>
                    <w:top w:val="single" w:color="auto" w:sz="4" w:space="0"/>
                  </w:tcBorders>
                  <w:vAlign w:val="center"/>
                </w:tcPr>
                <w:p w14:paraId="0BF0F76F">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28000</w:t>
                  </w:r>
                </w:p>
              </w:tc>
              <w:tc>
                <w:tcPr>
                  <w:tcW w:w="436" w:type="pct"/>
                  <w:tcBorders>
                    <w:top w:val="single" w:color="auto" w:sz="4" w:space="0"/>
                  </w:tcBorders>
                  <w:vAlign w:val="center"/>
                </w:tcPr>
                <w:p w14:paraId="7E41A21D">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+0</w:t>
                  </w:r>
                </w:p>
              </w:tc>
              <w:tc>
                <w:tcPr>
                  <w:tcW w:w="631" w:type="pct"/>
                  <w:tcBorders>
                    <w:top w:val="single" w:color="auto" w:sz="4" w:space="0"/>
                  </w:tcBorders>
                  <w:vAlign w:val="center"/>
                </w:tcPr>
                <w:p w14:paraId="316DF573">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1000</w:t>
                  </w:r>
                </w:p>
              </w:tc>
              <w:tc>
                <w:tcPr>
                  <w:tcW w:w="573" w:type="pct"/>
                  <w:tcBorders>
                    <w:top w:val="single" w:color="auto" w:sz="4" w:space="0"/>
                  </w:tcBorders>
                  <w:vAlign w:val="center"/>
                </w:tcPr>
                <w:p w14:paraId="6FB2B2F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国内、汽运</w:t>
                  </w:r>
                </w:p>
              </w:tc>
            </w:tr>
            <w:tr w14:paraId="53C1F9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02" w:type="pct"/>
                  <w:vMerge w:val="continue"/>
                  <w:vAlign w:val="center"/>
                </w:tcPr>
                <w:p w14:paraId="4ECCF0D9">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lang w:val="en-US" w:eastAsia="zh-CN"/>
                    </w:rPr>
                  </w:pPr>
                </w:p>
              </w:tc>
              <w:tc>
                <w:tcPr>
                  <w:tcW w:w="501" w:type="pct"/>
                  <w:vMerge w:val="continue"/>
                  <w:vAlign w:val="center"/>
                </w:tcPr>
                <w:p w14:paraId="384642D4">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lang w:val="en-US" w:eastAsia="zh-CN"/>
                    </w:rPr>
                  </w:pPr>
                </w:p>
              </w:tc>
              <w:tc>
                <w:tcPr>
                  <w:tcW w:w="596" w:type="pct"/>
                  <w:vAlign w:val="center"/>
                </w:tcPr>
                <w:p w14:paraId="51FA2B32">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PP</w:t>
                  </w:r>
                  <w:r>
                    <w:rPr>
                      <w:rFonts w:hint="default" w:ascii="Times New Roman" w:hAnsi="Times New Roman" w:eastAsia="宋体" w:cs="Times New Roman"/>
                      <w:color w:val="auto"/>
                      <w:sz w:val="21"/>
                      <w:szCs w:val="21"/>
                      <w:shd w:val="clear" w:color="auto" w:fill="FFFFFF"/>
                      <w:lang w:val="en-US" w:eastAsia="zh-CN"/>
                    </w:rPr>
                    <w:t>粒子</w:t>
                  </w:r>
                </w:p>
              </w:tc>
              <w:tc>
                <w:tcPr>
                  <w:tcW w:w="940" w:type="pct"/>
                  <w:tcBorders>
                    <w:top w:val="single" w:color="auto" w:sz="4" w:space="0"/>
                  </w:tcBorders>
                  <w:vAlign w:val="center"/>
                </w:tcPr>
                <w:p w14:paraId="7E0B95D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w:t>
                  </w:r>
                </w:p>
              </w:tc>
              <w:tc>
                <w:tcPr>
                  <w:tcW w:w="418" w:type="pct"/>
                  <w:tcBorders>
                    <w:top w:val="single" w:color="auto" w:sz="4" w:space="0"/>
                  </w:tcBorders>
                  <w:vAlign w:val="center"/>
                </w:tcPr>
                <w:p w14:paraId="72575F57">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4000</w:t>
                  </w:r>
                </w:p>
              </w:tc>
              <w:tc>
                <w:tcPr>
                  <w:tcW w:w="399" w:type="pct"/>
                  <w:tcBorders>
                    <w:top w:val="single" w:color="auto" w:sz="4" w:space="0"/>
                  </w:tcBorders>
                  <w:vAlign w:val="center"/>
                </w:tcPr>
                <w:p w14:paraId="09C00D2D">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4000</w:t>
                  </w:r>
                </w:p>
              </w:tc>
              <w:tc>
                <w:tcPr>
                  <w:tcW w:w="436" w:type="pct"/>
                  <w:tcBorders>
                    <w:top w:val="single" w:color="auto" w:sz="4" w:space="0"/>
                  </w:tcBorders>
                  <w:vAlign w:val="center"/>
                </w:tcPr>
                <w:p w14:paraId="105F8D12">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+0</w:t>
                  </w:r>
                </w:p>
              </w:tc>
              <w:tc>
                <w:tcPr>
                  <w:tcW w:w="631" w:type="pct"/>
                  <w:tcBorders>
                    <w:top w:val="single" w:color="auto" w:sz="4" w:space="0"/>
                  </w:tcBorders>
                  <w:vAlign w:val="center"/>
                </w:tcPr>
                <w:p w14:paraId="679D42D8">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400</w:t>
                  </w:r>
                </w:p>
              </w:tc>
              <w:tc>
                <w:tcPr>
                  <w:tcW w:w="573" w:type="pct"/>
                  <w:tcBorders>
                    <w:top w:val="single" w:color="auto" w:sz="4" w:space="0"/>
                  </w:tcBorders>
                  <w:vAlign w:val="center"/>
                </w:tcPr>
                <w:p w14:paraId="2E46F9D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国内、汽运</w:t>
                  </w:r>
                </w:p>
              </w:tc>
            </w:tr>
            <w:tr w14:paraId="16A5FB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02" w:type="pct"/>
                  <w:vMerge w:val="continue"/>
                  <w:vAlign w:val="center"/>
                </w:tcPr>
                <w:p w14:paraId="5B638FB9">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lang w:val="en-US" w:eastAsia="zh-CN"/>
                    </w:rPr>
                  </w:pPr>
                </w:p>
              </w:tc>
              <w:tc>
                <w:tcPr>
                  <w:tcW w:w="501" w:type="pct"/>
                  <w:vMerge w:val="continue"/>
                  <w:vAlign w:val="center"/>
                </w:tcPr>
                <w:p w14:paraId="2F5715AE">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lang w:val="en-US" w:eastAsia="zh-CN"/>
                    </w:rPr>
                  </w:pPr>
                </w:p>
              </w:tc>
              <w:tc>
                <w:tcPr>
                  <w:tcW w:w="596" w:type="pct"/>
                  <w:vAlign w:val="center"/>
                </w:tcPr>
                <w:p w14:paraId="04416227">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POE</w:t>
                  </w:r>
                  <w:r>
                    <w:rPr>
                      <w:rFonts w:hint="default" w:ascii="Times New Roman" w:hAnsi="Times New Roman" w:eastAsia="宋体" w:cs="Times New Roman"/>
                      <w:color w:val="auto"/>
                      <w:sz w:val="21"/>
                      <w:szCs w:val="21"/>
                      <w:shd w:val="clear" w:color="auto" w:fill="FFFFFF"/>
                      <w:lang w:val="en-US" w:eastAsia="zh-CN"/>
                    </w:rPr>
                    <w:t>粒子</w:t>
                  </w:r>
                </w:p>
              </w:tc>
              <w:tc>
                <w:tcPr>
                  <w:tcW w:w="940" w:type="pct"/>
                  <w:tcBorders>
                    <w:top w:val="single" w:color="auto" w:sz="4" w:space="0"/>
                  </w:tcBorders>
                  <w:vAlign w:val="center"/>
                </w:tcPr>
                <w:p w14:paraId="27CACFB4">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zCs w:val="21"/>
                      <w:shd w:val="clear" w:color="auto" w:fill="FFFFFF"/>
                      <w:lang w:val="en-US" w:eastAsia="zh-CN"/>
                    </w:rPr>
                    <w:t>聚乙烯辛烯共弹性体</w:t>
                  </w:r>
                </w:p>
              </w:tc>
              <w:tc>
                <w:tcPr>
                  <w:tcW w:w="418" w:type="pct"/>
                  <w:tcBorders>
                    <w:top w:val="single" w:color="auto" w:sz="4" w:space="0"/>
                  </w:tcBorders>
                  <w:vAlign w:val="center"/>
                </w:tcPr>
                <w:p w14:paraId="65442D32">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4000</w:t>
                  </w:r>
                </w:p>
              </w:tc>
              <w:tc>
                <w:tcPr>
                  <w:tcW w:w="399" w:type="pct"/>
                  <w:tcBorders>
                    <w:top w:val="single" w:color="auto" w:sz="4" w:space="0"/>
                  </w:tcBorders>
                  <w:vAlign w:val="center"/>
                </w:tcPr>
                <w:p w14:paraId="6662DC56">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4000</w:t>
                  </w:r>
                </w:p>
              </w:tc>
              <w:tc>
                <w:tcPr>
                  <w:tcW w:w="436" w:type="pct"/>
                  <w:tcBorders>
                    <w:top w:val="single" w:color="auto" w:sz="4" w:space="0"/>
                  </w:tcBorders>
                  <w:vAlign w:val="center"/>
                </w:tcPr>
                <w:p w14:paraId="47D41164">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+0</w:t>
                  </w:r>
                </w:p>
              </w:tc>
              <w:tc>
                <w:tcPr>
                  <w:tcW w:w="631" w:type="pct"/>
                  <w:tcBorders>
                    <w:top w:val="single" w:color="auto" w:sz="4" w:space="0"/>
                  </w:tcBorders>
                  <w:vAlign w:val="center"/>
                </w:tcPr>
                <w:p w14:paraId="7567A9D4">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400</w:t>
                  </w:r>
                </w:p>
              </w:tc>
              <w:tc>
                <w:tcPr>
                  <w:tcW w:w="573" w:type="pct"/>
                  <w:tcBorders>
                    <w:top w:val="single" w:color="auto" w:sz="4" w:space="0"/>
                  </w:tcBorders>
                  <w:vAlign w:val="center"/>
                </w:tcPr>
                <w:p w14:paraId="208E9D4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国内、汽运</w:t>
                  </w:r>
                </w:p>
              </w:tc>
            </w:tr>
            <w:tr w14:paraId="1C849D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02" w:type="pct"/>
                  <w:vMerge w:val="continue"/>
                  <w:vAlign w:val="center"/>
                </w:tcPr>
                <w:p w14:paraId="1092EDA5">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lang w:val="en-US" w:eastAsia="zh-CN"/>
                    </w:rPr>
                  </w:pPr>
                </w:p>
              </w:tc>
              <w:tc>
                <w:tcPr>
                  <w:tcW w:w="501" w:type="pct"/>
                  <w:vMerge w:val="continue"/>
                  <w:vAlign w:val="center"/>
                </w:tcPr>
                <w:p w14:paraId="4CA4C349">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lang w:val="en-US" w:eastAsia="zh-CN"/>
                    </w:rPr>
                  </w:pPr>
                </w:p>
              </w:tc>
              <w:tc>
                <w:tcPr>
                  <w:tcW w:w="596" w:type="pct"/>
                  <w:vAlign w:val="center"/>
                </w:tcPr>
                <w:p w14:paraId="71DA411D">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zCs w:val="21"/>
                      <w:shd w:val="clear" w:color="auto" w:fill="FFFFFF"/>
                      <w:lang w:val="en-US" w:eastAsia="zh-CN"/>
                    </w:rPr>
                    <w:t>EVA粒子</w:t>
                  </w:r>
                </w:p>
              </w:tc>
              <w:tc>
                <w:tcPr>
                  <w:tcW w:w="940" w:type="pct"/>
                  <w:tcBorders>
                    <w:top w:val="single" w:color="auto" w:sz="4" w:space="0"/>
                  </w:tcBorders>
                  <w:vAlign w:val="center"/>
                </w:tcPr>
                <w:p w14:paraId="7BBDB04D">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zCs w:val="21"/>
                      <w:shd w:val="clear" w:color="auto" w:fill="FFFFFF"/>
                      <w:lang w:val="en-US" w:eastAsia="zh-CN"/>
                    </w:rPr>
                    <w:t>乙烯-醋酸乙烯酯共聚物</w:t>
                  </w:r>
                </w:p>
              </w:tc>
              <w:tc>
                <w:tcPr>
                  <w:tcW w:w="418" w:type="pct"/>
                  <w:tcBorders>
                    <w:top w:val="single" w:color="auto" w:sz="4" w:space="0"/>
                  </w:tcBorders>
                  <w:vAlign w:val="center"/>
                </w:tcPr>
                <w:p w14:paraId="163EF7FB">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4000</w:t>
                  </w:r>
                </w:p>
              </w:tc>
              <w:tc>
                <w:tcPr>
                  <w:tcW w:w="399" w:type="pct"/>
                  <w:tcBorders>
                    <w:top w:val="single" w:color="auto" w:sz="4" w:space="0"/>
                  </w:tcBorders>
                  <w:vAlign w:val="center"/>
                </w:tcPr>
                <w:p w14:paraId="304D9A3E">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4000</w:t>
                  </w:r>
                </w:p>
              </w:tc>
              <w:tc>
                <w:tcPr>
                  <w:tcW w:w="436" w:type="pct"/>
                  <w:tcBorders>
                    <w:top w:val="single" w:color="auto" w:sz="4" w:space="0"/>
                  </w:tcBorders>
                  <w:vAlign w:val="center"/>
                </w:tcPr>
                <w:p w14:paraId="7C401BCE">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+0</w:t>
                  </w:r>
                </w:p>
              </w:tc>
              <w:tc>
                <w:tcPr>
                  <w:tcW w:w="631" w:type="pct"/>
                  <w:tcBorders>
                    <w:top w:val="single" w:color="auto" w:sz="4" w:space="0"/>
                  </w:tcBorders>
                  <w:vAlign w:val="center"/>
                </w:tcPr>
                <w:p w14:paraId="4B0225B6">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400</w:t>
                  </w:r>
                </w:p>
              </w:tc>
              <w:tc>
                <w:tcPr>
                  <w:tcW w:w="573" w:type="pct"/>
                  <w:tcBorders>
                    <w:top w:val="single" w:color="auto" w:sz="4" w:space="0"/>
                  </w:tcBorders>
                  <w:vAlign w:val="center"/>
                </w:tcPr>
                <w:p w14:paraId="2749F0C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国内、汽运</w:t>
                  </w:r>
                </w:p>
              </w:tc>
            </w:tr>
            <w:tr w14:paraId="1E1EE6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02" w:type="pct"/>
                  <w:vMerge w:val="restart"/>
                  <w:vAlign w:val="center"/>
                </w:tcPr>
                <w:p w14:paraId="013DF5A8">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太阳能电池封装胶膜扩产项目</w:t>
                  </w:r>
                </w:p>
              </w:tc>
              <w:tc>
                <w:tcPr>
                  <w:tcW w:w="501" w:type="pct"/>
                  <w:vMerge w:val="restart"/>
                  <w:vAlign w:val="center"/>
                </w:tcPr>
                <w:p w14:paraId="3C169A19">
                  <w:pPr>
                    <w:pStyle w:val="49"/>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kern w:val="2"/>
                      <w:sz w:val="21"/>
                      <w:szCs w:val="21"/>
                      <w:lang w:val="en-US" w:eastAsia="zh-CN"/>
                    </w:rPr>
                    <w:t>EVA胶膜</w:t>
                  </w:r>
                  <w:r>
                    <w:rPr>
                      <w:rFonts w:hint="default" w:ascii="Times New Roman" w:hAnsi="Times New Roman" w:eastAsia="宋体" w:cs="Times New Roman"/>
                      <w:color w:val="auto"/>
                      <w:sz w:val="21"/>
                      <w:lang w:val="en-US" w:eastAsia="zh-CN"/>
                    </w:rPr>
                    <w:t>（</w:t>
                  </w:r>
                  <w:r>
                    <w:rPr>
                      <w:rFonts w:hint="default" w:ascii="Times New Roman" w:hAnsi="Times New Roman" w:eastAsia="宋体" w:cs="Times New Roman"/>
                      <w:color w:val="auto"/>
                      <w:sz w:val="21"/>
                      <w:szCs w:val="21"/>
                      <w:lang w:val="en-US" w:eastAsia="zh-CN"/>
                    </w:rPr>
                    <w:t>9000万m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vertAlign w:val="baseline"/>
                      <w:lang w:val="en-US" w:eastAsia="zh-CN"/>
                    </w:rPr>
                    <w:t>/a</w:t>
                  </w:r>
                  <w:r>
                    <w:rPr>
                      <w:rFonts w:hint="default" w:ascii="Times New Roman" w:hAnsi="Times New Roman" w:eastAsia="宋体" w:cs="Times New Roman"/>
                      <w:color w:val="auto"/>
                      <w:sz w:val="21"/>
                      <w:lang w:val="en-US" w:eastAsia="zh-CN"/>
                    </w:rPr>
                    <w:t>）</w:t>
                  </w:r>
                </w:p>
              </w:tc>
              <w:tc>
                <w:tcPr>
                  <w:tcW w:w="596" w:type="pct"/>
                  <w:vAlign w:val="center"/>
                </w:tcPr>
                <w:p w14:paraId="0C15F6EB">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zCs w:val="21"/>
                      <w:shd w:val="clear" w:color="auto" w:fill="FFFFFF"/>
                      <w:lang w:val="en-US" w:eastAsia="zh-CN"/>
                    </w:rPr>
                    <w:t>EVA粒子</w:t>
                  </w:r>
                </w:p>
              </w:tc>
              <w:tc>
                <w:tcPr>
                  <w:tcW w:w="940" w:type="pct"/>
                  <w:tcBorders>
                    <w:top w:val="single" w:color="auto" w:sz="4" w:space="0"/>
                  </w:tcBorders>
                  <w:vAlign w:val="center"/>
                </w:tcPr>
                <w:p w14:paraId="213632BE">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zCs w:val="21"/>
                      <w:shd w:val="clear" w:color="auto" w:fill="FFFFFF"/>
                      <w:lang w:val="en-US" w:eastAsia="zh-CN"/>
                    </w:rPr>
                    <w:t>乙烯-醋酸乙烯酯共聚物</w:t>
                  </w:r>
                </w:p>
              </w:tc>
              <w:tc>
                <w:tcPr>
                  <w:tcW w:w="418" w:type="pct"/>
                  <w:tcBorders>
                    <w:top w:val="single" w:color="auto" w:sz="4" w:space="0"/>
                  </w:tcBorders>
                  <w:vAlign w:val="center"/>
                </w:tcPr>
                <w:p w14:paraId="70CB59C3">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35316</w:t>
                  </w:r>
                </w:p>
              </w:tc>
              <w:tc>
                <w:tcPr>
                  <w:tcW w:w="399" w:type="pct"/>
                  <w:tcBorders>
                    <w:top w:val="single" w:color="auto" w:sz="4" w:space="0"/>
                  </w:tcBorders>
                  <w:vAlign w:val="center"/>
                </w:tcPr>
                <w:p w14:paraId="30CFC3E9">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35316</w:t>
                  </w:r>
                </w:p>
              </w:tc>
              <w:tc>
                <w:tcPr>
                  <w:tcW w:w="436" w:type="pct"/>
                  <w:tcBorders>
                    <w:top w:val="single" w:color="auto" w:sz="4" w:space="0"/>
                  </w:tcBorders>
                  <w:vAlign w:val="center"/>
                </w:tcPr>
                <w:p w14:paraId="56B89933">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+0</w:t>
                  </w:r>
                </w:p>
              </w:tc>
              <w:tc>
                <w:tcPr>
                  <w:tcW w:w="631" w:type="pct"/>
                  <w:tcBorders>
                    <w:top w:val="single" w:color="auto" w:sz="4" w:space="0"/>
                  </w:tcBorders>
                  <w:vAlign w:val="center"/>
                </w:tcPr>
                <w:p w14:paraId="4C65B233">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1000</w:t>
                  </w:r>
                </w:p>
              </w:tc>
              <w:tc>
                <w:tcPr>
                  <w:tcW w:w="573" w:type="pct"/>
                  <w:tcBorders>
                    <w:top w:val="single" w:color="auto" w:sz="4" w:space="0"/>
                  </w:tcBorders>
                  <w:vAlign w:val="center"/>
                </w:tcPr>
                <w:p w14:paraId="13BED48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国内、汽运</w:t>
                  </w:r>
                </w:p>
              </w:tc>
            </w:tr>
            <w:tr w14:paraId="6D7A26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02" w:type="pct"/>
                  <w:vMerge w:val="continue"/>
                  <w:vAlign w:val="center"/>
                </w:tcPr>
                <w:p w14:paraId="4DC63396">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p>
              </w:tc>
              <w:tc>
                <w:tcPr>
                  <w:tcW w:w="501" w:type="pct"/>
                  <w:vMerge w:val="continue"/>
                  <w:vAlign w:val="center"/>
                </w:tcPr>
                <w:p w14:paraId="6E86A1D3">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p>
              </w:tc>
              <w:tc>
                <w:tcPr>
                  <w:tcW w:w="596" w:type="pct"/>
                  <w:vAlign w:val="center"/>
                </w:tcPr>
                <w:p w14:paraId="6FEF501F">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zCs w:val="21"/>
                      <w:shd w:val="clear" w:color="auto" w:fill="FFFFFF"/>
                      <w:lang w:val="en-US" w:eastAsia="zh-CN"/>
                    </w:rPr>
                    <w:t>助交联剂</w:t>
                  </w:r>
                </w:p>
              </w:tc>
              <w:tc>
                <w:tcPr>
                  <w:tcW w:w="940" w:type="pct"/>
                  <w:tcBorders>
                    <w:top w:val="single" w:color="auto" w:sz="4" w:space="0"/>
                  </w:tcBorders>
                  <w:vAlign w:val="center"/>
                </w:tcPr>
                <w:p w14:paraId="6AB0DA59">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zCs w:val="21"/>
                      <w:shd w:val="clear" w:color="auto" w:fill="FFFFFF"/>
                      <w:lang w:val="en-US" w:eastAsia="zh-CN"/>
                    </w:rPr>
                    <w:t>有机过氧化物</w:t>
                  </w:r>
                </w:p>
              </w:tc>
              <w:tc>
                <w:tcPr>
                  <w:tcW w:w="418" w:type="pct"/>
                  <w:tcBorders>
                    <w:top w:val="single" w:color="auto" w:sz="4" w:space="0"/>
                  </w:tcBorders>
                  <w:vAlign w:val="center"/>
                </w:tcPr>
                <w:p w14:paraId="24F61F61">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 xml:space="preserve">207 </w:t>
                  </w:r>
                </w:p>
              </w:tc>
              <w:tc>
                <w:tcPr>
                  <w:tcW w:w="399" w:type="pct"/>
                  <w:tcBorders>
                    <w:top w:val="single" w:color="auto" w:sz="4" w:space="0"/>
                  </w:tcBorders>
                  <w:vAlign w:val="center"/>
                </w:tcPr>
                <w:p w14:paraId="0EBF73BD">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 xml:space="preserve">207 </w:t>
                  </w:r>
                </w:p>
              </w:tc>
              <w:tc>
                <w:tcPr>
                  <w:tcW w:w="436" w:type="pct"/>
                  <w:tcBorders>
                    <w:top w:val="single" w:color="auto" w:sz="4" w:space="0"/>
                  </w:tcBorders>
                  <w:vAlign w:val="center"/>
                </w:tcPr>
                <w:p w14:paraId="1405350A">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+0</w:t>
                  </w:r>
                </w:p>
              </w:tc>
              <w:tc>
                <w:tcPr>
                  <w:tcW w:w="631" w:type="pct"/>
                  <w:tcBorders>
                    <w:top w:val="single" w:color="auto" w:sz="4" w:space="0"/>
                  </w:tcBorders>
                  <w:vAlign w:val="center"/>
                </w:tcPr>
                <w:p w14:paraId="136CC12C">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40</w:t>
                  </w:r>
                </w:p>
              </w:tc>
              <w:tc>
                <w:tcPr>
                  <w:tcW w:w="573" w:type="pct"/>
                  <w:tcBorders>
                    <w:top w:val="single" w:color="auto" w:sz="4" w:space="0"/>
                  </w:tcBorders>
                  <w:vAlign w:val="center"/>
                </w:tcPr>
                <w:p w14:paraId="301135C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国内、汽运</w:t>
                  </w:r>
                </w:p>
              </w:tc>
            </w:tr>
            <w:tr w14:paraId="181B46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02" w:type="pct"/>
                  <w:vMerge w:val="continue"/>
                  <w:vAlign w:val="center"/>
                </w:tcPr>
                <w:p w14:paraId="66B5AB6E">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p>
              </w:tc>
              <w:tc>
                <w:tcPr>
                  <w:tcW w:w="501" w:type="pct"/>
                  <w:vMerge w:val="continue"/>
                  <w:vAlign w:val="center"/>
                </w:tcPr>
                <w:p w14:paraId="3099AD00">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p>
              </w:tc>
              <w:tc>
                <w:tcPr>
                  <w:tcW w:w="596" w:type="pct"/>
                  <w:vAlign w:val="center"/>
                </w:tcPr>
                <w:p w14:paraId="04A7B604">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zCs w:val="21"/>
                      <w:shd w:val="clear" w:color="auto" w:fill="FFFFFF"/>
                      <w:lang w:val="en-US" w:eastAsia="zh-CN"/>
                    </w:rPr>
                    <w:t>硅烷</w:t>
                  </w:r>
                </w:p>
              </w:tc>
              <w:tc>
                <w:tcPr>
                  <w:tcW w:w="940" w:type="pct"/>
                  <w:tcBorders>
                    <w:top w:val="single" w:color="auto" w:sz="4" w:space="0"/>
                  </w:tcBorders>
                  <w:vAlign w:val="center"/>
                </w:tcPr>
                <w:p w14:paraId="13364EF3">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zCs w:val="21"/>
                      <w:shd w:val="clear" w:color="auto" w:fill="FFFFFF"/>
                      <w:lang w:val="en-US" w:eastAsia="zh-CN"/>
                    </w:rPr>
                    <w:t>硅氧烷化合物</w:t>
                  </w:r>
                </w:p>
              </w:tc>
              <w:tc>
                <w:tcPr>
                  <w:tcW w:w="418" w:type="pct"/>
                  <w:tcBorders>
                    <w:top w:val="single" w:color="auto" w:sz="4" w:space="0"/>
                  </w:tcBorders>
                  <w:vAlign w:val="center"/>
                </w:tcPr>
                <w:p w14:paraId="29AD7636">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81</w:t>
                  </w:r>
                </w:p>
              </w:tc>
              <w:tc>
                <w:tcPr>
                  <w:tcW w:w="399" w:type="pct"/>
                  <w:tcBorders>
                    <w:top w:val="single" w:color="auto" w:sz="4" w:space="0"/>
                  </w:tcBorders>
                  <w:vAlign w:val="center"/>
                </w:tcPr>
                <w:p w14:paraId="639030E1">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81</w:t>
                  </w:r>
                </w:p>
              </w:tc>
              <w:tc>
                <w:tcPr>
                  <w:tcW w:w="436" w:type="pct"/>
                  <w:tcBorders>
                    <w:top w:val="single" w:color="auto" w:sz="4" w:space="0"/>
                  </w:tcBorders>
                  <w:vAlign w:val="center"/>
                </w:tcPr>
                <w:p w14:paraId="053E066B">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+0</w:t>
                  </w:r>
                </w:p>
              </w:tc>
              <w:tc>
                <w:tcPr>
                  <w:tcW w:w="631" w:type="pct"/>
                  <w:tcBorders>
                    <w:top w:val="single" w:color="auto" w:sz="4" w:space="0"/>
                  </w:tcBorders>
                  <w:vAlign w:val="center"/>
                </w:tcPr>
                <w:p w14:paraId="757FBF1E">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20</w:t>
                  </w:r>
                </w:p>
              </w:tc>
              <w:tc>
                <w:tcPr>
                  <w:tcW w:w="573" w:type="pct"/>
                  <w:tcBorders>
                    <w:top w:val="single" w:color="auto" w:sz="4" w:space="0"/>
                  </w:tcBorders>
                  <w:vAlign w:val="center"/>
                </w:tcPr>
                <w:p w14:paraId="082BC65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国内、汽运</w:t>
                  </w:r>
                </w:p>
              </w:tc>
            </w:tr>
            <w:tr w14:paraId="48144B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02" w:type="pct"/>
                  <w:vMerge w:val="continue"/>
                  <w:vAlign w:val="center"/>
                </w:tcPr>
                <w:p w14:paraId="68520056">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p>
              </w:tc>
              <w:tc>
                <w:tcPr>
                  <w:tcW w:w="501" w:type="pct"/>
                  <w:vMerge w:val="continue"/>
                  <w:vAlign w:val="center"/>
                </w:tcPr>
                <w:p w14:paraId="6B7ADE68">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p>
              </w:tc>
              <w:tc>
                <w:tcPr>
                  <w:tcW w:w="596" w:type="pct"/>
                  <w:vAlign w:val="center"/>
                </w:tcPr>
                <w:p w14:paraId="4B3E5002">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zCs w:val="21"/>
                      <w:shd w:val="clear" w:color="auto" w:fill="FFFFFF"/>
                      <w:lang w:val="en-US" w:eastAsia="zh-CN"/>
                    </w:rPr>
                    <w:t>光稳定剂</w:t>
                  </w:r>
                </w:p>
              </w:tc>
              <w:tc>
                <w:tcPr>
                  <w:tcW w:w="940" w:type="pct"/>
                  <w:tcBorders>
                    <w:top w:val="single" w:color="auto" w:sz="4" w:space="0"/>
                  </w:tcBorders>
                  <w:vAlign w:val="center"/>
                </w:tcPr>
                <w:p w14:paraId="45D7561E">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zCs w:val="21"/>
                      <w:shd w:val="clear" w:color="auto" w:fill="FFFFFF"/>
                      <w:lang w:val="en-US" w:eastAsia="zh-CN"/>
                    </w:rPr>
                    <w:t>受阻胺化合物</w:t>
                  </w:r>
                </w:p>
              </w:tc>
              <w:tc>
                <w:tcPr>
                  <w:tcW w:w="418" w:type="pct"/>
                  <w:tcBorders>
                    <w:top w:val="single" w:color="auto" w:sz="4" w:space="0"/>
                  </w:tcBorders>
                  <w:vAlign w:val="center"/>
                </w:tcPr>
                <w:p w14:paraId="3F83495E">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 xml:space="preserve">45 </w:t>
                  </w:r>
                </w:p>
              </w:tc>
              <w:tc>
                <w:tcPr>
                  <w:tcW w:w="399" w:type="pct"/>
                  <w:tcBorders>
                    <w:top w:val="single" w:color="auto" w:sz="4" w:space="0"/>
                  </w:tcBorders>
                  <w:vAlign w:val="center"/>
                </w:tcPr>
                <w:p w14:paraId="4A79A675">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 xml:space="preserve">45 </w:t>
                  </w:r>
                </w:p>
              </w:tc>
              <w:tc>
                <w:tcPr>
                  <w:tcW w:w="436" w:type="pct"/>
                  <w:tcBorders>
                    <w:top w:val="single" w:color="auto" w:sz="4" w:space="0"/>
                  </w:tcBorders>
                  <w:vAlign w:val="center"/>
                </w:tcPr>
                <w:p w14:paraId="54C5A930">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+0</w:t>
                  </w:r>
                </w:p>
              </w:tc>
              <w:tc>
                <w:tcPr>
                  <w:tcW w:w="631" w:type="pct"/>
                  <w:tcBorders>
                    <w:top w:val="single" w:color="auto" w:sz="4" w:space="0"/>
                  </w:tcBorders>
                  <w:vAlign w:val="center"/>
                </w:tcPr>
                <w:p w14:paraId="6FD81CAF">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20</w:t>
                  </w:r>
                </w:p>
              </w:tc>
              <w:tc>
                <w:tcPr>
                  <w:tcW w:w="573" w:type="pct"/>
                  <w:tcBorders>
                    <w:top w:val="single" w:color="auto" w:sz="4" w:space="0"/>
                  </w:tcBorders>
                  <w:vAlign w:val="center"/>
                </w:tcPr>
                <w:p w14:paraId="141014C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国内、汽运</w:t>
                  </w:r>
                </w:p>
              </w:tc>
            </w:tr>
            <w:tr w14:paraId="3C1DB9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02" w:type="pct"/>
                  <w:vMerge w:val="continue"/>
                  <w:vAlign w:val="center"/>
                </w:tcPr>
                <w:p w14:paraId="419058AA">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p>
              </w:tc>
              <w:tc>
                <w:tcPr>
                  <w:tcW w:w="501" w:type="pct"/>
                  <w:vMerge w:val="restart"/>
                  <w:vAlign w:val="center"/>
                </w:tcPr>
                <w:p w14:paraId="52BC9874">
                  <w:pPr>
                    <w:pStyle w:val="49"/>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kern w:val="2"/>
                      <w:sz w:val="21"/>
                      <w:szCs w:val="21"/>
                      <w:lang w:val="en-US" w:eastAsia="zh-CN"/>
                    </w:rPr>
                    <w:t>POE胶膜</w:t>
                  </w:r>
                  <w:r>
                    <w:rPr>
                      <w:rFonts w:hint="default" w:ascii="Times New Roman" w:hAnsi="Times New Roman" w:eastAsia="宋体" w:cs="Times New Roman"/>
                      <w:color w:val="auto"/>
                      <w:sz w:val="21"/>
                      <w:lang w:val="en-US" w:eastAsia="zh-CN"/>
                    </w:rPr>
                    <w:t>（</w:t>
                  </w:r>
                  <w:r>
                    <w:rPr>
                      <w:rFonts w:hint="default" w:ascii="Times New Roman" w:hAnsi="Times New Roman" w:eastAsia="宋体" w:cs="Times New Roman"/>
                      <w:color w:val="auto"/>
                      <w:sz w:val="21"/>
                      <w:szCs w:val="21"/>
                      <w:lang w:val="en-US" w:eastAsia="zh-CN"/>
                    </w:rPr>
                    <w:t>9000万m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vertAlign w:val="baseline"/>
                      <w:lang w:val="en-US" w:eastAsia="zh-CN"/>
                    </w:rPr>
                    <w:t>/a</w:t>
                  </w:r>
                  <w:r>
                    <w:rPr>
                      <w:rFonts w:hint="default" w:ascii="Times New Roman" w:hAnsi="Times New Roman" w:eastAsia="宋体" w:cs="Times New Roman"/>
                      <w:color w:val="auto"/>
                      <w:sz w:val="21"/>
                      <w:lang w:val="en-US" w:eastAsia="zh-CN"/>
                    </w:rPr>
                    <w:t>）</w:t>
                  </w:r>
                </w:p>
              </w:tc>
              <w:tc>
                <w:tcPr>
                  <w:tcW w:w="596" w:type="pct"/>
                  <w:vAlign w:val="center"/>
                </w:tcPr>
                <w:p w14:paraId="0726D627">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zCs w:val="21"/>
                      <w:shd w:val="clear" w:color="auto" w:fill="FFFFFF"/>
                      <w:lang w:val="en-US" w:eastAsia="zh-CN"/>
                    </w:rPr>
                    <w:t>金红石型钛白粉</w:t>
                  </w:r>
                </w:p>
              </w:tc>
              <w:tc>
                <w:tcPr>
                  <w:tcW w:w="940" w:type="pct"/>
                  <w:tcBorders>
                    <w:top w:val="single" w:color="auto" w:sz="4" w:space="0"/>
                  </w:tcBorders>
                  <w:vAlign w:val="center"/>
                </w:tcPr>
                <w:p w14:paraId="2FD48DE4">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zCs w:val="21"/>
                      <w:shd w:val="clear" w:color="auto" w:fill="FFFFFF"/>
                      <w:lang w:val="en-US" w:eastAsia="zh-CN"/>
                    </w:rPr>
                    <w:t>/</w:t>
                  </w:r>
                </w:p>
              </w:tc>
              <w:tc>
                <w:tcPr>
                  <w:tcW w:w="418" w:type="pct"/>
                  <w:tcBorders>
                    <w:top w:val="single" w:color="auto" w:sz="4" w:space="0"/>
                  </w:tcBorders>
                  <w:vAlign w:val="center"/>
                </w:tcPr>
                <w:p w14:paraId="57CEA349">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5652</w:t>
                  </w:r>
                </w:p>
              </w:tc>
              <w:tc>
                <w:tcPr>
                  <w:tcW w:w="399" w:type="pct"/>
                  <w:tcBorders>
                    <w:top w:val="single" w:color="auto" w:sz="4" w:space="0"/>
                  </w:tcBorders>
                  <w:vAlign w:val="center"/>
                </w:tcPr>
                <w:p w14:paraId="301D7324">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5652</w:t>
                  </w:r>
                </w:p>
              </w:tc>
              <w:tc>
                <w:tcPr>
                  <w:tcW w:w="436" w:type="pct"/>
                  <w:tcBorders>
                    <w:top w:val="single" w:color="auto" w:sz="4" w:space="0"/>
                  </w:tcBorders>
                  <w:vAlign w:val="center"/>
                </w:tcPr>
                <w:p w14:paraId="47A99F4F">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+0</w:t>
                  </w:r>
                </w:p>
              </w:tc>
              <w:tc>
                <w:tcPr>
                  <w:tcW w:w="631" w:type="pct"/>
                  <w:tcBorders>
                    <w:top w:val="single" w:color="auto" w:sz="4" w:space="0"/>
                  </w:tcBorders>
                  <w:vAlign w:val="center"/>
                </w:tcPr>
                <w:p w14:paraId="471944D3">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500</w:t>
                  </w:r>
                </w:p>
              </w:tc>
              <w:tc>
                <w:tcPr>
                  <w:tcW w:w="573" w:type="pct"/>
                  <w:tcBorders>
                    <w:top w:val="single" w:color="auto" w:sz="4" w:space="0"/>
                  </w:tcBorders>
                  <w:vAlign w:val="center"/>
                </w:tcPr>
                <w:p w14:paraId="22143BC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国内、汽运</w:t>
                  </w:r>
                </w:p>
              </w:tc>
            </w:tr>
            <w:tr w14:paraId="3C02B8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02" w:type="pct"/>
                  <w:vMerge w:val="continue"/>
                  <w:vAlign w:val="center"/>
                </w:tcPr>
                <w:p w14:paraId="13F3EF5A">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p>
              </w:tc>
              <w:tc>
                <w:tcPr>
                  <w:tcW w:w="501" w:type="pct"/>
                  <w:vMerge w:val="continue"/>
                  <w:vAlign w:val="center"/>
                </w:tcPr>
                <w:p w14:paraId="231DCB51">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p>
              </w:tc>
              <w:tc>
                <w:tcPr>
                  <w:tcW w:w="596" w:type="pct"/>
                  <w:vAlign w:val="center"/>
                </w:tcPr>
                <w:p w14:paraId="728302D0">
                  <w:pPr>
                    <w:pStyle w:val="123"/>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21"/>
                    </w:rPr>
                  </w:pPr>
                  <w:r>
                    <w:rPr>
                      <w:rFonts w:hint="default" w:ascii="Times New Roman" w:hAnsi="Times New Roman" w:cs="Times New Roman"/>
                      <w:color w:val="auto"/>
                    </w:rPr>
                    <w:t>POE</w:t>
                  </w:r>
                  <w:r>
                    <w:rPr>
                      <w:rFonts w:hint="default" w:ascii="Times New Roman" w:hAnsi="Times New Roman" w:eastAsia="宋体" w:cs="Times New Roman"/>
                      <w:color w:val="auto"/>
                      <w:sz w:val="21"/>
                      <w:szCs w:val="21"/>
                      <w:shd w:val="clear" w:color="auto" w:fill="FFFFFF"/>
                      <w:lang w:val="en-US" w:eastAsia="zh-CN"/>
                    </w:rPr>
                    <w:t>粒子</w:t>
                  </w:r>
                </w:p>
              </w:tc>
              <w:tc>
                <w:tcPr>
                  <w:tcW w:w="940" w:type="pct"/>
                  <w:tcBorders>
                    <w:top w:val="single" w:color="auto" w:sz="4" w:space="0"/>
                  </w:tcBorders>
                  <w:vAlign w:val="center"/>
                </w:tcPr>
                <w:p w14:paraId="7D7B78D1">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zCs w:val="21"/>
                      <w:shd w:val="clear" w:color="auto" w:fill="FFFFFF"/>
                      <w:lang w:val="en-US" w:eastAsia="zh-CN"/>
                    </w:rPr>
                    <w:t>聚乙烯辛烯共弹性体</w:t>
                  </w:r>
                </w:p>
              </w:tc>
              <w:tc>
                <w:tcPr>
                  <w:tcW w:w="418" w:type="pct"/>
                  <w:tcBorders>
                    <w:top w:val="single" w:color="auto" w:sz="4" w:space="0"/>
                  </w:tcBorders>
                  <w:vAlign w:val="center"/>
                </w:tcPr>
                <w:p w14:paraId="47554B2C">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42561</w:t>
                  </w:r>
                </w:p>
              </w:tc>
              <w:tc>
                <w:tcPr>
                  <w:tcW w:w="399" w:type="pct"/>
                  <w:tcBorders>
                    <w:top w:val="single" w:color="auto" w:sz="4" w:space="0"/>
                  </w:tcBorders>
                  <w:vAlign w:val="center"/>
                </w:tcPr>
                <w:p w14:paraId="1578716D">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42561</w:t>
                  </w:r>
                </w:p>
              </w:tc>
              <w:tc>
                <w:tcPr>
                  <w:tcW w:w="436" w:type="pct"/>
                  <w:tcBorders>
                    <w:top w:val="single" w:color="auto" w:sz="4" w:space="0"/>
                  </w:tcBorders>
                  <w:vAlign w:val="center"/>
                </w:tcPr>
                <w:p w14:paraId="15FD1396">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+0</w:t>
                  </w:r>
                </w:p>
              </w:tc>
              <w:tc>
                <w:tcPr>
                  <w:tcW w:w="631" w:type="pct"/>
                  <w:tcBorders>
                    <w:top w:val="single" w:color="auto" w:sz="4" w:space="0"/>
                  </w:tcBorders>
                  <w:vAlign w:val="center"/>
                </w:tcPr>
                <w:p w14:paraId="4EC9799F">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1000</w:t>
                  </w:r>
                </w:p>
              </w:tc>
              <w:tc>
                <w:tcPr>
                  <w:tcW w:w="573" w:type="pct"/>
                  <w:tcBorders>
                    <w:top w:val="single" w:color="auto" w:sz="4" w:space="0"/>
                  </w:tcBorders>
                  <w:vAlign w:val="center"/>
                </w:tcPr>
                <w:p w14:paraId="1023909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国内、汽运</w:t>
                  </w:r>
                </w:p>
              </w:tc>
            </w:tr>
            <w:tr w14:paraId="60245C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02" w:type="pct"/>
                  <w:vMerge w:val="continue"/>
                  <w:vAlign w:val="center"/>
                </w:tcPr>
                <w:p w14:paraId="00181FAB">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p>
              </w:tc>
              <w:tc>
                <w:tcPr>
                  <w:tcW w:w="501" w:type="pct"/>
                  <w:vMerge w:val="continue"/>
                  <w:vAlign w:val="center"/>
                </w:tcPr>
                <w:p w14:paraId="2B309F42">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p>
              </w:tc>
              <w:tc>
                <w:tcPr>
                  <w:tcW w:w="596" w:type="pct"/>
                  <w:vAlign w:val="center"/>
                </w:tcPr>
                <w:p w14:paraId="5F29B1AC">
                  <w:pPr>
                    <w:pStyle w:val="123"/>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kern w:val="44"/>
                      <w:shd w:val="clear" w:color="auto" w:fill="FFFFFF"/>
                    </w:rPr>
                    <w:t>助交联剂</w:t>
                  </w:r>
                </w:p>
              </w:tc>
              <w:tc>
                <w:tcPr>
                  <w:tcW w:w="940" w:type="pct"/>
                  <w:tcBorders>
                    <w:top w:val="single" w:color="auto" w:sz="4" w:space="0"/>
                  </w:tcBorders>
                  <w:vAlign w:val="center"/>
                </w:tcPr>
                <w:p w14:paraId="59366900">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zCs w:val="21"/>
                      <w:shd w:val="clear" w:color="auto" w:fill="FFFFFF"/>
                      <w:lang w:val="en-US" w:eastAsia="zh-CN"/>
                    </w:rPr>
                    <w:t>有机过氧化物</w:t>
                  </w:r>
                </w:p>
              </w:tc>
              <w:tc>
                <w:tcPr>
                  <w:tcW w:w="418" w:type="pct"/>
                  <w:tcBorders>
                    <w:top w:val="single" w:color="auto" w:sz="4" w:space="0"/>
                  </w:tcBorders>
                  <w:vAlign w:val="center"/>
                </w:tcPr>
                <w:p w14:paraId="1B61B0EA">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297</w:t>
                  </w:r>
                </w:p>
              </w:tc>
              <w:tc>
                <w:tcPr>
                  <w:tcW w:w="399" w:type="pct"/>
                  <w:tcBorders>
                    <w:top w:val="single" w:color="auto" w:sz="4" w:space="0"/>
                  </w:tcBorders>
                  <w:vAlign w:val="center"/>
                </w:tcPr>
                <w:p w14:paraId="3F370630">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297</w:t>
                  </w:r>
                </w:p>
              </w:tc>
              <w:tc>
                <w:tcPr>
                  <w:tcW w:w="436" w:type="pct"/>
                  <w:tcBorders>
                    <w:top w:val="single" w:color="auto" w:sz="4" w:space="0"/>
                  </w:tcBorders>
                  <w:vAlign w:val="center"/>
                </w:tcPr>
                <w:p w14:paraId="2B05CD93">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+0</w:t>
                  </w:r>
                </w:p>
              </w:tc>
              <w:tc>
                <w:tcPr>
                  <w:tcW w:w="631" w:type="pct"/>
                  <w:tcBorders>
                    <w:top w:val="single" w:color="auto" w:sz="4" w:space="0"/>
                  </w:tcBorders>
                  <w:vAlign w:val="center"/>
                </w:tcPr>
                <w:p w14:paraId="15B522C7">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30</w:t>
                  </w:r>
                </w:p>
              </w:tc>
              <w:tc>
                <w:tcPr>
                  <w:tcW w:w="573" w:type="pct"/>
                  <w:tcBorders>
                    <w:top w:val="single" w:color="auto" w:sz="4" w:space="0"/>
                  </w:tcBorders>
                  <w:vAlign w:val="center"/>
                </w:tcPr>
                <w:p w14:paraId="408E709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国内、汽运</w:t>
                  </w:r>
                </w:p>
              </w:tc>
            </w:tr>
            <w:tr w14:paraId="03680B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02" w:type="pct"/>
                  <w:vMerge w:val="continue"/>
                  <w:vAlign w:val="center"/>
                </w:tcPr>
                <w:p w14:paraId="6F96591B">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p>
              </w:tc>
              <w:tc>
                <w:tcPr>
                  <w:tcW w:w="501" w:type="pct"/>
                  <w:vMerge w:val="continue"/>
                  <w:vAlign w:val="center"/>
                </w:tcPr>
                <w:p w14:paraId="47380747">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p>
              </w:tc>
              <w:tc>
                <w:tcPr>
                  <w:tcW w:w="596" w:type="pct"/>
                  <w:vAlign w:val="center"/>
                </w:tcPr>
                <w:p w14:paraId="6FA19419">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zCs w:val="21"/>
                      <w:shd w:val="clear" w:color="auto" w:fill="FFFFFF"/>
                      <w:lang w:val="en-US" w:eastAsia="zh-CN"/>
                    </w:rPr>
                    <w:t>硅烷</w:t>
                  </w:r>
                </w:p>
              </w:tc>
              <w:tc>
                <w:tcPr>
                  <w:tcW w:w="940" w:type="pct"/>
                  <w:tcBorders>
                    <w:top w:val="single" w:color="auto" w:sz="4" w:space="0"/>
                  </w:tcBorders>
                  <w:vAlign w:val="center"/>
                </w:tcPr>
                <w:p w14:paraId="2F6E568B">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zCs w:val="21"/>
                      <w:shd w:val="clear" w:color="auto" w:fill="FFFFFF"/>
                      <w:lang w:val="en-US" w:eastAsia="zh-CN"/>
                    </w:rPr>
                    <w:t>硅氧烷化合物</w:t>
                  </w:r>
                </w:p>
              </w:tc>
              <w:tc>
                <w:tcPr>
                  <w:tcW w:w="418" w:type="pct"/>
                  <w:tcBorders>
                    <w:top w:val="single" w:color="auto" w:sz="4" w:space="0"/>
                  </w:tcBorders>
                  <w:vAlign w:val="center"/>
                </w:tcPr>
                <w:p w14:paraId="6B4562AF">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 xml:space="preserve">45 </w:t>
                  </w:r>
                </w:p>
              </w:tc>
              <w:tc>
                <w:tcPr>
                  <w:tcW w:w="399" w:type="pct"/>
                  <w:tcBorders>
                    <w:top w:val="single" w:color="auto" w:sz="4" w:space="0"/>
                  </w:tcBorders>
                  <w:vAlign w:val="center"/>
                </w:tcPr>
                <w:p w14:paraId="51FB3AFF">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 xml:space="preserve">45 </w:t>
                  </w:r>
                </w:p>
              </w:tc>
              <w:tc>
                <w:tcPr>
                  <w:tcW w:w="436" w:type="pct"/>
                  <w:tcBorders>
                    <w:top w:val="single" w:color="auto" w:sz="4" w:space="0"/>
                  </w:tcBorders>
                  <w:vAlign w:val="center"/>
                </w:tcPr>
                <w:p w14:paraId="26DDB27B">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+0</w:t>
                  </w:r>
                </w:p>
              </w:tc>
              <w:tc>
                <w:tcPr>
                  <w:tcW w:w="631" w:type="pct"/>
                  <w:tcBorders>
                    <w:top w:val="single" w:color="auto" w:sz="4" w:space="0"/>
                  </w:tcBorders>
                  <w:vAlign w:val="center"/>
                </w:tcPr>
                <w:p w14:paraId="035A7CE7">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5</w:t>
                  </w:r>
                </w:p>
              </w:tc>
              <w:tc>
                <w:tcPr>
                  <w:tcW w:w="573" w:type="pct"/>
                  <w:tcBorders>
                    <w:top w:val="single" w:color="auto" w:sz="4" w:space="0"/>
                  </w:tcBorders>
                  <w:vAlign w:val="center"/>
                </w:tcPr>
                <w:p w14:paraId="332346D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国内、汽运</w:t>
                  </w:r>
                </w:p>
              </w:tc>
            </w:tr>
            <w:tr w14:paraId="67049C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02" w:type="pct"/>
                  <w:vMerge w:val="continue"/>
                  <w:vAlign w:val="center"/>
                </w:tcPr>
                <w:p w14:paraId="4C630A63">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p>
              </w:tc>
              <w:tc>
                <w:tcPr>
                  <w:tcW w:w="501" w:type="pct"/>
                  <w:vMerge w:val="continue"/>
                  <w:vAlign w:val="center"/>
                </w:tcPr>
                <w:p w14:paraId="482D921C">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p>
              </w:tc>
              <w:tc>
                <w:tcPr>
                  <w:tcW w:w="596" w:type="pct"/>
                  <w:vAlign w:val="center"/>
                </w:tcPr>
                <w:p w14:paraId="47682832">
                  <w:pPr>
                    <w:pStyle w:val="123"/>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kern w:val="44"/>
                      <w:shd w:val="clear" w:color="auto" w:fill="FFFFFF"/>
                    </w:rPr>
                    <w:t>光稳定剂</w:t>
                  </w:r>
                </w:p>
              </w:tc>
              <w:tc>
                <w:tcPr>
                  <w:tcW w:w="940" w:type="pct"/>
                  <w:tcBorders>
                    <w:top w:val="single" w:color="auto" w:sz="4" w:space="0"/>
                  </w:tcBorders>
                  <w:vAlign w:val="center"/>
                </w:tcPr>
                <w:p w14:paraId="213875CB">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zCs w:val="21"/>
                      <w:shd w:val="clear" w:color="auto" w:fill="FFFFFF"/>
                      <w:lang w:val="en-US" w:eastAsia="zh-CN"/>
                    </w:rPr>
                    <w:t>受阻胺化合物</w:t>
                  </w:r>
                </w:p>
              </w:tc>
              <w:tc>
                <w:tcPr>
                  <w:tcW w:w="418" w:type="pct"/>
                  <w:tcBorders>
                    <w:top w:val="single" w:color="auto" w:sz="4" w:space="0"/>
                  </w:tcBorders>
                  <w:vAlign w:val="center"/>
                </w:tcPr>
                <w:p w14:paraId="3CD89A25">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 xml:space="preserve">45 </w:t>
                  </w:r>
                </w:p>
              </w:tc>
              <w:tc>
                <w:tcPr>
                  <w:tcW w:w="399" w:type="pct"/>
                  <w:tcBorders>
                    <w:top w:val="single" w:color="auto" w:sz="4" w:space="0"/>
                  </w:tcBorders>
                  <w:vAlign w:val="center"/>
                </w:tcPr>
                <w:p w14:paraId="0AAF3A88">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 xml:space="preserve">45 </w:t>
                  </w:r>
                </w:p>
              </w:tc>
              <w:tc>
                <w:tcPr>
                  <w:tcW w:w="436" w:type="pct"/>
                  <w:tcBorders>
                    <w:top w:val="single" w:color="auto" w:sz="4" w:space="0"/>
                  </w:tcBorders>
                  <w:vAlign w:val="center"/>
                </w:tcPr>
                <w:p w14:paraId="11C3759C">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+0</w:t>
                  </w:r>
                </w:p>
              </w:tc>
              <w:tc>
                <w:tcPr>
                  <w:tcW w:w="631" w:type="pct"/>
                  <w:tcBorders>
                    <w:top w:val="single" w:color="auto" w:sz="4" w:space="0"/>
                  </w:tcBorders>
                  <w:vAlign w:val="center"/>
                </w:tcPr>
                <w:p w14:paraId="18CE1352">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5</w:t>
                  </w:r>
                </w:p>
              </w:tc>
              <w:tc>
                <w:tcPr>
                  <w:tcW w:w="573" w:type="pct"/>
                  <w:tcBorders>
                    <w:top w:val="single" w:color="auto" w:sz="4" w:space="0"/>
                  </w:tcBorders>
                  <w:vAlign w:val="center"/>
                </w:tcPr>
                <w:p w14:paraId="4FD2F9A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国内、汽运</w:t>
                  </w:r>
                </w:p>
              </w:tc>
            </w:tr>
            <w:tr w14:paraId="1DFB8B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02" w:type="pct"/>
                  <w:vMerge w:val="continue"/>
                  <w:vAlign w:val="center"/>
                </w:tcPr>
                <w:p w14:paraId="47D9D52B">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lang w:val="en-US" w:eastAsia="zh-CN"/>
                    </w:rPr>
                  </w:pPr>
                </w:p>
              </w:tc>
              <w:tc>
                <w:tcPr>
                  <w:tcW w:w="501" w:type="pct"/>
                  <w:vAlign w:val="center"/>
                </w:tcPr>
                <w:p w14:paraId="27F5C09B">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w:t>
                  </w:r>
                </w:p>
              </w:tc>
              <w:tc>
                <w:tcPr>
                  <w:tcW w:w="596" w:type="pct"/>
                  <w:vAlign w:val="center"/>
                </w:tcPr>
                <w:p w14:paraId="775FAAEA">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机油</w:t>
                  </w:r>
                </w:p>
              </w:tc>
              <w:tc>
                <w:tcPr>
                  <w:tcW w:w="940" w:type="pct"/>
                  <w:tcBorders>
                    <w:top w:val="single" w:color="auto" w:sz="4" w:space="0"/>
                    <w:bottom w:val="single" w:color="auto" w:sz="4" w:space="0"/>
                  </w:tcBorders>
                  <w:vAlign w:val="center"/>
                </w:tcPr>
                <w:p w14:paraId="5355C2A8">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合成矿物油</w:t>
                  </w:r>
                </w:p>
              </w:tc>
              <w:tc>
                <w:tcPr>
                  <w:tcW w:w="418" w:type="pct"/>
                  <w:tcBorders>
                    <w:top w:val="single" w:color="auto" w:sz="4" w:space="0"/>
                    <w:bottom w:val="single" w:color="auto" w:sz="4" w:space="0"/>
                  </w:tcBorders>
                  <w:vAlign w:val="center"/>
                </w:tcPr>
                <w:p w14:paraId="4D15A8EE">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2</w:t>
                  </w:r>
                </w:p>
              </w:tc>
              <w:tc>
                <w:tcPr>
                  <w:tcW w:w="399" w:type="pct"/>
                  <w:tcBorders>
                    <w:top w:val="single" w:color="auto" w:sz="4" w:space="0"/>
                    <w:bottom w:val="single" w:color="auto" w:sz="4" w:space="0"/>
                  </w:tcBorders>
                  <w:vAlign w:val="center"/>
                </w:tcPr>
                <w:p w14:paraId="3165DD9D">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2</w:t>
                  </w:r>
                </w:p>
              </w:tc>
              <w:tc>
                <w:tcPr>
                  <w:tcW w:w="436" w:type="pct"/>
                  <w:tcBorders>
                    <w:top w:val="single" w:color="auto" w:sz="4" w:space="0"/>
                    <w:bottom w:val="single" w:color="auto" w:sz="4" w:space="0"/>
                  </w:tcBorders>
                  <w:vAlign w:val="center"/>
                </w:tcPr>
                <w:p w14:paraId="2243D39F">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+0</w:t>
                  </w:r>
                </w:p>
              </w:tc>
              <w:tc>
                <w:tcPr>
                  <w:tcW w:w="631" w:type="pct"/>
                  <w:tcBorders>
                    <w:top w:val="single" w:color="auto" w:sz="4" w:space="0"/>
                    <w:bottom w:val="single" w:color="auto" w:sz="4" w:space="0"/>
                  </w:tcBorders>
                  <w:vAlign w:val="center"/>
                </w:tcPr>
                <w:p w14:paraId="30E78C2F">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0.</w:t>
                  </w:r>
                  <w:r>
                    <w:rPr>
                      <w:rFonts w:hint="eastAsia" w:ascii="Times New Roman" w:hAnsi="Times New Roman" w:eastAsia="宋体" w:cs="Times New Roman"/>
                      <w:color w:val="auto"/>
                      <w:sz w:val="21"/>
                      <w:szCs w:val="21"/>
                      <w:shd w:val="clear" w:color="auto" w:fill="FFFFFF"/>
                      <w:lang w:val="en-US" w:eastAsia="zh-CN"/>
                    </w:rPr>
                    <w:t>2</w:t>
                  </w:r>
                </w:p>
              </w:tc>
              <w:tc>
                <w:tcPr>
                  <w:tcW w:w="573" w:type="pct"/>
                  <w:tcBorders>
                    <w:top w:val="single" w:color="auto" w:sz="4" w:space="0"/>
                    <w:bottom w:val="single" w:color="auto" w:sz="4" w:space="0"/>
                  </w:tcBorders>
                  <w:vAlign w:val="center"/>
                </w:tcPr>
                <w:p w14:paraId="1AAFBE8A">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rPr>
                    <w:t>国内汽运</w:t>
                  </w:r>
                </w:p>
              </w:tc>
            </w:tr>
            <w:tr w14:paraId="127861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02" w:type="pct"/>
                  <w:vMerge w:val="continue"/>
                  <w:vAlign w:val="center"/>
                </w:tcPr>
                <w:p w14:paraId="76CEAFE3">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p>
              </w:tc>
              <w:tc>
                <w:tcPr>
                  <w:tcW w:w="501" w:type="pct"/>
                  <w:vAlign w:val="center"/>
                </w:tcPr>
                <w:p w14:paraId="41B3BDB9">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w:t>
                  </w:r>
                </w:p>
              </w:tc>
              <w:tc>
                <w:tcPr>
                  <w:tcW w:w="596" w:type="pct"/>
                  <w:vAlign w:val="center"/>
                </w:tcPr>
                <w:p w14:paraId="01396D78">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包装材料</w:t>
                  </w:r>
                </w:p>
              </w:tc>
              <w:tc>
                <w:tcPr>
                  <w:tcW w:w="940" w:type="pct"/>
                  <w:tcBorders>
                    <w:top w:val="single" w:color="auto" w:sz="4" w:space="0"/>
                  </w:tcBorders>
                  <w:vAlign w:val="center"/>
                </w:tcPr>
                <w:p w14:paraId="32B0E7DE">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塑料</w:t>
                  </w:r>
                </w:p>
              </w:tc>
              <w:tc>
                <w:tcPr>
                  <w:tcW w:w="418" w:type="pct"/>
                  <w:tcBorders>
                    <w:top w:val="single" w:color="auto" w:sz="4" w:space="0"/>
                  </w:tcBorders>
                  <w:vAlign w:val="center"/>
                </w:tcPr>
                <w:p w14:paraId="398CB9DD">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10</w:t>
                  </w:r>
                </w:p>
              </w:tc>
              <w:tc>
                <w:tcPr>
                  <w:tcW w:w="399" w:type="pct"/>
                  <w:tcBorders>
                    <w:top w:val="single" w:color="auto" w:sz="4" w:space="0"/>
                  </w:tcBorders>
                  <w:vAlign w:val="center"/>
                </w:tcPr>
                <w:p w14:paraId="2D4AEAD3">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10</w:t>
                  </w:r>
                </w:p>
              </w:tc>
              <w:tc>
                <w:tcPr>
                  <w:tcW w:w="436" w:type="pct"/>
                  <w:tcBorders>
                    <w:top w:val="single" w:color="auto" w:sz="4" w:space="0"/>
                  </w:tcBorders>
                  <w:vAlign w:val="center"/>
                </w:tcPr>
                <w:p w14:paraId="6E5323D2">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+0</w:t>
                  </w:r>
                </w:p>
              </w:tc>
              <w:tc>
                <w:tcPr>
                  <w:tcW w:w="631" w:type="pct"/>
                  <w:tcBorders>
                    <w:top w:val="single" w:color="auto" w:sz="4" w:space="0"/>
                  </w:tcBorders>
                  <w:vAlign w:val="center"/>
                </w:tcPr>
                <w:p w14:paraId="68AC6D2C">
                  <w:pPr>
                    <w:pStyle w:val="4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1</w:t>
                  </w:r>
                </w:p>
              </w:tc>
              <w:tc>
                <w:tcPr>
                  <w:tcW w:w="573" w:type="pct"/>
                  <w:tcBorders>
                    <w:top w:val="single" w:color="auto" w:sz="4" w:space="0"/>
                  </w:tcBorders>
                  <w:vAlign w:val="center"/>
                </w:tcPr>
                <w:p w14:paraId="7F80863D">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rPr>
                    <w:t>国内汽运</w:t>
                  </w:r>
                </w:p>
              </w:tc>
            </w:tr>
          </w:tbl>
          <w:p w14:paraId="663E66FE">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rPr>
              <w:t>主要原辅材料理化性质见下表</w:t>
            </w:r>
            <w:r>
              <w:rPr>
                <w:rFonts w:hint="default" w:ascii="Times New Roman" w:hAnsi="Times New Roman" w:cs="Times New Roman" w:eastAsiaTheme="minorEastAsia"/>
                <w:b/>
                <w:bCs/>
                <w:color w:val="auto"/>
                <w:sz w:val="21"/>
                <w:szCs w:val="21"/>
                <w:lang w:eastAsia="zh-CN"/>
              </w:rPr>
              <w:t>。</w:t>
            </w:r>
          </w:p>
          <w:p w14:paraId="727FEC91">
            <w:pPr>
              <w:adjustRightInd w:val="0"/>
              <w:snapToGrid w:val="0"/>
              <w:spacing w:line="500" w:lineRule="exact"/>
              <w:jc w:val="center"/>
              <w:rPr>
                <w:rFonts w:hint="default" w:ascii="Times New Roman" w:hAnsi="Times New Roman" w:cs="Times New Roman" w:eastAsiaTheme="minorEastAsia"/>
                <w:b/>
                <w:bCs/>
                <w:color w:val="auto"/>
                <w:sz w:val="21"/>
                <w:szCs w:val="21"/>
                <w:highlight w:val="none"/>
              </w:rPr>
            </w:pPr>
          </w:p>
          <w:p w14:paraId="79A4A77E">
            <w:pPr>
              <w:adjustRightInd w:val="0"/>
              <w:snapToGrid w:val="0"/>
              <w:spacing w:line="500" w:lineRule="exact"/>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表2-</w:t>
            </w:r>
            <w:r>
              <w:rPr>
                <w:rFonts w:hint="eastAsia" w:cs="Times New Roman" w:eastAsiaTheme="minorEastAsia"/>
                <w:b/>
                <w:bCs/>
                <w:color w:val="auto"/>
                <w:sz w:val="21"/>
                <w:szCs w:val="21"/>
                <w:highlight w:val="none"/>
                <w:lang w:val="en-US" w:eastAsia="zh-CN"/>
              </w:rPr>
              <w:t>5</w:t>
            </w:r>
            <w:r>
              <w:rPr>
                <w:rFonts w:hint="default" w:ascii="Times New Roman" w:hAnsi="Times New Roman" w:cs="Times New Roman" w:eastAsiaTheme="minorEastAsia"/>
                <w:b/>
                <w:bCs/>
                <w:color w:val="auto"/>
                <w:sz w:val="21"/>
                <w:szCs w:val="21"/>
                <w:highlight w:val="none"/>
                <w:lang w:val="en-US" w:eastAsia="zh-CN"/>
              </w:rPr>
              <w:t>本项目</w:t>
            </w:r>
            <w:r>
              <w:rPr>
                <w:rFonts w:hint="default" w:ascii="Times New Roman" w:hAnsi="Times New Roman" w:cs="Times New Roman" w:eastAsiaTheme="minorEastAsia"/>
                <w:b/>
                <w:bCs/>
                <w:color w:val="auto"/>
                <w:sz w:val="21"/>
                <w:szCs w:val="21"/>
                <w:highlight w:val="none"/>
              </w:rPr>
              <w:t>原辅材料理化性质</w:t>
            </w:r>
          </w:p>
          <w:tbl>
            <w:tblPr>
              <w:tblStyle w:val="31"/>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1535"/>
              <w:gridCol w:w="8776"/>
              <w:gridCol w:w="1190"/>
              <w:gridCol w:w="1045"/>
            </w:tblGrid>
            <w:tr w14:paraId="527B5F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noWrap w:val="0"/>
                  <w:vAlign w:val="center"/>
                </w:tcPr>
                <w:p w14:paraId="3A6252CD">
                  <w:pPr>
                    <w:keepNext w:val="0"/>
                    <w:keepLines w:val="0"/>
                    <w:pageBreakBefore w:val="0"/>
                    <w:kinsoku/>
                    <w:wordWrap/>
                    <w:overflowPunct/>
                    <w:topLinePunct w:val="0"/>
                    <w:autoSpaceDE/>
                    <w:autoSpaceDN/>
                    <w:bidi w:val="0"/>
                    <w:spacing w:line="240" w:lineRule="auto"/>
                    <w:jc w:val="center"/>
                    <w:textAlignment w:val="auto"/>
                    <w:rPr>
                      <w:color w:val="auto"/>
                      <w:kern w:val="0"/>
                    </w:rPr>
                  </w:pPr>
                  <w:r>
                    <w:rPr>
                      <w:b/>
                      <w:bCs/>
                      <w:color w:val="auto"/>
                      <w:kern w:val="0"/>
                    </w:rPr>
                    <w:t>序号</w:t>
                  </w:r>
                </w:p>
              </w:tc>
              <w:tc>
                <w:tcPr>
                  <w:tcW w:w="1535" w:type="dxa"/>
                  <w:noWrap w:val="0"/>
                  <w:vAlign w:val="center"/>
                </w:tcPr>
                <w:p w14:paraId="52210AC9">
                  <w:pPr>
                    <w:keepNext w:val="0"/>
                    <w:keepLines w:val="0"/>
                    <w:pageBreakBefore w:val="0"/>
                    <w:kinsoku/>
                    <w:wordWrap/>
                    <w:overflowPunct/>
                    <w:topLinePunct w:val="0"/>
                    <w:autoSpaceDE/>
                    <w:autoSpaceDN/>
                    <w:bidi w:val="0"/>
                    <w:spacing w:line="240" w:lineRule="auto"/>
                    <w:jc w:val="center"/>
                    <w:textAlignment w:val="auto"/>
                    <w:rPr>
                      <w:b/>
                      <w:bCs/>
                      <w:color w:val="auto"/>
                      <w:kern w:val="0"/>
                    </w:rPr>
                  </w:pPr>
                  <w:r>
                    <w:rPr>
                      <w:b/>
                      <w:bCs/>
                      <w:color w:val="auto"/>
                      <w:kern w:val="0"/>
                    </w:rPr>
                    <w:t>名称</w:t>
                  </w:r>
                </w:p>
              </w:tc>
              <w:tc>
                <w:tcPr>
                  <w:tcW w:w="8776" w:type="dxa"/>
                  <w:noWrap w:val="0"/>
                  <w:vAlign w:val="center"/>
                </w:tcPr>
                <w:p w14:paraId="0B649EF2">
                  <w:pPr>
                    <w:keepNext w:val="0"/>
                    <w:keepLines w:val="0"/>
                    <w:pageBreakBefore w:val="0"/>
                    <w:kinsoku/>
                    <w:wordWrap/>
                    <w:overflowPunct/>
                    <w:topLinePunct w:val="0"/>
                    <w:autoSpaceDE/>
                    <w:autoSpaceDN/>
                    <w:bidi w:val="0"/>
                    <w:spacing w:line="240" w:lineRule="auto"/>
                    <w:jc w:val="center"/>
                    <w:textAlignment w:val="auto"/>
                    <w:rPr>
                      <w:b/>
                      <w:bCs/>
                      <w:color w:val="auto"/>
                      <w:kern w:val="0"/>
                    </w:rPr>
                  </w:pPr>
                  <w:r>
                    <w:rPr>
                      <w:b/>
                      <w:bCs/>
                      <w:color w:val="auto"/>
                      <w:kern w:val="0"/>
                    </w:rPr>
                    <w:t>理化性质</w:t>
                  </w:r>
                </w:p>
              </w:tc>
              <w:tc>
                <w:tcPr>
                  <w:tcW w:w="1190" w:type="dxa"/>
                  <w:noWrap w:val="0"/>
                  <w:vAlign w:val="center"/>
                </w:tcPr>
                <w:p w14:paraId="3579617F">
                  <w:pPr>
                    <w:keepNext w:val="0"/>
                    <w:keepLines w:val="0"/>
                    <w:pageBreakBefore w:val="0"/>
                    <w:kinsoku/>
                    <w:wordWrap/>
                    <w:overflowPunct/>
                    <w:topLinePunct w:val="0"/>
                    <w:autoSpaceDE/>
                    <w:autoSpaceDN/>
                    <w:bidi w:val="0"/>
                    <w:spacing w:line="240" w:lineRule="auto"/>
                    <w:jc w:val="center"/>
                    <w:textAlignment w:val="auto"/>
                    <w:rPr>
                      <w:b/>
                      <w:bCs/>
                      <w:color w:val="auto"/>
                      <w:kern w:val="0"/>
                    </w:rPr>
                  </w:pPr>
                  <w:r>
                    <w:rPr>
                      <w:b/>
                      <w:bCs/>
                      <w:color w:val="auto"/>
                      <w:kern w:val="0"/>
                    </w:rPr>
                    <w:t>毒性毒理</w:t>
                  </w:r>
                </w:p>
              </w:tc>
              <w:tc>
                <w:tcPr>
                  <w:tcW w:w="1045" w:type="dxa"/>
                  <w:noWrap w:val="0"/>
                  <w:vAlign w:val="center"/>
                </w:tcPr>
                <w:p w14:paraId="4E71722F">
                  <w:pPr>
                    <w:keepNext w:val="0"/>
                    <w:keepLines w:val="0"/>
                    <w:pageBreakBefore w:val="0"/>
                    <w:kinsoku/>
                    <w:wordWrap/>
                    <w:overflowPunct/>
                    <w:topLinePunct w:val="0"/>
                    <w:autoSpaceDE/>
                    <w:autoSpaceDN/>
                    <w:bidi w:val="0"/>
                    <w:spacing w:line="240" w:lineRule="auto"/>
                    <w:jc w:val="center"/>
                    <w:textAlignment w:val="auto"/>
                    <w:rPr>
                      <w:b/>
                      <w:bCs/>
                      <w:color w:val="auto"/>
                      <w:kern w:val="0"/>
                    </w:rPr>
                  </w:pPr>
                  <w:r>
                    <w:rPr>
                      <w:b/>
                      <w:bCs/>
                      <w:color w:val="auto"/>
                      <w:kern w:val="0"/>
                    </w:rPr>
                    <w:t>燃爆性</w:t>
                  </w:r>
                </w:p>
              </w:tc>
            </w:tr>
            <w:tr w14:paraId="437468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noWrap w:val="0"/>
                  <w:vAlign w:val="center"/>
                </w:tcPr>
                <w:p w14:paraId="08076B57">
                  <w:pPr>
                    <w:keepNext w:val="0"/>
                    <w:keepLines w:val="0"/>
                    <w:pageBreakBefore w:val="0"/>
                    <w:kinsoku/>
                    <w:wordWrap/>
                    <w:overflowPunct/>
                    <w:topLinePunct w:val="0"/>
                    <w:autoSpaceDE/>
                    <w:autoSpaceDN/>
                    <w:bidi w:val="0"/>
                    <w:spacing w:line="240" w:lineRule="auto"/>
                    <w:jc w:val="center"/>
                    <w:textAlignment w:val="auto"/>
                    <w:rPr>
                      <w:color w:val="auto"/>
                      <w:kern w:val="0"/>
                    </w:rPr>
                  </w:pPr>
                  <w:r>
                    <w:rPr>
                      <w:color w:val="auto"/>
                    </w:rPr>
                    <w:t>1</w:t>
                  </w:r>
                </w:p>
              </w:tc>
              <w:tc>
                <w:tcPr>
                  <w:tcW w:w="1535" w:type="dxa"/>
                  <w:noWrap w:val="0"/>
                  <w:vAlign w:val="center"/>
                </w:tcPr>
                <w:p w14:paraId="2A73FD2A">
                  <w:pPr>
                    <w:keepNext w:val="0"/>
                    <w:keepLines w:val="0"/>
                    <w:pageBreakBefore w:val="0"/>
                    <w:kinsoku/>
                    <w:wordWrap/>
                    <w:overflowPunct/>
                    <w:topLinePunct w:val="0"/>
                    <w:autoSpaceDE/>
                    <w:autoSpaceDN/>
                    <w:bidi w:val="0"/>
                    <w:spacing w:line="240" w:lineRule="auto"/>
                    <w:jc w:val="center"/>
                    <w:textAlignment w:val="auto"/>
                    <w:rPr>
                      <w:rFonts w:hint="eastAsia"/>
                      <w:color w:val="auto"/>
                    </w:rPr>
                  </w:pPr>
                  <w:r>
                    <w:rPr>
                      <w:rFonts w:hint="eastAsia"/>
                      <w:color w:val="auto"/>
                    </w:rPr>
                    <w:t>EVA</w:t>
                  </w:r>
                </w:p>
              </w:tc>
              <w:tc>
                <w:tcPr>
                  <w:tcW w:w="8776" w:type="dxa"/>
                  <w:noWrap w:val="0"/>
                  <w:vAlign w:val="center"/>
                </w:tcPr>
                <w:p w14:paraId="522D29E3">
                  <w:pPr>
                    <w:pStyle w:val="49"/>
                    <w:keepNext w:val="0"/>
                    <w:keepLines w:val="0"/>
                    <w:pageBreakBefore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olor w:val="auto"/>
                      <w:sz w:val="21"/>
                    </w:rPr>
                  </w:pPr>
                  <w:r>
                    <w:rPr>
                      <w:rFonts w:hint="eastAsia" w:ascii="Times New Roman" w:hAnsi="Times New Roman" w:eastAsia="宋体"/>
                      <w:color w:val="auto"/>
                      <w:sz w:val="21"/>
                      <w:shd w:val="clear" w:color="auto" w:fill="FFFFFF"/>
                    </w:rPr>
                    <w:t>乙烯-醋酸乙烯酯共聚物是一种通用</w:t>
                  </w:r>
                  <w:r>
                    <w:rPr>
                      <w:rFonts w:ascii="Times New Roman" w:hAnsi="Times New Roman" w:eastAsia="宋体"/>
                      <w:color w:val="auto"/>
                      <w:sz w:val="21"/>
                      <w:shd w:val="clear" w:color="auto" w:fill="FFFFFF"/>
                    </w:rPr>
                    <w:fldChar w:fldCharType="begin"/>
                  </w:r>
                  <w:r>
                    <w:rPr>
                      <w:rFonts w:ascii="Times New Roman" w:hAnsi="Times New Roman" w:eastAsia="宋体"/>
                      <w:color w:val="auto"/>
                      <w:sz w:val="21"/>
                      <w:shd w:val="clear" w:color="auto" w:fill="FFFFFF"/>
                    </w:rPr>
                    <w:instrText xml:space="preserve"> HYPERLINK "https://baike.baidu.com/item/%E9%AB%98%E5%88%86%E5%AD%90%E8%81%9A%E5%90%88%E7%89%A9/10404353" \t "https://baike.baidu.com/item/%E4%B9%99%E7%83%AF-%E9%86%8B%E9%85%B8%E4%B9%99%E7%83%AF%E5%85%B1%E8%81%9A%E7%89%A9/_blank" </w:instrText>
                  </w:r>
                  <w:r>
                    <w:rPr>
                      <w:rFonts w:ascii="Times New Roman" w:hAnsi="Times New Roman" w:eastAsia="宋体"/>
                      <w:color w:val="auto"/>
                      <w:sz w:val="21"/>
                      <w:shd w:val="clear" w:color="auto" w:fill="FFFFFF"/>
                    </w:rPr>
                    <w:fldChar w:fldCharType="separate"/>
                  </w:r>
                  <w:r>
                    <w:rPr>
                      <w:rFonts w:ascii="Times New Roman" w:hAnsi="Times New Roman" w:eastAsia="宋体"/>
                      <w:color w:val="auto"/>
                      <w:sz w:val="21"/>
                      <w:shd w:val="clear" w:color="auto" w:fill="FFFFFF"/>
                    </w:rPr>
                    <w:t>高分子聚合物</w:t>
                  </w:r>
                  <w:r>
                    <w:rPr>
                      <w:rFonts w:ascii="Times New Roman" w:hAnsi="Times New Roman" w:eastAsia="宋体"/>
                      <w:color w:val="auto"/>
                      <w:sz w:val="21"/>
                      <w:shd w:val="clear" w:color="auto" w:fill="FFFFFF"/>
                    </w:rPr>
                    <w:fldChar w:fldCharType="end"/>
                  </w:r>
                  <w:r>
                    <w:rPr>
                      <w:rFonts w:ascii="Times New Roman" w:hAnsi="Times New Roman" w:eastAsia="宋体"/>
                      <w:color w:val="auto"/>
                      <w:sz w:val="21"/>
                      <w:shd w:val="clear" w:color="auto" w:fill="FFFFFF"/>
                    </w:rPr>
                    <w:t>，英文简称是EVA，分子式是 (C</w:t>
                  </w:r>
                  <w:r>
                    <w:rPr>
                      <w:rFonts w:ascii="Times New Roman" w:hAnsi="Times New Roman" w:eastAsia="宋体"/>
                      <w:color w:val="auto"/>
                      <w:sz w:val="21"/>
                      <w:shd w:val="clear" w:color="auto" w:fill="FFFFFF"/>
                      <w:vertAlign w:val="subscript"/>
                    </w:rPr>
                    <w:t>2</w:t>
                  </w:r>
                  <w:r>
                    <w:rPr>
                      <w:rFonts w:ascii="Times New Roman" w:hAnsi="Times New Roman" w:eastAsia="宋体"/>
                      <w:color w:val="auto"/>
                      <w:sz w:val="21"/>
                      <w:shd w:val="clear" w:color="auto" w:fill="FFFFFF"/>
                    </w:rPr>
                    <w:t>H</w:t>
                  </w:r>
                  <w:r>
                    <w:rPr>
                      <w:rFonts w:ascii="Times New Roman" w:hAnsi="Times New Roman" w:eastAsia="宋体"/>
                      <w:color w:val="auto"/>
                      <w:sz w:val="21"/>
                      <w:shd w:val="clear" w:color="auto" w:fill="FFFFFF"/>
                      <w:vertAlign w:val="subscript"/>
                    </w:rPr>
                    <w:t>4</w:t>
                  </w:r>
                  <w:r>
                    <w:rPr>
                      <w:rFonts w:ascii="Times New Roman" w:hAnsi="Times New Roman" w:eastAsia="宋体"/>
                      <w:color w:val="auto"/>
                      <w:sz w:val="21"/>
                      <w:shd w:val="clear" w:color="auto" w:fill="FFFFFF"/>
                    </w:rPr>
                    <w:t>)x.(C</w:t>
                  </w:r>
                  <w:r>
                    <w:rPr>
                      <w:rFonts w:ascii="Times New Roman" w:hAnsi="Times New Roman" w:eastAsia="宋体"/>
                      <w:color w:val="auto"/>
                      <w:sz w:val="21"/>
                      <w:shd w:val="clear" w:color="auto" w:fill="FFFFFF"/>
                      <w:vertAlign w:val="subscript"/>
                    </w:rPr>
                    <w:t>4</w:t>
                  </w:r>
                  <w:r>
                    <w:rPr>
                      <w:rFonts w:ascii="Times New Roman" w:hAnsi="Times New Roman" w:eastAsia="宋体"/>
                      <w:color w:val="auto"/>
                      <w:sz w:val="21"/>
                      <w:shd w:val="clear" w:color="auto" w:fill="FFFFFF"/>
                    </w:rPr>
                    <w:t>H</w:t>
                  </w:r>
                  <w:r>
                    <w:rPr>
                      <w:rFonts w:ascii="Times New Roman" w:hAnsi="Times New Roman" w:eastAsia="宋体"/>
                      <w:color w:val="auto"/>
                      <w:sz w:val="21"/>
                      <w:shd w:val="clear" w:color="auto" w:fill="FFFFFF"/>
                      <w:vertAlign w:val="subscript"/>
                    </w:rPr>
                    <w:t>6</w:t>
                  </w:r>
                  <w:r>
                    <w:rPr>
                      <w:rFonts w:ascii="Times New Roman" w:hAnsi="Times New Roman" w:eastAsia="宋体"/>
                      <w:color w:val="auto"/>
                      <w:sz w:val="21"/>
                      <w:shd w:val="clear" w:color="auto" w:fill="FFFFFF"/>
                    </w:rPr>
                    <w:t>O</w:t>
                  </w:r>
                  <w:r>
                    <w:rPr>
                      <w:rFonts w:ascii="Times New Roman" w:hAnsi="Times New Roman" w:eastAsia="宋体"/>
                      <w:color w:val="auto"/>
                      <w:sz w:val="21"/>
                      <w:shd w:val="clear" w:color="auto" w:fill="FFFFFF"/>
                      <w:vertAlign w:val="subscript"/>
                    </w:rPr>
                    <w:t>2</w:t>
                  </w:r>
                  <w:r>
                    <w:rPr>
                      <w:rFonts w:ascii="Times New Roman" w:hAnsi="Times New Roman" w:eastAsia="宋体"/>
                      <w:color w:val="auto"/>
                      <w:sz w:val="21"/>
                      <w:shd w:val="clear" w:color="auto" w:fill="FFFFFF"/>
                    </w:rPr>
                    <w:t>)y。</w:t>
                  </w:r>
                  <w:r>
                    <w:rPr>
                      <w:rFonts w:hint="eastAsia" w:ascii="Times New Roman" w:hAnsi="Times New Roman" w:eastAsia="宋体"/>
                      <w:color w:val="auto"/>
                      <w:sz w:val="21"/>
                      <w:shd w:val="clear" w:color="auto" w:fill="FFFFFF"/>
                    </w:rPr>
                    <w:t>密度0.92～0.98g/cm</w:t>
                  </w:r>
                  <w:r>
                    <w:rPr>
                      <w:rFonts w:hint="eastAsia" w:ascii="Times New Roman" w:hAnsi="Times New Roman" w:eastAsia="宋体"/>
                      <w:color w:val="auto"/>
                      <w:sz w:val="21"/>
                      <w:shd w:val="clear" w:color="auto" w:fill="FFFFFF"/>
                      <w:vertAlign w:val="superscript"/>
                    </w:rPr>
                    <w:t>3</w:t>
                  </w:r>
                  <w:r>
                    <w:rPr>
                      <w:rFonts w:hint="eastAsia" w:ascii="Times New Roman" w:hAnsi="Times New Roman" w:eastAsia="宋体"/>
                      <w:color w:val="auto"/>
                      <w:sz w:val="21"/>
                      <w:shd w:val="clear" w:color="auto" w:fill="FFFFFF"/>
                    </w:rPr>
                    <w:t>，熔点99℃，熔融温度123℃，热解温度约230℃。EVA由于在分子链中引入了醋酸乙烯单体，从而降低了高结晶度，提高了柔韧性、抗冲击性、填料相溶性和热密封性能，被广泛应用于发泡鞋料、功能性棚膜、包装膜、热熔胶、电线电缆及玩具等领域。</w:t>
                  </w:r>
                </w:p>
              </w:tc>
              <w:tc>
                <w:tcPr>
                  <w:tcW w:w="1190" w:type="dxa"/>
                  <w:noWrap w:val="0"/>
                  <w:vAlign w:val="center"/>
                </w:tcPr>
                <w:p w14:paraId="6C390A7F">
                  <w:pPr>
                    <w:keepNext w:val="0"/>
                    <w:keepLines w:val="0"/>
                    <w:pageBreakBefore w:val="0"/>
                    <w:kinsoku/>
                    <w:wordWrap/>
                    <w:overflowPunct/>
                    <w:topLinePunct w:val="0"/>
                    <w:autoSpaceDE/>
                    <w:autoSpaceDN/>
                    <w:bidi w:val="0"/>
                    <w:spacing w:line="240" w:lineRule="auto"/>
                    <w:jc w:val="center"/>
                    <w:textAlignment w:val="auto"/>
                    <w:rPr>
                      <w:color w:val="auto"/>
                      <w:kern w:val="0"/>
                    </w:rPr>
                  </w:pPr>
                  <w:r>
                    <w:rPr>
                      <w:rFonts w:hint="eastAsia"/>
                      <w:color w:val="auto"/>
                      <w:kern w:val="0"/>
                    </w:rPr>
                    <w:t>无资料</w:t>
                  </w:r>
                </w:p>
              </w:tc>
              <w:tc>
                <w:tcPr>
                  <w:tcW w:w="1045" w:type="dxa"/>
                  <w:noWrap w:val="0"/>
                  <w:vAlign w:val="center"/>
                </w:tcPr>
                <w:p w14:paraId="697A46C6">
                  <w:pPr>
                    <w:keepNext w:val="0"/>
                    <w:keepLines w:val="0"/>
                    <w:pageBreakBefore w:val="0"/>
                    <w:kinsoku/>
                    <w:wordWrap/>
                    <w:overflowPunct/>
                    <w:topLinePunct w:val="0"/>
                    <w:autoSpaceDE/>
                    <w:autoSpaceDN/>
                    <w:bidi w:val="0"/>
                    <w:spacing w:line="240" w:lineRule="auto"/>
                    <w:jc w:val="center"/>
                    <w:textAlignment w:val="auto"/>
                    <w:rPr>
                      <w:rFonts w:hint="eastAsia"/>
                      <w:color w:val="auto"/>
                      <w:kern w:val="44"/>
                      <w:shd w:val="clear" w:color="auto" w:fill="FFFFFF"/>
                    </w:rPr>
                  </w:pPr>
                  <w:r>
                    <w:rPr>
                      <w:rFonts w:hint="eastAsia"/>
                      <w:color w:val="auto"/>
                      <w:kern w:val="44"/>
                      <w:shd w:val="clear" w:color="auto" w:fill="FFFFFF"/>
                    </w:rPr>
                    <w:t>可燃</w:t>
                  </w:r>
                </w:p>
              </w:tc>
            </w:tr>
            <w:tr w14:paraId="4AAD3A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noWrap w:val="0"/>
                  <w:vAlign w:val="center"/>
                </w:tcPr>
                <w:p w14:paraId="77DA8CE0">
                  <w:pPr>
                    <w:keepNext w:val="0"/>
                    <w:keepLines w:val="0"/>
                    <w:pageBreakBefore w:val="0"/>
                    <w:kinsoku/>
                    <w:wordWrap/>
                    <w:overflowPunct/>
                    <w:topLinePunct w:val="0"/>
                    <w:autoSpaceDE/>
                    <w:autoSpaceDN/>
                    <w:bidi w:val="0"/>
                    <w:spacing w:line="240" w:lineRule="auto"/>
                    <w:jc w:val="center"/>
                    <w:textAlignment w:val="auto"/>
                    <w:rPr>
                      <w:rFonts w:hint="eastAsia"/>
                      <w:color w:val="auto"/>
                    </w:rPr>
                  </w:pPr>
                  <w:r>
                    <w:rPr>
                      <w:rFonts w:hint="eastAsia"/>
                      <w:color w:val="auto"/>
                    </w:rPr>
                    <w:t>2</w:t>
                  </w:r>
                </w:p>
              </w:tc>
              <w:tc>
                <w:tcPr>
                  <w:tcW w:w="1535" w:type="dxa"/>
                  <w:noWrap w:val="0"/>
                  <w:vAlign w:val="center"/>
                </w:tcPr>
                <w:p w14:paraId="43CE6C8C">
                  <w:pPr>
                    <w:keepNext w:val="0"/>
                    <w:keepLines w:val="0"/>
                    <w:pageBreakBefore w:val="0"/>
                    <w:kinsoku/>
                    <w:wordWrap/>
                    <w:overflowPunct/>
                    <w:topLinePunct w:val="0"/>
                    <w:autoSpaceDE/>
                    <w:autoSpaceDN/>
                    <w:bidi w:val="0"/>
                    <w:spacing w:line="240" w:lineRule="auto"/>
                    <w:jc w:val="center"/>
                    <w:textAlignment w:val="auto"/>
                    <w:rPr>
                      <w:rFonts w:hint="eastAsia"/>
                      <w:color w:val="auto"/>
                    </w:rPr>
                  </w:pPr>
                  <w:r>
                    <w:rPr>
                      <w:rFonts w:hint="eastAsia"/>
                      <w:color w:val="auto"/>
                    </w:rPr>
                    <w:t>交联剂</w:t>
                  </w:r>
                </w:p>
              </w:tc>
              <w:tc>
                <w:tcPr>
                  <w:tcW w:w="8776" w:type="dxa"/>
                  <w:noWrap w:val="0"/>
                  <w:vAlign w:val="center"/>
                </w:tcPr>
                <w:p w14:paraId="6EE4E087">
                  <w:pPr>
                    <w:pStyle w:val="49"/>
                    <w:keepNext w:val="0"/>
                    <w:keepLines w:val="0"/>
                    <w:pageBreakBefore w:val="0"/>
                    <w:kinsoku/>
                    <w:wordWrap/>
                    <w:overflowPunct/>
                    <w:topLinePunct w:val="0"/>
                    <w:autoSpaceDE/>
                    <w:autoSpaceDN/>
                    <w:bidi w:val="0"/>
                    <w:adjustRightInd w:val="0"/>
                    <w:snapToGrid w:val="0"/>
                    <w:spacing w:line="240" w:lineRule="auto"/>
                    <w:textAlignment w:val="auto"/>
                    <w:rPr>
                      <w:rFonts w:ascii="Times New Roman" w:hAnsi="Times New Roman" w:eastAsia="宋体"/>
                      <w:color w:val="auto"/>
                      <w:sz w:val="21"/>
                      <w:shd w:val="clear" w:color="auto" w:fill="FFFFFF"/>
                    </w:rPr>
                  </w:pPr>
                  <w:r>
                    <w:rPr>
                      <w:rFonts w:hint="eastAsia" w:ascii="Times New Roman" w:hAnsi="Times New Roman" w:eastAsia="宋体"/>
                      <w:color w:val="auto"/>
                      <w:sz w:val="21"/>
                      <w:shd w:val="clear" w:color="auto" w:fill="FFFFFF"/>
                    </w:rPr>
                    <w:t>白色颗粒状固体，具有弱酸性，不溶于水，易溶于邻苯二甲酸和二甲酯等有机溶剂</w:t>
                  </w:r>
                </w:p>
              </w:tc>
              <w:tc>
                <w:tcPr>
                  <w:tcW w:w="1190" w:type="dxa"/>
                  <w:noWrap w:val="0"/>
                  <w:vAlign w:val="center"/>
                </w:tcPr>
                <w:p w14:paraId="7C195968">
                  <w:pPr>
                    <w:keepNext w:val="0"/>
                    <w:keepLines w:val="0"/>
                    <w:pageBreakBefore w:val="0"/>
                    <w:kinsoku/>
                    <w:wordWrap/>
                    <w:overflowPunct/>
                    <w:topLinePunct w:val="0"/>
                    <w:autoSpaceDE/>
                    <w:autoSpaceDN/>
                    <w:bidi w:val="0"/>
                    <w:spacing w:line="240" w:lineRule="auto"/>
                    <w:jc w:val="center"/>
                    <w:textAlignment w:val="auto"/>
                    <w:rPr>
                      <w:rFonts w:hint="eastAsia"/>
                      <w:color w:val="auto"/>
                      <w:kern w:val="0"/>
                    </w:rPr>
                  </w:pPr>
                  <w:r>
                    <w:rPr>
                      <w:rFonts w:hint="eastAsia"/>
                      <w:color w:val="auto"/>
                      <w:kern w:val="0"/>
                    </w:rPr>
                    <w:t>无资料</w:t>
                  </w:r>
                </w:p>
              </w:tc>
              <w:tc>
                <w:tcPr>
                  <w:tcW w:w="1045" w:type="dxa"/>
                  <w:noWrap w:val="0"/>
                  <w:vAlign w:val="center"/>
                </w:tcPr>
                <w:p w14:paraId="6EFDEF21">
                  <w:pPr>
                    <w:keepNext w:val="0"/>
                    <w:keepLines w:val="0"/>
                    <w:pageBreakBefore w:val="0"/>
                    <w:kinsoku/>
                    <w:wordWrap/>
                    <w:overflowPunct/>
                    <w:topLinePunct w:val="0"/>
                    <w:autoSpaceDE/>
                    <w:autoSpaceDN/>
                    <w:bidi w:val="0"/>
                    <w:spacing w:line="240" w:lineRule="auto"/>
                    <w:jc w:val="center"/>
                    <w:textAlignment w:val="auto"/>
                    <w:rPr>
                      <w:rFonts w:hint="eastAsia"/>
                      <w:color w:val="auto"/>
                      <w:kern w:val="44"/>
                      <w:shd w:val="clear" w:color="auto" w:fill="FFFFFF"/>
                    </w:rPr>
                  </w:pPr>
                  <w:r>
                    <w:rPr>
                      <w:color w:val="auto"/>
                      <w:kern w:val="0"/>
                    </w:rPr>
                    <w:t>可燃</w:t>
                  </w:r>
                </w:p>
              </w:tc>
            </w:tr>
            <w:tr w14:paraId="773C11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noWrap w:val="0"/>
                  <w:vAlign w:val="center"/>
                </w:tcPr>
                <w:p w14:paraId="1AFB5E82">
                  <w:pPr>
                    <w:keepNext w:val="0"/>
                    <w:keepLines w:val="0"/>
                    <w:pageBreakBefore w:val="0"/>
                    <w:kinsoku/>
                    <w:wordWrap/>
                    <w:overflowPunct/>
                    <w:topLinePunct w:val="0"/>
                    <w:autoSpaceDE/>
                    <w:autoSpaceDN/>
                    <w:bidi w:val="0"/>
                    <w:spacing w:line="240" w:lineRule="auto"/>
                    <w:jc w:val="center"/>
                    <w:textAlignment w:val="auto"/>
                    <w:rPr>
                      <w:rFonts w:hint="eastAsia"/>
                      <w:color w:val="auto"/>
                    </w:rPr>
                  </w:pPr>
                  <w:r>
                    <w:rPr>
                      <w:rFonts w:hint="eastAsia"/>
                      <w:color w:val="auto"/>
                    </w:rPr>
                    <w:t>3</w:t>
                  </w:r>
                </w:p>
              </w:tc>
              <w:tc>
                <w:tcPr>
                  <w:tcW w:w="1535" w:type="dxa"/>
                  <w:noWrap w:val="0"/>
                  <w:vAlign w:val="center"/>
                </w:tcPr>
                <w:p w14:paraId="5DCA2FA4">
                  <w:pPr>
                    <w:keepNext w:val="0"/>
                    <w:keepLines w:val="0"/>
                    <w:pageBreakBefore w:val="0"/>
                    <w:kinsoku/>
                    <w:wordWrap/>
                    <w:overflowPunct/>
                    <w:topLinePunct w:val="0"/>
                    <w:autoSpaceDE/>
                    <w:autoSpaceDN/>
                    <w:bidi w:val="0"/>
                    <w:spacing w:line="240" w:lineRule="auto"/>
                    <w:jc w:val="center"/>
                    <w:textAlignment w:val="auto"/>
                    <w:rPr>
                      <w:rFonts w:hint="eastAsia"/>
                      <w:color w:val="auto"/>
                    </w:rPr>
                  </w:pPr>
                  <w:r>
                    <w:rPr>
                      <w:rFonts w:hint="eastAsia"/>
                      <w:color w:val="auto"/>
                    </w:rPr>
                    <w:t>耐紫外光助剂</w:t>
                  </w:r>
                </w:p>
              </w:tc>
              <w:tc>
                <w:tcPr>
                  <w:tcW w:w="8776" w:type="dxa"/>
                  <w:noWrap w:val="0"/>
                  <w:vAlign w:val="center"/>
                </w:tcPr>
                <w:p w14:paraId="2241A8E4">
                  <w:pPr>
                    <w:pStyle w:val="49"/>
                    <w:keepNext w:val="0"/>
                    <w:keepLines w:val="0"/>
                    <w:pageBreakBefore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olor w:val="auto"/>
                      <w:sz w:val="21"/>
                      <w:shd w:val="clear" w:color="auto" w:fill="FFFFFF"/>
                    </w:rPr>
                  </w:pPr>
                  <w:r>
                    <w:rPr>
                      <w:rFonts w:hint="eastAsia" w:ascii="Times New Roman" w:hAnsi="Times New Roman" w:eastAsia="宋体"/>
                      <w:color w:val="auto"/>
                      <w:sz w:val="21"/>
                      <w:shd w:val="clear" w:color="auto" w:fill="FFFFFF"/>
                    </w:rPr>
                    <w:t>一类具有空间阻碍的有机胺类化合物，对高聚物和有机化合物的光氧降解反应有很好的抑制效果，是一类性能优良的光稳定剂，与紫外稳定剂的作用方式不同，而是通过捕获自由基、分解氢过氧化物和传递激发态分子的能量等多种途径来抑制光氧降解反应。受阻胺对塑料的光稳定化作用常是其他紫外稳定剂的2～4 倍。</w:t>
                  </w:r>
                </w:p>
              </w:tc>
              <w:tc>
                <w:tcPr>
                  <w:tcW w:w="1190" w:type="dxa"/>
                  <w:noWrap w:val="0"/>
                  <w:vAlign w:val="center"/>
                </w:tcPr>
                <w:p w14:paraId="49EBDEAA">
                  <w:pPr>
                    <w:keepNext w:val="0"/>
                    <w:keepLines w:val="0"/>
                    <w:pageBreakBefore w:val="0"/>
                    <w:kinsoku/>
                    <w:wordWrap/>
                    <w:overflowPunct/>
                    <w:topLinePunct w:val="0"/>
                    <w:autoSpaceDE/>
                    <w:autoSpaceDN/>
                    <w:bidi w:val="0"/>
                    <w:spacing w:line="240" w:lineRule="auto"/>
                    <w:jc w:val="center"/>
                    <w:textAlignment w:val="auto"/>
                    <w:rPr>
                      <w:rFonts w:hint="eastAsia"/>
                      <w:color w:val="auto"/>
                      <w:kern w:val="0"/>
                    </w:rPr>
                  </w:pPr>
                  <w:r>
                    <w:rPr>
                      <w:rFonts w:hint="eastAsia"/>
                      <w:color w:val="auto"/>
                      <w:kern w:val="0"/>
                    </w:rPr>
                    <w:t>无资料</w:t>
                  </w:r>
                </w:p>
              </w:tc>
              <w:tc>
                <w:tcPr>
                  <w:tcW w:w="1045" w:type="dxa"/>
                  <w:noWrap w:val="0"/>
                  <w:vAlign w:val="center"/>
                </w:tcPr>
                <w:p w14:paraId="76CABC76">
                  <w:pPr>
                    <w:keepNext w:val="0"/>
                    <w:keepLines w:val="0"/>
                    <w:pageBreakBefore w:val="0"/>
                    <w:kinsoku/>
                    <w:wordWrap/>
                    <w:overflowPunct/>
                    <w:topLinePunct w:val="0"/>
                    <w:autoSpaceDE/>
                    <w:autoSpaceDN/>
                    <w:bidi w:val="0"/>
                    <w:spacing w:line="240" w:lineRule="auto"/>
                    <w:jc w:val="center"/>
                    <w:textAlignment w:val="auto"/>
                    <w:rPr>
                      <w:color w:val="auto"/>
                      <w:kern w:val="0"/>
                    </w:rPr>
                  </w:pPr>
                  <w:r>
                    <w:rPr>
                      <w:color w:val="auto"/>
                      <w:kern w:val="0"/>
                    </w:rPr>
                    <w:t>可燃</w:t>
                  </w:r>
                </w:p>
              </w:tc>
            </w:tr>
            <w:tr w14:paraId="63B68E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noWrap w:val="0"/>
                  <w:vAlign w:val="center"/>
                </w:tcPr>
                <w:p w14:paraId="63495EAF">
                  <w:pPr>
                    <w:keepNext w:val="0"/>
                    <w:keepLines w:val="0"/>
                    <w:pageBreakBefore w:val="0"/>
                    <w:kinsoku/>
                    <w:wordWrap/>
                    <w:overflowPunct/>
                    <w:topLinePunct w:val="0"/>
                    <w:autoSpaceDE/>
                    <w:autoSpaceDN/>
                    <w:bidi w:val="0"/>
                    <w:spacing w:line="240" w:lineRule="auto"/>
                    <w:jc w:val="center"/>
                    <w:textAlignment w:val="auto"/>
                    <w:rPr>
                      <w:rFonts w:hint="eastAsia"/>
                      <w:color w:val="auto"/>
                    </w:rPr>
                  </w:pPr>
                  <w:r>
                    <w:rPr>
                      <w:rFonts w:hint="eastAsia"/>
                      <w:color w:val="auto"/>
                    </w:rPr>
                    <w:t>4</w:t>
                  </w:r>
                </w:p>
              </w:tc>
              <w:tc>
                <w:tcPr>
                  <w:tcW w:w="1535" w:type="dxa"/>
                  <w:noWrap w:val="0"/>
                  <w:vAlign w:val="center"/>
                </w:tcPr>
                <w:p w14:paraId="357E91A0">
                  <w:pPr>
                    <w:pStyle w:val="4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rPr>
                  </w:pPr>
                  <w:r>
                    <w:rPr>
                      <w:rFonts w:hint="eastAsia" w:ascii="Times New Roman" w:hAnsi="Times New Roman" w:eastAsia="宋体"/>
                      <w:color w:val="auto"/>
                      <w:sz w:val="21"/>
                    </w:rPr>
                    <w:t>偶联</w:t>
                  </w:r>
                  <w:r>
                    <w:rPr>
                      <w:rFonts w:ascii="Times New Roman" w:hAnsi="Times New Roman" w:eastAsia="宋体"/>
                      <w:color w:val="auto"/>
                      <w:sz w:val="21"/>
                    </w:rPr>
                    <w:t>剂</w:t>
                  </w:r>
                </w:p>
              </w:tc>
              <w:tc>
                <w:tcPr>
                  <w:tcW w:w="8776" w:type="dxa"/>
                  <w:noWrap w:val="0"/>
                  <w:vAlign w:val="center"/>
                </w:tcPr>
                <w:p w14:paraId="45D0F68B">
                  <w:pPr>
                    <w:keepNext w:val="0"/>
                    <w:keepLines w:val="0"/>
                    <w:pageBreakBefore w:val="0"/>
                    <w:widowControl/>
                    <w:shd w:val="clear" w:color="auto" w:fill="FFFFFF"/>
                    <w:kinsoku/>
                    <w:wordWrap/>
                    <w:overflowPunct/>
                    <w:topLinePunct w:val="0"/>
                    <w:autoSpaceDE/>
                    <w:autoSpaceDN/>
                    <w:bidi w:val="0"/>
                    <w:adjustRightInd w:val="0"/>
                    <w:snapToGrid w:val="0"/>
                    <w:spacing w:line="240" w:lineRule="auto"/>
                    <w:ind w:firstLine="420"/>
                    <w:jc w:val="left"/>
                    <w:textAlignment w:val="auto"/>
                    <w:rPr>
                      <w:rFonts w:hint="eastAsia"/>
                      <w:color w:val="auto"/>
                      <w:shd w:val="clear" w:color="auto" w:fill="FFFFFF"/>
                    </w:rPr>
                  </w:pPr>
                  <w:r>
                    <w:rPr>
                      <w:rFonts w:hint="eastAsia"/>
                      <w:color w:val="auto"/>
                      <w:kern w:val="44"/>
                      <w:shd w:val="clear" w:color="auto" w:fill="FFFFFF"/>
                    </w:rPr>
                    <w:t>含Si—O—Si键构成主链结构的聚合物，对热和化学试剂稳定，不被水润湿，突出的耐老化性能、优异的疏水性 与电绝缘性。</w:t>
                  </w:r>
                </w:p>
              </w:tc>
              <w:tc>
                <w:tcPr>
                  <w:tcW w:w="1190" w:type="dxa"/>
                  <w:noWrap w:val="0"/>
                  <w:vAlign w:val="center"/>
                </w:tcPr>
                <w:p w14:paraId="3F799EE6">
                  <w:pPr>
                    <w:keepNext w:val="0"/>
                    <w:keepLines w:val="0"/>
                    <w:pageBreakBefore w:val="0"/>
                    <w:kinsoku/>
                    <w:wordWrap/>
                    <w:overflowPunct/>
                    <w:topLinePunct w:val="0"/>
                    <w:autoSpaceDE/>
                    <w:autoSpaceDN/>
                    <w:bidi w:val="0"/>
                    <w:spacing w:line="240" w:lineRule="auto"/>
                    <w:jc w:val="center"/>
                    <w:textAlignment w:val="auto"/>
                    <w:rPr>
                      <w:rFonts w:hint="eastAsia"/>
                      <w:color w:val="auto"/>
                      <w:kern w:val="0"/>
                    </w:rPr>
                  </w:pPr>
                  <w:r>
                    <w:rPr>
                      <w:rFonts w:hint="eastAsia"/>
                      <w:color w:val="auto"/>
                      <w:kern w:val="0"/>
                    </w:rPr>
                    <w:t>无资料</w:t>
                  </w:r>
                </w:p>
              </w:tc>
              <w:tc>
                <w:tcPr>
                  <w:tcW w:w="1045" w:type="dxa"/>
                  <w:noWrap w:val="0"/>
                  <w:vAlign w:val="center"/>
                </w:tcPr>
                <w:p w14:paraId="77DA8C32">
                  <w:pPr>
                    <w:keepNext w:val="0"/>
                    <w:keepLines w:val="0"/>
                    <w:pageBreakBefore w:val="0"/>
                    <w:kinsoku/>
                    <w:wordWrap/>
                    <w:overflowPunct/>
                    <w:topLinePunct w:val="0"/>
                    <w:autoSpaceDE/>
                    <w:autoSpaceDN/>
                    <w:bidi w:val="0"/>
                    <w:spacing w:line="240" w:lineRule="auto"/>
                    <w:jc w:val="center"/>
                    <w:textAlignment w:val="auto"/>
                    <w:rPr>
                      <w:color w:val="auto"/>
                      <w:kern w:val="0"/>
                    </w:rPr>
                  </w:pPr>
                  <w:r>
                    <w:rPr>
                      <w:color w:val="auto"/>
                      <w:kern w:val="0"/>
                    </w:rPr>
                    <w:t>可燃</w:t>
                  </w:r>
                </w:p>
              </w:tc>
            </w:tr>
            <w:tr w14:paraId="7D89EC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noWrap w:val="0"/>
                  <w:vAlign w:val="center"/>
                </w:tcPr>
                <w:p w14:paraId="4BC5AF63">
                  <w:pPr>
                    <w:keepNext w:val="0"/>
                    <w:keepLines w:val="0"/>
                    <w:pageBreakBefore w:val="0"/>
                    <w:kinsoku/>
                    <w:wordWrap/>
                    <w:overflowPunct/>
                    <w:topLinePunct w:val="0"/>
                    <w:autoSpaceDE/>
                    <w:autoSpaceDN/>
                    <w:bidi w:val="0"/>
                    <w:spacing w:line="240" w:lineRule="auto"/>
                    <w:jc w:val="center"/>
                    <w:textAlignment w:val="auto"/>
                    <w:rPr>
                      <w:rFonts w:hint="eastAsia"/>
                      <w:color w:val="auto"/>
                      <w:kern w:val="0"/>
                    </w:rPr>
                  </w:pPr>
                  <w:r>
                    <w:rPr>
                      <w:rFonts w:hint="eastAsia"/>
                      <w:color w:val="auto"/>
                    </w:rPr>
                    <w:t>5</w:t>
                  </w:r>
                </w:p>
              </w:tc>
              <w:tc>
                <w:tcPr>
                  <w:tcW w:w="1535" w:type="dxa"/>
                  <w:noWrap w:val="0"/>
                  <w:vAlign w:val="center"/>
                </w:tcPr>
                <w:p w14:paraId="5ED0A168">
                  <w:pPr>
                    <w:keepNext w:val="0"/>
                    <w:keepLines w:val="0"/>
                    <w:pageBreakBefore w:val="0"/>
                    <w:kinsoku/>
                    <w:wordWrap/>
                    <w:overflowPunct/>
                    <w:topLinePunct w:val="0"/>
                    <w:autoSpaceDE/>
                    <w:autoSpaceDN/>
                    <w:bidi w:val="0"/>
                    <w:spacing w:line="240" w:lineRule="auto"/>
                    <w:jc w:val="center"/>
                    <w:textAlignment w:val="auto"/>
                    <w:rPr>
                      <w:rFonts w:hint="eastAsia"/>
                      <w:color w:val="auto"/>
                    </w:rPr>
                  </w:pPr>
                  <w:r>
                    <w:rPr>
                      <w:rFonts w:hint="eastAsia"/>
                      <w:color w:val="auto"/>
                    </w:rPr>
                    <w:t>矿物油</w:t>
                  </w:r>
                </w:p>
              </w:tc>
              <w:tc>
                <w:tcPr>
                  <w:tcW w:w="8776" w:type="dxa"/>
                  <w:noWrap w:val="0"/>
                  <w:vAlign w:val="center"/>
                </w:tcPr>
                <w:p w14:paraId="16A08B32">
                  <w:pPr>
                    <w:pStyle w:val="49"/>
                    <w:keepNext w:val="0"/>
                    <w:keepLines w:val="0"/>
                    <w:pageBreakBefore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olor w:val="auto"/>
                      <w:sz w:val="21"/>
                    </w:rPr>
                  </w:pPr>
                  <w:r>
                    <w:rPr>
                      <w:rFonts w:ascii="Times New Roman" w:hAnsi="Times New Roman" w:eastAsia="宋体"/>
                      <w:color w:val="auto"/>
                      <w:sz w:val="21"/>
                    </w:rPr>
                    <w:t>沸点&gt;316℃，引燃温度：220-250℃，闪点224℃左右，淡黄色液体，不溶于水</w:t>
                  </w:r>
                </w:p>
              </w:tc>
              <w:tc>
                <w:tcPr>
                  <w:tcW w:w="1190" w:type="dxa"/>
                  <w:noWrap w:val="0"/>
                  <w:vAlign w:val="center"/>
                </w:tcPr>
                <w:p w14:paraId="055EA99F">
                  <w:pPr>
                    <w:keepNext w:val="0"/>
                    <w:keepLines w:val="0"/>
                    <w:pageBreakBefore w:val="0"/>
                    <w:kinsoku/>
                    <w:wordWrap/>
                    <w:overflowPunct/>
                    <w:topLinePunct w:val="0"/>
                    <w:autoSpaceDE/>
                    <w:autoSpaceDN/>
                    <w:bidi w:val="0"/>
                    <w:spacing w:line="240" w:lineRule="auto"/>
                    <w:jc w:val="center"/>
                    <w:textAlignment w:val="auto"/>
                    <w:rPr>
                      <w:rFonts w:hint="eastAsia"/>
                      <w:color w:val="auto"/>
                      <w:kern w:val="0"/>
                    </w:rPr>
                  </w:pPr>
                  <w:r>
                    <w:rPr>
                      <w:rFonts w:hint="eastAsia"/>
                      <w:color w:val="auto"/>
                      <w:kern w:val="0"/>
                    </w:rPr>
                    <w:t>无资料</w:t>
                  </w:r>
                </w:p>
              </w:tc>
              <w:tc>
                <w:tcPr>
                  <w:tcW w:w="1045" w:type="dxa"/>
                  <w:noWrap w:val="0"/>
                  <w:vAlign w:val="center"/>
                </w:tcPr>
                <w:p w14:paraId="28CE3881">
                  <w:pPr>
                    <w:keepNext w:val="0"/>
                    <w:keepLines w:val="0"/>
                    <w:pageBreakBefore w:val="0"/>
                    <w:kinsoku/>
                    <w:wordWrap/>
                    <w:overflowPunct/>
                    <w:topLinePunct w:val="0"/>
                    <w:autoSpaceDE/>
                    <w:autoSpaceDN/>
                    <w:bidi w:val="0"/>
                    <w:spacing w:line="240" w:lineRule="auto"/>
                    <w:jc w:val="center"/>
                    <w:textAlignment w:val="auto"/>
                    <w:rPr>
                      <w:rFonts w:hint="eastAsia"/>
                      <w:color w:val="auto"/>
                      <w:kern w:val="0"/>
                    </w:rPr>
                  </w:pPr>
                  <w:r>
                    <w:rPr>
                      <w:rFonts w:hint="eastAsia"/>
                      <w:color w:val="auto"/>
                      <w:kern w:val="0"/>
                    </w:rPr>
                    <w:t>可燃</w:t>
                  </w:r>
                </w:p>
              </w:tc>
            </w:tr>
          </w:tbl>
          <w:p w14:paraId="7E3867F4">
            <w:pPr>
              <w:adjustRightInd w:val="0"/>
              <w:snapToGrid w:val="0"/>
              <w:spacing w:line="500" w:lineRule="exact"/>
              <w:ind w:firstLine="211" w:firstLineChars="100"/>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lang w:val="en-US" w:eastAsia="zh-CN"/>
              </w:rPr>
              <w:t>4</w:t>
            </w:r>
            <w:r>
              <w:rPr>
                <w:rFonts w:hint="default" w:ascii="Times New Roman" w:hAnsi="Times New Roman" w:cs="Times New Roman" w:eastAsiaTheme="minorEastAsia"/>
                <w:b/>
                <w:color w:val="auto"/>
                <w:sz w:val="21"/>
                <w:szCs w:val="21"/>
              </w:rPr>
              <w:t>、主要生产设施</w:t>
            </w:r>
          </w:p>
          <w:p w14:paraId="6D4C3A86">
            <w:pPr>
              <w:spacing w:line="500" w:lineRule="exact"/>
              <w:ind w:firstLine="420" w:firstLineChars="20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本项目设备情况见</w:t>
            </w:r>
            <w:r>
              <w:rPr>
                <w:rFonts w:hint="default" w:ascii="Times New Roman" w:hAnsi="Times New Roman" w:cs="Times New Roman" w:eastAsiaTheme="minorEastAsia"/>
                <w:color w:val="auto"/>
                <w:kern w:val="0"/>
                <w:sz w:val="21"/>
                <w:szCs w:val="21"/>
                <w:lang w:eastAsia="zh-CN"/>
              </w:rPr>
              <w:t>下</w:t>
            </w:r>
            <w:r>
              <w:rPr>
                <w:rFonts w:hint="default" w:ascii="Times New Roman" w:hAnsi="Times New Roman" w:cs="Times New Roman" w:eastAsiaTheme="minorEastAsia"/>
                <w:color w:val="auto"/>
                <w:kern w:val="0"/>
                <w:sz w:val="21"/>
                <w:szCs w:val="21"/>
              </w:rPr>
              <w:t>表</w:t>
            </w:r>
            <w:r>
              <w:rPr>
                <w:rFonts w:hint="default" w:ascii="Times New Roman" w:hAnsi="Times New Roman" w:cs="Times New Roman" w:eastAsiaTheme="minorEastAsia"/>
                <w:color w:val="auto"/>
                <w:sz w:val="21"/>
                <w:szCs w:val="21"/>
              </w:rPr>
              <w:t>。</w:t>
            </w:r>
          </w:p>
          <w:p w14:paraId="4D2B4203">
            <w:pPr>
              <w:adjustRightInd w:val="0"/>
              <w:snapToGrid w:val="0"/>
              <w:spacing w:line="500" w:lineRule="exac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表2-</w:t>
            </w:r>
            <w:r>
              <w:rPr>
                <w:rFonts w:hint="eastAsia" w:cs="Times New Roman"/>
                <w:b/>
                <w:bCs/>
                <w:color w:val="auto"/>
                <w:sz w:val="21"/>
                <w:szCs w:val="21"/>
                <w:highlight w:val="none"/>
                <w:lang w:val="en-US" w:eastAsia="zh-CN"/>
              </w:rPr>
              <w:t>6</w:t>
            </w:r>
            <w:r>
              <w:rPr>
                <w:rFonts w:hint="eastAsia" w:ascii="Times New Roman" w:hAnsi="Times New Roman" w:cs="Times New Roman"/>
                <w:b/>
                <w:bCs/>
                <w:color w:val="auto"/>
                <w:sz w:val="21"/>
                <w:szCs w:val="21"/>
                <w:highlight w:val="none"/>
                <w:lang w:val="en-US" w:eastAsia="zh-CN"/>
              </w:rPr>
              <w:t xml:space="preserve"> </w:t>
            </w:r>
            <w:r>
              <w:rPr>
                <w:rFonts w:hint="default" w:ascii="Times New Roman" w:hAnsi="Times New Roman" w:cs="Times New Roman"/>
                <w:b/>
                <w:bCs/>
                <w:color w:val="auto"/>
                <w:sz w:val="21"/>
                <w:szCs w:val="21"/>
                <w:highlight w:val="none"/>
              </w:rPr>
              <w:t>本项目主要生产设备一览表</w:t>
            </w:r>
          </w:p>
          <w:tbl>
            <w:tblPr>
              <w:tblStyle w:val="31"/>
              <w:tblW w:w="4998" w:type="pct"/>
              <w:jc w:val="center"/>
              <w:tblBorders>
                <w:top w:val="single" w:color="auto" w:sz="4" w:space="0"/>
                <w:left w:val="none" w:color="auto" w:sz="0" w:space="0"/>
                <w:bottom w:val="single" w:color="auto" w:sz="4" w:space="0"/>
                <w:right w:val="none" w:color="auto" w:sz="0" w:space="0"/>
                <w:insideH w:val="single" w:color="auto" w:sz="2" w:space="0"/>
                <w:insideV w:val="single" w:color="auto" w:sz="2" w:space="0"/>
              </w:tblBorders>
              <w:tblLayout w:type="autofit"/>
              <w:tblCellMar>
                <w:top w:w="0" w:type="dxa"/>
                <w:left w:w="79" w:type="dxa"/>
                <w:bottom w:w="0" w:type="dxa"/>
                <w:right w:w="79" w:type="dxa"/>
              </w:tblCellMar>
            </w:tblPr>
            <w:tblGrid>
              <w:gridCol w:w="1556"/>
              <w:gridCol w:w="5267"/>
              <w:gridCol w:w="3351"/>
              <w:gridCol w:w="1734"/>
              <w:gridCol w:w="1300"/>
            </w:tblGrid>
            <w:tr w14:paraId="7ED5B04C">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589" w:type="pct"/>
                  <w:vAlign w:val="center"/>
                </w:tcPr>
                <w:p w14:paraId="2F0B9CA8">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类别</w:t>
                  </w:r>
                </w:p>
              </w:tc>
              <w:tc>
                <w:tcPr>
                  <w:tcW w:w="1993" w:type="pct"/>
                  <w:vAlign w:val="center"/>
                </w:tcPr>
                <w:p w14:paraId="51A77029">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设备名称</w:t>
                  </w:r>
                </w:p>
              </w:tc>
              <w:tc>
                <w:tcPr>
                  <w:tcW w:w="1268" w:type="pct"/>
                  <w:vAlign w:val="center"/>
                </w:tcPr>
                <w:p w14:paraId="090A4420">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单套设备生产能力</w:t>
                  </w:r>
                </w:p>
              </w:tc>
              <w:tc>
                <w:tcPr>
                  <w:tcW w:w="656" w:type="pct"/>
                  <w:tcBorders>
                    <w:bottom w:val="single" w:color="auto" w:sz="4" w:space="0"/>
                  </w:tcBorders>
                  <w:vAlign w:val="center"/>
                </w:tcPr>
                <w:p w14:paraId="353A50E8">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数量（</w:t>
                  </w:r>
                  <w:r>
                    <w:rPr>
                      <w:rFonts w:hint="eastAsia" w:cs="Times New Roman"/>
                      <w:b/>
                      <w:bCs/>
                      <w:color w:val="auto"/>
                      <w:sz w:val="21"/>
                      <w:szCs w:val="21"/>
                      <w:lang w:val="en-US" w:eastAsia="zh-CN"/>
                    </w:rPr>
                    <w:t>条</w:t>
                  </w:r>
                  <w:r>
                    <w:rPr>
                      <w:rFonts w:hint="default" w:ascii="Times New Roman" w:hAnsi="Times New Roman" w:cs="Times New Roman"/>
                      <w:b/>
                      <w:bCs/>
                      <w:color w:val="auto"/>
                      <w:sz w:val="21"/>
                      <w:szCs w:val="21"/>
                    </w:rPr>
                    <w:t>）</w:t>
                  </w:r>
                </w:p>
              </w:tc>
              <w:tc>
                <w:tcPr>
                  <w:tcW w:w="492" w:type="pct"/>
                  <w:vAlign w:val="center"/>
                </w:tcPr>
                <w:p w14:paraId="2DB56294">
                  <w:pPr>
                    <w:keepNext w:val="0"/>
                    <w:keepLines w:val="0"/>
                    <w:pageBreakBefore w:val="0"/>
                    <w:kinsoku/>
                    <w:wordWrap/>
                    <w:overflowPunct/>
                    <w:topLinePunct w:val="0"/>
                    <w:autoSpaceDE/>
                    <w:autoSpaceDN/>
                    <w:bidi w:val="0"/>
                    <w:adjustRightInd w:val="0"/>
                    <w:snapToGrid w:val="0"/>
                    <w:spacing w:line="240" w:lineRule="auto"/>
                    <w:ind w:right="0"/>
                    <w:jc w:val="center"/>
                    <w:rPr>
                      <w:rFonts w:hint="eastAsia" w:ascii="Times New Roman" w:hAnsi="Times New Roman" w:eastAsia="宋体" w:cs="Times New Roman"/>
                      <w:b/>
                      <w:bCs/>
                      <w:color w:val="auto"/>
                      <w:sz w:val="21"/>
                      <w:szCs w:val="21"/>
                      <w:lang w:eastAsia="zh-CN"/>
                    </w:rPr>
                  </w:pPr>
                  <w:r>
                    <w:rPr>
                      <w:rFonts w:hint="eastAsia" w:cs="Times New Roman"/>
                      <w:b/>
                      <w:bCs/>
                      <w:color w:val="auto"/>
                      <w:sz w:val="21"/>
                      <w:szCs w:val="21"/>
                      <w:lang w:eastAsia="zh-CN"/>
                    </w:rPr>
                    <w:t>备注</w:t>
                  </w:r>
                </w:p>
              </w:tc>
            </w:tr>
            <w:tr w14:paraId="17B465ED">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589" w:type="pct"/>
                  <w:vAlign w:val="center"/>
                </w:tcPr>
                <w:p w14:paraId="5EC2D378">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生产设备</w:t>
                  </w:r>
                </w:p>
              </w:tc>
              <w:tc>
                <w:tcPr>
                  <w:tcW w:w="1993" w:type="pct"/>
                  <w:vAlign w:val="center"/>
                </w:tcPr>
                <w:p w14:paraId="267DD69E">
                  <w:pPr>
                    <w:keepNext w:val="0"/>
                    <w:keepLines w:val="0"/>
                    <w:pageBreakBefore w:val="0"/>
                    <w:widowControl/>
                    <w:suppressLineNumbers w:val="0"/>
                    <w:wordWrap/>
                    <w:overflowPunct/>
                    <w:topLinePunct w:val="0"/>
                    <w:bidi w:val="0"/>
                    <w:spacing w:line="240" w:lineRule="auto"/>
                    <w:ind w:right="0" w:rightChars="0"/>
                    <w:jc w:val="center"/>
                    <w:textAlignment w:val="center"/>
                    <w:rPr>
                      <w:rFonts w:hint="default" w:ascii="Times New Roman" w:hAnsi="Times New Roman" w:eastAsia="宋体" w:cs="Times New Roman"/>
                      <w:color w:val="auto"/>
                      <w:sz w:val="21"/>
                      <w:szCs w:val="21"/>
                      <w:lang w:val="en-US" w:eastAsia="zh-CN"/>
                    </w:rPr>
                  </w:pPr>
                  <w:r>
                    <w:rPr>
                      <w:color w:val="auto"/>
                    </w:rPr>
                    <w:t>EVA光电胶膜生产机组</w:t>
                  </w:r>
                </w:p>
              </w:tc>
              <w:tc>
                <w:tcPr>
                  <w:tcW w:w="1268" w:type="pct"/>
                  <w:vAlign w:val="center"/>
                </w:tcPr>
                <w:p w14:paraId="5E11B5A0">
                  <w:pPr>
                    <w:keepNext w:val="0"/>
                    <w:keepLines w:val="0"/>
                    <w:pageBreakBefore w:val="0"/>
                    <w:widowControl/>
                    <w:suppressLineNumbers w:val="0"/>
                    <w:wordWrap/>
                    <w:overflowPunct/>
                    <w:topLinePunct w:val="0"/>
                    <w:bidi w:val="0"/>
                    <w:spacing w:line="240" w:lineRule="auto"/>
                    <w:ind w:right="0" w:rightChars="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1100m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/h</w:t>
                  </w:r>
                </w:p>
              </w:tc>
              <w:tc>
                <w:tcPr>
                  <w:tcW w:w="656" w:type="pct"/>
                  <w:tcBorders>
                    <w:right w:val="single" w:color="auto" w:sz="4" w:space="0"/>
                  </w:tcBorders>
                  <w:vAlign w:val="center"/>
                </w:tcPr>
                <w:p w14:paraId="2104DF2C">
                  <w:pPr>
                    <w:keepNext w:val="0"/>
                    <w:keepLines w:val="0"/>
                    <w:pageBreakBefore w:val="0"/>
                    <w:widowControl/>
                    <w:suppressLineNumbers w:val="0"/>
                    <w:wordWrap/>
                    <w:overflowPunct/>
                    <w:topLinePunct w:val="0"/>
                    <w:bidi w:val="0"/>
                    <w:spacing w:line="240" w:lineRule="auto"/>
                    <w:ind w:right="0"/>
                    <w:jc w:val="center"/>
                    <w:textAlignment w:val="center"/>
                    <w:rPr>
                      <w:rFonts w:hint="default" w:cs="Times New Roman"/>
                      <w:bCs/>
                      <w:color w:val="auto"/>
                      <w:sz w:val="21"/>
                      <w:szCs w:val="21"/>
                      <w:lang w:val="en-US" w:eastAsia="zh-CN"/>
                    </w:rPr>
                  </w:pPr>
                  <w:r>
                    <w:rPr>
                      <w:rFonts w:hint="eastAsia" w:cs="Times New Roman"/>
                      <w:bCs/>
                      <w:color w:val="auto"/>
                      <w:sz w:val="21"/>
                      <w:szCs w:val="21"/>
                      <w:lang w:val="en-US" w:eastAsia="zh-CN"/>
                    </w:rPr>
                    <w:t>4</w:t>
                  </w:r>
                </w:p>
              </w:tc>
              <w:tc>
                <w:tcPr>
                  <w:tcW w:w="492" w:type="pct"/>
                  <w:tcBorders>
                    <w:left w:val="single" w:color="auto" w:sz="4" w:space="0"/>
                  </w:tcBorders>
                  <w:vAlign w:val="center"/>
                </w:tcPr>
                <w:p w14:paraId="3B621B63">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w:t>
                  </w:r>
                </w:p>
              </w:tc>
            </w:tr>
          </w:tbl>
          <w:p w14:paraId="3FBBB959">
            <w:pPr>
              <w:adjustRightInd w:val="0"/>
              <w:snapToGrid w:val="0"/>
              <w:spacing w:line="50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表2-</w:t>
            </w:r>
            <w:r>
              <w:rPr>
                <w:rFonts w:hint="eastAsia" w:ascii="Times New Roman" w:hAnsi="Times New Roman" w:eastAsia="宋体" w:cs="Times New Roman"/>
                <w:b/>
                <w:bCs/>
                <w:color w:val="auto"/>
                <w:sz w:val="21"/>
                <w:szCs w:val="21"/>
                <w:highlight w:val="none"/>
                <w:lang w:val="en-US" w:eastAsia="zh-CN"/>
              </w:rPr>
              <w:t>7</w:t>
            </w:r>
            <w:r>
              <w:rPr>
                <w:rFonts w:hint="default" w:ascii="Times New Roman" w:hAnsi="Times New Roman" w:eastAsia="宋体" w:cs="Times New Roman"/>
                <w:b/>
                <w:bCs/>
                <w:color w:val="auto"/>
                <w:sz w:val="21"/>
                <w:szCs w:val="21"/>
                <w:highlight w:val="none"/>
              </w:rPr>
              <w:t xml:space="preserve">  本项目单套EVA胶膜生产线配套设备、设施一览表</w:t>
            </w:r>
          </w:p>
          <w:tbl>
            <w:tblPr>
              <w:tblStyle w:val="31"/>
              <w:tblW w:w="4998" w:type="pct"/>
              <w:jc w:val="center"/>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1"/>
              <w:gridCol w:w="6166"/>
              <w:gridCol w:w="2633"/>
              <w:gridCol w:w="2818"/>
            </w:tblGrid>
            <w:tr w14:paraId="51BFD13B">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9" w:type="pct"/>
                  <w:noWrap w:val="0"/>
                  <w:tcMar>
                    <w:top w:w="0" w:type="dxa"/>
                    <w:left w:w="0" w:type="dxa"/>
                    <w:right w:w="0" w:type="dxa"/>
                  </w:tcMar>
                  <w:vAlign w:val="center"/>
                </w:tcPr>
                <w:p w14:paraId="6CAFA1C1">
                  <w:pPr>
                    <w:spacing w:line="240" w:lineRule="atLeast"/>
                    <w:jc w:val="center"/>
                    <w:rPr>
                      <w:bCs/>
                      <w:color w:val="auto"/>
                      <w:szCs w:val="21"/>
                    </w:rPr>
                  </w:pPr>
                  <w:r>
                    <w:rPr>
                      <w:bCs/>
                      <w:color w:val="auto"/>
                      <w:kern w:val="0"/>
                      <w:szCs w:val="21"/>
                    </w:rPr>
                    <w:t>序号</w:t>
                  </w:r>
                </w:p>
              </w:tc>
              <w:tc>
                <w:tcPr>
                  <w:tcW w:w="2335" w:type="pct"/>
                  <w:noWrap w:val="0"/>
                  <w:tcMar>
                    <w:top w:w="0" w:type="dxa"/>
                    <w:left w:w="0" w:type="dxa"/>
                    <w:right w:w="0" w:type="dxa"/>
                  </w:tcMar>
                  <w:vAlign w:val="center"/>
                </w:tcPr>
                <w:p w14:paraId="2A70B7DA">
                  <w:pPr>
                    <w:spacing w:line="240" w:lineRule="atLeast"/>
                    <w:jc w:val="center"/>
                    <w:rPr>
                      <w:bCs/>
                      <w:color w:val="auto"/>
                      <w:szCs w:val="21"/>
                    </w:rPr>
                  </w:pPr>
                  <w:r>
                    <w:rPr>
                      <w:bCs/>
                      <w:color w:val="auto"/>
                      <w:kern w:val="0"/>
                      <w:szCs w:val="21"/>
                    </w:rPr>
                    <w:t>名称</w:t>
                  </w:r>
                </w:p>
              </w:tc>
              <w:tc>
                <w:tcPr>
                  <w:tcW w:w="997" w:type="pct"/>
                  <w:noWrap w:val="0"/>
                  <w:vAlign w:val="center"/>
                </w:tcPr>
                <w:p w14:paraId="0768DC27">
                  <w:pPr>
                    <w:spacing w:line="240" w:lineRule="atLeast"/>
                    <w:jc w:val="center"/>
                    <w:rPr>
                      <w:bCs/>
                      <w:color w:val="auto"/>
                      <w:szCs w:val="21"/>
                    </w:rPr>
                  </w:pPr>
                  <w:r>
                    <w:rPr>
                      <w:bCs/>
                      <w:color w:val="auto"/>
                      <w:kern w:val="0"/>
                      <w:szCs w:val="21"/>
                    </w:rPr>
                    <w:t>数量（台/套）</w:t>
                  </w:r>
                </w:p>
              </w:tc>
              <w:tc>
                <w:tcPr>
                  <w:tcW w:w="1067" w:type="pct"/>
                  <w:noWrap w:val="0"/>
                  <w:vAlign w:val="center"/>
                </w:tcPr>
                <w:p w14:paraId="6E98D49F">
                  <w:pPr>
                    <w:spacing w:line="240" w:lineRule="atLeast"/>
                    <w:jc w:val="center"/>
                    <w:rPr>
                      <w:bCs/>
                      <w:color w:val="auto"/>
                      <w:szCs w:val="21"/>
                    </w:rPr>
                  </w:pPr>
                  <w:r>
                    <w:rPr>
                      <w:bCs/>
                      <w:color w:val="auto"/>
                      <w:szCs w:val="21"/>
                    </w:rPr>
                    <w:t>备注</w:t>
                  </w:r>
                </w:p>
              </w:tc>
            </w:tr>
            <w:tr w14:paraId="313636E8">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9" w:type="pct"/>
                  <w:noWrap w:val="0"/>
                  <w:vAlign w:val="center"/>
                </w:tcPr>
                <w:p w14:paraId="7FC8066B">
                  <w:pPr>
                    <w:spacing w:line="240" w:lineRule="atLeast"/>
                    <w:jc w:val="center"/>
                    <w:rPr>
                      <w:bCs/>
                      <w:color w:val="auto"/>
                      <w:kern w:val="0"/>
                      <w:szCs w:val="21"/>
                    </w:rPr>
                  </w:pPr>
                  <w:r>
                    <w:rPr>
                      <w:bCs/>
                      <w:color w:val="auto"/>
                      <w:kern w:val="0"/>
                      <w:szCs w:val="21"/>
                    </w:rPr>
                    <w:t>1</w:t>
                  </w:r>
                </w:p>
              </w:tc>
              <w:tc>
                <w:tcPr>
                  <w:tcW w:w="2335" w:type="pct"/>
                  <w:noWrap w:val="0"/>
                  <w:vAlign w:val="center"/>
                </w:tcPr>
                <w:p w14:paraId="35F980CE">
                  <w:pPr>
                    <w:pStyle w:val="123"/>
                    <w:rPr>
                      <w:rFonts w:eastAsia="宋体" w:cs="Times New Roman"/>
                      <w:bCs/>
                      <w:color w:val="auto"/>
                    </w:rPr>
                  </w:pPr>
                  <w:r>
                    <w:rPr>
                      <w:rFonts w:eastAsia="宋体" w:cs="Times New Roman"/>
                      <w:bCs/>
                      <w:color w:val="auto"/>
                    </w:rPr>
                    <w:t>EVA三层胶膜生产线</w:t>
                  </w:r>
                </w:p>
              </w:tc>
              <w:tc>
                <w:tcPr>
                  <w:tcW w:w="997" w:type="pct"/>
                  <w:noWrap w:val="0"/>
                  <w:vAlign w:val="center"/>
                </w:tcPr>
                <w:p w14:paraId="0CF672B3">
                  <w:pPr>
                    <w:jc w:val="center"/>
                    <w:rPr>
                      <w:color w:val="auto"/>
                      <w:szCs w:val="21"/>
                    </w:rPr>
                  </w:pPr>
                  <w:r>
                    <w:rPr>
                      <w:color w:val="auto"/>
                      <w:szCs w:val="21"/>
                    </w:rPr>
                    <w:t>1</w:t>
                  </w:r>
                </w:p>
              </w:tc>
              <w:tc>
                <w:tcPr>
                  <w:tcW w:w="1067" w:type="pct"/>
                  <w:noWrap w:val="0"/>
                  <w:vAlign w:val="center"/>
                </w:tcPr>
                <w:p w14:paraId="6C451B3D">
                  <w:pPr>
                    <w:widowControl/>
                    <w:jc w:val="center"/>
                    <w:textAlignment w:val="center"/>
                    <w:rPr>
                      <w:rFonts w:hint="eastAsia" w:eastAsia="宋体"/>
                      <w:bCs/>
                      <w:color w:val="auto"/>
                      <w:szCs w:val="21"/>
                      <w:lang w:eastAsia="zh-CN"/>
                    </w:rPr>
                  </w:pPr>
                  <w:r>
                    <w:rPr>
                      <w:bCs/>
                      <w:color w:val="auto"/>
                      <w:szCs w:val="21"/>
                    </w:rPr>
                    <w:t>新购、</w:t>
                  </w:r>
                  <w:r>
                    <w:rPr>
                      <w:rFonts w:hint="eastAsia"/>
                      <w:bCs/>
                      <w:color w:val="auto"/>
                      <w:szCs w:val="21"/>
                      <w:lang w:val="en-US" w:eastAsia="zh-CN"/>
                    </w:rPr>
                    <w:t>国产</w:t>
                  </w:r>
                </w:p>
              </w:tc>
            </w:tr>
            <w:tr w14:paraId="36363E6B">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81" w:type="dxa"/>
                  <w:noWrap w:val="0"/>
                  <w:vAlign w:val="center"/>
                </w:tcPr>
                <w:p w14:paraId="3A8642D4">
                  <w:pPr>
                    <w:spacing w:line="240" w:lineRule="atLeast"/>
                    <w:jc w:val="center"/>
                    <w:rPr>
                      <w:bCs/>
                      <w:color w:val="auto"/>
                      <w:kern w:val="0"/>
                      <w:szCs w:val="21"/>
                    </w:rPr>
                  </w:pPr>
                  <w:r>
                    <w:rPr>
                      <w:bCs/>
                      <w:color w:val="auto"/>
                      <w:kern w:val="0"/>
                      <w:szCs w:val="21"/>
                    </w:rPr>
                    <w:t>2</w:t>
                  </w:r>
                </w:p>
              </w:tc>
              <w:tc>
                <w:tcPr>
                  <w:tcW w:w="2335" w:type="pct"/>
                  <w:noWrap w:val="0"/>
                  <w:vAlign w:val="center"/>
                </w:tcPr>
                <w:p w14:paraId="05620FDC">
                  <w:pPr>
                    <w:pStyle w:val="123"/>
                    <w:rPr>
                      <w:rFonts w:hint="eastAsia" w:eastAsia="宋体" w:cs="Times New Roman"/>
                      <w:bCs/>
                      <w:color w:val="auto"/>
                      <w:lang w:val="en-US" w:eastAsia="zh-CN"/>
                    </w:rPr>
                  </w:pPr>
                  <w:r>
                    <w:rPr>
                      <w:rFonts w:hint="eastAsia" w:eastAsia="宋体" w:cs="Times New Roman"/>
                      <w:bCs/>
                      <w:color w:val="auto"/>
                      <w:lang w:val="en-US" w:eastAsia="zh-CN"/>
                    </w:rPr>
                    <w:t>网带机</w:t>
                  </w:r>
                </w:p>
              </w:tc>
              <w:tc>
                <w:tcPr>
                  <w:tcW w:w="997" w:type="pct"/>
                  <w:noWrap w:val="0"/>
                  <w:vAlign w:val="center"/>
                </w:tcPr>
                <w:p w14:paraId="6CA2F24B">
                  <w:pPr>
                    <w:jc w:val="center"/>
                    <w:rPr>
                      <w:rFonts w:hint="eastAsia" w:eastAsia="宋体"/>
                      <w:color w:val="auto"/>
                      <w:szCs w:val="21"/>
                      <w:lang w:val="en-US" w:eastAsia="zh-CN"/>
                    </w:rPr>
                  </w:pPr>
                  <w:r>
                    <w:rPr>
                      <w:rFonts w:hint="eastAsia"/>
                      <w:color w:val="auto"/>
                      <w:szCs w:val="21"/>
                      <w:lang w:val="en-US" w:eastAsia="zh-CN"/>
                    </w:rPr>
                    <w:t>1</w:t>
                  </w:r>
                </w:p>
              </w:tc>
              <w:tc>
                <w:tcPr>
                  <w:tcW w:w="1067" w:type="pct"/>
                  <w:noWrap w:val="0"/>
                  <w:vAlign w:val="center"/>
                </w:tcPr>
                <w:p w14:paraId="60330C7D">
                  <w:pPr>
                    <w:widowControl/>
                    <w:jc w:val="center"/>
                    <w:textAlignment w:val="center"/>
                    <w:rPr>
                      <w:bCs/>
                      <w:color w:val="auto"/>
                      <w:szCs w:val="21"/>
                    </w:rPr>
                  </w:pPr>
                  <w:r>
                    <w:rPr>
                      <w:bCs/>
                      <w:color w:val="auto"/>
                      <w:szCs w:val="21"/>
                    </w:rPr>
                    <w:t>新购、</w:t>
                  </w:r>
                  <w:r>
                    <w:rPr>
                      <w:rFonts w:hint="eastAsia"/>
                      <w:bCs/>
                      <w:color w:val="auto"/>
                      <w:szCs w:val="21"/>
                      <w:lang w:val="en-US" w:eastAsia="zh-CN"/>
                    </w:rPr>
                    <w:t>国产</w:t>
                  </w:r>
                </w:p>
              </w:tc>
            </w:tr>
            <w:tr w14:paraId="76414B63">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81" w:type="dxa"/>
                  <w:noWrap w:val="0"/>
                  <w:vAlign w:val="center"/>
                </w:tcPr>
                <w:p w14:paraId="2773B609">
                  <w:pPr>
                    <w:widowControl/>
                    <w:jc w:val="center"/>
                    <w:textAlignment w:val="center"/>
                    <w:rPr>
                      <w:bCs/>
                      <w:color w:val="auto"/>
                      <w:kern w:val="0"/>
                      <w:szCs w:val="21"/>
                    </w:rPr>
                  </w:pPr>
                  <w:r>
                    <w:rPr>
                      <w:color w:val="auto"/>
                      <w:szCs w:val="21"/>
                    </w:rPr>
                    <w:t>3</w:t>
                  </w:r>
                </w:p>
              </w:tc>
              <w:tc>
                <w:tcPr>
                  <w:tcW w:w="2335" w:type="pct"/>
                  <w:noWrap w:val="0"/>
                  <w:vAlign w:val="center"/>
                </w:tcPr>
                <w:p w14:paraId="4D7F83EE">
                  <w:pPr>
                    <w:pStyle w:val="123"/>
                    <w:rPr>
                      <w:rFonts w:eastAsia="宋体" w:cs="Times New Roman"/>
                      <w:bCs/>
                      <w:color w:val="auto"/>
                    </w:rPr>
                  </w:pPr>
                  <w:r>
                    <w:rPr>
                      <w:rFonts w:eastAsia="宋体" w:cs="Times New Roman"/>
                      <w:bCs/>
                      <w:color w:val="auto"/>
                    </w:rPr>
                    <w:t>中央供料系统+正压上料系统</w:t>
                  </w:r>
                </w:p>
              </w:tc>
              <w:tc>
                <w:tcPr>
                  <w:tcW w:w="997" w:type="pct"/>
                  <w:noWrap w:val="0"/>
                  <w:vAlign w:val="center"/>
                </w:tcPr>
                <w:p w14:paraId="67D08C38">
                  <w:pPr>
                    <w:jc w:val="center"/>
                    <w:rPr>
                      <w:color w:val="auto"/>
                      <w:szCs w:val="21"/>
                    </w:rPr>
                  </w:pPr>
                  <w:r>
                    <w:rPr>
                      <w:color w:val="auto"/>
                      <w:szCs w:val="21"/>
                    </w:rPr>
                    <w:t>1</w:t>
                  </w:r>
                </w:p>
              </w:tc>
              <w:tc>
                <w:tcPr>
                  <w:tcW w:w="1067" w:type="pct"/>
                  <w:noWrap w:val="0"/>
                  <w:vAlign w:val="center"/>
                </w:tcPr>
                <w:p w14:paraId="68940750">
                  <w:pPr>
                    <w:widowControl/>
                    <w:jc w:val="center"/>
                    <w:textAlignment w:val="center"/>
                    <w:rPr>
                      <w:bCs/>
                      <w:color w:val="auto"/>
                      <w:szCs w:val="21"/>
                    </w:rPr>
                  </w:pPr>
                  <w:r>
                    <w:rPr>
                      <w:bCs/>
                      <w:color w:val="auto"/>
                      <w:szCs w:val="21"/>
                    </w:rPr>
                    <w:t>新购、</w:t>
                  </w:r>
                  <w:r>
                    <w:rPr>
                      <w:rFonts w:hint="eastAsia"/>
                      <w:bCs/>
                      <w:color w:val="auto"/>
                      <w:szCs w:val="21"/>
                      <w:lang w:val="en-US" w:eastAsia="zh-CN"/>
                    </w:rPr>
                    <w:t>国产</w:t>
                  </w:r>
                </w:p>
              </w:tc>
            </w:tr>
            <w:tr w14:paraId="2F4F0D56">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81" w:type="dxa"/>
                  <w:noWrap w:val="0"/>
                  <w:vAlign w:val="center"/>
                </w:tcPr>
                <w:p w14:paraId="7383B92F">
                  <w:pPr>
                    <w:widowControl/>
                    <w:jc w:val="center"/>
                    <w:textAlignment w:val="center"/>
                    <w:rPr>
                      <w:bCs/>
                      <w:color w:val="auto"/>
                      <w:kern w:val="0"/>
                      <w:szCs w:val="21"/>
                    </w:rPr>
                  </w:pPr>
                  <w:r>
                    <w:rPr>
                      <w:color w:val="auto"/>
                      <w:szCs w:val="21"/>
                    </w:rPr>
                    <w:t>4</w:t>
                  </w:r>
                </w:p>
              </w:tc>
              <w:tc>
                <w:tcPr>
                  <w:tcW w:w="2335" w:type="pct"/>
                  <w:noWrap w:val="0"/>
                  <w:vAlign w:val="center"/>
                </w:tcPr>
                <w:p w14:paraId="56B79D9B">
                  <w:pPr>
                    <w:pStyle w:val="123"/>
                    <w:rPr>
                      <w:rFonts w:eastAsia="宋体" w:cs="Times New Roman"/>
                      <w:bCs/>
                      <w:color w:val="auto"/>
                    </w:rPr>
                  </w:pPr>
                  <w:r>
                    <w:rPr>
                      <w:rFonts w:eastAsia="宋体" w:cs="Times New Roman"/>
                      <w:bCs/>
                      <w:color w:val="auto"/>
                    </w:rPr>
                    <w:t>混料釜</w:t>
                  </w:r>
                </w:p>
              </w:tc>
              <w:tc>
                <w:tcPr>
                  <w:tcW w:w="997" w:type="pct"/>
                  <w:noWrap w:val="0"/>
                  <w:vAlign w:val="center"/>
                </w:tcPr>
                <w:p w14:paraId="378CC4D2">
                  <w:pPr>
                    <w:jc w:val="center"/>
                    <w:rPr>
                      <w:color w:val="auto"/>
                      <w:kern w:val="0"/>
                      <w:szCs w:val="21"/>
                      <w:lang w:bidi="ar"/>
                    </w:rPr>
                  </w:pPr>
                  <w:r>
                    <w:rPr>
                      <w:color w:val="auto"/>
                      <w:szCs w:val="21"/>
                    </w:rPr>
                    <w:t>1</w:t>
                  </w:r>
                </w:p>
              </w:tc>
              <w:tc>
                <w:tcPr>
                  <w:tcW w:w="1067" w:type="pct"/>
                  <w:noWrap w:val="0"/>
                  <w:vAlign w:val="center"/>
                </w:tcPr>
                <w:p w14:paraId="6C43493E">
                  <w:pPr>
                    <w:widowControl/>
                    <w:jc w:val="center"/>
                    <w:textAlignment w:val="center"/>
                    <w:rPr>
                      <w:bCs/>
                      <w:color w:val="auto"/>
                      <w:szCs w:val="21"/>
                    </w:rPr>
                  </w:pPr>
                  <w:r>
                    <w:rPr>
                      <w:bCs/>
                      <w:color w:val="auto"/>
                      <w:szCs w:val="21"/>
                    </w:rPr>
                    <w:t>新购、</w:t>
                  </w:r>
                  <w:r>
                    <w:rPr>
                      <w:rFonts w:hint="eastAsia"/>
                      <w:bCs/>
                      <w:color w:val="auto"/>
                      <w:szCs w:val="21"/>
                      <w:lang w:val="en-US" w:eastAsia="zh-CN"/>
                    </w:rPr>
                    <w:t>国产</w:t>
                  </w:r>
                </w:p>
              </w:tc>
            </w:tr>
            <w:tr w14:paraId="48A2B803">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jc w:val="center"/>
              </w:trPr>
              <w:tc>
                <w:tcPr>
                  <w:tcW w:w="1581" w:type="dxa"/>
                  <w:noWrap w:val="0"/>
                  <w:vAlign w:val="center"/>
                </w:tcPr>
                <w:p w14:paraId="06AC9A5E">
                  <w:pPr>
                    <w:widowControl/>
                    <w:jc w:val="center"/>
                    <w:textAlignment w:val="center"/>
                    <w:rPr>
                      <w:color w:val="auto"/>
                      <w:szCs w:val="21"/>
                    </w:rPr>
                  </w:pPr>
                  <w:r>
                    <w:rPr>
                      <w:color w:val="auto"/>
                      <w:szCs w:val="21"/>
                    </w:rPr>
                    <w:t>5</w:t>
                  </w:r>
                </w:p>
              </w:tc>
              <w:tc>
                <w:tcPr>
                  <w:tcW w:w="2335" w:type="pct"/>
                  <w:noWrap w:val="0"/>
                  <w:vAlign w:val="center"/>
                </w:tcPr>
                <w:p w14:paraId="20EDE424">
                  <w:pPr>
                    <w:pStyle w:val="123"/>
                    <w:rPr>
                      <w:rFonts w:eastAsia="宋体" w:cs="Times New Roman"/>
                      <w:bCs/>
                      <w:color w:val="auto"/>
                    </w:rPr>
                  </w:pPr>
                  <w:r>
                    <w:rPr>
                      <w:rFonts w:eastAsia="宋体" w:cs="Times New Roman"/>
                      <w:bCs/>
                      <w:color w:val="auto"/>
                    </w:rPr>
                    <w:t>称重+喂料机+PLC配料控制系统</w:t>
                  </w:r>
                </w:p>
              </w:tc>
              <w:tc>
                <w:tcPr>
                  <w:tcW w:w="997" w:type="pct"/>
                  <w:noWrap w:val="0"/>
                  <w:vAlign w:val="center"/>
                </w:tcPr>
                <w:p w14:paraId="45C06558">
                  <w:pPr>
                    <w:jc w:val="center"/>
                    <w:rPr>
                      <w:color w:val="auto"/>
                      <w:kern w:val="0"/>
                      <w:szCs w:val="21"/>
                      <w:lang w:bidi="ar"/>
                    </w:rPr>
                  </w:pPr>
                  <w:r>
                    <w:rPr>
                      <w:color w:val="auto"/>
                      <w:szCs w:val="21"/>
                    </w:rPr>
                    <w:t>1</w:t>
                  </w:r>
                </w:p>
              </w:tc>
              <w:tc>
                <w:tcPr>
                  <w:tcW w:w="1067" w:type="pct"/>
                  <w:noWrap w:val="0"/>
                  <w:vAlign w:val="center"/>
                </w:tcPr>
                <w:p w14:paraId="2C51235F">
                  <w:pPr>
                    <w:widowControl/>
                    <w:jc w:val="center"/>
                    <w:textAlignment w:val="center"/>
                    <w:rPr>
                      <w:bCs/>
                      <w:color w:val="auto"/>
                      <w:szCs w:val="21"/>
                    </w:rPr>
                  </w:pPr>
                  <w:r>
                    <w:rPr>
                      <w:bCs/>
                      <w:color w:val="auto"/>
                      <w:szCs w:val="21"/>
                    </w:rPr>
                    <w:t>新购、</w:t>
                  </w:r>
                  <w:r>
                    <w:rPr>
                      <w:rFonts w:hint="eastAsia"/>
                      <w:bCs/>
                      <w:color w:val="auto"/>
                      <w:szCs w:val="21"/>
                      <w:lang w:val="en-US" w:eastAsia="zh-CN"/>
                    </w:rPr>
                    <w:t>国产</w:t>
                  </w:r>
                </w:p>
              </w:tc>
            </w:tr>
            <w:tr w14:paraId="447C6FD9">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81" w:type="dxa"/>
                  <w:noWrap w:val="0"/>
                  <w:vAlign w:val="center"/>
                </w:tcPr>
                <w:p w14:paraId="52C00670">
                  <w:pPr>
                    <w:widowControl/>
                    <w:jc w:val="center"/>
                    <w:textAlignment w:val="center"/>
                    <w:rPr>
                      <w:color w:val="auto"/>
                      <w:szCs w:val="21"/>
                    </w:rPr>
                  </w:pPr>
                  <w:r>
                    <w:rPr>
                      <w:color w:val="auto"/>
                      <w:szCs w:val="21"/>
                    </w:rPr>
                    <w:t>6</w:t>
                  </w:r>
                </w:p>
              </w:tc>
              <w:tc>
                <w:tcPr>
                  <w:tcW w:w="2335" w:type="pct"/>
                  <w:noWrap w:val="0"/>
                  <w:vAlign w:val="center"/>
                </w:tcPr>
                <w:p w14:paraId="4D8C94BB">
                  <w:pPr>
                    <w:pStyle w:val="123"/>
                    <w:rPr>
                      <w:rFonts w:ascii="Times New Roman" w:hAnsi="Times New Roman" w:eastAsia="宋体" w:cs="Times New Roman"/>
                      <w:bCs/>
                      <w:color w:val="auto"/>
                    </w:rPr>
                  </w:pPr>
                  <w:r>
                    <w:rPr>
                      <w:rFonts w:ascii="Times New Roman" w:hAnsi="Times New Roman" w:eastAsia="宋体" w:cs="Times New Roman"/>
                      <w:bCs/>
                      <w:color w:val="auto"/>
                    </w:rPr>
                    <w:t>高性能模温机</w:t>
                  </w:r>
                </w:p>
              </w:tc>
              <w:tc>
                <w:tcPr>
                  <w:tcW w:w="997" w:type="pct"/>
                  <w:noWrap w:val="0"/>
                  <w:vAlign w:val="center"/>
                </w:tcPr>
                <w:p w14:paraId="20886F19">
                  <w:pPr>
                    <w:jc w:val="center"/>
                    <w:rPr>
                      <w:color w:val="auto"/>
                      <w:kern w:val="0"/>
                      <w:szCs w:val="21"/>
                      <w:lang w:bidi="ar"/>
                    </w:rPr>
                  </w:pPr>
                  <w:r>
                    <w:rPr>
                      <w:color w:val="auto"/>
                      <w:kern w:val="0"/>
                      <w:szCs w:val="21"/>
                      <w:lang w:bidi="ar"/>
                    </w:rPr>
                    <w:t>1</w:t>
                  </w:r>
                </w:p>
              </w:tc>
              <w:tc>
                <w:tcPr>
                  <w:tcW w:w="1067" w:type="pct"/>
                  <w:noWrap w:val="0"/>
                  <w:vAlign w:val="center"/>
                </w:tcPr>
                <w:p w14:paraId="785EE0C8">
                  <w:pPr>
                    <w:widowControl/>
                    <w:jc w:val="center"/>
                    <w:textAlignment w:val="center"/>
                    <w:rPr>
                      <w:bCs/>
                      <w:color w:val="auto"/>
                      <w:szCs w:val="21"/>
                    </w:rPr>
                  </w:pPr>
                  <w:r>
                    <w:rPr>
                      <w:bCs/>
                      <w:color w:val="auto"/>
                      <w:szCs w:val="21"/>
                    </w:rPr>
                    <w:t>新购、</w:t>
                  </w:r>
                  <w:r>
                    <w:rPr>
                      <w:rFonts w:hint="eastAsia"/>
                      <w:bCs/>
                      <w:color w:val="auto"/>
                      <w:szCs w:val="21"/>
                      <w:lang w:val="en-US" w:eastAsia="zh-CN"/>
                    </w:rPr>
                    <w:t>国产</w:t>
                  </w:r>
                </w:p>
              </w:tc>
            </w:tr>
            <w:tr w14:paraId="4E96327A">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81" w:type="dxa"/>
                  <w:noWrap w:val="0"/>
                  <w:vAlign w:val="center"/>
                </w:tcPr>
                <w:p w14:paraId="656B0DDD">
                  <w:pPr>
                    <w:widowControl/>
                    <w:jc w:val="center"/>
                    <w:textAlignment w:val="center"/>
                    <w:rPr>
                      <w:color w:val="auto"/>
                      <w:szCs w:val="21"/>
                    </w:rPr>
                  </w:pPr>
                  <w:r>
                    <w:rPr>
                      <w:color w:val="auto"/>
                      <w:szCs w:val="21"/>
                    </w:rPr>
                    <w:t>7</w:t>
                  </w:r>
                </w:p>
              </w:tc>
              <w:tc>
                <w:tcPr>
                  <w:tcW w:w="2335" w:type="pct"/>
                  <w:noWrap w:val="0"/>
                  <w:vAlign w:val="center"/>
                </w:tcPr>
                <w:p w14:paraId="136FD1C9">
                  <w:pPr>
                    <w:pStyle w:val="123"/>
                    <w:rPr>
                      <w:rFonts w:ascii="Times New Roman" w:hAnsi="Times New Roman" w:eastAsia="宋体" w:cs="Times New Roman"/>
                      <w:bCs/>
                      <w:color w:val="auto"/>
                    </w:rPr>
                  </w:pPr>
                  <w:r>
                    <w:rPr>
                      <w:rFonts w:hint="eastAsia" w:ascii="Times New Roman" w:hAnsi="Times New Roman" w:eastAsia="宋体" w:cs="Times New Roman"/>
                      <w:bCs/>
                      <w:color w:val="auto"/>
                      <w:lang w:val="en-US" w:eastAsia="zh-CN"/>
                    </w:rPr>
                    <w:t>压花辊</w:t>
                  </w:r>
                </w:p>
              </w:tc>
              <w:tc>
                <w:tcPr>
                  <w:tcW w:w="997" w:type="pct"/>
                  <w:noWrap w:val="0"/>
                  <w:vAlign w:val="center"/>
                </w:tcPr>
                <w:p w14:paraId="794E35D2">
                  <w:pPr>
                    <w:jc w:val="center"/>
                    <w:rPr>
                      <w:rFonts w:hint="eastAsia" w:eastAsia="宋体"/>
                      <w:color w:val="auto"/>
                      <w:kern w:val="0"/>
                      <w:szCs w:val="21"/>
                      <w:lang w:val="en-US" w:eastAsia="zh-CN" w:bidi="ar"/>
                    </w:rPr>
                  </w:pPr>
                  <w:r>
                    <w:rPr>
                      <w:rFonts w:hint="eastAsia"/>
                      <w:color w:val="auto"/>
                      <w:kern w:val="0"/>
                      <w:szCs w:val="21"/>
                      <w:lang w:val="en-US" w:eastAsia="zh-CN" w:bidi="ar"/>
                    </w:rPr>
                    <w:t>1</w:t>
                  </w:r>
                </w:p>
              </w:tc>
              <w:tc>
                <w:tcPr>
                  <w:tcW w:w="1067" w:type="pct"/>
                  <w:noWrap w:val="0"/>
                  <w:vAlign w:val="center"/>
                </w:tcPr>
                <w:p w14:paraId="5650692B">
                  <w:pPr>
                    <w:widowControl/>
                    <w:jc w:val="center"/>
                    <w:textAlignment w:val="center"/>
                    <w:rPr>
                      <w:bCs/>
                      <w:color w:val="auto"/>
                      <w:szCs w:val="21"/>
                    </w:rPr>
                  </w:pPr>
                  <w:r>
                    <w:rPr>
                      <w:bCs/>
                      <w:color w:val="auto"/>
                      <w:szCs w:val="21"/>
                    </w:rPr>
                    <w:t>新购、</w:t>
                  </w:r>
                  <w:r>
                    <w:rPr>
                      <w:rFonts w:hint="eastAsia"/>
                      <w:bCs/>
                      <w:color w:val="auto"/>
                      <w:szCs w:val="21"/>
                      <w:lang w:val="en-US" w:eastAsia="zh-CN"/>
                    </w:rPr>
                    <w:t>国产</w:t>
                  </w:r>
                </w:p>
              </w:tc>
            </w:tr>
            <w:tr w14:paraId="1508B74A">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81" w:type="dxa"/>
                  <w:noWrap w:val="0"/>
                  <w:vAlign w:val="center"/>
                </w:tcPr>
                <w:p w14:paraId="79A505CD">
                  <w:pPr>
                    <w:widowControl/>
                    <w:jc w:val="center"/>
                    <w:textAlignment w:val="center"/>
                    <w:rPr>
                      <w:color w:val="auto"/>
                      <w:szCs w:val="21"/>
                    </w:rPr>
                  </w:pPr>
                  <w:r>
                    <w:rPr>
                      <w:rFonts w:hint="eastAsia"/>
                      <w:color w:val="auto"/>
                      <w:szCs w:val="21"/>
                      <w:lang w:val="en-US" w:eastAsia="zh-CN"/>
                    </w:rPr>
                    <w:t>8</w:t>
                  </w:r>
                </w:p>
              </w:tc>
              <w:tc>
                <w:tcPr>
                  <w:tcW w:w="2335" w:type="pct"/>
                  <w:noWrap w:val="0"/>
                  <w:vAlign w:val="center"/>
                </w:tcPr>
                <w:p w14:paraId="54E97654">
                  <w:pPr>
                    <w:pStyle w:val="123"/>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走带式换网器</w:t>
                  </w:r>
                </w:p>
              </w:tc>
              <w:tc>
                <w:tcPr>
                  <w:tcW w:w="997" w:type="pct"/>
                  <w:noWrap w:val="0"/>
                  <w:vAlign w:val="center"/>
                </w:tcPr>
                <w:p w14:paraId="4D4039F7">
                  <w:pPr>
                    <w:jc w:val="center"/>
                    <w:rPr>
                      <w:rFonts w:hint="eastAsia" w:eastAsia="宋体"/>
                      <w:color w:val="auto"/>
                      <w:kern w:val="0"/>
                      <w:szCs w:val="21"/>
                      <w:lang w:val="en-US" w:eastAsia="zh-CN" w:bidi="ar"/>
                    </w:rPr>
                  </w:pPr>
                  <w:r>
                    <w:rPr>
                      <w:rFonts w:hint="eastAsia"/>
                      <w:color w:val="auto"/>
                      <w:kern w:val="0"/>
                      <w:szCs w:val="21"/>
                      <w:lang w:val="en-US" w:eastAsia="zh-CN" w:bidi="ar"/>
                    </w:rPr>
                    <w:t>1</w:t>
                  </w:r>
                </w:p>
              </w:tc>
              <w:tc>
                <w:tcPr>
                  <w:tcW w:w="1067" w:type="pct"/>
                  <w:noWrap w:val="0"/>
                  <w:vAlign w:val="center"/>
                </w:tcPr>
                <w:p w14:paraId="63CBAF22">
                  <w:pPr>
                    <w:widowControl/>
                    <w:jc w:val="center"/>
                    <w:textAlignment w:val="center"/>
                    <w:rPr>
                      <w:bCs/>
                      <w:color w:val="auto"/>
                      <w:szCs w:val="21"/>
                    </w:rPr>
                  </w:pPr>
                  <w:r>
                    <w:rPr>
                      <w:bCs/>
                      <w:color w:val="auto"/>
                      <w:szCs w:val="21"/>
                    </w:rPr>
                    <w:t>新购、</w:t>
                  </w:r>
                  <w:r>
                    <w:rPr>
                      <w:rFonts w:hint="eastAsia"/>
                      <w:bCs/>
                      <w:color w:val="auto"/>
                      <w:szCs w:val="21"/>
                      <w:lang w:val="en-US" w:eastAsia="zh-CN"/>
                    </w:rPr>
                    <w:t>国产</w:t>
                  </w:r>
                </w:p>
              </w:tc>
            </w:tr>
            <w:tr w14:paraId="07A11F83">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81" w:type="dxa"/>
                  <w:noWrap w:val="0"/>
                  <w:vAlign w:val="center"/>
                </w:tcPr>
                <w:p w14:paraId="2C4C7879">
                  <w:pPr>
                    <w:widowControl/>
                    <w:jc w:val="center"/>
                    <w:textAlignment w:val="center"/>
                    <w:rPr>
                      <w:color w:val="auto"/>
                      <w:szCs w:val="21"/>
                    </w:rPr>
                  </w:pPr>
                  <w:r>
                    <w:rPr>
                      <w:rFonts w:hint="eastAsia"/>
                      <w:color w:val="auto"/>
                      <w:szCs w:val="21"/>
                      <w:lang w:val="en-US" w:eastAsia="zh-CN"/>
                    </w:rPr>
                    <w:t>9</w:t>
                  </w:r>
                </w:p>
              </w:tc>
              <w:tc>
                <w:tcPr>
                  <w:tcW w:w="2335" w:type="pct"/>
                  <w:noWrap w:val="0"/>
                  <w:vAlign w:val="center"/>
                </w:tcPr>
                <w:p w14:paraId="7511EC49">
                  <w:pPr>
                    <w:pStyle w:val="123"/>
                    <w:rPr>
                      <w:rFonts w:ascii="Times New Roman" w:hAnsi="Times New Roman" w:eastAsia="宋体" w:cs="Times New Roman"/>
                      <w:bCs/>
                      <w:color w:val="auto"/>
                    </w:rPr>
                  </w:pPr>
                  <w:r>
                    <w:rPr>
                      <w:rFonts w:ascii="Times New Roman" w:hAnsi="Times New Roman" w:eastAsia="宋体" w:cs="Times New Roman"/>
                      <w:bCs/>
                      <w:color w:val="auto"/>
                    </w:rPr>
                    <w:t>薄膜边料在线回收机</w:t>
                  </w:r>
                </w:p>
              </w:tc>
              <w:tc>
                <w:tcPr>
                  <w:tcW w:w="997" w:type="pct"/>
                  <w:noWrap w:val="0"/>
                  <w:vAlign w:val="center"/>
                </w:tcPr>
                <w:p w14:paraId="76EBD9CA">
                  <w:pPr>
                    <w:jc w:val="center"/>
                    <w:rPr>
                      <w:color w:val="auto"/>
                      <w:kern w:val="0"/>
                      <w:szCs w:val="21"/>
                      <w:lang w:bidi="ar"/>
                    </w:rPr>
                  </w:pPr>
                  <w:r>
                    <w:rPr>
                      <w:color w:val="auto"/>
                      <w:szCs w:val="21"/>
                    </w:rPr>
                    <w:t>1</w:t>
                  </w:r>
                </w:p>
              </w:tc>
              <w:tc>
                <w:tcPr>
                  <w:tcW w:w="1067" w:type="pct"/>
                  <w:noWrap w:val="0"/>
                  <w:vAlign w:val="center"/>
                </w:tcPr>
                <w:p w14:paraId="5AF25BC7">
                  <w:pPr>
                    <w:widowControl/>
                    <w:jc w:val="center"/>
                    <w:textAlignment w:val="center"/>
                    <w:rPr>
                      <w:bCs/>
                      <w:color w:val="auto"/>
                      <w:szCs w:val="21"/>
                    </w:rPr>
                  </w:pPr>
                  <w:r>
                    <w:rPr>
                      <w:bCs/>
                      <w:color w:val="auto"/>
                      <w:szCs w:val="21"/>
                    </w:rPr>
                    <w:t>新购、</w:t>
                  </w:r>
                  <w:r>
                    <w:rPr>
                      <w:rFonts w:hint="eastAsia"/>
                      <w:bCs/>
                      <w:color w:val="auto"/>
                      <w:szCs w:val="21"/>
                      <w:lang w:val="en-US" w:eastAsia="zh-CN"/>
                    </w:rPr>
                    <w:t>国产</w:t>
                  </w:r>
                </w:p>
              </w:tc>
            </w:tr>
            <w:tr w14:paraId="03D187FD">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81" w:type="dxa"/>
                  <w:noWrap w:val="0"/>
                  <w:vAlign w:val="center"/>
                </w:tcPr>
                <w:p w14:paraId="4E7CA15A">
                  <w:pPr>
                    <w:widowControl/>
                    <w:jc w:val="center"/>
                    <w:textAlignment w:val="center"/>
                    <w:rPr>
                      <w:rFonts w:hint="default" w:eastAsia="宋体"/>
                      <w:color w:val="auto"/>
                      <w:szCs w:val="21"/>
                      <w:lang w:val="en-US" w:eastAsia="zh-CN"/>
                    </w:rPr>
                  </w:pPr>
                  <w:r>
                    <w:rPr>
                      <w:rFonts w:hint="eastAsia"/>
                      <w:color w:val="auto"/>
                      <w:szCs w:val="21"/>
                      <w:lang w:val="en-US" w:eastAsia="zh-CN"/>
                    </w:rPr>
                    <w:t>10</w:t>
                  </w:r>
                </w:p>
              </w:tc>
              <w:tc>
                <w:tcPr>
                  <w:tcW w:w="2335" w:type="pct"/>
                  <w:noWrap w:val="0"/>
                  <w:vAlign w:val="center"/>
                </w:tcPr>
                <w:p w14:paraId="012ADFEC">
                  <w:pPr>
                    <w:pStyle w:val="123"/>
                    <w:rPr>
                      <w:rFonts w:eastAsia="宋体" w:cs="Times New Roman"/>
                      <w:bCs/>
                      <w:color w:val="auto"/>
                    </w:rPr>
                  </w:pPr>
                  <w:r>
                    <w:rPr>
                      <w:rFonts w:eastAsia="宋体" w:cs="Times New Roman"/>
                      <w:bCs/>
                      <w:color w:val="auto"/>
                    </w:rPr>
                    <w:t>不锈钢纸筒车</w:t>
                  </w:r>
                </w:p>
              </w:tc>
              <w:tc>
                <w:tcPr>
                  <w:tcW w:w="997" w:type="pct"/>
                  <w:noWrap w:val="0"/>
                  <w:vAlign w:val="center"/>
                </w:tcPr>
                <w:p w14:paraId="765A3ACC">
                  <w:pPr>
                    <w:jc w:val="center"/>
                    <w:rPr>
                      <w:color w:val="auto"/>
                      <w:szCs w:val="21"/>
                    </w:rPr>
                  </w:pPr>
                  <w:r>
                    <w:rPr>
                      <w:color w:val="auto"/>
                      <w:szCs w:val="21"/>
                    </w:rPr>
                    <w:t>1</w:t>
                  </w:r>
                </w:p>
              </w:tc>
              <w:tc>
                <w:tcPr>
                  <w:tcW w:w="1067" w:type="pct"/>
                  <w:noWrap w:val="0"/>
                  <w:vAlign w:val="center"/>
                </w:tcPr>
                <w:p w14:paraId="1139BB7D">
                  <w:pPr>
                    <w:widowControl/>
                    <w:jc w:val="center"/>
                    <w:textAlignment w:val="center"/>
                    <w:rPr>
                      <w:bCs/>
                      <w:color w:val="auto"/>
                      <w:szCs w:val="21"/>
                    </w:rPr>
                  </w:pPr>
                  <w:r>
                    <w:rPr>
                      <w:bCs/>
                      <w:color w:val="auto"/>
                      <w:szCs w:val="21"/>
                    </w:rPr>
                    <w:t>新购、</w:t>
                  </w:r>
                  <w:r>
                    <w:rPr>
                      <w:rFonts w:hint="eastAsia"/>
                      <w:bCs/>
                      <w:color w:val="auto"/>
                      <w:szCs w:val="21"/>
                      <w:lang w:val="en-US" w:eastAsia="zh-CN"/>
                    </w:rPr>
                    <w:t>国产</w:t>
                  </w:r>
                </w:p>
              </w:tc>
            </w:tr>
            <w:tr w14:paraId="76431BF4">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9" w:type="pct"/>
                  <w:noWrap w:val="0"/>
                  <w:vAlign w:val="center"/>
                </w:tcPr>
                <w:p w14:paraId="01159768">
                  <w:pPr>
                    <w:widowControl/>
                    <w:jc w:val="center"/>
                    <w:textAlignment w:val="center"/>
                    <w:rPr>
                      <w:rFonts w:hint="default" w:eastAsia="宋体"/>
                      <w:color w:val="auto"/>
                      <w:szCs w:val="21"/>
                      <w:lang w:val="en-US" w:eastAsia="zh-CN"/>
                    </w:rPr>
                  </w:pPr>
                  <w:r>
                    <w:rPr>
                      <w:rFonts w:hint="eastAsia"/>
                      <w:color w:val="auto"/>
                      <w:szCs w:val="21"/>
                      <w:lang w:val="en-US" w:eastAsia="zh-CN"/>
                    </w:rPr>
                    <w:t>11</w:t>
                  </w:r>
                </w:p>
              </w:tc>
              <w:tc>
                <w:tcPr>
                  <w:tcW w:w="2335" w:type="pct"/>
                  <w:noWrap w:val="0"/>
                  <w:vAlign w:val="center"/>
                </w:tcPr>
                <w:p w14:paraId="2B25C339">
                  <w:pPr>
                    <w:pStyle w:val="123"/>
                    <w:rPr>
                      <w:rFonts w:hint="eastAsia" w:eastAsia="宋体" w:cs="Times New Roman"/>
                      <w:bCs/>
                      <w:color w:val="auto"/>
                      <w:lang w:val="en-US" w:eastAsia="zh-CN"/>
                    </w:rPr>
                  </w:pPr>
                  <w:r>
                    <w:rPr>
                      <w:rFonts w:hint="eastAsia" w:eastAsia="宋体" w:cs="Times New Roman"/>
                      <w:bCs/>
                      <w:color w:val="auto"/>
                      <w:lang w:val="en-US" w:eastAsia="zh-CN"/>
                    </w:rPr>
                    <w:t>测厚系统</w:t>
                  </w:r>
                </w:p>
              </w:tc>
              <w:tc>
                <w:tcPr>
                  <w:tcW w:w="997" w:type="pct"/>
                  <w:noWrap w:val="0"/>
                  <w:vAlign w:val="center"/>
                </w:tcPr>
                <w:p w14:paraId="298EA83F">
                  <w:pPr>
                    <w:jc w:val="center"/>
                    <w:rPr>
                      <w:rFonts w:hint="eastAsia" w:eastAsia="宋体"/>
                      <w:color w:val="auto"/>
                      <w:szCs w:val="21"/>
                      <w:lang w:val="en-US" w:eastAsia="zh-CN"/>
                    </w:rPr>
                  </w:pPr>
                  <w:r>
                    <w:rPr>
                      <w:rFonts w:hint="eastAsia"/>
                      <w:color w:val="auto"/>
                      <w:szCs w:val="21"/>
                      <w:lang w:val="en-US" w:eastAsia="zh-CN"/>
                    </w:rPr>
                    <w:t>1</w:t>
                  </w:r>
                </w:p>
              </w:tc>
              <w:tc>
                <w:tcPr>
                  <w:tcW w:w="1067" w:type="pct"/>
                  <w:noWrap w:val="0"/>
                  <w:vAlign w:val="center"/>
                </w:tcPr>
                <w:p w14:paraId="7FDE2B07">
                  <w:pPr>
                    <w:widowControl/>
                    <w:jc w:val="center"/>
                    <w:textAlignment w:val="center"/>
                    <w:rPr>
                      <w:bCs/>
                      <w:color w:val="auto"/>
                      <w:szCs w:val="21"/>
                    </w:rPr>
                  </w:pPr>
                  <w:r>
                    <w:rPr>
                      <w:bCs/>
                      <w:color w:val="auto"/>
                      <w:szCs w:val="21"/>
                    </w:rPr>
                    <w:t>新购、</w:t>
                  </w:r>
                  <w:r>
                    <w:rPr>
                      <w:rFonts w:hint="eastAsia"/>
                      <w:bCs/>
                      <w:color w:val="auto"/>
                      <w:szCs w:val="21"/>
                      <w:lang w:val="en-US" w:eastAsia="zh-CN"/>
                    </w:rPr>
                    <w:t>国产</w:t>
                  </w:r>
                </w:p>
              </w:tc>
            </w:tr>
          </w:tbl>
          <w:p w14:paraId="0B31EC31">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val="0"/>
                <w:color w:val="FF0000"/>
                <w:sz w:val="21"/>
                <w:szCs w:val="21"/>
                <w:highlight w:val="none"/>
                <w:lang w:val="en-US" w:eastAsia="zh-CN"/>
              </w:rPr>
            </w:pPr>
            <w:r>
              <w:rPr>
                <w:rFonts w:hint="eastAsia" w:cs="Times New Roman"/>
                <w:b w:val="0"/>
                <w:bCs w:val="0"/>
                <w:color w:val="FF0000"/>
                <w:sz w:val="21"/>
                <w:szCs w:val="21"/>
                <w:highlight w:val="none"/>
                <w:lang w:val="en-US" w:eastAsia="zh-CN"/>
              </w:rPr>
              <w:t>注：原有设备均拆除淘汰，本次通过采用新式配料搅拌系统、 大流量计量泵等设备，通过宽幅变更、提升线速、改进螺杆结构等方式提升产能。</w:t>
            </w:r>
          </w:p>
          <w:p w14:paraId="4A0BAB2A">
            <w:pPr>
              <w:adjustRightInd w:val="0"/>
              <w:snapToGrid w:val="0"/>
              <w:spacing w:line="500" w:lineRule="exac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表2-</w:t>
            </w:r>
            <w:r>
              <w:rPr>
                <w:rFonts w:hint="eastAsia" w:cs="Times New Roman"/>
                <w:b/>
                <w:bCs/>
                <w:color w:val="auto"/>
                <w:sz w:val="21"/>
                <w:szCs w:val="21"/>
                <w:highlight w:val="none"/>
                <w:lang w:val="en-US" w:eastAsia="zh-CN"/>
              </w:rPr>
              <w:t>8</w:t>
            </w:r>
            <w:r>
              <w:rPr>
                <w:rFonts w:hint="eastAsia" w:ascii="Times New Roman" w:hAnsi="Times New Roman" w:cs="Times New Roman"/>
                <w:b/>
                <w:bCs/>
                <w:color w:val="auto"/>
                <w:sz w:val="21"/>
                <w:szCs w:val="21"/>
                <w:highlight w:val="none"/>
                <w:lang w:val="en-US" w:eastAsia="zh-CN"/>
              </w:rPr>
              <w:t xml:space="preserve"> </w:t>
            </w:r>
            <w:r>
              <w:rPr>
                <w:rFonts w:hint="default" w:ascii="Times New Roman" w:hAnsi="Times New Roman" w:cs="Times New Roman"/>
                <w:b/>
                <w:bCs/>
                <w:color w:val="auto"/>
                <w:sz w:val="21"/>
                <w:szCs w:val="21"/>
                <w:highlight w:val="none"/>
              </w:rPr>
              <w:t>本项目建成后全厂主要生产设备一览表</w:t>
            </w:r>
          </w:p>
          <w:tbl>
            <w:tblPr>
              <w:tblStyle w:val="31"/>
              <w:tblW w:w="5000" w:type="pct"/>
              <w:jc w:val="center"/>
              <w:tblBorders>
                <w:top w:val="single" w:color="auto" w:sz="4" w:space="0"/>
                <w:left w:val="none" w:color="auto" w:sz="0" w:space="0"/>
                <w:bottom w:val="single" w:color="auto" w:sz="4" w:space="0"/>
                <w:right w:val="none" w:color="auto" w:sz="0" w:space="0"/>
                <w:insideH w:val="single" w:color="auto" w:sz="2" w:space="0"/>
                <w:insideV w:val="single" w:color="auto" w:sz="2" w:space="0"/>
              </w:tblBorders>
              <w:tblLayout w:type="autofit"/>
              <w:tblCellMar>
                <w:top w:w="0" w:type="dxa"/>
                <w:left w:w="79" w:type="dxa"/>
                <w:bottom w:w="0" w:type="dxa"/>
                <w:right w:w="79" w:type="dxa"/>
              </w:tblCellMar>
            </w:tblPr>
            <w:tblGrid>
              <w:gridCol w:w="2879"/>
              <w:gridCol w:w="4690"/>
              <w:gridCol w:w="2247"/>
              <w:gridCol w:w="1131"/>
              <w:gridCol w:w="1131"/>
              <w:gridCol w:w="1135"/>
            </w:tblGrid>
            <w:tr w14:paraId="6DBDB7D6">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1089" w:type="pct"/>
                  <w:vMerge w:val="restart"/>
                  <w:vAlign w:val="center"/>
                </w:tcPr>
                <w:p w14:paraId="49B34AD9">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项目</w:t>
                  </w:r>
                  <w:r>
                    <w:rPr>
                      <w:rFonts w:hint="default" w:ascii="Times New Roman" w:hAnsi="Times New Roman" w:cs="Times New Roman"/>
                      <w:b/>
                      <w:bCs/>
                      <w:color w:val="auto"/>
                      <w:sz w:val="21"/>
                      <w:szCs w:val="21"/>
                    </w:rPr>
                    <w:t>名称</w:t>
                  </w:r>
                </w:p>
              </w:tc>
              <w:tc>
                <w:tcPr>
                  <w:tcW w:w="1774" w:type="pct"/>
                  <w:vMerge w:val="restart"/>
                  <w:vAlign w:val="center"/>
                </w:tcPr>
                <w:p w14:paraId="56E66CE6">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设备名称</w:t>
                  </w:r>
                </w:p>
              </w:tc>
              <w:tc>
                <w:tcPr>
                  <w:tcW w:w="850" w:type="pct"/>
                  <w:vMerge w:val="restart"/>
                  <w:vAlign w:val="center"/>
                </w:tcPr>
                <w:p w14:paraId="49749318">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设备型号</w:t>
                  </w:r>
                </w:p>
              </w:tc>
              <w:tc>
                <w:tcPr>
                  <w:tcW w:w="1285" w:type="pct"/>
                  <w:gridSpan w:val="3"/>
                  <w:tcBorders>
                    <w:bottom w:val="single" w:color="auto" w:sz="4" w:space="0"/>
                  </w:tcBorders>
                  <w:vAlign w:val="center"/>
                </w:tcPr>
                <w:p w14:paraId="31171617">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数量（</w:t>
                  </w:r>
                  <w:r>
                    <w:rPr>
                      <w:rFonts w:hint="eastAsia" w:cs="Times New Roman"/>
                      <w:b/>
                      <w:bCs/>
                      <w:color w:val="auto"/>
                      <w:sz w:val="21"/>
                      <w:szCs w:val="21"/>
                      <w:lang w:val="en-US" w:eastAsia="zh-CN"/>
                    </w:rPr>
                    <w:t>条</w:t>
                  </w:r>
                  <w:r>
                    <w:rPr>
                      <w:rFonts w:hint="default" w:ascii="Times New Roman" w:hAnsi="Times New Roman" w:cs="Times New Roman"/>
                      <w:b/>
                      <w:bCs/>
                      <w:color w:val="auto"/>
                      <w:sz w:val="21"/>
                      <w:szCs w:val="21"/>
                    </w:rPr>
                    <w:t>）</w:t>
                  </w:r>
                </w:p>
              </w:tc>
            </w:tr>
            <w:tr w14:paraId="2A7E043A">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1089" w:type="pct"/>
                  <w:vMerge w:val="continue"/>
                  <w:vAlign w:val="center"/>
                </w:tcPr>
                <w:p w14:paraId="2C312166">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cs="Times New Roman"/>
                      <w:b/>
                      <w:bCs/>
                      <w:color w:val="auto"/>
                      <w:sz w:val="21"/>
                      <w:szCs w:val="21"/>
                    </w:rPr>
                  </w:pPr>
                </w:p>
              </w:tc>
              <w:tc>
                <w:tcPr>
                  <w:tcW w:w="1774" w:type="pct"/>
                  <w:vMerge w:val="continue"/>
                  <w:vAlign w:val="center"/>
                </w:tcPr>
                <w:p w14:paraId="5146029B">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cs="Times New Roman"/>
                      <w:b/>
                      <w:bCs/>
                      <w:color w:val="auto"/>
                      <w:sz w:val="21"/>
                      <w:szCs w:val="21"/>
                    </w:rPr>
                  </w:pPr>
                </w:p>
              </w:tc>
              <w:tc>
                <w:tcPr>
                  <w:tcW w:w="850" w:type="pct"/>
                  <w:vMerge w:val="continue"/>
                  <w:vAlign w:val="center"/>
                </w:tcPr>
                <w:p w14:paraId="69161E2E">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cs="Times New Roman"/>
                      <w:b/>
                      <w:bCs/>
                      <w:color w:val="auto"/>
                      <w:sz w:val="21"/>
                      <w:szCs w:val="21"/>
                    </w:rPr>
                  </w:pPr>
                </w:p>
              </w:tc>
              <w:tc>
                <w:tcPr>
                  <w:tcW w:w="428" w:type="pct"/>
                  <w:tcBorders>
                    <w:top w:val="single" w:color="auto" w:sz="4" w:space="0"/>
                    <w:right w:val="single" w:color="000000" w:sz="4" w:space="0"/>
                  </w:tcBorders>
                  <w:vAlign w:val="center"/>
                </w:tcPr>
                <w:p w14:paraId="4153FC37">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cs="Times New Roman"/>
                      <w:b/>
                      <w:bCs/>
                      <w:color w:val="auto"/>
                      <w:sz w:val="21"/>
                      <w:szCs w:val="21"/>
                    </w:rPr>
                  </w:pPr>
                  <w:r>
                    <w:rPr>
                      <w:rFonts w:hint="eastAsia" w:cs="Times New Roman"/>
                      <w:b/>
                      <w:bCs/>
                      <w:color w:val="auto"/>
                      <w:sz w:val="21"/>
                      <w:szCs w:val="21"/>
                      <w:lang w:eastAsia="zh-CN"/>
                    </w:rPr>
                    <w:t>改</w:t>
                  </w:r>
                  <w:r>
                    <w:rPr>
                      <w:rFonts w:hint="default" w:ascii="Times New Roman" w:hAnsi="Times New Roman" w:cs="Times New Roman"/>
                      <w:b/>
                      <w:bCs/>
                      <w:color w:val="auto"/>
                      <w:sz w:val="21"/>
                      <w:szCs w:val="21"/>
                    </w:rPr>
                    <w:t>建前</w:t>
                  </w:r>
                </w:p>
              </w:tc>
              <w:tc>
                <w:tcPr>
                  <w:tcW w:w="428" w:type="pct"/>
                  <w:tcBorders>
                    <w:top w:val="single" w:color="auto" w:sz="4" w:space="0"/>
                    <w:left w:val="single" w:color="000000" w:sz="4" w:space="0"/>
                    <w:right w:val="single" w:color="auto" w:sz="4" w:space="0"/>
                  </w:tcBorders>
                  <w:vAlign w:val="center"/>
                </w:tcPr>
                <w:p w14:paraId="2E029FEA">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cs="Times New Roman"/>
                      <w:b/>
                      <w:bCs/>
                      <w:color w:val="auto"/>
                      <w:sz w:val="21"/>
                      <w:szCs w:val="21"/>
                    </w:rPr>
                  </w:pPr>
                  <w:r>
                    <w:rPr>
                      <w:rFonts w:hint="eastAsia" w:cs="Times New Roman"/>
                      <w:b/>
                      <w:bCs/>
                      <w:color w:val="auto"/>
                      <w:sz w:val="21"/>
                      <w:szCs w:val="21"/>
                      <w:lang w:eastAsia="zh-CN"/>
                    </w:rPr>
                    <w:t>改</w:t>
                  </w:r>
                  <w:r>
                    <w:rPr>
                      <w:rFonts w:hint="default" w:ascii="Times New Roman" w:hAnsi="Times New Roman" w:cs="Times New Roman"/>
                      <w:b/>
                      <w:bCs/>
                      <w:color w:val="auto"/>
                      <w:sz w:val="21"/>
                      <w:szCs w:val="21"/>
                    </w:rPr>
                    <w:t>建后</w:t>
                  </w:r>
                </w:p>
              </w:tc>
              <w:tc>
                <w:tcPr>
                  <w:tcW w:w="428" w:type="pct"/>
                  <w:tcBorders>
                    <w:top w:val="single" w:color="auto" w:sz="4" w:space="0"/>
                    <w:left w:val="single" w:color="auto" w:sz="4" w:space="0"/>
                  </w:tcBorders>
                  <w:vAlign w:val="center"/>
                </w:tcPr>
                <w:p w14:paraId="023E6B23">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变化量</w:t>
                  </w:r>
                </w:p>
              </w:tc>
            </w:tr>
            <w:tr w14:paraId="3B1465DA">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1089" w:type="pct"/>
                  <w:vMerge w:val="restart"/>
                  <w:vAlign w:val="center"/>
                </w:tcPr>
                <w:p w14:paraId="32F2C534">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cs="Times New Roman"/>
                      <w:bCs/>
                      <w:color w:val="auto"/>
                      <w:sz w:val="21"/>
                      <w:szCs w:val="21"/>
                    </w:rPr>
                  </w:pPr>
                  <w:r>
                    <w:rPr>
                      <w:rFonts w:hint="eastAsia"/>
                      <w:color w:val="auto"/>
                      <w:szCs w:val="21"/>
                    </w:rPr>
                    <w:t>新型太阳能封装材料扩产项目</w:t>
                  </w:r>
                </w:p>
              </w:tc>
              <w:tc>
                <w:tcPr>
                  <w:tcW w:w="1774" w:type="pct"/>
                  <w:vAlign w:val="center"/>
                </w:tcPr>
                <w:p w14:paraId="2CDCD327">
                  <w:pPr>
                    <w:keepNext w:val="0"/>
                    <w:keepLines w:val="0"/>
                    <w:pageBreakBefore w:val="0"/>
                    <w:widowControl/>
                    <w:suppressLineNumbers w:val="0"/>
                    <w:wordWrap/>
                    <w:overflowPunct/>
                    <w:topLinePunct w:val="0"/>
                    <w:bidi w:val="0"/>
                    <w:spacing w:line="240" w:lineRule="auto"/>
                    <w:ind w:right="0"/>
                    <w:jc w:val="center"/>
                    <w:textAlignment w:val="center"/>
                    <w:rPr>
                      <w:rFonts w:hint="default" w:ascii="Times New Roman" w:hAnsi="Times New Roman" w:eastAsia="宋体" w:cs="Times New Roman"/>
                      <w:color w:val="auto"/>
                      <w:sz w:val="21"/>
                      <w:szCs w:val="21"/>
                      <w:lang w:val="en-US" w:eastAsia="zh-CN"/>
                    </w:rPr>
                  </w:pPr>
                  <w:r>
                    <w:rPr>
                      <w:rFonts w:hint="eastAsia" w:ascii="宋体" w:hAnsi="宋体" w:cs="宋体"/>
                      <w:color w:val="auto"/>
                    </w:rPr>
                    <w:t>E</w:t>
                  </w:r>
                  <w:r>
                    <w:rPr>
                      <w:color w:val="auto"/>
                    </w:rPr>
                    <w:t>VA光电胶膜国产生产机组</w:t>
                  </w:r>
                </w:p>
              </w:tc>
              <w:tc>
                <w:tcPr>
                  <w:tcW w:w="850" w:type="pct"/>
                  <w:tcBorders>
                    <w:right w:val="single" w:color="auto" w:sz="4" w:space="0"/>
                  </w:tcBorders>
                  <w:vAlign w:val="center"/>
                </w:tcPr>
                <w:p w14:paraId="718270DE">
                  <w:pPr>
                    <w:keepNext w:val="0"/>
                    <w:keepLines w:val="0"/>
                    <w:pageBreakBefore w:val="0"/>
                    <w:widowControl/>
                    <w:suppressLineNumbers w:val="0"/>
                    <w:wordWrap/>
                    <w:overflowPunct/>
                    <w:topLinePunct w:val="0"/>
                    <w:bidi w:val="0"/>
                    <w:spacing w:line="240" w:lineRule="auto"/>
                    <w:ind w:right="0"/>
                    <w:jc w:val="center"/>
                    <w:textAlignment w:val="center"/>
                    <w:rPr>
                      <w:rFonts w:hint="default" w:ascii="Times New Roman" w:hAnsi="Times New Roman" w:cs="Times New Roman"/>
                      <w:color w:val="auto"/>
                    </w:rPr>
                  </w:pPr>
                  <w:r>
                    <w:rPr>
                      <w:rFonts w:hint="default" w:ascii="Times New Roman" w:hAnsi="Times New Roman" w:cs="Times New Roman"/>
                      <w:color w:val="auto"/>
                    </w:rPr>
                    <w:t>HC180/</w:t>
                  </w:r>
                  <w:r>
                    <w:rPr>
                      <w:rFonts w:hint="default" w:ascii="Times New Roman" w:hAnsi="Times New Roman" w:cs="Times New Roman"/>
                      <w:color w:val="auto"/>
                      <w:lang w:val="en-US" w:eastAsia="zh-CN"/>
                    </w:rPr>
                    <w:t>2</w:t>
                  </w:r>
                  <w:r>
                    <w:rPr>
                      <w:rFonts w:hint="default" w:ascii="Times New Roman" w:hAnsi="Times New Roman" w:cs="Times New Roman"/>
                      <w:color w:val="auto"/>
                    </w:rPr>
                    <w:t>-</w:t>
                  </w:r>
                  <w:r>
                    <w:rPr>
                      <w:rFonts w:hint="default" w:ascii="Times New Roman" w:hAnsi="Times New Roman" w:cs="Times New Roman"/>
                      <w:color w:val="auto"/>
                      <w:lang w:val="en-US" w:eastAsia="zh-CN"/>
                    </w:rPr>
                    <w:t>30</w:t>
                  </w:r>
                  <w:r>
                    <w:rPr>
                      <w:rFonts w:hint="default" w:ascii="Times New Roman" w:hAnsi="Times New Roman" w:cs="Times New Roman"/>
                      <w:color w:val="auto"/>
                    </w:rPr>
                    <w:t>00</w:t>
                  </w:r>
                </w:p>
              </w:tc>
              <w:tc>
                <w:tcPr>
                  <w:tcW w:w="428" w:type="pct"/>
                  <w:tcBorders>
                    <w:right w:val="single" w:color="auto" w:sz="4" w:space="0"/>
                  </w:tcBorders>
                  <w:vAlign w:val="center"/>
                </w:tcPr>
                <w:p w14:paraId="70DBE5D4">
                  <w:pPr>
                    <w:keepNext w:val="0"/>
                    <w:keepLines w:val="0"/>
                    <w:pageBreakBefore w:val="0"/>
                    <w:widowControl/>
                    <w:suppressLineNumbers w:val="0"/>
                    <w:wordWrap/>
                    <w:overflowPunct/>
                    <w:topLinePunct w:val="0"/>
                    <w:bidi w:val="0"/>
                    <w:spacing w:line="240" w:lineRule="auto"/>
                    <w:ind w:right="0"/>
                    <w:jc w:val="center"/>
                    <w:textAlignment w:val="center"/>
                    <w:rPr>
                      <w:rFonts w:hint="default" w:cs="Times New Roman"/>
                      <w:bCs/>
                      <w:color w:val="auto"/>
                      <w:sz w:val="21"/>
                      <w:szCs w:val="21"/>
                      <w:lang w:val="en-US" w:eastAsia="zh-CN"/>
                    </w:rPr>
                  </w:pPr>
                  <w:r>
                    <w:rPr>
                      <w:rFonts w:hint="eastAsia" w:cs="Times New Roman"/>
                      <w:bCs/>
                      <w:color w:val="auto"/>
                      <w:sz w:val="21"/>
                      <w:szCs w:val="21"/>
                      <w:lang w:val="en-US" w:eastAsia="zh-CN"/>
                    </w:rPr>
                    <w:t>17</w:t>
                  </w:r>
                </w:p>
              </w:tc>
              <w:tc>
                <w:tcPr>
                  <w:tcW w:w="428" w:type="pct"/>
                  <w:tcBorders>
                    <w:left w:val="single" w:color="auto" w:sz="4" w:space="0"/>
                    <w:right w:val="single" w:color="auto" w:sz="4" w:space="0"/>
                  </w:tcBorders>
                  <w:vAlign w:val="center"/>
                </w:tcPr>
                <w:p w14:paraId="2797D3DD">
                  <w:pPr>
                    <w:keepNext w:val="0"/>
                    <w:keepLines w:val="0"/>
                    <w:pageBreakBefore w:val="0"/>
                    <w:widowControl/>
                    <w:suppressLineNumbers w:val="0"/>
                    <w:wordWrap/>
                    <w:overflowPunct/>
                    <w:topLinePunct w:val="0"/>
                    <w:bidi w:val="0"/>
                    <w:spacing w:line="240" w:lineRule="auto"/>
                    <w:ind w:right="0"/>
                    <w:jc w:val="center"/>
                    <w:textAlignment w:val="center"/>
                    <w:rPr>
                      <w:rFonts w:hint="default" w:cs="Times New Roman"/>
                      <w:bCs/>
                      <w:color w:val="auto"/>
                      <w:sz w:val="21"/>
                      <w:szCs w:val="21"/>
                      <w:lang w:val="en-US" w:eastAsia="zh-CN"/>
                    </w:rPr>
                  </w:pPr>
                  <w:r>
                    <w:rPr>
                      <w:rFonts w:hint="eastAsia" w:cs="Times New Roman"/>
                      <w:bCs/>
                      <w:color w:val="auto"/>
                      <w:sz w:val="21"/>
                      <w:szCs w:val="21"/>
                      <w:lang w:val="en-US" w:eastAsia="zh-CN"/>
                    </w:rPr>
                    <w:t>13</w:t>
                  </w:r>
                </w:p>
              </w:tc>
              <w:tc>
                <w:tcPr>
                  <w:tcW w:w="428" w:type="pct"/>
                  <w:tcBorders>
                    <w:left w:val="single" w:color="auto" w:sz="4" w:space="0"/>
                  </w:tcBorders>
                  <w:vAlign w:val="center"/>
                </w:tcPr>
                <w:p w14:paraId="305E4FB4">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-4</w:t>
                  </w:r>
                </w:p>
              </w:tc>
            </w:tr>
            <w:tr w14:paraId="22940DBC">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1089" w:type="pct"/>
                  <w:vMerge w:val="continue"/>
                  <w:vAlign w:val="center"/>
                </w:tcPr>
                <w:p w14:paraId="10148870">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eastAsia"/>
                      <w:color w:val="auto"/>
                      <w:szCs w:val="21"/>
                    </w:rPr>
                  </w:pPr>
                </w:p>
              </w:tc>
              <w:tc>
                <w:tcPr>
                  <w:tcW w:w="1774" w:type="pct"/>
                  <w:vAlign w:val="center"/>
                </w:tcPr>
                <w:p w14:paraId="704875AB">
                  <w:pPr>
                    <w:keepNext w:val="0"/>
                    <w:keepLines w:val="0"/>
                    <w:pageBreakBefore w:val="0"/>
                    <w:widowControl/>
                    <w:suppressLineNumbers w:val="0"/>
                    <w:wordWrap/>
                    <w:overflowPunct/>
                    <w:topLinePunct w:val="0"/>
                    <w:bidi w:val="0"/>
                    <w:spacing w:line="240" w:lineRule="auto"/>
                    <w:ind w:right="0"/>
                    <w:jc w:val="center"/>
                    <w:textAlignment w:val="center"/>
                    <w:rPr>
                      <w:rFonts w:hint="eastAsia" w:ascii="宋体" w:hAnsi="宋体" w:cs="宋体"/>
                      <w:color w:val="auto"/>
                    </w:rPr>
                  </w:pPr>
                  <w:r>
                    <w:rPr>
                      <w:rFonts w:hint="eastAsia" w:ascii="宋体" w:hAnsi="宋体" w:cs="宋体"/>
                      <w:color w:val="auto"/>
                    </w:rPr>
                    <w:t>E</w:t>
                  </w:r>
                  <w:r>
                    <w:rPr>
                      <w:color w:val="auto"/>
                    </w:rPr>
                    <w:t>VA光电胶膜国产生产机组</w:t>
                  </w:r>
                </w:p>
              </w:tc>
              <w:tc>
                <w:tcPr>
                  <w:tcW w:w="850" w:type="pct"/>
                  <w:tcBorders>
                    <w:right w:val="single" w:color="auto" w:sz="4" w:space="0"/>
                  </w:tcBorders>
                  <w:vAlign w:val="center"/>
                </w:tcPr>
                <w:p w14:paraId="7CAC154A">
                  <w:pPr>
                    <w:keepNext w:val="0"/>
                    <w:keepLines w:val="0"/>
                    <w:pageBreakBefore w:val="0"/>
                    <w:widowControl/>
                    <w:suppressLineNumbers w:val="0"/>
                    <w:wordWrap/>
                    <w:overflowPunct/>
                    <w:topLinePunct w:val="0"/>
                    <w:bidi w:val="0"/>
                    <w:spacing w:line="240" w:lineRule="auto"/>
                    <w:ind w:right="0"/>
                    <w:jc w:val="center"/>
                    <w:textAlignment w:val="center"/>
                    <w:rPr>
                      <w:rFonts w:hint="default" w:ascii="Times New Roman" w:hAnsi="Times New Roman" w:cs="Times New Roman"/>
                      <w:color w:val="auto"/>
                    </w:rPr>
                  </w:pPr>
                  <w:r>
                    <w:rPr>
                      <w:rFonts w:hint="default" w:ascii="Times New Roman" w:hAnsi="Times New Roman" w:cs="Times New Roman"/>
                      <w:color w:val="auto"/>
                    </w:rPr>
                    <w:t>HC180/35-2300</w:t>
                  </w:r>
                </w:p>
              </w:tc>
              <w:tc>
                <w:tcPr>
                  <w:tcW w:w="428" w:type="pct"/>
                  <w:tcBorders>
                    <w:right w:val="single" w:color="auto" w:sz="4" w:space="0"/>
                  </w:tcBorders>
                  <w:vAlign w:val="center"/>
                </w:tcPr>
                <w:p w14:paraId="0602BB03">
                  <w:pPr>
                    <w:keepNext w:val="0"/>
                    <w:keepLines w:val="0"/>
                    <w:pageBreakBefore w:val="0"/>
                    <w:widowControl/>
                    <w:suppressLineNumbers w:val="0"/>
                    <w:wordWrap/>
                    <w:overflowPunct/>
                    <w:topLinePunct w:val="0"/>
                    <w:bidi w:val="0"/>
                    <w:spacing w:line="240" w:lineRule="auto"/>
                    <w:ind w:right="0"/>
                    <w:jc w:val="center"/>
                    <w:textAlignment w:val="center"/>
                    <w:rPr>
                      <w:rFonts w:hint="default" w:cs="Times New Roman"/>
                      <w:bCs/>
                      <w:color w:val="auto"/>
                      <w:sz w:val="21"/>
                      <w:szCs w:val="21"/>
                      <w:lang w:val="en-US" w:eastAsia="zh-CN"/>
                    </w:rPr>
                  </w:pPr>
                  <w:r>
                    <w:rPr>
                      <w:rFonts w:hint="eastAsia" w:cs="Times New Roman"/>
                      <w:bCs/>
                      <w:color w:val="auto"/>
                      <w:sz w:val="21"/>
                      <w:szCs w:val="21"/>
                      <w:lang w:val="en-US" w:eastAsia="zh-CN"/>
                    </w:rPr>
                    <w:t>0</w:t>
                  </w:r>
                </w:p>
              </w:tc>
              <w:tc>
                <w:tcPr>
                  <w:tcW w:w="428" w:type="pct"/>
                  <w:tcBorders>
                    <w:left w:val="single" w:color="auto" w:sz="4" w:space="0"/>
                    <w:right w:val="single" w:color="auto" w:sz="4" w:space="0"/>
                  </w:tcBorders>
                  <w:vAlign w:val="center"/>
                </w:tcPr>
                <w:p w14:paraId="1993C2A9">
                  <w:pPr>
                    <w:keepNext w:val="0"/>
                    <w:keepLines w:val="0"/>
                    <w:pageBreakBefore w:val="0"/>
                    <w:widowControl/>
                    <w:suppressLineNumbers w:val="0"/>
                    <w:wordWrap/>
                    <w:overflowPunct/>
                    <w:topLinePunct w:val="0"/>
                    <w:bidi w:val="0"/>
                    <w:spacing w:line="240" w:lineRule="auto"/>
                    <w:ind w:right="0"/>
                    <w:jc w:val="center"/>
                    <w:textAlignment w:val="center"/>
                    <w:rPr>
                      <w:rFonts w:hint="default" w:cs="Times New Roman"/>
                      <w:bCs/>
                      <w:color w:val="auto"/>
                      <w:sz w:val="21"/>
                      <w:szCs w:val="21"/>
                      <w:lang w:val="en-US" w:eastAsia="zh-CN"/>
                    </w:rPr>
                  </w:pPr>
                  <w:r>
                    <w:rPr>
                      <w:rFonts w:hint="eastAsia" w:cs="Times New Roman"/>
                      <w:bCs/>
                      <w:color w:val="auto"/>
                      <w:sz w:val="21"/>
                      <w:szCs w:val="21"/>
                      <w:lang w:val="en-US" w:eastAsia="zh-CN"/>
                    </w:rPr>
                    <w:t>4</w:t>
                  </w:r>
                </w:p>
              </w:tc>
              <w:tc>
                <w:tcPr>
                  <w:tcW w:w="428" w:type="pct"/>
                  <w:tcBorders>
                    <w:left w:val="single" w:color="auto" w:sz="4" w:space="0"/>
                  </w:tcBorders>
                  <w:vAlign w:val="center"/>
                </w:tcPr>
                <w:p w14:paraId="66665005">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cs="Times New Roman"/>
                      <w:bCs/>
                      <w:color w:val="auto"/>
                      <w:sz w:val="21"/>
                      <w:szCs w:val="21"/>
                      <w:lang w:val="en-US" w:eastAsia="zh-CN"/>
                    </w:rPr>
                  </w:pPr>
                  <w:r>
                    <w:rPr>
                      <w:rFonts w:hint="eastAsia" w:cs="Times New Roman"/>
                      <w:bCs/>
                      <w:color w:val="auto"/>
                      <w:sz w:val="21"/>
                      <w:szCs w:val="21"/>
                      <w:lang w:val="en-US" w:eastAsia="zh-CN"/>
                    </w:rPr>
                    <w:t>+4</w:t>
                  </w:r>
                </w:p>
              </w:tc>
            </w:tr>
            <w:tr w14:paraId="058F6CB6">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1089" w:type="pct"/>
                  <w:vMerge w:val="restart"/>
                  <w:vAlign w:val="center"/>
                </w:tcPr>
                <w:p w14:paraId="0618376A">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新建年产光伏组件用高性能EVA胶膜、功能性塑料项目</w:t>
                  </w:r>
                </w:p>
              </w:tc>
              <w:tc>
                <w:tcPr>
                  <w:tcW w:w="1774" w:type="pct"/>
                  <w:vAlign w:val="center"/>
                </w:tcPr>
                <w:p w14:paraId="3C4D1A45">
                  <w:pPr>
                    <w:widowControl/>
                    <w:jc w:val="center"/>
                    <w:textAlignment w:val="center"/>
                    <w:rPr>
                      <w:color w:val="auto"/>
                    </w:rPr>
                  </w:pPr>
                  <w:r>
                    <w:rPr>
                      <w:rFonts w:hint="eastAsia" w:ascii="宋体" w:hAnsi="宋体" w:cs="宋体"/>
                      <w:color w:val="auto"/>
                    </w:rPr>
                    <w:t>E</w:t>
                  </w:r>
                  <w:r>
                    <w:rPr>
                      <w:color w:val="auto"/>
                    </w:rPr>
                    <w:t>VA光电胶膜国产生产机组</w:t>
                  </w:r>
                </w:p>
              </w:tc>
              <w:tc>
                <w:tcPr>
                  <w:tcW w:w="850" w:type="pct"/>
                  <w:tcBorders>
                    <w:right w:val="single" w:color="auto" w:sz="4" w:space="0"/>
                  </w:tcBorders>
                  <w:vAlign w:val="center"/>
                </w:tcPr>
                <w:p w14:paraId="0C63EAA6">
                  <w:pPr>
                    <w:widowControl/>
                    <w:jc w:val="center"/>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GWS</w:t>
                  </w:r>
                  <w:r>
                    <w:rPr>
                      <w:rFonts w:hint="default" w:ascii="Times New Roman" w:hAnsi="Times New Roman" w:cs="Times New Roman"/>
                      <w:color w:val="auto"/>
                    </w:rPr>
                    <w:t>16</w:t>
                  </w:r>
                  <w:r>
                    <w:rPr>
                      <w:rFonts w:hint="default" w:ascii="Times New Roman" w:hAnsi="Times New Roman" w:cs="Times New Roman"/>
                      <w:color w:val="auto"/>
                      <w:lang w:val="en-US" w:eastAsia="zh-CN"/>
                    </w:rPr>
                    <w:t>0</w:t>
                  </w:r>
                </w:p>
              </w:tc>
              <w:tc>
                <w:tcPr>
                  <w:tcW w:w="428" w:type="pct"/>
                  <w:tcBorders>
                    <w:right w:val="single" w:color="auto" w:sz="4" w:space="0"/>
                  </w:tcBorders>
                  <w:vAlign w:val="center"/>
                </w:tcPr>
                <w:p w14:paraId="6BF3E8D0">
                  <w:pPr>
                    <w:keepNext w:val="0"/>
                    <w:keepLines w:val="0"/>
                    <w:pageBreakBefore w:val="0"/>
                    <w:widowControl/>
                    <w:suppressLineNumbers w:val="0"/>
                    <w:wordWrap/>
                    <w:overflowPunct/>
                    <w:topLinePunct w:val="0"/>
                    <w:bidi w:val="0"/>
                    <w:spacing w:line="240" w:lineRule="auto"/>
                    <w:ind w:right="0" w:rightChars="0"/>
                    <w:jc w:val="center"/>
                    <w:textAlignment w:val="center"/>
                    <w:rPr>
                      <w:rFonts w:hint="default" w:cs="Times New Roman"/>
                      <w:bCs/>
                      <w:color w:val="auto"/>
                      <w:sz w:val="21"/>
                      <w:szCs w:val="21"/>
                      <w:lang w:val="en-US" w:eastAsia="zh-CN"/>
                    </w:rPr>
                  </w:pPr>
                  <w:r>
                    <w:rPr>
                      <w:rFonts w:hint="eastAsia" w:cs="Times New Roman"/>
                      <w:bCs/>
                      <w:color w:val="auto"/>
                      <w:sz w:val="21"/>
                      <w:szCs w:val="21"/>
                      <w:lang w:val="en-US" w:eastAsia="zh-CN"/>
                    </w:rPr>
                    <w:t>2</w:t>
                  </w:r>
                </w:p>
              </w:tc>
              <w:tc>
                <w:tcPr>
                  <w:tcW w:w="428" w:type="pct"/>
                  <w:tcBorders>
                    <w:left w:val="single" w:color="auto" w:sz="4" w:space="0"/>
                    <w:right w:val="single" w:color="auto" w:sz="4" w:space="0"/>
                  </w:tcBorders>
                  <w:vAlign w:val="center"/>
                </w:tcPr>
                <w:p w14:paraId="0ADD0C70">
                  <w:pPr>
                    <w:keepNext w:val="0"/>
                    <w:keepLines w:val="0"/>
                    <w:pageBreakBefore w:val="0"/>
                    <w:widowControl/>
                    <w:suppressLineNumbers w:val="0"/>
                    <w:wordWrap/>
                    <w:overflowPunct/>
                    <w:topLinePunct w:val="0"/>
                    <w:bidi w:val="0"/>
                    <w:spacing w:line="240" w:lineRule="auto"/>
                    <w:ind w:right="0" w:rightChars="0"/>
                    <w:jc w:val="center"/>
                    <w:textAlignment w:val="center"/>
                    <w:rPr>
                      <w:rFonts w:hint="default" w:cs="Times New Roman"/>
                      <w:bCs/>
                      <w:color w:val="auto"/>
                      <w:sz w:val="21"/>
                      <w:szCs w:val="21"/>
                      <w:lang w:val="en-US" w:eastAsia="zh-CN"/>
                    </w:rPr>
                  </w:pPr>
                  <w:r>
                    <w:rPr>
                      <w:rFonts w:hint="eastAsia" w:cs="Times New Roman"/>
                      <w:bCs/>
                      <w:color w:val="auto"/>
                      <w:sz w:val="21"/>
                      <w:szCs w:val="21"/>
                      <w:lang w:val="en-US" w:eastAsia="zh-CN"/>
                    </w:rPr>
                    <w:t>2</w:t>
                  </w:r>
                </w:p>
              </w:tc>
              <w:tc>
                <w:tcPr>
                  <w:tcW w:w="428" w:type="pct"/>
                  <w:tcBorders>
                    <w:left w:val="single" w:color="auto" w:sz="4" w:space="0"/>
                  </w:tcBorders>
                  <w:vAlign w:val="center"/>
                </w:tcPr>
                <w:p w14:paraId="17B8ACA6">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cs="Times New Roman"/>
                      <w:bCs/>
                      <w:color w:val="auto"/>
                      <w:sz w:val="21"/>
                      <w:szCs w:val="21"/>
                      <w:lang w:val="en-US" w:eastAsia="zh-CN"/>
                    </w:rPr>
                  </w:pPr>
                  <w:r>
                    <w:rPr>
                      <w:rFonts w:hint="eastAsia" w:cs="Times New Roman"/>
                      <w:bCs/>
                      <w:color w:val="auto"/>
                      <w:sz w:val="21"/>
                      <w:szCs w:val="21"/>
                      <w:lang w:val="en-US" w:eastAsia="zh-CN"/>
                    </w:rPr>
                    <w:t>+</w:t>
                  </w:r>
                  <w:r>
                    <w:rPr>
                      <w:rFonts w:hint="default" w:ascii="Times New Roman" w:hAnsi="Times New Roman" w:cs="Times New Roman"/>
                      <w:bCs/>
                      <w:color w:val="auto"/>
                      <w:sz w:val="21"/>
                      <w:szCs w:val="21"/>
                      <w:lang w:val="en-US" w:eastAsia="zh-CN"/>
                    </w:rPr>
                    <w:t>0</w:t>
                  </w:r>
                </w:p>
              </w:tc>
            </w:tr>
            <w:tr w14:paraId="668DD610">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1089" w:type="pct"/>
                  <w:vMerge w:val="continue"/>
                  <w:vAlign w:val="center"/>
                </w:tcPr>
                <w:p w14:paraId="0A981004">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color w:val="auto"/>
                      <w:kern w:val="2"/>
                      <w:sz w:val="21"/>
                      <w:szCs w:val="21"/>
                      <w:lang w:val="en-US" w:eastAsia="zh-CN" w:bidi="ar-SA"/>
                    </w:rPr>
                  </w:pPr>
                </w:p>
              </w:tc>
              <w:tc>
                <w:tcPr>
                  <w:tcW w:w="1774" w:type="pct"/>
                  <w:vAlign w:val="center"/>
                </w:tcPr>
                <w:p w14:paraId="2811EEE2">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ascii="宋体" w:hAnsi="宋体" w:cs="宋体"/>
                      <w:color w:val="auto"/>
                    </w:rPr>
                  </w:pPr>
                  <w:r>
                    <w:rPr>
                      <w:rFonts w:hint="eastAsia" w:ascii="宋体" w:hAnsi="宋体" w:cs="宋体"/>
                      <w:color w:val="auto"/>
                    </w:rPr>
                    <w:t>E</w:t>
                  </w:r>
                  <w:r>
                    <w:rPr>
                      <w:color w:val="auto"/>
                    </w:rPr>
                    <w:t>VA光电胶膜国产生产机组</w:t>
                  </w:r>
                </w:p>
              </w:tc>
              <w:tc>
                <w:tcPr>
                  <w:tcW w:w="850" w:type="pct"/>
                  <w:tcBorders>
                    <w:right w:val="single" w:color="auto" w:sz="4" w:space="0"/>
                  </w:tcBorders>
                  <w:vAlign w:val="center"/>
                </w:tcPr>
                <w:p w14:paraId="05400C54">
                  <w:pPr>
                    <w:keepNext w:val="0"/>
                    <w:keepLines w:val="0"/>
                    <w:pageBreakBefore w:val="0"/>
                    <w:widowControl/>
                    <w:suppressLineNumbers w:val="0"/>
                    <w:wordWrap/>
                    <w:overflowPunct/>
                    <w:topLinePunct w:val="0"/>
                    <w:bidi w:val="0"/>
                    <w:spacing w:line="240" w:lineRule="auto"/>
                    <w:ind w:right="0" w:right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rPr>
                    <w:t>HC180</w:t>
                  </w:r>
                </w:p>
              </w:tc>
              <w:tc>
                <w:tcPr>
                  <w:tcW w:w="428" w:type="pct"/>
                  <w:tcBorders>
                    <w:right w:val="single" w:color="auto" w:sz="4" w:space="0"/>
                  </w:tcBorders>
                  <w:vAlign w:val="center"/>
                </w:tcPr>
                <w:p w14:paraId="710C0A1F">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10</w:t>
                  </w:r>
                </w:p>
              </w:tc>
              <w:tc>
                <w:tcPr>
                  <w:tcW w:w="428" w:type="pct"/>
                  <w:tcBorders>
                    <w:left w:val="single" w:color="auto" w:sz="4" w:space="0"/>
                    <w:right w:val="single" w:color="auto" w:sz="4" w:space="0"/>
                  </w:tcBorders>
                  <w:vAlign w:val="center"/>
                </w:tcPr>
                <w:p w14:paraId="0D8F89E5">
                  <w:pPr>
                    <w:keepNext w:val="0"/>
                    <w:keepLines w:val="0"/>
                    <w:pageBreakBefore w:val="0"/>
                    <w:widowControl/>
                    <w:suppressLineNumbers w:val="0"/>
                    <w:wordWrap/>
                    <w:overflowPunct/>
                    <w:topLinePunct w:val="0"/>
                    <w:bidi w:val="0"/>
                    <w:spacing w:line="240" w:lineRule="auto"/>
                    <w:ind w:right="0" w:rightChars="0"/>
                    <w:jc w:val="center"/>
                    <w:textAlignment w:val="center"/>
                    <w:rPr>
                      <w:rFonts w:hint="default" w:cs="Times New Roman"/>
                      <w:bCs/>
                      <w:color w:val="auto"/>
                      <w:sz w:val="21"/>
                      <w:szCs w:val="21"/>
                      <w:lang w:val="en-US" w:eastAsia="zh-CN"/>
                    </w:rPr>
                  </w:pPr>
                  <w:r>
                    <w:rPr>
                      <w:rFonts w:hint="eastAsia" w:cs="Times New Roman"/>
                      <w:bCs/>
                      <w:color w:val="auto"/>
                      <w:sz w:val="21"/>
                      <w:szCs w:val="21"/>
                      <w:lang w:val="en-US" w:eastAsia="zh-CN"/>
                    </w:rPr>
                    <w:t>10</w:t>
                  </w:r>
                </w:p>
              </w:tc>
              <w:tc>
                <w:tcPr>
                  <w:tcW w:w="428" w:type="pct"/>
                  <w:tcBorders>
                    <w:left w:val="single" w:color="auto" w:sz="4" w:space="0"/>
                  </w:tcBorders>
                  <w:vAlign w:val="center"/>
                </w:tcPr>
                <w:p w14:paraId="0F943003">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eastAsia" w:cs="Times New Roman"/>
                      <w:bCs/>
                      <w:color w:val="auto"/>
                      <w:sz w:val="21"/>
                      <w:szCs w:val="21"/>
                      <w:lang w:val="en-US" w:eastAsia="zh-CN"/>
                    </w:rPr>
                  </w:pPr>
                  <w:r>
                    <w:rPr>
                      <w:rFonts w:hint="eastAsia" w:cs="Times New Roman"/>
                      <w:bCs/>
                      <w:color w:val="auto"/>
                      <w:sz w:val="21"/>
                      <w:szCs w:val="21"/>
                      <w:lang w:val="en-US" w:eastAsia="zh-CN"/>
                    </w:rPr>
                    <w:t>+</w:t>
                  </w:r>
                  <w:r>
                    <w:rPr>
                      <w:rFonts w:hint="default" w:ascii="Times New Roman" w:hAnsi="Times New Roman" w:cs="Times New Roman"/>
                      <w:bCs/>
                      <w:color w:val="auto"/>
                      <w:sz w:val="21"/>
                      <w:szCs w:val="21"/>
                      <w:lang w:val="en-US" w:eastAsia="zh-CN"/>
                    </w:rPr>
                    <w:t>0</w:t>
                  </w:r>
                </w:p>
              </w:tc>
            </w:tr>
            <w:tr w14:paraId="3710D4A5">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1089" w:type="pct"/>
                  <w:vMerge w:val="continue"/>
                  <w:vAlign w:val="center"/>
                </w:tcPr>
                <w:p w14:paraId="2EE47CAA">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color w:val="auto"/>
                      <w:kern w:val="2"/>
                      <w:sz w:val="21"/>
                      <w:szCs w:val="21"/>
                      <w:lang w:val="en-US" w:eastAsia="zh-CN" w:bidi="ar-SA"/>
                    </w:rPr>
                  </w:pPr>
                </w:p>
              </w:tc>
              <w:tc>
                <w:tcPr>
                  <w:tcW w:w="1774" w:type="pct"/>
                  <w:vAlign w:val="center"/>
                </w:tcPr>
                <w:p w14:paraId="65029A0C">
                  <w:pPr>
                    <w:widowControl/>
                    <w:jc w:val="center"/>
                    <w:textAlignment w:val="center"/>
                    <w:rPr>
                      <w:color w:val="auto"/>
                    </w:rPr>
                  </w:pPr>
                  <w:r>
                    <w:rPr>
                      <w:color w:val="auto"/>
                    </w:rPr>
                    <w:t>国产功能性塑料生产线</w:t>
                  </w:r>
                </w:p>
              </w:tc>
              <w:tc>
                <w:tcPr>
                  <w:tcW w:w="850" w:type="pct"/>
                  <w:tcBorders>
                    <w:right w:val="single" w:color="auto" w:sz="4" w:space="0"/>
                  </w:tcBorders>
                  <w:vAlign w:val="center"/>
                </w:tcPr>
                <w:p w14:paraId="113DA3F6">
                  <w:pPr>
                    <w:widowControl/>
                    <w:jc w:val="center"/>
                    <w:textAlignment w:val="center"/>
                    <w:rPr>
                      <w:rFonts w:hint="eastAsia" w:eastAsia="宋体"/>
                      <w:color w:val="auto"/>
                      <w:lang w:val="en-US" w:eastAsia="zh-CN"/>
                    </w:rPr>
                  </w:pPr>
                  <w:r>
                    <w:rPr>
                      <w:rFonts w:hint="eastAsia"/>
                      <w:color w:val="auto"/>
                      <w:lang w:val="en-US" w:eastAsia="zh-CN"/>
                    </w:rPr>
                    <w:t>/</w:t>
                  </w:r>
                </w:p>
              </w:tc>
              <w:tc>
                <w:tcPr>
                  <w:tcW w:w="428" w:type="pct"/>
                  <w:tcBorders>
                    <w:right w:val="single" w:color="auto" w:sz="4" w:space="0"/>
                  </w:tcBorders>
                  <w:vAlign w:val="center"/>
                </w:tcPr>
                <w:p w14:paraId="5B5E87E2">
                  <w:pPr>
                    <w:keepNext w:val="0"/>
                    <w:keepLines w:val="0"/>
                    <w:pageBreakBefore w:val="0"/>
                    <w:widowControl/>
                    <w:suppressLineNumbers w:val="0"/>
                    <w:wordWrap/>
                    <w:overflowPunct/>
                    <w:topLinePunct w:val="0"/>
                    <w:bidi w:val="0"/>
                    <w:spacing w:line="240" w:lineRule="auto"/>
                    <w:ind w:right="0"/>
                    <w:jc w:val="center"/>
                    <w:textAlignment w:val="center"/>
                    <w:rPr>
                      <w:rFonts w:hint="default" w:cs="Times New Roman"/>
                      <w:bCs/>
                      <w:color w:val="auto"/>
                      <w:sz w:val="21"/>
                      <w:szCs w:val="21"/>
                      <w:lang w:val="en-US" w:eastAsia="zh-CN"/>
                    </w:rPr>
                  </w:pPr>
                  <w:r>
                    <w:rPr>
                      <w:rFonts w:hint="eastAsia" w:cs="Times New Roman"/>
                      <w:bCs/>
                      <w:color w:val="auto"/>
                      <w:sz w:val="21"/>
                      <w:szCs w:val="21"/>
                      <w:lang w:val="en-US" w:eastAsia="zh-CN"/>
                    </w:rPr>
                    <w:t>5</w:t>
                  </w:r>
                </w:p>
              </w:tc>
              <w:tc>
                <w:tcPr>
                  <w:tcW w:w="428" w:type="pct"/>
                  <w:tcBorders>
                    <w:left w:val="single" w:color="auto" w:sz="4" w:space="0"/>
                    <w:right w:val="single" w:color="auto" w:sz="4" w:space="0"/>
                  </w:tcBorders>
                  <w:vAlign w:val="center"/>
                </w:tcPr>
                <w:p w14:paraId="5962E5BE">
                  <w:pPr>
                    <w:keepNext w:val="0"/>
                    <w:keepLines w:val="0"/>
                    <w:pageBreakBefore w:val="0"/>
                    <w:widowControl/>
                    <w:suppressLineNumbers w:val="0"/>
                    <w:wordWrap/>
                    <w:overflowPunct/>
                    <w:topLinePunct w:val="0"/>
                    <w:bidi w:val="0"/>
                    <w:spacing w:line="240" w:lineRule="auto"/>
                    <w:ind w:right="0"/>
                    <w:jc w:val="center"/>
                    <w:textAlignment w:val="center"/>
                    <w:rPr>
                      <w:rFonts w:hint="default" w:cs="Times New Roman"/>
                      <w:bCs/>
                      <w:color w:val="auto"/>
                      <w:sz w:val="21"/>
                      <w:szCs w:val="21"/>
                      <w:lang w:val="en-US" w:eastAsia="zh-CN"/>
                    </w:rPr>
                  </w:pPr>
                  <w:r>
                    <w:rPr>
                      <w:rFonts w:hint="eastAsia" w:cs="Times New Roman"/>
                      <w:bCs/>
                      <w:color w:val="auto"/>
                      <w:sz w:val="21"/>
                      <w:szCs w:val="21"/>
                      <w:lang w:val="en-US" w:eastAsia="zh-CN"/>
                    </w:rPr>
                    <w:t>5</w:t>
                  </w:r>
                </w:p>
              </w:tc>
              <w:tc>
                <w:tcPr>
                  <w:tcW w:w="428" w:type="pct"/>
                  <w:tcBorders>
                    <w:left w:val="single" w:color="auto" w:sz="4" w:space="0"/>
                  </w:tcBorders>
                  <w:vAlign w:val="center"/>
                </w:tcPr>
                <w:p w14:paraId="5E4D0400">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eastAsia" w:cs="Times New Roman"/>
                      <w:bCs/>
                      <w:color w:val="auto"/>
                      <w:sz w:val="21"/>
                      <w:szCs w:val="21"/>
                      <w:lang w:val="en-US" w:eastAsia="zh-CN"/>
                    </w:rPr>
                  </w:pPr>
                  <w:r>
                    <w:rPr>
                      <w:rFonts w:hint="eastAsia" w:cs="Times New Roman"/>
                      <w:bCs/>
                      <w:color w:val="auto"/>
                      <w:sz w:val="21"/>
                      <w:szCs w:val="21"/>
                      <w:lang w:val="en-US" w:eastAsia="zh-CN"/>
                    </w:rPr>
                    <w:t>+</w:t>
                  </w:r>
                  <w:r>
                    <w:rPr>
                      <w:rFonts w:hint="default" w:ascii="Times New Roman" w:hAnsi="Times New Roman" w:cs="Times New Roman"/>
                      <w:bCs/>
                      <w:color w:val="auto"/>
                      <w:sz w:val="21"/>
                      <w:szCs w:val="21"/>
                      <w:lang w:val="en-US" w:eastAsia="zh-CN"/>
                    </w:rPr>
                    <w:t>0</w:t>
                  </w:r>
                </w:p>
              </w:tc>
            </w:tr>
            <w:tr w14:paraId="4188D518">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1089" w:type="pct"/>
                  <w:vAlign w:val="center"/>
                </w:tcPr>
                <w:p w14:paraId="5B8ABCB7">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功能性聚烯烃热熔胶扩产项目</w:t>
                  </w:r>
                </w:p>
              </w:tc>
              <w:tc>
                <w:tcPr>
                  <w:tcW w:w="1774" w:type="pct"/>
                  <w:vAlign w:val="center"/>
                </w:tcPr>
                <w:p w14:paraId="0877A174">
                  <w:pPr>
                    <w:keepNext w:val="0"/>
                    <w:keepLines w:val="0"/>
                    <w:pageBreakBefore w:val="0"/>
                    <w:widowControl/>
                    <w:suppressLineNumbers w:val="0"/>
                    <w:wordWrap/>
                    <w:overflowPunct/>
                    <w:topLinePunct w:val="0"/>
                    <w:bidi w:val="0"/>
                    <w:spacing w:line="240" w:lineRule="auto"/>
                    <w:ind w:right="0"/>
                    <w:jc w:val="center"/>
                    <w:textAlignment w:val="center"/>
                    <w:rPr>
                      <w:rFonts w:hint="default"/>
                      <w:color w:val="auto"/>
                      <w:lang w:val="en-US"/>
                    </w:rPr>
                  </w:pPr>
                  <w:r>
                    <w:rPr>
                      <w:rFonts w:hint="eastAsia" w:ascii="Times New Roman" w:hAnsi="Times New Roman" w:eastAsia="宋体" w:cs="Times New Roman"/>
                      <w:color w:val="auto"/>
                      <w:kern w:val="2"/>
                      <w:sz w:val="21"/>
                      <w:szCs w:val="21"/>
                      <w:lang w:val="en-US" w:eastAsia="zh-CN" w:bidi="ar-SA"/>
                    </w:rPr>
                    <w:t>热熔胶</w:t>
                  </w:r>
                  <w:r>
                    <w:rPr>
                      <w:rFonts w:hint="eastAsia" w:ascii="Times New Roman" w:hAnsi="Times New Roman" w:cs="Times New Roman"/>
                      <w:color w:val="auto"/>
                      <w:kern w:val="2"/>
                      <w:sz w:val="21"/>
                      <w:szCs w:val="21"/>
                      <w:lang w:val="en-US" w:eastAsia="zh-CN" w:bidi="ar-SA"/>
                    </w:rPr>
                    <w:t>挤出</w:t>
                  </w:r>
                  <w:r>
                    <w:rPr>
                      <w:color w:val="auto"/>
                    </w:rPr>
                    <w:t>生产线</w:t>
                  </w:r>
                </w:p>
              </w:tc>
              <w:tc>
                <w:tcPr>
                  <w:tcW w:w="850" w:type="pct"/>
                  <w:tcBorders>
                    <w:right w:val="single" w:color="auto" w:sz="4" w:space="0"/>
                  </w:tcBorders>
                  <w:vAlign w:val="center"/>
                </w:tcPr>
                <w:p w14:paraId="41DAB445">
                  <w:pPr>
                    <w:keepNext w:val="0"/>
                    <w:keepLines w:val="0"/>
                    <w:pageBreakBefore w:val="0"/>
                    <w:widowControl/>
                    <w:suppressLineNumbers w:val="0"/>
                    <w:wordWrap/>
                    <w:overflowPunct/>
                    <w:topLinePunct w:val="0"/>
                    <w:bidi w:val="0"/>
                    <w:spacing w:line="240" w:lineRule="auto"/>
                    <w:ind w:right="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428" w:type="pct"/>
                  <w:tcBorders>
                    <w:right w:val="single" w:color="auto" w:sz="4" w:space="0"/>
                  </w:tcBorders>
                  <w:vAlign w:val="center"/>
                </w:tcPr>
                <w:p w14:paraId="0203F536">
                  <w:pPr>
                    <w:keepNext w:val="0"/>
                    <w:keepLines w:val="0"/>
                    <w:pageBreakBefore w:val="0"/>
                    <w:widowControl/>
                    <w:suppressLineNumbers w:val="0"/>
                    <w:wordWrap/>
                    <w:overflowPunct/>
                    <w:topLinePunct w:val="0"/>
                    <w:bidi w:val="0"/>
                    <w:spacing w:line="240" w:lineRule="auto"/>
                    <w:ind w:right="0"/>
                    <w:jc w:val="center"/>
                    <w:textAlignment w:val="center"/>
                    <w:rPr>
                      <w:rFonts w:hint="default" w:cs="Times New Roman"/>
                      <w:bCs/>
                      <w:color w:val="auto"/>
                      <w:sz w:val="21"/>
                      <w:szCs w:val="21"/>
                      <w:lang w:val="en-US" w:eastAsia="zh-CN"/>
                    </w:rPr>
                  </w:pPr>
                  <w:r>
                    <w:rPr>
                      <w:rFonts w:hint="eastAsia" w:cs="Times New Roman"/>
                      <w:bCs/>
                      <w:color w:val="auto"/>
                      <w:sz w:val="21"/>
                      <w:szCs w:val="21"/>
                      <w:lang w:val="en-US" w:eastAsia="zh-CN"/>
                    </w:rPr>
                    <w:t>16</w:t>
                  </w:r>
                </w:p>
              </w:tc>
              <w:tc>
                <w:tcPr>
                  <w:tcW w:w="428" w:type="pct"/>
                  <w:tcBorders>
                    <w:left w:val="single" w:color="auto" w:sz="4" w:space="0"/>
                    <w:right w:val="single" w:color="auto" w:sz="4" w:space="0"/>
                  </w:tcBorders>
                  <w:vAlign w:val="center"/>
                </w:tcPr>
                <w:p w14:paraId="7C7C5A75">
                  <w:pPr>
                    <w:keepNext w:val="0"/>
                    <w:keepLines w:val="0"/>
                    <w:pageBreakBefore w:val="0"/>
                    <w:widowControl/>
                    <w:suppressLineNumbers w:val="0"/>
                    <w:wordWrap/>
                    <w:overflowPunct/>
                    <w:topLinePunct w:val="0"/>
                    <w:bidi w:val="0"/>
                    <w:spacing w:line="240" w:lineRule="auto"/>
                    <w:ind w:right="0"/>
                    <w:jc w:val="center"/>
                    <w:textAlignment w:val="center"/>
                    <w:rPr>
                      <w:rFonts w:hint="default" w:cs="Times New Roman"/>
                      <w:bCs/>
                      <w:color w:val="auto"/>
                      <w:sz w:val="21"/>
                      <w:szCs w:val="21"/>
                      <w:lang w:val="en-US" w:eastAsia="zh-CN"/>
                    </w:rPr>
                  </w:pPr>
                  <w:r>
                    <w:rPr>
                      <w:rFonts w:hint="eastAsia" w:cs="Times New Roman"/>
                      <w:bCs/>
                      <w:color w:val="auto"/>
                      <w:sz w:val="21"/>
                      <w:szCs w:val="21"/>
                      <w:lang w:val="en-US" w:eastAsia="zh-CN"/>
                    </w:rPr>
                    <w:t>16</w:t>
                  </w:r>
                </w:p>
              </w:tc>
              <w:tc>
                <w:tcPr>
                  <w:tcW w:w="428" w:type="pct"/>
                  <w:tcBorders>
                    <w:left w:val="single" w:color="auto" w:sz="4" w:space="0"/>
                  </w:tcBorders>
                  <w:vAlign w:val="center"/>
                </w:tcPr>
                <w:p w14:paraId="0029B256">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cs="Times New Roman"/>
                      <w:bCs/>
                      <w:color w:val="auto"/>
                      <w:sz w:val="21"/>
                      <w:szCs w:val="21"/>
                      <w:lang w:val="en-US" w:eastAsia="zh-CN"/>
                    </w:rPr>
                  </w:pPr>
                  <w:r>
                    <w:rPr>
                      <w:rFonts w:hint="eastAsia" w:cs="Times New Roman"/>
                      <w:bCs/>
                      <w:color w:val="auto"/>
                      <w:sz w:val="21"/>
                      <w:szCs w:val="21"/>
                      <w:lang w:val="en-US" w:eastAsia="zh-CN"/>
                    </w:rPr>
                    <w:t>+0</w:t>
                  </w:r>
                </w:p>
              </w:tc>
            </w:tr>
            <w:tr w14:paraId="0FDAF529">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1089" w:type="pct"/>
                  <w:vMerge w:val="restart"/>
                  <w:vAlign w:val="center"/>
                </w:tcPr>
                <w:p w14:paraId="5F49BA4F">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太阳能电池封装胶膜扩产项目</w:t>
                  </w:r>
                </w:p>
              </w:tc>
              <w:tc>
                <w:tcPr>
                  <w:tcW w:w="1774" w:type="pct"/>
                  <w:vAlign w:val="center"/>
                </w:tcPr>
                <w:p w14:paraId="20F30336">
                  <w:pPr>
                    <w:widowControl/>
                    <w:jc w:val="center"/>
                    <w:textAlignment w:val="center"/>
                    <w:rPr>
                      <w:color w:val="auto"/>
                    </w:rPr>
                  </w:pPr>
                  <w:r>
                    <w:rPr>
                      <w:rFonts w:hint="eastAsia" w:ascii="宋体" w:hAnsi="宋体" w:cs="宋体"/>
                      <w:color w:val="auto"/>
                    </w:rPr>
                    <w:t>E</w:t>
                  </w:r>
                  <w:r>
                    <w:rPr>
                      <w:color w:val="auto"/>
                    </w:rPr>
                    <w:t>VA胶膜生产机组</w:t>
                  </w:r>
                </w:p>
              </w:tc>
              <w:tc>
                <w:tcPr>
                  <w:tcW w:w="850" w:type="pct"/>
                  <w:tcBorders>
                    <w:right w:val="single" w:color="auto" w:sz="4" w:space="0"/>
                  </w:tcBorders>
                  <w:vAlign w:val="center"/>
                </w:tcPr>
                <w:p w14:paraId="30DF2F7F">
                  <w:pPr>
                    <w:widowControl/>
                    <w:jc w:val="center"/>
                    <w:textAlignment w:val="center"/>
                    <w:rPr>
                      <w:rFonts w:hint="eastAsia" w:ascii="宋体" w:hAnsi="宋体" w:eastAsia="宋体" w:cs="宋体"/>
                      <w:color w:val="auto"/>
                      <w:lang w:val="en-US" w:eastAsia="zh-CN"/>
                    </w:rPr>
                  </w:pPr>
                  <w:r>
                    <w:rPr>
                      <w:rFonts w:hint="eastAsia" w:ascii="宋体" w:hAnsi="宋体" w:cs="宋体"/>
                      <w:color w:val="auto"/>
                      <w:lang w:val="en-US" w:eastAsia="zh-CN"/>
                    </w:rPr>
                    <w:t>/</w:t>
                  </w:r>
                </w:p>
              </w:tc>
              <w:tc>
                <w:tcPr>
                  <w:tcW w:w="428" w:type="pct"/>
                  <w:tcBorders>
                    <w:right w:val="single" w:color="auto" w:sz="4" w:space="0"/>
                  </w:tcBorders>
                  <w:vAlign w:val="center"/>
                </w:tcPr>
                <w:p w14:paraId="353F8A4D">
                  <w:pPr>
                    <w:keepNext w:val="0"/>
                    <w:keepLines w:val="0"/>
                    <w:pageBreakBefore w:val="0"/>
                    <w:widowControl/>
                    <w:suppressLineNumbers w:val="0"/>
                    <w:wordWrap/>
                    <w:overflowPunct/>
                    <w:topLinePunct w:val="0"/>
                    <w:bidi w:val="0"/>
                    <w:spacing w:line="240" w:lineRule="auto"/>
                    <w:ind w:right="0"/>
                    <w:jc w:val="center"/>
                    <w:textAlignment w:val="center"/>
                    <w:rPr>
                      <w:rFonts w:hint="default" w:cs="Times New Roman"/>
                      <w:bCs/>
                      <w:color w:val="auto"/>
                      <w:sz w:val="21"/>
                      <w:szCs w:val="21"/>
                      <w:lang w:val="en-US" w:eastAsia="zh-CN"/>
                    </w:rPr>
                  </w:pPr>
                  <w:r>
                    <w:rPr>
                      <w:rFonts w:hint="eastAsia" w:cs="Times New Roman"/>
                      <w:bCs/>
                      <w:color w:val="auto"/>
                      <w:sz w:val="21"/>
                      <w:szCs w:val="21"/>
                      <w:lang w:val="en-US" w:eastAsia="zh-CN"/>
                    </w:rPr>
                    <w:t>10</w:t>
                  </w:r>
                </w:p>
              </w:tc>
              <w:tc>
                <w:tcPr>
                  <w:tcW w:w="428" w:type="pct"/>
                  <w:tcBorders>
                    <w:left w:val="single" w:color="auto" w:sz="4" w:space="0"/>
                    <w:right w:val="single" w:color="auto" w:sz="4" w:space="0"/>
                  </w:tcBorders>
                  <w:vAlign w:val="center"/>
                </w:tcPr>
                <w:p w14:paraId="337BCC10">
                  <w:pPr>
                    <w:keepNext w:val="0"/>
                    <w:keepLines w:val="0"/>
                    <w:pageBreakBefore w:val="0"/>
                    <w:widowControl/>
                    <w:suppressLineNumbers w:val="0"/>
                    <w:wordWrap/>
                    <w:overflowPunct/>
                    <w:topLinePunct w:val="0"/>
                    <w:bidi w:val="0"/>
                    <w:spacing w:line="240" w:lineRule="auto"/>
                    <w:ind w:right="0"/>
                    <w:jc w:val="center"/>
                    <w:textAlignment w:val="center"/>
                    <w:rPr>
                      <w:rFonts w:hint="default" w:cs="Times New Roman"/>
                      <w:bCs/>
                      <w:color w:val="auto"/>
                      <w:sz w:val="21"/>
                      <w:szCs w:val="21"/>
                      <w:lang w:val="en-US" w:eastAsia="zh-CN"/>
                    </w:rPr>
                  </w:pPr>
                  <w:r>
                    <w:rPr>
                      <w:rFonts w:hint="eastAsia" w:cs="Times New Roman"/>
                      <w:bCs/>
                      <w:color w:val="auto"/>
                      <w:sz w:val="21"/>
                      <w:szCs w:val="21"/>
                      <w:lang w:val="en-US" w:eastAsia="zh-CN"/>
                    </w:rPr>
                    <w:t>10</w:t>
                  </w:r>
                </w:p>
              </w:tc>
              <w:tc>
                <w:tcPr>
                  <w:tcW w:w="428" w:type="pct"/>
                  <w:tcBorders>
                    <w:left w:val="single" w:color="auto" w:sz="4" w:space="0"/>
                  </w:tcBorders>
                  <w:vAlign w:val="center"/>
                </w:tcPr>
                <w:p w14:paraId="29E033D0">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eastAsia" w:cs="Times New Roman"/>
                      <w:bCs/>
                      <w:color w:val="auto"/>
                      <w:sz w:val="21"/>
                      <w:szCs w:val="21"/>
                      <w:lang w:val="en-US" w:eastAsia="zh-CN"/>
                    </w:rPr>
                  </w:pPr>
                  <w:r>
                    <w:rPr>
                      <w:rFonts w:hint="eastAsia" w:cs="Times New Roman"/>
                      <w:bCs/>
                      <w:color w:val="auto"/>
                      <w:sz w:val="21"/>
                      <w:szCs w:val="21"/>
                      <w:lang w:val="en-US" w:eastAsia="zh-CN"/>
                    </w:rPr>
                    <w:t>+</w:t>
                  </w:r>
                  <w:r>
                    <w:rPr>
                      <w:rFonts w:hint="default" w:ascii="Times New Roman" w:hAnsi="Times New Roman" w:cs="Times New Roman"/>
                      <w:bCs/>
                      <w:color w:val="auto"/>
                      <w:sz w:val="21"/>
                      <w:szCs w:val="21"/>
                      <w:lang w:val="en-US" w:eastAsia="zh-CN"/>
                    </w:rPr>
                    <w:t>0</w:t>
                  </w:r>
                </w:p>
              </w:tc>
            </w:tr>
            <w:tr w14:paraId="26B6C79A">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1089" w:type="pct"/>
                  <w:vMerge w:val="continue"/>
                  <w:vAlign w:val="center"/>
                </w:tcPr>
                <w:p w14:paraId="1EC06ECD">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color w:val="auto"/>
                      <w:kern w:val="2"/>
                      <w:sz w:val="21"/>
                      <w:szCs w:val="21"/>
                      <w:lang w:val="en-US" w:eastAsia="zh-CN" w:bidi="ar-SA"/>
                    </w:rPr>
                  </w:pPr>
                </w:p>
              </w:tc>
              <w:tc>
                <w:tcPr>
                  <w:tcW w:w="1774" w:type="pct"/>
                  <w:vAlign w:val="center"/>
                </w:tcPr>
                <w:p w14:paraId="35A41A2B">
                  <w:pPr>
                    <w:widowControl/>
                    <w:jc w:val="center"/>
                    <w:textAlignment w:val="center"/>
                    <w:rPr>
                      <w:color w:val="auto"/>
                    </w:rPr>
                  </w:pPr>
                  <w:r>
                    <w:rPr>
                      <w:color w:val="auto"/>
                    </w:rPr>
                    <w:t>POE胶膜生产机组</w:t>
                  </w:r>
                </w:p>
              </w:tc>
              <w:tc>
                <w:tcPr>
                  <w:tcW w:w="850" w:type="pct"/>
                  <w:tcBorders>
                    <w:right w:val="single" w:color="auto" w:sz="4" w:space="0"/>
                  </w:tcBorders>
                  <w:vAlign w:val="center"/>
                </w:tcPr>
                <w:p w14:paraId="1377E39A">
                  <w:pPr>
                    <w:widowControl/>
                    <w:jc w:val="center"/>
                    <w:textAlignment w:val="center"/>
                    <w:rPr>
                      <w:rFonts w:hint="eastAsia" w:eastAsia="宋体"/>
                      <w:color w:val="auto"/>
                      <w:lang w:val="en-US" w:eastAsia="zh-CN"/>
                    </w:rPr>
                  </w:pPr>
                  <w:r>
                    <w:rPr>
                      <w:rFonts w:hint="eastAsia"/>
                      <w:color w:val="auto"/>
                      <w:lang w:val="en-US" w:eastAsia="zh-CN"/>
                    </w:rPr>
                    <w:t>/</w:t>
                  </w:r>
                </w:p>
              </w:tc>
              <w:tc>
                <w:tcPr>
                  <w:tcW w:w="428" w:type="pct"/>
                  <w:tcBorders>
                    <w:right w:val="single" w:color="auto" w:sz="4" w:space="0"/>
                  </w:tcBorders>
                  <w:vAlign w:val="center"/>
                </w:tcPr>
                <w:p w14:paraId="471ADB79">
                  <w:pPr>
                    <w:keepNext w:val="0"/>
                    <w:keepLines w:val="0"/>
                    <w:pageBreakBefore w:val="0"/>
                    <w:widowControl/>
                    <w:suppressLineNumbers w:val="0"/>
                    <w:wordWrap/>
                    <w:overflowPunct/>
                    <w:topLinePunct w:val="0"/>
                    <w:bidi w:val="0"/>
                    <w:spacing w:line="240" w:lineRule="auto"/>
                    <w:ind w:right="0"/>
                    <w:jc w:val="center"/>
                    <w:textAlignment w:val="center"/>
                    <w:rPr>
                      <w:rFonts w:hint="default" w:cs="Times New Roman"/>
                      <w:bCs/>
                      <w:color w:val="auto"/>
                      <w:sz w:val="21"/>
                      <w:szCs w:val="21"/>
                      <w:lang w:val="en-US" w:eastAsia="zh-CN"/>
                    </w:rPr>
                  </w:pPr>
                  <w:r>
                    <w:rPr>
                      <w:rFonts w:hint="eastAsia" w:cs="Times New Roman"/>
                      <w:bCs/>
                      <w:color w:val="auto"/>
                      <w:sz w:val="21"/>
                      <w:szCs w:val="21"/>
                      <w:lang w:val="en-US" w:eastAsia="zh-CN"/>
                    </w:rPr>
                    <w:t>10</w:t>
                  </w:r>
                </w:p>
              </w:tc>
              <w:tc>
                <w:tcPr>
                  <w:tcW w:w="428" w:type="pct"/>
                  <w:tcBorders>
                    <w:left w:val="single" w:color="auto" w:sz="4" w:space="0"/>
                    <w:right w:val="single" w:color="auto" w:sz="4" w:space="0"/>
                  </w:tcBorders>
                  <w:vAlign w:val="center"/>
                </w:tcPr>
                <w:p w14:paraId="0A081CBE">
                  <w:pPr>
                    <w:keepNext w:val="0"/>
                    <w:keepLines w:val="0"/>
                    <w:pageBreakBefore w:val="0"/>
                    <w:widowControl/>
                    <w:suppressLineNumbers w:val="0"/>
                    <w:wordWrap/>
                    <w:overflowPunct/>
                    <w:topLinePunct w:val="0"/>
                    <w:bidi w:val="0"/>
                    <w:spacing w:line="240" w:lineRule="auto"/>
                    <w:ind w:right="0"/>
                    <w:jc w:val="center"/>
                    <w:textAlignment w:val="center"/>
                    <w:rPr>
                      <w:rFonts w:hint="default" w:cs="Times New Roman"/>
                      <w:bCs/>
                      <w:color w:val="auto"/>
                      <w:sz w:val="21"/>
                      <w:szCs w:val="21"/>
                      <w:lang w:val="en-US" w:eastAsia="zh-CN"/>
                    </w:rPr>
                  </w:pPr>
                  <w:r>
                    <w:rPr>
                      <w:rFonts w:hint="eastAsia" w:cs="Times New Roman"/>
                      <w:bCs/>
                      <w:color w:val="auto"/>
                      <w:sz w:val="21"/>
                      <w:szCs w:val="21"/>
                      <w:lang w:val="en-US" w:eastAsia="zh-CN"/>
                    </w:rPr>
                    <w:t>10</w:t>
                  </w:r>
                </w:p>
              </w:tc>
              <w:tc>
                <w:tcPr>
                  <w:tcW w:w="428" w:type="pct"/>
                  <w:tcBorders>
                    <w:left w:val="single" w:color="auto" w:sz="4" w:space="0"/>
                  </w:tcBorders>
                  <w:vAlign w:val="center"/>
                </w:tcPr>
                <w:p w14:paraId="006A5824">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eastAsia" w:cs="Times New Roman"/>
                      <w:bCs/>
                      <w:color w:val="auto"/>
                      <w:sz w:val="21"/>
                      <w:szCs w:val="21"/>
                      <w:lang w:val="en-US" w:eastAsia="zh-CN"/>
                    </w:rPr>
                  </w:pPr>
                  <w:r>
                    <w:rPr>
                      <w:rFonts w:hint="eastAsia" w:cs="Times New Roman"/>
                      <w:bCs/>
                      <w:color w:val="auto"/>
                      <w:sz w:val="21"/>
                      <w:szCs w:val="21"/>
                      <w:lang w:val="en-US" w:eastAsia="zh-CN"/>
                    </w:rPr>
                    <w:t>+</w:t>
                  </w:r>
                  <w:r>
                    <w:rPr>
                      <w:rFonts w:hint="default" w:ascii="Times New Roman" w:hAnsi="Times New Roman" w:cs="Times New Roman"/>
                      <w:bCs/>
                      <w:color w:val="auto"/>
                      <w:sz w:val="21"/>
                      <w:szCs w:val="21"/>
                      <w:lang w:val="en-US" w:eastAsia="zh-CN"/>
                    </w:rPr>
                    <w:t>0</w:t>
                  </w:r>
                </w:p>
              </w:tc>
            </w:tr>
            <w:tr w14:paraId="1632B023">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1089" w:type="pct"/>
                  <w:vMerge w:val="restart"/>
                  <w:vAlign w:val="center"/>
                </w:tcPr>
                <w:p w14:paraId="6D8EDB96">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公辅设备</w:t>
                  </w:r>
                </w:p>
              </w:tc>
              <w:tc>
                <w:tcPr>
                  <w:tcW w:w="1774" w:type="pct"/>
                  <w:vAlign w:val="center"/>
                </w:tcPr>
                <w:p w14:paraId="3C62DD28">
                  <w:pPr>
                    <w:widowControl/>
                    <w:jc w:val="center"/>
                    <w:textAlignment w:val="center"/>
                    <w:rPr>
                      <w:rFonts w:hint="default" w:ascii="Times New Roman" w:hAnsi="Times New Roman" w:eastAsia="宋体" w:cs="Times New Roman"/>
                      <w:bCs/>
                      <w:color w:val="auto"/>
                      <w:kern w:val="2"/>
                      <w:sz w:val="21"/>
                      <w:szCs w:val="21"/>
                      <w:lang w:val="en-US" w:eastAsia="zh-CN" w:bidi="ar-SA"/>
                    </w:rPr>
                  </w:pPr>
                  <w:r>
                    <w:rPr>
                      <w:rFonts w:hint="eastAsia"/>
                      <w:color w:val="auto"/>
                      <w:kern w:val="0"/>
                      <w:lang w:bidi="ar"/>
                    </w:rPr>
                    <w:t>空压机</w:t>
                  </w:r>
                </w:p>
              </w:tc>
              <w:tc>
                <w:tcPr>
                  <w:tcW w:w="850" w:type="pct"/>
                  <w:tcBorders>
                    <w:right w:val="single" w:color="auto" w:sz="4" w:space="0"/>
                  </w:tcBorders>
                  <w:vAlign w:val="center"/>
                </w:tcPr>
                <w:p w14:paraId="4F3C2270">
                  <w:pPr>
                    <w:widowControl/>
                    <w:jc w:val="center"/>
                    <w:textAlignment w:val="center"/>
                    <w:rPr>
                      <w:rFonts w:hint="eastAsia" w:eastAsia="宋体"/>
                      <w:color w:val="auto"/>
                      <w:kern w:val="0"/>
                      <w:lang w:val="en-US" w:eastAsia="zh-CN" w:bidi="ar"/>
                    </w:rPr>
                  </w:pPr>
                  <w:r>
                    <w:rPr>
                      <w:color w:val="auto"/>
                    </w:rPr>
                    <w:t>15kW</w:t>
                  </w:r>
                </w:p>
              </w:tc>
              <w:tc>
                <w:tcPr>
                  <w:tcW w:w="428" w:type="pct"/>
                  <w:tcBorders>
                    <w:right w:val="single" w:color="auto" w:sz="4" w:space="0"/>
                  </w:tcBorders>
                  <w:vAlign w:val="center"/>
                </w:tcPr>
                <w:p w14:paraId="72D7A817">
                  <w:pPr>
                    <w:keepNext w:val="0"/>
                    <w:keepLines w:val="0"/>
                    <w:pageBreakBefore w:val="0"/>
                    <w:wordWrap/>
                    <w:overflowPunct/>
                    <w:topLinePunct w:val="0"/>
                    <w:bidi w:val="0"/>
                    <w:spacing w:line="240" w:lineRule="auto"/>
                    <w:ind w:right="0"/>
                    <w:jc w:val="center"/>
                    <w:rPr>
                      <w:rFonts w:hint="default" w:ascii="Times New Roman" w:hAnsi="Times New Roman" w:eastAsia="宋体" w:cs="Times New Roman"/>
                      <w:bCs/>
                      <w:color w:val="auto"/>
                      <w:kern w:val="2"/>
                      <w:sz w:val="21"/>
                      <w:szCs w:val="21"/>
                      <w:lang w:val="en-US" w:eastAsia="zh-CN" w:bidi="ar-SA"/>
                    </w:rPr>
                  </w:pPr>
                  <w:r>
                    <w:rPr>
                      <w:rFonts w:hint="eastAsia" w:eastAsia="仿宋" w:cs="Times New Roman"/>
                      <w:color w:val="auto"/>
                      <w:sz w:val="21"/>
                      <w:szCs w:val="21"/>
                      <w:lang w:val="en-US" w:eastAsia="zh-CN"/>
                    </w:rPr>
                    <w:t>8</w:t>
                  </w:r>
                </w:p>
              </w:tc>
              <w:tc>
                <w:tcPr>
                  <w:tcW w:w="428" w:type="pct"/>
                  <w:tcBorders>
                    <w:left w:val="single" w:color="auto" w:sz="4" w:space="0"/>
                    <w:right w:val="single" w:color="auto" w:sz="4" w:space="0"/>
                  </w:tcBorders>
                  <w:vAlign w:val="center"/>
                </w:tcPr>
                <w:p w14:paraId="09BCE16B">
                  <w:pPr>
                    <w:keepNext w:val="0"/>
                    <w:keepLines w:val="0"/>
                    <w:pageBreakBefore w:val="0"/>
                    <w:wordWrap/>
                    <w:overflowPunct/>
                    <w:topLinePunct w:val="0"/>
                    <w:bidi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eastAsia="仿宋" w:cs="Times New Roman"/>
                      <w:color w:val="auto"/>
                      <w:sz w:val="21"/>
                      <w:szCs w:val="21"/>
                      <w:lang w:val="en-US" w:eastAsia="zh-CN"/>
                    </w:rPr>
                    <w:t>8</w:t>
                  </w:r>
                </w:p>
              </w:tc>
              <w:tc>
                <w:tcPr>
                  <w:tcW w:w="428" w:type="pct"/>
                  <w:tcBorders>
                    <w:left w:val="single" w:color="auto" w:sz="4" w:space="0"/>
                  </w:tcBorders>
                  <w:vAlign w:val="center"/>
                </w:tcPr>
                <w:p w14:paraId="00346729">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w:t>
                  </w:r>
                  <w:r>
                    <w:rPr>
                      <w:rFonts w:hint="default" w:ascii="Times New Roman" w:hAnsi="Times New Roman" w:cs="Times New Roman"/>
                      <w:bCs/>
                      <w:color w:val="auto"/>
                      <w:sz w:val="21"/>
                      <w:szCs w:val="21"/>
                      <w:lang w:val="en-US" w:eastAsia="zh-CN"/>
                    </w:rPr>
                    <w:t>0</w:t>
                  </w:r>
                </w:p>
              </w:tc>
            </w:tr>
            <w:tr w14:paraId="2A202438">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1089" w:type="pct"/>
                  <w:vMerge w:val="continue"/>
                  <w:vAlign w:val="center"/>
                </w:tcPr>
                <w:p w14:paraId="57C3E62D">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cs="Times New Roman"/>
                      <w:bCs/>
                      <w:color w:val="auto"/>
                      <w:sz w:val="21"/>
                      <w:szCs w:val="21"/>
                      <w:lang w:val="en-US" w:eastAsia="zh-CN"/>
                    </w:rPr>
                  </w:pPr>
                </w:p>
              </w:tc>
              <w:tc>
                <w:tcPr>
                  <w:tcW w:w="1774" w:type="pct"/>
                  <w:tcBorders>
                    <w:bottom w:val="single" w:color="auto" w:sz="4" w:space="0"/>
                  </w:tcBorders>
                  <w:vAlign w:val="center"/>
                </w:tcPr>
                <w:p w14:paraId="7BC5B6AC">
                  <w:pPr>
                    <w:widowControl/>
                    <w:jc w:val="center"/>
                    <w:textAlignment w:val="center"/>
                    <w:rPr>
                      <w:rFonts w:hint="default" w:ascii="Times New Roman" w:hAnsi="Times New Roman" w:eastAsia="宋体" w:cs="Times New Roman"/>
                      <w:bCs/>
                      <w:color w:val="auto"/>
                      <w:kern w:val="2"/>
                      <w:sz w:val="21"/>
                      <w:szCs w:val="21"/>
                      <w:lang w:val="en-US" w:eastAsia="zh-CN" w:bidi="ar-SA"/>
                    </w:rPr>
                  </w:pPr>
                  <w:r>
                    <w:rPr>
                      <w:rFonts w:hint="eastAsia"/>
                      <w:color w:val="auto"/>
                      <w:kern w:val="0"/>
                      <w:lang w:bidi="ar"/>
                    </w:rPr>
                    <w:t>冷却塔</w:t>
                  </w:r>
                </w:p>
              </w:tc>
              <w:tc>
                <w:tcPr>
                  <w:tcW w:w="850" w:type="pct"/>
                  <w:tcBorders>
                    <w:bottom w:val="single" w:color="auto" w:sz="4" w:space="0"/>
                    <w:right w:val="single" w:color="auto" w:sz="4" w:space="0"/>
                  </w:tcBorders>
                  <w:vAlign w:val="center"/>
                </w:tcPr>
                <w:p w14:paraId="4FCA39A0">
                  <w:pPr>
                    <w:widowControl/>
                    <w:jc w:val="center"/>
                    <w:textAlignment w:val="center"/>
                    <w:rPr>
                      <w:rFonts w:hint="eastAsia" w:eastAsia="宋体"/>
                      <w:color w:val="auto"/>
                      <w:kern w:val="0"/>
                      <w:lang w:val="en-US" w:eastAsia="zh-CN" w:bidi="ar"/>
                    </w:rPr>
                  </w:pPr>
                  <w:r>
                    <w:rPr>
                      <w:rFonts w:hint="eastAsia"/>
                      <w:color w:val="auto"/>
                      <w:kern w:val="0"/>
                      <w:lang w:bidi="ar"/>
                    </w:rPr>
                    <w:t>5</w:t>
                  </w:r>
                  <w:r>
                    <w:rPr>
                      <w:color w:val="auto"/>
                      <w:kern w:val="0"/>
                      <w:lang w:bidi="ar"/>
                    </w:rPr>
                    <w:t>t/h</w:t>
                  </w:r>
                </w:p>
              </w:tc>
              <w:tc>
                <w:tcPr>
                  <w:tcW w:w="428" w:type="pct"/>
                  <w:tcBorders>
                    <w:bottom w:val="single" w:color="auto" w:sz="4" w:space="0"/>
                    <w:right w:val="single" w:color="auto" w:sz="4" w:space="0"/>
                  </w:tcBorders>
                  <w:vAlign w:val="center"/>
                </w:tcPr>
                <w:p w14:paraId="2ACC4837">
                  <w:pPr>
                    <w:keepNext w:val="0"/>
                    <w:keepLines w:val="0"/>
                    <w:pageBreakBefore w:val="0"/>
                    <w:wordWrap/>
                    <w:overflowPunct/>
                    <w:topLinePunct w:val="0"/>
                    <w:bidi w:val="0"/>
                    <w:spacing w:line="240" w:lineRule="auto"/>
                    <w:ind w:right="0"/>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10</w:t>
                  </w:r>
                </w:p>
              </w:tc>
              <w:tc>
                <w:tcPr>
                  <w:tcW w:w="428" w:type="pct"/>
                  <w:tcBorders>
                    <w:left w:val="single" w:color="auto" w:sz="4" w:space="0"/>
                    <w:bottom w:val="single" w:color="auto" w:sz="4" w:space="0"/>
                    <w:right w:val="single" w:color="auto" w:sz="4" w:space="0"/>
                  </w:tcBorders>
                  <w:vAlign w:val="center"/>
                </w:tcPr>
                <w:p w14:paraId="13BEA1F3">
                  <w:pPr>
                    <w:keepNext w:val="0"/>
                    <w:keepLines w:val="0"/>
                    <w:pageBreakBefore w:val="0"/>
                    <w:wordWrap/>
                    <w:overflowPunct/>
                    <w:topLinePunct w:val="0"/>
                    <w:bidi w:val="0"/>
                    <w:spacing w:line="240" w:lineRule="auto"/>
                    <w:ind w:right="0"/>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10</w:t>
                  </w:r>
                </w:p>
              </w:tc>
              <w:tc>
                <w:tcPr>
                  <w:tcW w:w="428" w:type="pct"/>
                  <w:tcBorders>
                    <w:left w:val="single" w:color="auto" w:sz="4" w:space="0"/>
                    <w:bottom w:val="single" w:color="auto" w:sz="4" w:space="0"/>
                  </w:tcBorders>
                  <w:vAlign w:val="center"/>
                </w:tcPr>
                <w:p w14:paraId="614C2720">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+0</w:t>
                  </w:r>
                </w:p>
              </w:tc>
            </w:tr>
          </w:tbl>
          <w:p w14:paraId="78F10EB4">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color w:val="auto"/>
                <w:sz w:val="21"/>
                <w:szCs w:val="21"/>
                <w:lang w:val="en-US" w:eastAsia="zh-CN"/>
              </w:rPr>
              <w:t>5</w:t>
            </w:r>
            <w:r>
              <w:rPr>
                <w:rFonts w:hint="default" w:ascii="Times New Roman" w:hAnsi="Times New Roman" w:cs="Times New Roman" w:eastAsiaTheme="minorEastAsia"/>
                <w:b/>
                <w:color w:val="auto"/>
                <w:sz w:val="21"/>
                <w:szCs w:val="21"/>
              </w:rPr>
              <w:t>、主体、公用、辅助、储运、环保及依托工程</w:t>
            </w:r>
          </w:p>
          <w:p w14:paraId="0870A156">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cs="Times New Roman" w:eastAsiaTheme="minorEastAsia"/>
                <w:b/>
                <w:bCs/>
                <w:color w:val="auto"/>
                <w:sz w:val="21"/>
                <w:szCs w:val="21"/>
                <w:highlight w:val="none"/>
              </w:rPr>
            </w:pPr>
          </w:p>
          <w:p w14:paraId="5F13A211">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表2-</w:t>
            </w:r>
            <w:r>
              <w:rPr>
                <w:rFonts w:hint="eastAsia" w:cs="Times New Roman" w:eastAsiaTheme="minorEastAsia"/>
                <w:b/>
                <w:bCs/>
                <w:color w:val="auto"/>
                <w:sz w:val="21"/>
                <w:szCs w:val="21"/>
                <w:highlight w:val="none"/>
                <w:lang w:val="en-US" w:eastAsia="zh-CN"/>
              </w:rPr>
              <w:t xml:space="preserve">9 </w:t>
            </w:r>
            <w:r>
              <w:rPr>
                <w:rFonts w:hint="default" w:ascii="Times New Roman" w:hAnsi="Times New Roman" w:cs="Times New Roman" w:eastAsiaTheme="minorEastAsia"/>
                <w:b/>
                <w:bCs/>
                <w:color w:val="auto"/>
                <w:sz w:val="21"/>
                <w:szCs w:val="21"/>
                <w:highlight w:val="none"/>
              </w:rPr>
              <w:t>本项目</w:t>
            </w:r>
            <w:r>
              <w:rPr>
                <w:rFonts w:hint="default" w:ascii="Times New Roman" w:hAnsi="Times New Roman" w:cs="Times New Roman" w:eastAsiaTheme="minorEastAsia"/>
                <w:b/>
                <w:bCs/>
                <w:color w:val="auto"/>
                <w:sz w:val="21"/>
                <w:szCs w:val="21"/>
                <w:highlight w:val="none"/>
                <w:lang w:eastAsia="zh-CN"/>
              </w:rPr>
              <w:t>主体、</w:t>
            </w:r>
            <w:r>
              <w:rPr>
                <w:rFonts w:hint="default" w:ascii="Times New Roman" w:hAnsi="Times New Roman" w:cs="Times New Roman" w:eastAsiaTheme="minorEastAsia"/>
                <w:b/>
                <w:bCs/>
                <w:color w:val="auto"/>
                <w:sz w:val="21"/>
                <w:szCs w:val="21"/>
                <w:highlight w:val="none"/>
              </w:rPr>
              <w:t>公用、辅助、储运及环保工程一览表</w:t>
            </w:r>
          </w:p>
          <w:tbl>
            <w:tblPr>
              <w:tblStyle w:val="31"/>
              <w:tblW w:w="4990" w:type="pct"/>
              <w:jc w:val="center"/>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Layout w:type="autofit"/>
              <w:tblCellMar>
                <w:top w:w="0" w:type="dxa"/>
                <w:left w:w="0" w:type="dxa"/>
                <w:bottom w:w="0" w:type="dxa"/>
                <w:right w:w="0" w:type="dxa"/>
              </w:tblCellMar>
            </w:tblPr>
            <w:tblGrid>
              <w:gridCol w:w="567"/>
              <w:gridCol w:w="306"/>
              <w:gridCol w:w="1287"/>
              <w:gridCol w:w="2565"/>
              <w:gridCol w:w="1381"/>
              <w:gridCol w:w="2352"/>
              <w:gridCol w:w="4719"/>
            </w:tblGrid>
            <w:tr w14:paraId="3C9C8C36">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5" w:type="pct"/>
                  <w:vMerge w:val="restart"/>
                  <w:noWrap w:val="0"/>
                  <w:vAlign w:val="center"/>
                </w:tcPr>
                <w:p w14:paraId="5D8196CE">
                  <w:pPr>
                    <w:jc w:val="center"/>
                    <w:rPr>
                      <w:color w:val="auto"/>
                    </w:rPr>
                  </w:pPr>
                  <w:r>
                    <w:rPr>
                      <w:color w:val="auto"/>
                      <w:lang w:bidi="ar"/>
                    </w:rPr>
                    <w:t>类别</w:t>
                  </w:r>
                </w:p>
              </w:tc>
              <w:tc>
                <w:tcPr>
                  <w:tcW w:w="604" w:type="pct"/>
                  <w:gridSpan w:val="2"/>
                  <w:vMerge w:val="restart"/>
                  <w:noWrap w:val="0"/>
                  <w:vAlign w:val="center"/>
                </w:tcPr>
                <w:p w14:paraId="73104D9E">
                  <w:pPr>
                    <w:jc w:val="center"/>
                    <w:rPr>
                      <w:color w:val="auto"/>
                    </w:rPr>
                  </w:pPr>
                  <w:r>
                    <w:rPr>
                      <w:color w:val="auto"/>
                      <w:lang w:bidi="ar"/>
                    </w:rPr>
                    <w:t>建设名称</w:t>
                  </w:r>
                </w:p>
              </w:tc>
              <w:tc>
                <w:tcPr>
                  <w:tcW w:w="2389" w:type="pct"/>
                  <w:gridSpan w:val="3"/>
                  <w:noWrap w:val="0"/>
                  <w:vAlign w:val="center"/>
                </w:tcPr>
                <w:p w14:paraId="62268C5C">
                  <w:pPr>
                    <w:jc w:val="center"/>
                    <w:rPr>
                      <w:color w:val="auto"/>
                      <w:lang w:bidi="ar"/>
                    </w:rPr>
                  </w:pPr>
                  <w:r>
                    <w:rPr>
                      <w:color w:val="auto"/>
                      <w:lang w:bidi="ar"/>
                    </w:rPr>
                    <w:t>设计能力</w:t>
                  </w:r>
                </w:p>
              </w:tc>
              <w:tc>
                <w:tcPr>
                  <w:tcW w:w="1790" w:type="pct"/>
                  <w:vMerge w:val="restart"/>
                  <w:noWrap w:val="0"/>
                  <w:vAlign w:val="center"/>
                </w:tcPr>
                <w:p w14:paraId="36CD2AAB">
                  <w:pPr>
                    <w:jc w:val="center"/>
                    <w:rPr>
                      <w:color w:val="auto"/>
                    </w:rPr>
                  </w:pPr>
                  <w:r>
                    <w:rPr>
                      <w:color w:val="auto"/>
                      <w:lang w:bidi="ar"/>
                    </w:rPr>
                    <w:t>备注</w:t>
                  </w:r>
                </w:p>
              </w:tc>
            </w:tr>
            <w:tr w14:paraId="57EB9E01">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215" w:type="pct"/>
                  <w:vMerge w:val="continue"/>
                  <w:noWrap w:val="0"/>
                  <w:vAlign w:val="center"/>
                </w:tcPr>
                <w:p w14:paraId="5BB45946">
                  <w:pPr>
                    <w:jc w:val="center"/>
                    <w:rPr>
                      <w:color w:val="auto"/>
                      <w:lang w:bidi="ar"/>
                    </w:rPr>
                  </w:pPr>
                </w:p>
              </w:tc>
              <w:tc>
                <w:tcPr>
                  <w:tcW w:w="604" w:type="pct"/>
                  <w:gridSpan w:val="2"/>
                  <w:vMerge w:val="continue"/>
                  <w:noWrap w:val="0"/>
                  <w:vAlign w:val="center"/>
                </w:tcPr>
                <w:p w14:paraId="7B2D7E82">
                  <w:pPr>
                    <w:jc w:val="center"/>
                    <w:rPr>
                      <w:color w:val="auto"/>
                      <w:lang w:bidi="ar"/>
                    </w:rPr>
                  </w:pPr>
                </w:p>
              </w:tc>
              <w:tc>
                <w:tcPr>
                  <w:tcW w:w="973" w:type="pct"/>
                  <w:noWrap w:val="0"/>
                  <w:vAlign w:val="center"/>
                </w:tcPr>
                <w:p w14:paraId="0A9D1AAF">
                  <w:pPr>
                    <w:jc w:val="center"/>
                    <w:rPr>
                      <w:color w:val="auto"/>
                      <w:lang w:bidi="ar"/>
                    </w:rPr>
                  </w:pPr>
                  <w:r>
                    <w:rPr>
                      <w:color w:val="auto"/>
                      <w:lang w:bidi="ar"/>
                    </w:rPr>
                    <w:t>扩建前</w:t>
                  </w:r>
                </w:p>
              </w:tc>
              <w:tc>
                <w:tcPr>
                  <w:tcW w:w="524" w:type="pct"/>
                  <w:noWrap w:val="0"/>
                  <w:vAlign w:val="center"/>
                </w:tcPr>
                <w:p w14:paraId="3524FD16">
                  <w:pPr>
                    <w:jc w:val="center"/>
                    <w:rPr>
                      <w:color w:val="auto"/>
                      <w:lang w:bidi="ar"/>
                    </w:rPr>
                  </w:pPr>
                  <w:r>
                    <w:rPr>
                      <w:color w:val="auto"/>
                      <w:lang w:bidi="ar"/>
                    </w:rPr>
                    <w:t>本项目</w:t>
                  </w:r>
                </w:p>
              </w:tc>
              <w:tc>
                <w:tcPr>
                  <w:tcW w:w="892" w:type="pct"/>
                  <w:noWrap w:val="0"/>
                  <w:vAlign w:val="center"/>
                </w:tcPr>
                <w:p w14:paraId="425A2465">
                  <w:pPr>
                    <w:jc w:val="center"/>
                    <w:rPr>
                      <w:color w:val="auto"/>
                      <w:lang w:bidi="ar"/>
                    </w:rPr>
                  </w:pPr>
                  <w:r>
                    <w:rPr>
                      <w:color w:val="auto"/>
                      <w:lang w:bidi="ar"/>
                    </w:rPr>
                    <w:t>扩建后</w:t>
                  </w:r>
                </w:p>
              </w:tc>
              <w:tc>
                <w:tcPr>
                  <w:tcW w:w="1790" w:type="pct"/>
                  <w:vMerge w:val="continue"/>
                  <w:noWrap w:val="0"/>
                  <w:vAlign w:val="center"/>
                </w:tcPr>
                <w:p w14:paraId="677EFCA7">
                  <w:pPr>
                    <w:jc w:val="center"/>
                    <w:rPr>
                      <w:color w:val="auto"/>
                      <w:lang w:bidi="ar"/>
                    </w:rPr>
                  </w:pPr>
                </w:p>
              </w:tc>
            </w:tr>
            <w:tr w14:paraId="453F4831">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5" w:type="pct"/>
                  <w:vMerge w:val="restart"/>
                  <w:noWrap w:val="0"/>
                  <w:vAlign w:val="center"/>
                </w:tcPr>
                <w:p w14:paraId="7DDE3069">
                  <w:pPr>
                    <w:jc w:val="center"/>
                    <w:rPr>
                      <w:color w:val="auto"/>
                      <w:lang w:bidi="ar"/>
                    </w:rPr>
                  </w:pPr>
                  <w:r>
                    <w:rPr>
                      <w:color w:val="auto"/>
                      <w:lang w:bidi="ar"/>
                    </w:rPr>
                    <w:t>主体</w:t>
                  </w:r>
                </w:p>
                <w:p w14:paraId="4B4FE40D">
                  <w:pPr>
                    <w:jc w:val="center"/>
                    <w:rPr>
                      <w:color w:val="auto"/>
                      <w:lang w:bidi="ar"/>
                    </w:rPr>
                  </w:pPr>
                  <w:r>
                    <w:rPr>
                      <w:color w:val="auto"/>
                      <w:lang w:bidi="ar"/>
                    </w:rPr>
                    <w:t>工程</w:t>
                  </w:r>
                </w:p>
              </w:tc>
              <w:tc>
                <w:tcPr>
                  <w:tcW w:w="604" w:type="pct"/>
                  <w:gridSpan w:val="2"/>
                  <w:noWrap w:val="0"/>
                  <w:vAlign w:val="center"/>
                </w:tcPr>
                <w:p w14:paraId="5283D49F">
                  <w:pPr>
                    <w:jc w:val="center"/>
                    <w:rPr>
                      <w:rFonts w:hint="eastAsia"/>
                      <w:color w:val="auto"/>
                    </w:rPr>
                  </w:pPr>
                  <w:r>
                    <w:rPr>
                      <w:rFonts w:hint="eastAsia"/>
                      <w:color w:val="auto"/>
                    </w:rPr>
                    <w:t>厂房一</w:t>
                  </w:r>
                </w:p>
              </w:tc>
              <w:tc>
                <w:tcPr>
                  <w:tcW w:w="973" w:type="pct"/>
                  <w:noWrap w:val="0"/>
                  <w:vAlign w:val="center"/>
                </w:tcPr>
                <w:p w14:paraId="2425F7EB">
                  <w:pPr>
                    <w:jc w:val="center"/>
                    <w:rPr>
                      <w:color w:val="auto"/>
                    </w:rPr>
                  </w:pPr>
                  <w:r>
                    <w:rPr>
                      <w:color w:val="auto"/>
                    </w:rPr>
                    <w:t>占地面积</w:t>
                  </w:r>
                </w:p>
                <w:p w14:paraId="5EA506F7">
                  <w:pPr>
                    <w:jc w:val="center"/>
                    <w:rPr>
                      <w:color w:val="auto"/>
                    </w:rPr>
                  </w:pPr>
                  <w:r>
                    <w:rPr>
                      <w:rFonts w:hint="eastAsia"/>
                      <w:color w:val="auto"/>
                      <w:lang w:val="en-US" w:eastAsia="zh-CN"/>
                    </w:rPr>
                    <w:t>5259.50</w:t>
                  </w:r>
                  <w:r>
                    <w:rPr>
                      <w:color w:val="auto"/>
                    </w:rPr>
                    <w:t>m</w:t>
                  </w:r>
                  <w:r>
                    <w:rPr>
                      <w:color w:val="auto"/>
                      <w:vertAlign w:val="superscript"/>
                    </w:rPr>
                    <w:t>2</w:t>
                  </w:r>
                  <w:r>
                    <w:rPr>
                      <w:color w:val="auto"/>
                    </w:rPr>
                    <w:t>，2层</w:t>
                  </w:r>
                </w:p>
              </w:tc>
              <w:tc>
                <w:tcPr>
                  <w:tcW w:w="524" w:type="pct"/>
                  <w:noWrap w:val="0"/>
                  <w:vAlign w:val="center"/>
                </w:tcPr>
                <w:p w14:paraId="03AE6E81">
                  <w:pPr>
                    <w:jc w:val="center"/>
                    <w:rPr>
                      <w:color w:val="auto"/>
                    </w:rPr>
                  </w:pPr>
                  <w:r>
                    <w:rPr>
                      <w:color w:val="auto"/>
                    </w:rPr>
                    <w:t>/</w:t>
                  </w:r>
                </w:p>
              </w:tc>
              <w:tc>
                <w:tcPr>
                  <w:tcW w:w="892" w:type="pct"/>
                  <w:noWrap w:val="0"/>
                  <w:vAlign w:val="center"/>
                </w:tcPr>
                <w:p w14:paraId="285A6087">
                  <w:pPr>
                    <w:jc w:val="center"/>
                    <w:rPr>
                      <w:color w:val="auto"/>
                    </w:rPr>
                  </w:pPr>
                  <w:r>
                    <w:rPr>
                      <w:color w:val="auto"/>
                    </w:rPr>
                    <w:t>占地面积</w:t>
                  </w:r>
                </w:p>
                <w:p w14:paraId="05E885B2">
                  <w:pPr>
                    <w:jc w:val="center"/>
                    <w:rPr>
                      <w:color w:val="auto"/>
                    </w:rPr>
                  </w:pPr>
                  <w:r>
                    <w:rPr>
                      <w:rFonts w:hint="eastAsia"/>
                      <w:color w:val="auto"/>
                      <w:lang w:val="en-US" w:eastAsia="zh-CN"/>
                    </w:rPr>
                    <w:t>5259.50</w:t>
                  </w:r>
                  <w:r>
                    <w:rPr>
                      <w:color w:val="auto"/>
                    </w:rPr>
                    <w:t>m</w:t>
                  </w:r>
                  <w:r>
                    <w:rPr>
                      <w:color w:val="auto"/>
                      <w:vertAlign w:val="superscript"/>
                    </w:rPr>
                    <w:t>2</w:t>
                  </w:r>
                  <w:r>
                    <w:rPr>
                      <w:color w:val="auto"/>
                    </w:rPr>
                    <w:t>，2层</w:t>
                  </w:r>
                </w:p>
              </w:tc>
              <w:tc>
                <w:tcPr>
                  <w:tcW w:w="1790" w:type="pct"/>
                  <w:noWrap w:val="0"/>
                  <w:vAlign w:val="center"/>
                </w:tcPr>
                <w:p w14:paraId="3C99E497">
                  <w:pPr>
                    <w:jc w:val="center"/>
                    <w:rPr>
                      <w:rFonts w:hint="eastAsia" w:eastAsia="宋体"/>
                      <w:color w:val="auto"/>
                      <w:sz w:val="21"/>
                      <w:szCs w:val="21"/>
                      <w:lang w:val="en-US" w:eastAsia="zh-CN"/>
                    </w:rPr>
                  </w:pPr>
                  <w:r>
                    <w:rPr>
                      <w:color w:val="auto"/>
                      <w:sz w:val="21"/>
                      <w:szCs w:val="21"/>
                    </w:rPr>
                    <w:t>已</w:t>
                  </w:r>
                  <w:r>
                    <w:rPr>
                      <w:rFonts w:hint="eastAsia" w:ascii="Times New Roman" w:hAnsi="Times New Roman" w:eastAsia="宋体" w:cs="Times New Roman"/>
                      <w:color w:val="auto"/>
                      <w:sz w:val="21"/>
                      <w:szCs w:val="21"/>
                      <w:lang w:val="en-US" w:eastAsia="zh-CN"/>
                    </w:rPr>
                    <w:t>建，布设现有的12条EVA胶膜生产线（新建年产光伏组件用高性能EVA胶膜、功能性塑料项目、太阳能封装材料技改项目）</w:t>
                  </w:r>
                </w:p>
              </w:tc>
            </w:tr>
            <w:tr w14:paraId="1BF5E590">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5" w:type="pct"/>
                  <w:vMerge w:val="continue"/>
                  <w:noWrap w:val="0"/>
                  <w:vAlign w:val="center"/>
                </w:tcPr>
                <w:p w14:paraId="56F59845">
                  <w:pPr>
                    <w:jc w:val="center"/>
                    <w:rPr>
                      <w:color w:val="auto"/>
                      <w:lang w:bidi="ar"/>
                    </w:rPr>
                  </w:pPr>
                </w:p>
              </w:tc>
              <w:tc>
                <w:tcPr>
                  <w:tcW w:w="604" w:type="pct"/>
                  <w:gridSpan w:val="2"/>
                  <w:noWrap w:val="0"/>
                  <w:vAlign w:val="center"/>
                </w:tcPr>
                <w:p w14:paraId="1FC698A1">
                  <w:pPr>
                    <w:jc w:val="center"/>
                    <w:rPr>
                      <w:rFonts w:hint="eastAsia"/>
                      <w:color w:val="auto"/>
                    </w:rPr>
                  </w:pPr>
                  <w:r>
                    <w:rPr>
                      <w:rFonts w:hint="eastAsia"/>
                      <w:color w:val="auto"/>
                    </w:rPr>
                    <w:t>厂房二</w:t>
                  </w:r>
                </w:p>
              </w:tc>
              <w:tc>
                <w:tcPr>
                  <w:tcW w:w="973" w:type="pct"/>
                  <w:noWrap w:val="0"/>
                  <w:vAlign w:val="center"/>
                </w:tcPr>
                <w:p w14:paraId="3666B2D4">
                  <w:pPr>
                    <w:jc w:val="center"/>
                    <w:rPr>
                      <w:color w:val="auto"/>
                    </w:rPr>
                  </w:pPr>
                  <w:r>
                    <w:rPr>
                      <w:color w:val="auto"/>
                    </w:rPr>
                    <w:t>占地面积</w:t>
                  </w:r>
                  <w:r>
                    <w:rPr>
                      <w:rFonts w:hint="eastAsia"/>
                      <w:color w:val="auto"/>
                      <w:lang w:val="en-US" w:eastAsia="zh-CN"/>
                    </w:rPr>
                    <w:t>5259.9</w:t>
                  </w:r>
                  <w:r>
                    <w:rPr>
                      <w:color w:val="auto"/>
                    </w:rPr>
                    <w:t>m</w:t>
                  </w:r>
                  <w:r>
                    <w:rPr>
                      <w:color w:val="auto"/>
                      <w:vertAlign w:val="superscript"/>
                    </w:rPr>
                    <w:t>2</w:t>
                  </w:r>
                  <w:r>
                    <w:rPr>
                      <w:color w:val="auto"/>
                    </w:rPr>
                    <w:t>，</w:t>
                  </w:r>
                  <w:r>
                    <w:rPr>
                      <w:color w:val="auto"/>
                      <w:kern w:val="0"/>
                    </w:rPr>
                    <w:t>2层</w:t>
                  </w:r>
                </w:p>
              </w:tc>
              <w:tc>
                <w:tcPr>
                  <w:tcW w:w="524" w:type="pct"/>
                  <w:noWrap w:val="0"/>
                  <w:vAlign w:val="center"/>
                </w:tcPr>
                <w:p w14:paraId="3A3886D2">
                  <w:pPr>
                    <w:jc w:val="center"/>
                    <w:rPr>
                      <w:color w:val="auto"/>
                    </w:rPr>
                  </w:pPr>
                  <w:r>
                    <w:rPr>
                      <w:color w:val="auto"/>
                    </w:rPr>
                    <w:t>/</w:t>
                  </w:r>
                </w:p>
              </w:tc>
              <w:tc>
                <w:tcPr>
                  <w:tcW w:w="892" w:type="pct"/>
                  <w:noWrap w:val="0"/>
                  <w:vAlign w:val="center"/>
                </w:tcPr>
                <w:p w14:paraId="60B77FE6">
                  <w:pPr>
                    <w:jc w:val="center"/>
                    <w:rPr>
                      <w:color w:val="auto"/>
                    </w:rPr>
                  </w:pPr>
                  <w:r>
                    <w:rPr>
                      <w:color w:val="auto"/>
                    </w:rPr>
                    <w:t>占地面积</w:t>
                  </w:r>
                  <w:r>
                    <w:rPr>
                      <w:rFonts w:hint="eastAsia"/>
                      <w:color w:val="auto"/>
                      <w:lang w:val="en-US" w:eastAsia="zh-CN"/>
                    </w:rPr>
                    <w:t>5259.9</w:t>
                  </w:r>
                  <w:r>
                    <w:rPr>
                      <w:color w:val="auto"/>
                    </w:rPr>
                    <w:t>m</w:t>
                  </w:r>
                  <w:r>
                    <w:rPr>
                      <w:color w:val="auto"/>
                      <w:vertAlign w:val="superscript"/>
                    </w:rPr>
                    <w:t>2</w:t>
                  </w:r>
                  <w:r>
                    <w:rPr>
                      <w:color w:val="auto"/>
                    </w:rPr>
                    <w:t>，</w:t>
                  </w:r>
                  <w:r>
                    <w:rPr>
                      <w:color w:val="auto"/>
                      <w:kern w:val="0"/>
                    </w:rPr>
                    <w:t>2层</w:t>
                  </w:r>
                </w:p>
              </w:tc>
              <w:tc>
                <w:tcPr>
                  <w:tcW w:w="1790" w:type="pct"/>
                  <w:noWrap w:val="0"/>
                  <w:vAlign w:val="center"/>
                </w:tcPr>
                <w:p w14:paraId="1B0F545A">
                  <w:pPr>
                    <w:jc w:val="center"/>
                    <w:rPr>
                      <w:rFonts w:hint="eastAsia" w:eastAsia="宋体"/>
                      <w:color w:val="auto"/>
                      <w:sz w:val="21"/>
                      <w:szCs w:val="21"/>
                      <w:lang w:eastAsia="zh-CN" w:bidi="ar"/>
                    </w:rPr>
                  </w:pPr>
                  <w:r>
                    <w:rPr>
                      <w:color w:val="auto"/>
                      <w:sz w:val="21"/>
                      <w:szCs w:val="21"/>
                    </w:rPr>
                    <w:t>已建</w:t>
                  </w:r>
                  <w:r>
                    <w:rPr>
                      <w:rFonts w:hint="eastAsia"/>
                      <w:color w:val="auto"/>
                      <w:sz w:val="21"/>
                      <w:szCs w:val="21"/>
                      <w:lang w:eastAsia="zh-CN"/>
                    </w:rPr>
                    <w:t>，</w:t>
                  </w:r>
                  <w:r>
                    <w:rPr>
                      <w:rFonts w:hint="eastAsia"/>
                      <w:color w:val="auto"/>
                      <w:sz w:val="21"/>
                      <w:szCs w:val="21"/>
                      <w:lang w:val="en-US" w:eastAsia="zh-CN"/>
                    </w:rPr>
                    <w:t>布设8条</w:t>
                  </w:r>
                  <w:r>
                    <w:rPr>
                      <w:color w:val="auto"/>
                      <w:sz w:val="21"/>
                      <w:szCs w:val="21"/>
                    </w:rPr>
                    <w:t>EVA胶膜</w:t>
                  </w:r>
                  <w:r>
                    <w:rPr>
                      <w:rFonts w:hint="eastAsia"/>
                      <w:color w:val="auto"/>
                      <w:sz w:val="21"/>
                      <w:szCs w:val="21"/>
                      <w:lang w:val="en-US" w:eastAsia="zh-CN"/>
                    </w:rPr>
                    <w:t>生产线（</w:t>
                  </w:r>
                  <w:r>
                    <w:rPr>
                      <w:rFonts w:hint="eastAsia"/>
                      <w:color w:val="auto"/>
                      <w:sz w:val="21"/>
                      <w:szCs w:val="21"/>
                    </w:rPr>
                    <w:t>新型太阳能封装材料扩产项目</w:t>
                  </w:r>
                  <w:r>
                    <w:rPr>
                      <w:rFonts w:hint="eastAsia"/>
                      <w:color w:val="auto"/>
                      <w:sz w:val="21"/>
                      <w:szCs w:val="21"/>
                      <w:lang w:val="en-US" w:eastAsia="zh-CN"/>
                    </w:rPr>
                    <w:t>）</w:t>
                  </w:r>
                </w:p>
              </w:tc>
            </w:tr>
            <w:tr w14:paraId="68A40D82">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5" w:type="pct"/>
                  <w:vMerge w:val="continue"/>
                  <w:noWrap w:val="0"/>
                  <w:vAlign w:val="center"/>
                </w:tcPr>
                <w:p w14:paraId="2DC12377">
                  <w:pPr>
                    <w:jc w:val="center"/>
                    <w:rPr>
                      <w:color w:val="auto"/>
                      <w:lang w:bidi="ar"/>
                    </w:rPr>
                  </w:pPr>
                </w:p>
              </w:tc>
              <w:tc>
                <w:tcPr>
                  <w:tcW w:w="604" w:type="pct"/>
                  <w:gridSpan w:val="2"/>
                  <w:noWrap w:val="0"/>
                  <w:vAlign w:val="center"/>
                </w:tcPr>
                <w:p w14:paraId="4C5650D0">
                  <w:pPr>
                    <w:jc w:val="center"/>
                    <w:rPr>
                      <w:rFonts w:hint="eastAsia"/>
                      <w:color w:val="auto"/>
                    </w:rPr>
                  </w:pPr>
                  <w:r>
                    <w:rPr>
                      <w:rFonts w:hint="eastAsia"/>
                      <w:color w:val="auto"/>
                    </w:rPr>
                    <w:t>仓库一</w:t>
                  </w:r>
                </w:p>
              </w:tc>
              <w:tc>
                <w:tcPr>
                  <w:tcW w:w="973" w:type="pct"/>
                  <w:noWrap w:val="0"/>
                  <w:vAlign w:val="center"/>
                </w:tcPr>
                <w:p w14:paraId="167934F2">
                  <w:pPr>
                    <w:jc w:val="center"/>
                    <w:rPr>
                      <w:color w:val="auto"/>
                    </w:rPr>
                  </w:pPr>
                  <w:r>
                    <w:rPr>
                      <w:color w:val="auto"/>
                    </w:rPr>
                    <w:t>占地面积</w:t>
                  </w:r>
                  <w:r>
                    <w:rPr>
                      <w:color w:val="auto"/>
                      <w:kern w:val="0"/>
                    </w:rPr>
                    <w:t>27</w:t>
                  </w:r>
                  <w:r>
                    <w:rPr>
                      <w:rFonts w:hint="eastAsia"/>
                      <w:color w:val="auto"/>
                      <w:kern w:val="0"/>
                      <w:lang w:val="en-US" w:eastAsia="zh-CN"/>
                    </w:rPr>
                    <w:t>41.60</w:t>
                  </w:r>
                  <w:r>
                    <w:rPr>
                      <w:color w:val="auto"/>
                    </w:rPr>
                    <w:t>m</w:t>
                  </w:r>
                  <w:r>
                    <w:rPr>
                      <w:color w:val="auto"/>
                      <w:vertAlign w:val="superscript"/>
                    </w:rPr>
                    <w:t>2</w:t>
                  </w:r>
                  <w:r>
                    <w:rPr>
                      <w:color w:val="auto"/>
                    </w:rPr>
                    <w:t>，</w:t>
                  </w:r>
                  <w:r>
                    <w:rPr>
                      <w:color w:val="auto"/>
                      <w:kern w:val="0"/>
                    </w:rPr>
                    <w:t>1层</w:t>
                  </w:r>
                </w:p>
              </w:tc>
              <w:tc>
                <w:tcPr>
                  <w:tcW w:w="524" w:type="pct"/>
                  <w:noWrap w:val="0"/>
                  <w:vAlign w:val="center"/>
                </w:tcPr>
                <w:p w14:paraId="4F9857C0">
                  <w:pPr>
                    <w:jc w:val="center"/>
                    <w:rPr>
                      <w:color w:val="auto"/>
                    </w:rPr>
                  </w:pPr>
                  <w:r>
                    <w:rPr>
                      <w:color w:val="auto"/>
                    </w:rPr>
                    <w:t>/</w:t>
                  </w:r>
                </w:p>
              </w:tc>
              <w:tc>
                <w:tcPr>
                  <w:tcW w:w="892" w:type="pct"/>
                  <w:noWrap w:val="0"/>
                  <w:vAlign w:val="center"/>
                </w:tcPr>
                <w:p w14:paraId="514504F5">
                  <w:pPr>
                    <w:jc w:val="center"/>
                    <w:rPr>
                      <w:color w:val="auto"/>
                    </w:rPr>
                  </w:pPr>
                  <w:r>
                    <w:rPr>
                      <w:color w:val="auto"/>
                    </w:rPr>
                    <w:t>占地面积</w:t>
                  </w:r>
                  <w:r>
                    <w:rPr>
                      <w:color w:val="auto"/>
                      <w:kern w:val="0"/>
                    </w:rPr>
                    <w:t>27</w:t>
                  </w:r>
                  <w:r>
                    <w:rPr>
                      <w:rFonts w:hint="eastAsia"/>
                      <w:color w:val="auto"/>
                      <w:kern w:val="0"/>
                      <w:lang w:val="en-US" w:eastAsia="zh-CN"/>
                    </w:rPr>
                    <w:t>41.60</w:t>
                  </w:r>
                  <w:r>
                    <w:rPr>
                      <w:color w:val="auto"/>
                    </w:rPr>
                    <w:t>m</w:t>
                  </w:r>
                  <w:r>
                    <w:rPr>
                      <w:color w:val="auto"/>
                      <w:vertAlign w:val="superscript"/>
                    </w:rPr>
                    <w:t>2</w:t>
                  </w:r>
                  <w:r>
                    <w:rPr>
                      <w:color w:val="auto"/>
                    </w:rPr>
                    <w:t>，</w:t>
                  </w:r>
                  <w:r>
                    <w:rPr>
                      <w:color w:val="auto"/>
                      <w:kern w:val="0"/>
                    </w:rPr>
                    <w:t>1层</w:t>
                  </w:r>
                </w:p>
              </w:tc>
              <w:tc>
                <w:tcPr>
                  <w:tcW w:w="1790" w:type="pct"/>
                  <w:noWrap w:val="0"/>
                  <w:vAlign w:val="center"/>
                </w:tcPr>
                <w:p w14:paraId="205C9108">
                  <w:pPr>
                    <w:jc w:val="center"/>
                    <w:rPr>
                      <w:rFonts w:hint="default" w:eastAsia="宋体"/>
                      <w:color w:val="auto"/>
                      <w:sz w:val="21"/>
                      <w:szCs w:val="21"/>
                      <w:lang w:val="en-US" w:eastAsia="zh-CN" w:bidi="ar"/>
                    </w:rPr>
                  </w:pPr>
                  <w:r>
                    <w:rPr>
                      <w:color w:val="auto"/>
                      <w:sz w:val="21"/>
                      <w:szCs w:val="21"/>
                    </w:rPr>
                    <w:t>已建</w:t>
                  </w:r>
                  <w:r>
                    <w:rPr>
                      <w:rFonts w:hint="eastAsia"/>
                      <w:color w:val="auto"/>
                      <w:sz w:val="21"/>
                      <w:szCs w:val="21"/>
                      <w:lang w:eastAsia="zh-CN"/>
                    </w:rPr>
                    <w:t>，</w:t>
                  </w:r>
                  <w:r>
                    <w:rPr>
                      <w:rFonts w:hint="eastAsia"/>
                      <w:color w:val="auto"/>
                      <w:sz w:val="21"/>
                      <w:szCs w:val="21"/>
                      <w:lang w:val="en-US" w:eastAsia="zh-CN"/>
                    </w:rPr>
                    <w:t>现有项目仓库</w:t>
                  </w:r>
                </w:p>
              </w:tc>
            </w:tr>
            <w:tr w14:paraId="0362B1B7">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5" w:type="pct"/>
                  <w:vMerge w:val="continue"/>
                  <w:noWrap w:val="0"/>
                  <w:vAlign w:val="center"/>
                </w:tcPr>
                <w:p w14:paraId="594178AB">
                  <w:pPr>
                    <w:jc w:val="center"/>
                    <w:rPr>
                      <w:color w:val="auto"/>
                      <w:lang w:bidi="ar"/>
                    </w:rPr>
                  </w:pPr>
                </w:p>
              </w:tc>
              <w:tc>
                <w:tcPr>
                  <w:tcW w:w="604" w:type="pct"/>
                  <w:gridSpan w:val="2"/>
                  <w:noWrap w:val="0"/>
                  <w:vAlign w:val="center"/>
                </w:tcPr>
                <w:p w14:paraId="3BDC184A">
                  <w:pPr>
                    <w:jc w:val="center"/>
                    <w:rPr>
                      <w:rFonts w:hint="eastAsia"/>
                      <w:color w:val="auto"/>
                    </w:rPr>
                  </w:pPr>
                  <w:r>
                    <w:rPr>
                      <w:rFonts w:hint="eastAsia"/>
                      <w:color w:val="auto"/>
                    </w:rPr>
                    <w:t>仓库二</w:t>
                  </w:r>
                </w:p>
              </w:tc>
              <w:tc>
                <w:tcPr>
                  <w:tcW w:w="973" w:type="pct"/>
                  <w:noWrap w:val="0"/>
                  <w:vAlign w:val="center"/>
                </w:tcPr>
                <w:p w14:paraId="4FC6F004">
                  <w:pPr>
                    <w:jc w:val="center"/>
                    <w:rPr>
                      <w:color w:val="auto"/>
                    </w:rPr>
                  </w:pPr>
                  <w:r>
                    <w:rPr>
                      <w:color w:val="auto"/>
                    </w:rPr>
                    <w:t>占地面积</w:t>
                  </w:r>
                  <w:r>
                    <w:rPr>
                      <w:color w:val="auto"/>
                      <w:kern w:val="0"/>
                    </w:rPr>
                    <w:t>27</w:t>
                  </w:r>
                  <w:r>
                    <w:rPr>
                      <w:rFonts w:hint="eastAsia"/>
                      <w:color w:val="auto"/>
                      <w:kern w:val="0"/>
                      <w:lang w:val="en-US" w:eastAsia="zh-CN"/>
                    </w:rPr>
                    <w:t>41.20</w:t>
                  </w:r>
                  <w:r>
                    <w:rPr>
                      <w:color w:val="auto"/>
                    </w:rPr>
                    <w:t>m</w:t>
                  </w:r>
                  <w:r>
                    <w:rPr>
                      <w:color w:val="auto"/>
                      <w:vertAlign w:val="superscript"/>
                    </w:rPr>
                    <w:t>2</w:t>
                  </w:r>
                  <w:r>
                    <w:rPr>
                      <w:color w:val="auto"/>
                    </w:rPr>
                    <w:t>，</w:t>
                  </w:r>
                  <w:r>
                    <w:rPr>
                      <w:color w:val="auto"/>
                      <w:kern w:val="0"/>
                    </w:rPr>
                    <w:t>1层</w:t>
                  </w:r>
                </w:p>
              </w:tc>
              <w:tc>
                <w:tcPr>
                  <w:tcW w:w="524" w:type="pct"/>
                  <w:noWrap w:val="0"/>
                  <w:vAlign w:val="center"/>
                </w:tcPr>
                <w:p w14:paraId="4C46C8FC">
                  <w:pPr>
                    <w:jc w:val="center"/>
                    <w:rPr>
                      <w:color w:val="auto"/>
                    </w:rPr>
                  </w:pPr>
                  <w:r>
                    <w:rPr>
                      <w:color w:val="auto"/>
                    </w:rPr>
                    <w:t>/</w:t>
                  </w:r>
                </w:p>
              </w:tc>
              <w:tc>
                <w:tcPr>
                  <w:tcW w:w="892" w:type="pct"/>
                  <w:noWrap w:val="0"/>
                  <w:vAlign w:val="center"/>
                </w:tcPr>
                <w:p w14:paraId="5326FA72">
                  <w:pPr>
                    <w:jc w:val="center"/>
                    <w:rPr>
                      <w:color w:val="auto"/>
                    </w:rPr>
                  </w:pPr>
                  <w:r>
                    <w:rPr>
                      <w:color w:val="auto"/>
                    </w:rPr>
                    <w:t>占地面积</w:t>
                  </w:r>
                  <w:r>
                    <w:rPr>
                      <w:color w:val="auto"/>
                      <w:kern w:val="0"/>
                    </w:rPr>
                    <w:t>27</w:t>
                  </w:r>
                  <w:r>
                    <w:rPr>
                      <w:rFonts w:hint="eastAsia"/>
                      <w:color w:val="auto"/>
                      <w:kern w:val="0"/>
                      <w:lang w:val="en-US" w:eastAsia="zh-CN"/>
                    </w:rPr>
                    <w:t>41.20</w:t>
                  </w:r>
                  <w:r>
                    <w:rPr>
                      <w:color w:val="auto"/>
                    </w:rPr>
                    <w:t>m</w:t>
                  </w:r>
                  <w:r>
                    <w:rPr>
                      <w:color w:val="auto"/>
                      <w:vertAlign w:val="superscript"/>
                    </w:rPr>
                    <w:t>2</w:t>
                  </w:r>
                  <w:r>
                    <w:rPr>
                      <w:color w:val="auto"/>
                    </w:rPr>
                    <w:t>，</w:t>
                  </w:r>
                  <w:r>
                    <w:rPr>
                      <w:color w:val="auto"/>
                      <w:kern w:val="0"/>
                    </w:rPr>
                    <w:t>1层</w:t>
                  </w:r>
                </w:p>
              </w:tc>
              <w:tc>
                <w:tcPr>
                  <w:tcW w:w="1790" w:type="pct"/>
                  <w:noWrap w:val="0"/>
                  <w:vAlign w:val="center"/>
                </w:tcPr>
                <w:p w14:paraId="469D1AC9">
                  <w:pPr>
                    <w:jc w:val="center"/>
                    <w:rPr>
                      <w:rFonts w:hint="eastAsia"/>
                      <w:color w:val="auto"/>
                      <w:sz w:val="21"/>
                      <w:szCs w:val="21"/>
                      <w:lang w:bidi="ar"/>
                    </w:rPr>
                  </w:pPr>
                  <w:r>
                    <w:rPr>
                      <w:color w:val="auto"/>
                      <w:sz w:val="21"/>
                      <w:szCs w:val="21"/>
                    </w:rPr>
                    <w:t>已建</w:t>
                  </w:r>
                  <w:r>
                    <w:rPr>
                      <w:rFonts w:hint="eastAsia"/>
                      <w:color w:val="auto"/>
                      <w:sz w:val="21"/>
                      <w:szCs w:val="21"/>
                      <w:lang w:eastAsia="zh-CN"/>
                    </w:rPr>
                    <w:t>，</w:t>
                  </w:r>
                  <w:r>
                    <w:rPr>
                      <w:rFonts w:hint="eastAsia"/>
                      <w:color w:val="auto"/>
                      <w:sz w:val="21"/>
                      <w:szCs w:val="21"/>
                      <w:lang w:val="en-US" w:eastAsia="zh-CN"/>
                    </w:rPr>
                    <w:t>现有项目仓库</w:t>
                  </w:r>
                </w:p>
              </w:tc>
            </w:tr>
            <w:tr w14:paraId="7A397B73">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15" w:type="pct"/>
                  <w:vMerge w:val="continue"/>
                  <w:noWrap w:val="0"/>
                  <w:vAlign w:val="center"/>
                </w:tcPr>
                <w:p w14:paraId="750C8134">
                  <w:pPr>
                    <w:jc w:val="center"/>
                    <w:rPr>
                      <w:color w:val="auto"/>
                      <w:lang w:bidi="ar"/>
                    </w:rPr>
                  </w:pPr>
                </w:p>
              </w:tc>
              <w:tc>
                <w:tcPr>
                  <w:tcW w:w="604" w:type="pct"/>
                  <w:gridSpan w:val="2"/>
                  <w:noWrap w:val="0"/>
                  <w:vAlign w:val="center"/>
                </w:tcPr>
                <w:p w14:paraId="1C75E255">
                  <w:pPr>
                    <w:jc w:val="center"/>
                    <w:rPr>
                      <w:rFonts w:hint="eastAsia"/>
                      <w:color w:val="auto"/>
                    </w:rPr>
                  </w:pPr>
                  <w:r>
                    <w:rPr>
                      <w:rFonts w:hint="eastAsia"/>
                      <w:color w:val="auto"/>
                    </w:rPr>
                    <w:t>车间三</w:t>
                  </w:r>
                </w:p>
              </w:tc>
              <w:tc>
                <w:tcPr>
                  <w:tcW w:w="973" w:type="pct"/>
                  <w:noWrap w:val="0"/>
                  <w:vAlign w:val="center"/>
                </w:tcPr>
                <w:p w14:paraId="60974FEB">
                  <w:pPr>
                    <w:jc w:val="center"/>
                    <w:rPr>
                      <w:color w:val="auto"/>
                    </w:rPr>
                  </w:pPr>
                  <w:r>
                    <w:rPr>
                      <w:color w:val="auto"/>
                    </w:rPr>
                    <w:t>占地面积</w:t>
                  </w:r>
                  <w:r>
                    <w:rPr>
                      <w:rFonts w:hint="eastAsia"/>
                      <w:color w:val="auto"/>
                      <w:kern w:val="0"/>
                    </w:rPr>
                    <w:t>2975</w:t>
                  </w:r>
                  <w:r>
                    <w:rPr>
                      <w:rFonts w:hint="eastAsia"/>
                      <w:color w:val="auto"/>
                      <w:kern w:val="0"/>
                      <w:lang w:val="en-US" w:eastAsia="zh-CN"/>
                    </w:rPr>
                    <w:t>.20</w:t>
                  </w:r>
                  <w:r>
                    <w:rPr>
                      <w:color w:val="auto"/>
                    </w:rPr>
                    <w:t>m</w:t>
                  </w:r>
                  <w:r>
                    <w:rPr>
                      <w:color w:val="auto"/>
                      <w:vertAlign w:val="superscript"/>
                    </w:rPr>
                    <w:t>2</w:t>
                  </w:r>
                  <w:r>
                    <w:rPr>
                      <w:color w:val="auto"/>
                    </w:rPr>
                    <w:t>，</w:t>
                  </w:r>
                  <w:r>
                    <w:rPr>
                      <w:rFonts w:hint="eastAsia"/>
                      <w:color w:val="auto"/>
                      <w:kern w:val="0"/>
                    </w:rPr>
                    <w:t>4</w:t>
                  </w:r>
                  <w:r>
                    <w:rPr>
                      <w:color w:val="auto"/>
                      <w:kern w:val="0"/>
                    </w:rPr>
                    <w:t>层</w:t>
                  </w:r>
                </w:p>
              </w:tc>
              <w:tc>
                <w:tcPr>
                  <w:tcW w:w="524" w:type="pct"/>
                  <w:noWrap w:val="0"/>
                  <w:vAlign w:val="center"/>
                </w:tcPr>
                <w:p w14:paraId="0BDC4ED9">
                  <w:pPr>
                    <w:jc w:val="center"/>
                    <w:rPr>
                      <w:color w:val="auto"/>
                    </w:rPr>
                  </w:pPr>
                  <w:r>
                    <w:rPr>
                      <w:color w:val="auto"/>
                    </w:rPr>
                    <w:t>/</w:t>
                  </w:r>
                </w:p>
              </w:tc>
              <w:tc>
                <w:tcPr>
                  <w:tcW w:w="892" w:type="pct"/>
                  <w:noWrap w:val="0"/>
                  <w:vAlign w:val="center"/>
                </w:tcPr>
                <w:p w14:paraId="0A0A158E">
                  <w:pPr>
                    <w:jc w:val="center"/>
                    <w:rPr>
                      <w:color w:val="auto"/>
                    </w:rPr>
                  </w:pPr>
                  <w:r>
                    <w:rPr>
                      <w:color w:val="auto"/>
                    </w:rPr>
                    <w:t>占地面积</w:t>
                  </w:r>
                  <w:r>
                    <w:rPr>
                      <w:rFonts w:hint="eastAsia"/>
                      <w:color w:val="auto"/>
                      <w:kern w:val="0"/>
                    </w:rPr>
                    <w:t>2975</w:t>
                  </w:r>
                  <w:r>
                    <w:rPr>
                      <w:rFonts w:hint="eastAsia"/>
                      <w:color w:val="auto"/>
                      <w:kern w:val="0"/>
                      <w:lang w:val="en-US" w:eastAsia="zh-CN"/>
                    </w:rPr>
                    <w:t>.20</w:t>
                  </w:r>
                  <w:r>
                    <w:rPr>
                      <w:color w:val="auto"/>
                    </w:rPr>
                    <w:t>m</w:t>
                  </w:r>
                  <w:r>
                    <w:rPr>
                      <w:color w:val="auto"/>
                      <w:vertAlign w:val="superscript"/>
                    </w:rPr>
                    <w:t>2</w:t>
                  </w:r>
                  <w:r>
                    <w:rPr>
                      <w:color w:val="auto"/>
                    </w:rPr>
                    <w:t>，</w:t>
                  </w:r>
                  <w:r>
                    <w:rPr>
                      <w:rFonts w:hint="eastAsia"/>
                      <w:color w:val="auto"/>
                      <w:kern w:val="0"/>
                    </w:rPr>
                    <w:t>4</w:t>
                  </w:r>
                  <w:r>
                    <w:rPr>
                      <w:color w:val="auto"/>
                      <w:kern w:val="0"/>
                    </w:rPr>
                    <w:t>层</w:t>
                  </w:r>
                </w:p>
              </w:tc>
              <w:tc>
                <w:tcPr>
                  <w:tcW w:w="1790" w:type="pct"/>
                  <w:noWrap w:val="0"/>
                  <w:vAlign w:val="center"/>
                </w:tcPr>
                <w:p w14:paraId="05E6CB9C">
                  <w:pPr>
                    <w:jc w:val="center"/>
                    <w:rPr>
                      <w:rFonts w:hint="default" w:eastAsia="宋体"/>
                      <w:color w:val="auto"/>
                      <w:sz w:val="21"/>
                      <w:szCs w:val="21"/>
                      <w:lang w:val="en-US" w:eastAsia="zh-CN" w:bidi="ar"/>
                    </w:rPr>
                  </w:pPr>
                  <w:r>
                    <w:rPr>
                      <w:color w:val="auto"/>
                      <w:sz w:val="21"/>
                      <w:szCs w:val="21"/>
                    </w:rPr>
                    <w:t>已建</w:t>
                  </w:r>
                  <w:r>
                    <w:rPr>
                      <w:rFonts w:hint="eastAsia"/>
                      <w:color w:val="auto"/>
                      <w:sz w:val="21"/>
                      <w:szCs w:val="21"/>
                      <w:lang w:eastAsia="zh-CN"/>
                    </w:rPr>
                    <w:t>，</w:t>
                  </w:r>
                  <w:r>
                    <w:rPr>
                      <w:rFonts w:hint="eastAsia"/>
                      <w:color w:val="auto"/>
                      <w:sz w:val="21"/>
                      <w:szCs w:val="21"/>
                      <w:lang w:val="en-US" w:eastAsia="zh-CN"/>
                    </w:rPr>
                    <w:t>布设5条</w:t>
                  </w:r>
                  <w:r>
                    <w:rPr>
                      <w:color w:val="auto"/>
                      <w:sz w:val="21"/>
                      <w:szCs w:val="21"/>
                    </w:rPr>
                    <w:t>功能性塑料</w:t>
                  </w:r>
                  <w:r>
                    <w:rPr>
                      <w:rFonts w:hint="eastAsia"/>
                      <w:color w:val="auto"/>
                      <w:sz w:val="21"/>
                      <w:szCs w:val="21"/>
                      <w:lang w:val="en-US" w:eastAsia="zh-CN"/>
                    </w:rPr>
                    <w:t>生产线（</w:t>
                  </w:r>
                  <w:r>
                    <w:rPr>
                      <w:color w:val="auto"/>
                      <w:sz w:val="21"/>
                      <w:szCs w:val="21"/>
                    </w:rPr>
                    <w:t>新建年产光伏组件用高性能EVA胶膜、功能性塑料项目</w:t>
                  </w:r>
                  <w:r>
                    <w:rPr>
                      <w:rFonts w:hint="eastAsia"/>
                      <w:color w:val="auto"/>
                      <w:sz w:val="21"/>
                      <w:szCs w:val="21"/>
                      <w:lang w:val="en-US" w:eastAsia="zh-CN"/>
                    </w:rPr>
                    <w:t>）和2条</w:t>
                  </w:r>
                  <w:r>
                    <w:rPr>
                      <w:rFonts w:hint="eastAsia"/>
                      <w:color w:val="auto"/>
                      <w:sz w:val="21"/>
                      <w:szCs w:val="21"/>
                    </w:rPr>
                    <w:t>热熔胶</w:t>
                  </w:r>
                  <w:r>
                    <w:rPr>
                      <w:rFonts w:hint="eastAsia"/>
                      <w:color w:val="auto"/>
                      <w:sz w:val="21"/>
                      <w:szCs w:val="21"/>
                      <w:lang w:val="en-US" w:eastAsia="zh-CN"/>
                    </w:rPr>
                    <w:t>挤出线（</w:t>
                  </w:r>
                  <w:r>
                    <w:rPr>
                      <w:rFonts w:hint="eastAsia"/>
                      <w:color w:val="auto"/>
                      <w:sz w:val="21"/>
                      <w:szCs w:val="21"/>
                    </w:rPr>
                    <w:t>功能性聚烯烃热熔胶扩产</w:t>
                  </w:r>
                  <w:r>
                    <w:rPr>
                      <w:color w:val="auto"/>
                      <w:sz w:val="21"/>
                      <w:szCs w:val="21"/>
                    </w:rPr>
                    <w:t>项目</w:t>
                  </w:r>
                  <w:r>
                    <w:rPr>
                      <w:rFonts w:hint="eastAsia"/>
                      <w:color w:val="auto"/>
                      <w:sz w:val="21"/>
                      <w:szCs w:val="21"/>
                      <w:lang w:val="en-US" w:eastAsia="zh-CN"/>
                    </w:rPr>
                    <w:t>）</w:t>
                  </w:r>
                </w:p>
              </w:tc>
            </w:tr>
            <w:tr w14:paraId="096F7E3F">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5" w:type="pct"/>
                  <w:vMerge w:val="continue"/>
                  <w:noWrap w:val="0"/>
                  <w:vAlign w:val="center"/>
                </w:tcPr>
                <w:p w14:paraId="22B6C9AF">
                  <w:pPr>
                    <w:jc w:val="center"/>
                    <w:rPr>
                      <w:color w:val="auto"/>
                      <w:lang w:bidi="ar"/>
                    </w:rPr>
                  </w:pPr>
                </w:p>
              </w:tc>
              <w:tc>
                <w:tcPr>
                  <w:tcW w:w="604" w:type="pct"/>
                  <w:gridSpan w:val="2"/>
                  <w:noWrap w:val="0"/>
                  <w:vAlign w:val="center"/>
                </w:tcPr>
                <w:p w14:paraId="2535717B">
                  <w:pPr>
                    <w:jc w:val="center"/>
                    <w:rPr>
                      <w:rFonts w:hint="eastAsia"/>
                      <w:color w:val="auto"/>
                    </w:rPr>
                  </w:pPr>
                  <w:r>
                    <w:rPr>
                      <w:rFonts w:hint="eastAsia"/>
                      <w:color w:val="auto"/>
                    </w:rPr>
                    <w:t>车间四</w:t>
                  </w:r>
                </w:p>
              </w:tc>
              <w:tc>
                <w:tcPr>
                  <w:tcW w:w="973" w:type="pct"/>
                  <w:noWrap w:val="0"/>
                  <w:vAlign w:val="center"/>
                </w:tcPr>
                <w:p w14:paraId="5F704C29">
                  <w:pPr>
                    <w:jc w:val="center"/>
                    <w:rPr>
                      <w:rFonts w:hint="eastAsia" w:eastAsia="宋体"/>
                      <w:color w:val="auto"/>
                      <w:lang w:eastAsia="zh-CN"/>
                    </w:rPr>
                  </w:pPr>
                  <w:r>
                    <w:rPr>
                      <w:color w:val="auto"/>
                    </w:rPr>
                    <w:t>占地面积</w:t>
                  </w:r>
                  <w:r>
                    <w:rPr>
                      <w:rFonts w:hint="eastAsia"/>
                      <w:color w:val="auto"/>
                      <w:kern w:val="0"/>
                      <w:lang w:val="en-US" w:eastAsia="zh-CN"/>
                    </w:rPr>
                    <w:t>4985.3</w:t>
                  </w:r>
                  <w:r>
                    <w:rPr>
                      <w:color w:val="auto"/>
                    </w:rPr>
                    <w:t>m</w:t>
                  </w:r>
                  <w:r>
                    <w:rPr>
                      <w:color w:val="auto"/>
                      <w:vertAlign w:val="superscript"/>
                    </w:rPr>
                    <w:t>2</w:t>
                  </w:r>
                  <w:r>
                    <w:rPr>
                      <w:color w:val="auto"/>
                    </w:rPr>
                    <w:t>，</w:t>
                  </w:r>
                  <w:r>
                    <w:rPr>
                      <w:rFonts w:hint="eastAsia"/>
                      <w:color w:val="auto"/>
                      <w:kern w:val="0"/>
                    </w:rPr>
                    <w:t>4</w:t>
                  </w:r>
                  <w:r>
                    <w:rPr>
                      <w:color w:val="auto"/>
                      <w:kern w:val="0"/>
                    </w:rPr>
                    <w:t>层</w:t>
                  </w:r>
                  <w:r>
                    <w:rPr>
                      <w:rFonts w:hint="eastAsia"/>
                      <w:color w:val="auto"/>
                      <w:kern w:val="0"/>
                      <w:lang w:eastAsia="zh-CN"/>
                    </w:rPr>
                    <w:t>（</w:t>
                  </w:r>
                  <w:r>
                    <w:rPr>
                      <w:rFonts w:hint="eastAsia"/>
                      <w:color w:val="auto"/>
                      <w:kern w:val="0"/>
                      <w:lang w:val="en-US" w:eastAsia="zh-CN"/>
                    </w:rPr>
                    <w:t>局部5层</w:t>
                  </w:r>
                  <w:r>
                    <w:rPr>
                      <w:rFonts w:hint="eastAsia"/>
                      <w:color w:val="auto"/>
                      <w:kern w:val="0"/>
                      <w:lang w:eastAsia="zh-CN"/>
                    </w:rPr>
                    <w:t>）</w:t>
                  </w:r>
                </w:p>
              </w:tc>
              <w:tc>
                <w:tcPr>
                  <w:tcW w:w="524" w:type="pct"/>
                  <w:noWrap w:val="0"/>
                  <w:vAlign w:val="center"/>
                </w:tcPr>
                <w:p w14:paraId="71856CAA">
                  <w:pPr>
                    <w:jc w:val="center"/>
                    <w:rPr>
                      <w:rFonts w:hint="default" w:eastAsia="宋体"/>
                      <w:color w:val="auto"/>
                      <w:lang w:val="en-US" w:eastAsia="zh-CN"/>
                    </w:rPr>
                  </w:pPr>
                  <w:r>
                    <w:rPr>
                      <w:rFonts w:hint="eastAsia"/>
                      <w:color w:val="FF0000"/>
                      <w:lang w:val="en-US" w:eastAsia="zh-CN"/>
                    </w:rPr>
                    <w:t>依托现有并进行技改</w:t>
                  </w:r>
                </w:p>
              </w:tc>
              <w:tc>
                <w:tcPr>
                  <w:tcW w:w="892" w:type="pct"/>
                  <w:noWrap w:val="0"/>
                  <w:vAlign w:val="center"/>
                </w:tcPr>
                <w:p w14:paraId="505CCE99">
                  <w:pPr>
                    <w:jc w:val="center"/>
                    <w:rPr>
                      <w:color w:val="auto"/>
                    </w:rPr>
                  </w:pPr>
                  <w:r>
                    <w:rPr>
                      <w:color w:val="auto"/>
                    </w:rPr>
                    <w:t>占地面积</w:t>
                  </w:r>
                  <w:r>
                    <w:rPr>
                      <w:rFonts w:hint="eastAsia"/>
                      <w:color w:val="auto"/>
                      <w:kern w:val="0"/>
                      <w:lang w:eastAsia="zh-CN"/>
                    </w:rPr>
                    <w:t>4985.3</w:t>
                  </w:r>
                  <w:r>
                    <w:rPr>
                      <w:color w:val="auto"/>
                    </w:rPr>
                    <w:t>m</w:t>
                  </w:r>
                  <w:r>
                    <w:rPr>
                      <w:color w:val="auto"/>
                      <w:vertAlign w:val="superscript"/>
                    </w:rPr>
                    <w:t>2</w:t>
                  </w:r>
                  <w:r>
                    <w:rPr>
                      <w:color w:val="auto"/>
                    </w:rPr>
                    <w:t>，</w:t>
                  </w:r>
                  <w:r>
                    <w:rPr>
                      <w:rFonts w:hint="eastAsia"/>
                      <w:color w:val="auto"/>
                      <w:kern w:val="0"/>
                    </w:rPr>
                    <w:t>4</w:t>
                  </w:r>
                  <w:r>
                    <w:rPr>
                      <w:color w:val="auto"/>
                      <w:kern w:val="0"/>
                    </w:rPr>
                    <w:t>层</w:t>
                  </w:r>
                  <w:r>
                    <w:rPr>
                      <w:rFonts w:hint="eastAsia"/>
                      <w:color w:val="auto"/>
                      <w:kern w:val="0"/>
                      <w:lang w:eastAsia="zh-CN"/>
                    </w:rPr>
                    <w:t>（</w:t>
                  </w:r>
                  <w:r>
                    <w:rPr>
                      <w:rFonts w:hint="eastAsia"/>
                      <w:color w:val="auto"/>
                      <w:kern w:val="0"/>
                      <w:lang w:val="en-US" w:eastAsia="zh-CN"/>
                    </w:rPr>
                    <w:t>局部5层</w:t>
                  </w:r>
                  <w:r>
                    <w:rPr>
                      <w:rFonts w:hint="eastAsia"/>
                      <w:color w:val="auto"/>
                      <w:kern w:val="0"/>
                      <w:lang w:eastAsia="zh-CN"/>
                    </w:rPr>
                    <w:t>）</w:t>
                  </w:r>
                </w:p>
              </w:tc>
              <w:tc>
                <w:tcPr>
                  <w:tcW w:w="1790" w:type="pct"/>
                  <w:noWrap w:val="0"/>
                  <w:vAlign w:val="center"/>
                </w:tcPr>
                <w:p w14:paraId="7347DB88">
                  <w:pPr>
                    <w:jc w:val="center"/>
                    <w:rPr>
                      <w:rFonts w:hint="default" w:eastAsia="宋体"/>
                      <w:color w:val="auto"/>
                      <w:lang w:val="en-US" w:eastAsia="zh-CN" w:bidi="ar"/>
                    </w:rPr>
                  </w:pPr>
                  <w:r>
                    <w:rPr>
                      <w:color w:val="auto"/>
                    </w:rPr>
                    <w:t>已建，</w:t>
                  </w:r>
                  <w:r>
                    <w:rPr>
                      <w:rFonts w:hint="eastAsia"/>
                      <w:color w:val="auto"/>
                      <w:lang w:val="en-US" w:eastAsia="zh-CN"/>
                    </w:rPr>
                    <w:t>1</w:t>
                  </w:r>
                  <w:r>
                    <w:rPr>
                      <w:rFonts w:hint="eastAsia" w:ascii="Times New Roman" w:hAnsi="Times New Roman" w:eastAsia="宋体" w:cs="Times New Roman"/>
                      <w:color w:val="auto"/>
                      <w:lang w:val="en-US" w:eastAsia="zh-CN"/>
                    </w:rPr>
                    <w:t>F</w:t>
                  </w:r>
                  <w:r>
                    <w:rPr>
                      <w:rFonts w:ascii="Times New Roman" w:hAnsi="Times New Roman" w:eastAsia="宋体" w:cs="Times New Roman"/>
                      <w:color w:val="auto"/>
                    </w:rPr>
                    <w:t>布设</w:t>
                  </w:r>
                  <w:r>
                    <w:rPr>
                      <w:rFonts w:hint="eastAsia" w:ascii="Times New Roman" w:hAnsi="Times New Roman" w:eastAsia="宋体" w:cs="Times New Roman"/>
                      <w:color w:val="auto"/>
                      <w:lang w:val="en-US" w:eastAsia="zh-CN"/>
                    </w:rPr>
                    <w:t>技改</w:t>
                  </w:r>
                  <w:r>
                    <w:rPr>
                      <w:rFonts w:ascii="Times New Roman" w:hAnsi="Times New Roman" w:eastAsia="宋体" w:cs="Times New Roman"/>
                      <w:color w:val="auto"/>
                    </w:rPr>
                    <w:t>的</w:t>
                  </w:r>
                  <w:r>
                    <w:rPr>
                      <w:rFonts w:hint="eastAsia" w:ascii="Times New Roman" w:hAnsi="Times New Roman" w:eastAsia="宋体" w:cs="Times New Roman"/>
                      <w:color w:val="auto"/>
                      <w:lang w:val="en-US" w:eastAsia="zh-CN"/>
                    </w:rPr>
                    <w:t>4条</w:t>
                  </w:r>
                  <w:r>
                    <w:rPr>
                      <w:rFonts w:ascii="Times New Roman" w:hAnsi="Times New Roman" w:eastAsia="宋体" w:cs="Times New Roman"/>
                      <w:color w:val="auto"/>
                    </w:rPr>
                    <w:t>EVA胶膜生产线</w:t>
                  </w:r>
                  <w:r>
                    <w:rPr>
                      <w:rFonts w:hint="eastAsia" w:cs="Times New Roman"/>
                      <w:color w:val="auto"/>
                      <w:lang w:val="en-US" w:eastAsia="zh-CN"/>
                    </w:rPr>
                    <w:t>(1#-4#)</w:t>
                  </w:r>
                  <w:r>
                    <w:rPr>
                      <w:rFonts w:hint="eastAsia" w:ascii="Times New Roman" w:hAnsi="Times New Roman" w:eastAsia="宋体" w:cs="Times New Roman"/>
                      <w:color w:val="auto"/>
                      <w:lang w:val="en-US" w:eastAsia="zh-CN"/>
                    </w:rPr>
                    <w:t>和现有的5条</w:t>
                  </w:r>
                  <w:r>
                    <w:rPr>
                      <w:rFonts w:ascii="Times New Roman" w:hAnsi="Times New Roman" w:eastAsia="宋体" w:cs="Times New Roman"/>
                      <w:color w:val="auto"/>
                    </w:rPr>
                    <w:t>EVA胶膜生产线</w:t>
                  </w:r>
                  <w:r>
                    <w:rPr>
                      <w:rFonts w:hint="eastAsia" w:cs="Times New Roman"/>
                      <w:color w:val="auto"/>
                      <w:lang w:val="en-US" w:eastAsia="zh-CN"/>
                    </w:rPr>
                    <w:t>(5#-9#)</w:t>
                  </w:r>
                </w:p>
              </w:tc>
            </w:tr>
            <w:tr w14:paraId="05D9D54B">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5" w:type="pct"/>
                  <w:vMerge w:val="continue"/>
                  <w:noWrap w:val="0"/>
                  <w:vAlign w:val="center"/>
                </w:tcPr>
                <w:p w14:paraId="20BFF871">
                  <w:pPr>
                    <w:jc w:val="center"/>
                    <w:rPr>
                      <w:color w:val="auto"/>
                      <w:lang w:bidi="ar"/>
                    </w:rPr>
                  </w:pPr>
                </w:p>
              </w:tc>
              <w:tc>
                <w:tcPr>
                  <w:tcW w:w="604" w:type="pct"/>
                  <w:gridSpan w:val="2"/>
                  <w:noWrap w:val="0"/>
                  <w:vAlign w:val="center"/>
                </w:tcPr>
                <w:p w14:paraId="5E42D8A5">
                  <w:pPr>
                    <w:jc w:val="center"/>
                    <w:rPr>
                      <w:rFonts w:hint="eastAsia"/>
                      <w:color w:val="auto"/>
                    </w:rPr>
                  </w:pPr>
                  <w:r>
                    <w:rPr>
                      <w:rFonts w:hint="eastAsia"/>
                      <w:color w:val="auto"/>
                    </w:rPr>
                    <w:t>车间五</w:t>
                  </w:r>
                </w:p>
              </w:tc>
              <w:tc>
                <w:tcPr>
                  <w:tcW w:w="973" w:type="pct"/>
                  <w:noWrap w:val="0"/>
                  <w:vAlign w:val="center"/>
                </w:tcPr>
                <w:p w14:paraId="76C66053">
                  <w:pPr>
                    <w:jc w:val="center"/>
                    <w:rPr>
                      <w:color w:val="auto"/>
                    </w:rPr>
                  </w:pPr>
                  <w:r>
                    <w:rPr>
                      <w:color w:val="auto"/>
                    </w:rPr>
                    <w:t>占地面积</w:t>
                  </w:r>
                  <w:r>
                    <w:rPr>
                      <w:rFonts w:hint="eastAsia" w:ascii="Times New Roman" w:hAnsi="Times New Roman" w:eastAsia="宋体" w:cs="Times New Roman"/>
                      <w:color w:val="auto"/>
                      <w:sz w:val="21"/>
                      <w:szCs w:val="21"/>
                      <w:lang w:val="en-US" w:eastAsia="zh-CN"/>
                    </w:rPr>
                    <w:t>4504.2</w:t>
                  </w:r>
                  <w:r>
                    <w:rPr>
                      <w:color w:val="auto"/>
                    </w:rPr>
                    <w:t>m</w:t>
                  </w:r>
                  <w:r>
                    <w:rPr>
                      <w:color w:val="auto"/>
                      <w:vertAlign w:val="superscript"/>
                    </w:rPr>
                    <w:t>2</w:t>
                  </w:r>
                  <w:r>
                    <w:rPr>
                      <w:rFonts w:hint="eastAsia"/>
                      <w:color w:val="auto"/>
                      <w:vertAlign w:val="baseline"/>
                      <w:lang w:eastAsia="zh-CN"/>
                    </w:rPr>
                    <w:t>，</w:t>
                  </w:r>
                  <w:r>
                    <w:rPr>
                      <w:rFonts w:hint="eastAsia"/>
                      <w:color w:val="auto"/>
                      <w:kern w:val="0"/>
                      <w:lang w:val="en-US" w:eastAsia="zh-CN"/>
                    </w:rPr>
                    <w:t>8</w:t>
                  </w:r>
                  <w:r>
                    <w:rPr>
                      <w:color w:val="auto"/>
                      <w:kern w:val="0"/>
                    </w:rPr>
                    <w:t>层</w:t>
                  </w:r>
                </w:p>
              </w:tc>
              <w:tc>
                <w:tcPr>
                  <w:tcW w:w="524" w:type="pct"/>
                  <w:noWrap w:val="0"/>
                  <w:vAlign w:val="center"/>
                </w:tcPr>
                <w:p w14:paraId="15F8402B">
                  <w:pPr>
                    <w:jc w:val="center"/>
                    <w:rPr>
                      <w:rFonts w:hint="default" w:eastAsia="宋体"/>
                      <w:color w:val="auto"/>
                      <w:lang w:val="en-US" w:eastAsia="zh-CN"/>
                    </w:rPr>
                  </w:pPr>
                  <w:r>
                    <w:rPr>
                      <w:color w:val="auto"/>
                    </w:rPr>
                    <w:t>/</w:t>
                  </w:r>
                </w:p>
              </w:tc>
              <w:tc>
                <w:tcPr>
                  <w:tcW w:w="892" w:type="pct"/>
                  <w:noWrap w:val="0"/>
                  <w:vAlign w:val="center"/>
                </w:tcPr>
                <w:p w14:paraId="41690DC3">
                  <w:pPr>
                    <w:jc w:val="center"/>
                    <w:rPr>
                      <w:rFonts w:hint="eastAsia" w:eastAsia="宋体"/>
                      <w:color w:val="auto"/>
                      <w:lang w:eastAsia="zh-CN"/>
                    </w:rPr>
                  </w:pPr>
                  <w:r>
                    <w:rPr>
                      <w:color w:val="auto"/>
                    </w:rPr>
                    <w:t>占地面积</w:t>
                  </w:r>
                  <w:r>
                    <w:rPr>
                      <w:rFonts w:hint="eastAsia" w:ascii="Times New Roman" w:hAnsi="Times New Roman" w:eastAsia="宋体" w:cs="Times New Roman"/>
                      <w:color w:val="auto"/>
                      <w:sz w:val="21"/>
                      <w:szCs w:val="21"/>
                      <w:lang w:val="en-US" w:eastAsia="zh-CN"/>
                    </w:rPr>
                    <w:t>4504.2</w:t>
                  </w:r>
                  <w:r>
                    <w:rPr>
                      <w:color w:val="auto"/>
                    </w:rPr>
                    <w:t>m</w:t>
                  </w:r>
                  <w:r>
                    <w:rPr>
                      <w:color w:val="auto"/>
                      <w:vertAlign w:val="superscript"/>
                    </w:rPr>
                    <w:t>2</w:t>
                  </w:r>
                  <w:r>
                    <w:rPr>
                      <w:rFonts w:hint="eastAsia"/>
                      <w:color w:val="auto"/>
                      <w:vertAlign w:val="baseline"/>
                      <w:lang w:eastAsia="zh-CN"/>
                    </w:rPr>
                    <w:t>，</w:t>
                  </w:r>
                  <w:r>
                    <w:rPr>
                      <w:rFonts w:hint="eastAsia"/>
                      <w:color w:val="auto"/>
                      <w:kern w:val="0"/>
                      <w:lang w:val="en-US" w:eastAsia="zh-CN"/>
                    </w:rPr>
                    <w:t>8</w:t>
                  </w:r>
                  <w:r>
                    <w:rPr>
                      <w:color w:val="auto"/>
                      <w:kern w:val="0"/>
                    </w:rPr>
                    <w:t>层</w:t>
                  </w:r>
                </w:p>
              </w:tc>
              <w:tc>
                <w:tcPr>
                  <w:tcW w:w="1790" w:type="pct"/>
                  <w:noWrap w:val="0"/>
                  <w:vAlign w:val="center"/>
                </w:tcPr>
                <w:p w14:paraId="0382DD8A">
                  <w:pPr>
                    <w:jc w:val="center"/>
                    <w:rPr>
                      <w:rFonts w:hint="eastAsia" w:eastAsia="宋体"/>
                      <w:color w:val="auto"/>
                      <w:lang w:eastAsia="zh-CN" w:bidi="ar"/>
                    </w:rPr>
                  </w:pPr>
                  <w:r>
                    <w:rPr>
                      <w:rFonts w:hint="eastAsia"/>
                      <w:color w:val="auto"/>
                      <w:lang w:bidi="ar"/>
                    </w:rPr>
                    <w:t>建设中</w:t>
                  </w:r>
                  <w:r>
                    <w:rPr>
                      <w:rFonts w:hint="eastAsia"/>
                      <w:color w:val="auto"/>
                      <w:lang w:eastAsia="zh-CN" w:bidi="ar"/>
                    </w:rPr>
                    <w:t>，</w:t>
                  </w:r>
                  <w:r>
                    <w:rPr>
                      <w:color w:val="auto"/>
                    </w:rPr>
                    <w:t>布设</w:t>
                  </w:r>
                  <w:r>
                    <w:rPr>
                      <w:rFonts w:hint="eastAsia"/>
                      <w:color w:val="auto"/>
                      <w:lang w:val="en-US" w:eastAsia="zh-CN"/>
                    </w:rPr>
                    <w:t>10条</w:t>
                  </w:r>
                  <w:r>
                    <w:rPr>
                      <w:rFonts w:hint="eastAsia"/>
                      <w:color w:val="auto"/>
                    </w:rPr>
                    <w:t>POE</w:t>
                  </w:r>
                  <w:r>
                    <w:rPr>
                      <w:color w:val="auto"/>
                    </w:rPr>
                    <w:t>胶膜</w:t>
                  </w:r>
                  <w:r>
                    <w:rPr>
                      <w:rFonts w:hint="eastAsia"/>
                      <w:color w:val="auto"/>
                      <w:lang w:val="en-US" w:eastAsia="zh-CN"/>
                    </w:rPr>
                    <w:t>和10条</w:t>
                  </w:r>
                  <w:r>
                    <w:rPr>
                      <w:color w:val="auto"/>
                    </w:rPr>
                    <w:t>EVA胶膜生产线</w:t>
                  </w:r>
                  <w:r>
                    <w:rPr>
                      <w:rFonts w:hint="eastAsia"/>
                      <w:color w:val="auto"/>
                      <w:lang w:eastAsia="zh-CN"/>
                    </w:rPr>
                    <w:t>（</w:t>
                  </w:r>
                  <w:r>
                    <w:rPr>
                      <w:rFonts w:hint="eastAsia" w:eastAsia="宋体"/>
                      <w:color w:val="auto"/>
                      <w:sz w:val="21"/>
                      <w:szCs w:val="21"/>
                      <w:lang w:val="en-US" w:eastAsia="zh-CN"/>
                    </w:rPr>
                    <w:t>太阳能电池封装胶膜扩产项目</w:t>
                  </w:r>
                  <w:r>
                    <w:rPr>
                      <w:rFonts w:hint="eastAsia"/>
                      <w:color w:val="auto"/>
                      <w:lang w:eastAsia="zh-CN"/>
                    </w:rPr>
                    <w:t>）</w:t>
                  </w:r>
                </w:p>
              </w:tc>
            </w:tr>
            <w:tr w14:paraId="40CB882C">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5" w:type="pct"/>
                  <w:vMerge w:val="restart"/>
                  <w:noWrap w:val="0"/>
                  <w:vAlign w:val="center"/>
                </w:tcPr>
                <w:p w14:paraId="237653CA">
                  <w:pPr>
                    <w:jc w:val="center"/>
                    <w:rPr>
                      <w:color w:val="auto"/>
                      <w:lang w:bidi="ar"/>
                    </w:rPr>
                  </w:pPr>
                  <w:r>
                    <w:rPr>
                      <w:color w:val="auto"/>
                      <w:lang w:bidi="ar"/>
                    </w:rPr>
                    <w:t>贮运</w:t>
                  </w:r>
                </w:p>
                <w:p w14:paraId="05B8B9A6">
                  <w:pPr>
                    <w:jc w:val="center"/>
                    <w:rPr>
                      <w:color w:val="auto"/>
                    </w:rPr>
                  </w:pPr>
                  <w:r>
                    <w:rPr>
                      <w:color w:val="auto"/>
                      <w:lang w:bidi="ar"/>
                    </w:rPr>
                    <w:t>工程</w:t>
                  </w:r>
                </w:p>
              </w:tc>
              <w:tc>
                <w:tcPr>
                  <w:tcW w:w="604" w:type="pct"/>
                  <w:gridSpan w:val="2"/>
                  <w:noWrap w:val="0"/>
                  <w:vAlign w:val="center"/>
                </w:tcPr>
                <w:p w14:paraId="4D18EF47">
                  <w:pPr>
                    <w:spacing w:line="240" w:lineRule="exact"/>
                    <w:jc w:val="center"/>
                    <w:rPr>
                      <w:color w:val="auto"/>
                    </w:rPr>
                  </w:pPr>
                  <w:r>
                    <w:rPr>
                      <w:color w:val="auto"/>
                    </w:rPr>
                    <w:t>1#原料库</w:t>
                  </w:r>
                </w:p>
              </w:tc>
              <w:tc>
                <w:tcPr>
                  <w:tcW w:w="973" w:type="pct"/>
                  <w:noWrap w:val="0"/>
                  <w:vAlign w:val="center"/>
                </w:tcPr>
                <w:p w14:paraId="5DFA422A">
                  <w:pPr>
                    <w:spacing w:line="240" w:lineRule="exact"/>
                    <w:jc w:val="center"/>
                    <w:rPr>
                      <w:color w:val="auto"/>
                    </w:rPr>
                  </w:pPr>
                  <w:r>
                    <w:rPr>
                      <w:color w:val="auto"/>
                    </w:rPr>
                    <w:t>占地面积</w:t>
                  </w:r>
                  <w:r>
                    <w:rPr>
                      <w:color w:val="auto"/>
                      <w:kern w:val="0"/>
                    </w:rPr>
                    <w:t>1000</w:t>
                  </w:r>
                  <w:r>
                    <w:rPr>
                      <w:color w:val="auto"/>
                    </w:rPr>
                    <w:t>m</w:t>
                  </w:r>
                  <w:r>
                    <w:rPr>
                      <w:color w:val="auto"/>
                      <w:vertAlign w:val="superscript"/>
                    </w:rPr>
                    <w:t>2</w:t>
                  </w:r>
                </w:p>
              </w:tc>
              <w:tc>
                <w:tcPr>
                  <w:tcW w:w="524" w:type="pct"/>
                  <w:noWrap w:val="0"/>
                  <w:vAlign w:val="center"/>
                </w:tcPr>
                <w:p w14:paraId="546E7032">
                  <w:pPr>
                    <w:jc w:val="center"/>
                    <w:rPr>
                      <w:color w:val="auto"/>
                      <w:lang w:bidi="ar"/>
                    </w:rPr>
                  </w:pPr>
                  <w:r>
                    <w:rPr>
                      <w:color w:val="auto"/>
                    </w:rPr>
                    <w:t>/</w:t>
                  </w:r>
                </w:p>
              </w:tc>
              <w:tc>
                <w:tcPr>
                  <w:tcW w:w="892" w:type="pct"/>
                  <w:noWrap w:val="0"/>
                  <w:vAlign w:val="center"/>
                </w:tcPr>
                <w:p w14:paraId="0EC7A383">
                  <w:pPr>
                    <w:spacing w:line="240" w:lineRule="exact"/>
                    <w:jc w:val="center"/>
                    <w:rPr>
                      <w:color w:val="auto"/>
                      <w:lang w:bidi="ar"/>
                    </w:rPr>
                  </w:pPr>
                  <w:r>
                    <w:rPr>
                      <w:color w:val="auto"/>
                    </w:rPr>
                    <w:t>占地面积</w:t>
                  </w:r>
                  <w:r>
                    <w:rPr>
                      <w:color w:val="auto"/>
                      <w:kern w:val="0"/>
                    </w:rPr>
                    <w:t>1000</w:t>
                  </w:r>
                  <w:r>
                    <w:rPr>
                      <w:color w:val="auto"/>
                    </w:rPr>
                    <w:t>m</w:t>
                  </w:r>
                  <w:r>
                    <w:rPr>
                      <w:color w:val="auto"/>
                      <w:vertAlign w:val="superscript"/>
                    </w:rPr>
                    <w:t>2</w:t>
                  </w:r>
                </w:p>
              </w:tc>
              <w:tc>
                <w:tcPr>
                  <w:tcW w:w="1790" w:type="pct"/>
                  <w:noWrap w:val="0"/>
                  <w:vAlign w:val="center"/>
                </w:tcPr>
                <w:p w14:paraId="63F5A3B4">
                  <w:pPr>
                    <w:spacing w:line="240" w:lineRule="exact"/>
                    <w:jc w:val="center"/>
                    <w:rPr>
                      <w:color w:val="auto"/>
                    </w:rPr>
                  </w:pPr>
                  <w:r>
                    <w:rPr>
                      <w:color w:val="auto"/>
                    </w:rPr>
                    <w:t>已建，位于</w:t>
                  </w:r>
                  <w:r>
                    <w:rPr>
                      <w:rFonts w:hint="eastAsia"/>
                      <w:color w:val="auto"/>
                    </w:rPr>
                    <w:t>仓库一</w:t>
                  </w:r>
                </w:p>
              </w:tc>
            </w:tr>
            <w:tr w14:paraId="67C043E7">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5" w:type="pct"/>
                  <w:vMerge w:val="continue"/>
                  <w:noWrap w:val="0"/>
                  <w:vAlign w:val="center"/>
                </w:tcPr>
                <w:p w14:paraId="402AAF6F">
                  <w:pPr>
                    <w:jc w:val="center"/>
                    <w:rPr>
                      <w:color w:val="auto"/>
                      <w:lang w:bidi="ar"/>
                    </w:rPr>
                  </w:pPr>
                </w:p>
              </w:tc>
              <w:tc>
                <w:tcPr>
                  <w:tcW w:w="604" w:type="pct"/>
                  <w:gridSpan w:val="2"/>
                  <w:noWrap w:val="0"/>
                  <w:vAlign w:val="center"/>
                </w:tcPr>
                <w:p w14:paraId="75ED1A74">
                  <w:pPr>
                    <w:spacing w:line="240" w:lineRule="exact"/>
                    <w:jc w:val="center"/>
                    <w:rPr>
                      <w:color w:val="auto"/>
                    </w:rPr>
                  </w:pPr>
                  <w:r>
                    <w:rPr>
                      <w:color w:val="auto"/>
                    </w:rPr>
                    <w:t>2#原料库</w:t>
                  </w:r>
                </w:p>
              </w:tc>
              <w:tc>
                <w:tcPr>
                  <w:tcW w:w="973" w:type="pct"/>
                  <w:noWrap w:val="0"/>
                  <w:vAlign w:val="center"/>
                </w:tcPr>
                <w:p w14:paraId="13E708C0">
                  <w:pPr>
                    <w:spacing w:line="240" w:lineRule="exact"/>
                    <w:jc w:val="center"/>
                    <w:rPr>
                      <w:color w:val="auto"/>
                    </w:rPr>
                  </w:pPr>
                  <w:r>
                    <w:rPr>
                      <w:color w:val="auto"/>
                    </w:rPr>
                    <w:t>占地面积</w:t>
                  </w:r>
                  <w:r>
                    <w:rPr>
                      <w:rFonts w:hint="eastAsia"/>
                      <w:color w:val="auto"/>
                      <w:kern w:val="0"/>
                    </w:rPr>
                    <w:t>25</w:t>
                  </w:r>
                  <w:r>
                    <w:rPr>
                      <w:color w:val="auto"/>
                      <w:kern w:val="0"/>
                    </w:rPr>
                    <w:t>00</w:t>
                  </w:r>
                  <w:r>
                    <w:rPr>
                      <w:color w:val="auto"/>
                    </w:rPr>
                    <w:t>m</w:t>
                  </w:r>
                  <w:r>
                    <w:rPr>
                      <w:color w:val="auto"/>
                      <w:vertAlign w:val="superscript"/>
                    </w:rPr>
                    <w:t>2</w:t>
                  </w:r>
                </w:p>
              </w:tc>
              <w:tc>
                <w:tcPr>
                  <w:tcW w:w="524" w:type="pct"/>
                  <w:noWrap w:val="0"/>
                  <w:vAlign w:val="center"/>
                </w:tcPr>
                <w:p w14:paraId="379032E2">
                  <w:pPr>
                    <w:jc w:val="center"/>
                    <w:rPr>
                      <w:color w:val="auto"/>
                    </w:rPr>
                  </w:pPr>
                  <w:r>
                    <w:rPr>
                      <w:rFonts w:hint="eastAsia"/>
                      <w:color w:val="FF0000"/>
                      <w:lang w:val="en-US" w:eastAsia="zh-CN"/>
                    </w:rPr>
                    <w:t>依托现有</w:t>
                  </w:r>
                </w:p>
              </w:tc>
              <w:tc>
                <w:tcPr>
                  <w:tcW w:w="892" w:type="pct"/>
                  <w:noWrap w:val="0"/>
                  <w:vAlign w:val="center"/>
                </w:tcPr>
                <w:p w14:paraId="672AADB1">
                  <w:pPr>
                    <w:spacing w:line="240" w:lineRule="exact"/>
                    <w:jc w:val="center"/>
                    <w:rPr>
                      <w:color w:val="auto"/>
                    </w:rPr>
                  </w:pPr>
                  <w:r>
                    <w:rPr>
                      <w:color w:val="auto"/>
                    </w:rPr>
                    <w:t>占地面积</w:t>
                  </w:r>
                  <w:r>
                    <w:rPr>
                      <w:rFonts w:hint="eastAsia"/>
                      <w:color w:val="auto"/>
                      <w:kern w:val="0"/>
                    </w:rPr>
                    <w:t>25</w:t>
                  </w:r>
                  <w:r>
                    <w:rPr>
                      <w:color w:val="auto"/>
                      <w:kern w:val="0"/>
                    </w:rPr>
                    <w:t>00</w:t>
                  </w:r>
                  <w:r>
                    <w:rPr>
                      <w:color w:val="auto"/>
                    </w:rPr>
                    <w:t>m</w:t>
                  </w:r>
                  <w:r>
                    <w:rPr>
                      <w:color w:val="auto"/>
                      <w:vertAlign w:val="superscript"/>
                    </w:rPr>
                    <w:t>2</w:t>
                  </w:r>
                </w:p>
              </w:tc>
              <w:tc>
                <w:tcPr>
                  <w:tcW w:w="1790" w:type="pct"/>
                  <w:noWrap w:val="0"/>
                  <w:vAlign w:val="center"/>
                </w:tcPr>
                <w:p w14:paraId="52F215EF">
                  <w:pPr>
                    <w:spacing w:line="240" w:lineRule="exact"/>
                    <w:jc w:val="center"/>
                    <w:rPr>
                      <w:rFonts w:hint="eastAsia" w:eastAsia="宋体"/>
                      <w:color w:val="auto"/>
                      <w:lang w:val="en-US" w:eastAsia="zh-CN"/>
                    </w:rPr>
                  </w:pPr>
                  <w:r>
                    <w:rPr>
                      <w:color w:val="auto"/>
                    </w:rPr>
                    <w:t>已建，位于</w:t>
                  </w:r>
                  <w:r>
                    <w:rPr>
                      <w:rFonts w:hint="eastAsia"/>
                      <w:color w:val="auto"/>
                    </w:rPr>
                    <w:t>车间四</w:t>
                  </w:r>
                  <w:r>
                    <w:rPr>
                      <w:rFonts w:hint="eastAsia"/>
                      <w:color w:val="auto"/>
                      <w:lang w:val="en-US" w:eastAsia="zh-CN"/>
                    </w:rPr>
                    <w:t>,本次新增原料均依托2</w:t>
                  </w:r>
                  <w:r>
                    <w:rPr>
                      <w:color w:val="auto"/>
                    </w:rPr>
                    <w:t>#原料库</w:t>
                  </w:r>
                  <w:r>
                    <w:rPr>
                      <w:rFonts w:hint="eastAsia"/>
                      <w:color w:val="auto"/>
                      <w:lang w:val="en-US" w:eastAsia="zh-CN"/>
                    </w:rPr>
                    <w:t>暂存</w:t>
                  </w:r>
                </w:p>
              </w:tc>
            </w:tr>
            <w:tr w14:paraId="0086EFB4">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5" w:type="pct"/>
                  <w:vMerge w:val="continue"/>
                  <w:noWrap w:val="0"/>
                  <w:vAlign w:val="center"/>
                </w:tcPr>
                <w:p w14:paraId="73AF1929">
                  <w:pPr>
                    <w:jc w:val="center"/>
                    <w:rPr>
                      <w:color w:val="auto"/>
                      <w:lang w:bidi="ar"/>
                    </w:rPr>
                  </w:pPr>
                </w:p>
              </w:tc>
              <w:tc>
                <w:tcPr>
                  <w:tcW w:w="604" w:type="pct"/>
                  <w:gridSpan w:val="2"/>
                  <w:noWrap w:val="0"/>
                  <w:vAlign w:val="center"/>
                </w:tcPr>
                <w:p w14:paraId="10924932">
                  <w:pPr>
                    <w:spacing w:line="240" w:lineRule="exact"/>
                    <w:jc w:val="center"/>
                    <w:rPr>
                      <w:color w:val="auto"/>
                    </w:rPr>
                  </w:pPr>
                  <w:r>
                    <w:rPr>
                      <w:rFonts w:hint="eastAsia"/>
                      <w:color w:val="auto"/>
                    </w:rPr>
                    <w:t>1#</w:t>
                  </w:r>
                  <w:r>
                    <w:rPr>
                      <w:color w:val="auto"/>
                    </w:rPr>
                    <w:t>成品库</w:t>
                  </w:r>
                </w:p>
              </w:tc>
              <w:tc>
                <w:tcPr>
                  <w:tcW w:w="973" w:type="pct"/>
                  <w:noWrap w:val="0"/>
                  <w:vAlign w:val="center"/>
                </w:tcPr>
                <w:p w14:paraId="5A24C985">
                  <w:pPr>
                    <w:spacing w:line="240" w:lineRule="exact"/>
                    <w:jc w:val="center"/>
                    <w:rPr>
                      <w:color w:val="auto"/>
                      <w:lang w:bidi="ar"/>
                    </w:rPr>
                  </w:pPr>
                  <w:r>
                    <w:rPr>
                      <w:color w:val="auto"/>
                    </w:rPr>
                    <w:t>占地面积</w:t>
                  </w:r>
                  <w:r>
                    <w:rPr>
                      <w:color w:val="auto"/>
                      <w:kern w:val="0"/>
                    </w:rPr>
                    <w:t>5000</w:t>
                  </w:r>
                  <w:r>
                    <w:rPr>
                      <w:color w:val="auto"/>
                    </w:rPr>
                    <w:t>m</w:t>
                  </w:r>
                  <w:r>
                    <w:rPr>
                      <w:color w:val="auto"/>
                      <w:vertAlign w:val="superscript"/>
                    </w:rPr>
                    <w:t>2</w:t>
                  </w:r>
                </w:p>
              </w:tc>
              <w:tc>
                <w:tcPr>
                  <w:tcW w:w="524" w:type="pct"/>
                  <w:noWrap w:val="0"/>
                  <w:vAlign w:val="center"/>
                </w:tcPr>
                <w:p w14:paraId="4421E085">
                  <w:pPr>
                    <w:jc w:val="center"/>
                    <w:rPr>
                      <w:color w:val="auto"/>
                      <w:lang w:bidi="ar"/>
                    </w:rPr>
                  </w:pPr>
                  <w:r>
                    <w:rPr>
                      <w:color w:val="auto"/>
                    </w:rPr>
                    <w:t>/</w:t>
                  </w:r>
                </w:p>
              </w:tc>
              <w:tc>
                <w:tcPr>
                  <w:tcW w:w="892" w:type="pct"/>
                  <w:noWrap w:val="0"/>
                  <w:vAlign w:val="center"/>
                </w:tcPr>
                <w:p w14:paraId="2AA0B9BA">
                  <w:pPr>
                    <w:spacing w:line="240" w:lineRule="exact"/>
                    <w:jc w:val="center"/>
                    <w:rPr>
                      <w:color w:val="auto"/>
                      <w:lang w:bidi="ar"/>
                    </w:rPr>
                  </w:pPr>
                  <w:r>
                    <w:rPr>
                      <w:color w:val="auto"/>
                    </w:rPr>
                    <w:t>占地面积</w:t>
                  </w:r>
                  <w:r>
                    <w:rPr>
                      <w:color w:val="auto"/>
                      <w:kern w:val="0"/>
                    </w:rPr>
                    <w:t>5000</w:t>
                  </w:r>
                  <w:r>
                    <w:rPr>
                      <w:color w:val="auto"/>
                    </w:rPr>
                    <w:t>m</w:t>
                  </w:r>
                  <w:r>
                    <w:rPr>
                      <w:color w:val="auto"/>
                      <w:vertAlign w:val="superscript"/>
                    </w:rPr>
                    <w:t>2</w:t>
                  </w:r>
                </w:p>
              </w:tc>
              <w:tc>
                <w:tcPr>
                  <w:tcW w:w="1790" w:type="pct"/>
                  <w:noWrap w:val="0"/>
                  <w:vAlign w:val="center"/>
                </w:tcPr>
                <w:p w14:paraId="6B677C14">
                  <w:pPr>
                    <w:spacing w:line="240" w:lineRule="exact"/>
                    <w:jc w:val="center"/>
                    <w:rPr>
                      <w:color w:val="auto"/>
                    </w:rPr>
                  </w:pPr>
                  <w:r>
                    <w:rPr>
                      <w:color w:val="auto"/>
                    </w:rPr>
                    <w:t>已建，位于</w:t>
                  </w:r>
                  <w:r>
                    <w:rPr>
                      <w:rFonts w:hint="eastAsia"/>
                      <w:color w:val="auto"/>
                    </w:rPr>
                    <w:t>仓库一</w:t>
                  </w:r>
                </w:p>
              </w:tc>
            </w:tr>
            <w:tr w14:paraId="5A341495">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5" w:type="pct"/>
                  <w:vMerge w:val="continue"/>
                  <w:noWrap w:val="0"/>
                  <w:vAlign w:val="center"/>
                </w:tcPr>
                <w:p w14:paraId="3138471A">
                  <w:pPr>
                    <w:jc w:val="center"/>
                    <w:rPr>
                      <w:color w:val="auto"/>
                      <w:lang w:bidi="ar"/>
                    </w:rPr>
                  </w:pPr>
                </w:p>
              </w:tc>
              <w:tc>
                <w:tcPr>
                  <w:tcW w:w="604" w:type="pct"/>
                  <w:gridSpan w:val="2"/>
                  <w:noWrap w:val="0"/>
                  <w:vAlign w:val="center"/>
                </w:tcPr>
                <w:p w14:paraId="05029113">
                  <w:pPr>
                    <w:spacing w:line="240" w:lineRule="exact"/>
                    <w:jc w:val="center"/>
                    <w:rPr>
                      <w:color w:val="auto"/>
                    </w:rPr>
                  </w:pPr>
                  <w:r>
                    <w:rPr>
                      <w:rFonts w:hint="eastAsia"/>
                      <w:color w:val="auto"/>
                    </w:rPr>
                    <w:t>2#</w:t>
                  </w:r>
                  <w:r>
                    <w:rPr>
                      <w:color w:val="auto"/>
                    </w:rPr>
                    <w:t>成品库</w:t>
                  </w:r>
                </w:p>
              </w:tc>
              <w:tc>
                <w:tcPr>
                  <w:tcW w:w="973" w:type="pct"/>
                  <w:noWrap w:val="0"/>
                  <w:vAlign w:val="center"/>
                </w:tcPr>
                <w:p w14:paraId="63E779AF">
                  <w:pPr>
                    <w:spacing w:line="240" w:lineRule="exact"/>
                    <w:jc w:val="center"/>
                    <w:rPr>
                      <w:color w:val="auto"/>
                    </w:rPr>
                  </w:pPr>
                  <w:r>
                    <w:rPr>
                      <w:color w:val="auto"/>
                    </w:rPr>
                    <w:t>占地面积</w:t>
                  </w:r>
                  <w:r>
                    <w:rPr>
                      <w:rFonts w:hint="eastAsia"/>
                      <w:color w:val="auto"/>
                      <w:kern w:val="0"/>
                    </w:rPr>
                    <w:t>25</w:t>
                  </w:r>
                  <w:r>
                    <w:rPr>
                      <w:color w:val="auto"/>
                      <w:kern w:val="0"/>
                    </w:rPr>
                    <w:t>00</w:t>
                  </w:r>
                  <w:r>
                    <w:rPr>
                      <w:color w:val="auto"/>
                    </w:rPr>
                    <w:t>m</w:t>
                  </w:r>
                  <w:r>
                    <w:rPr>
                      <w:color w:val="auto"/>
                      <w:vertAlign w:val="superscript"/>
                    </w:rPr>
                    <w:t>2</w:t>
                  </w:r>
                </w:p>
              </w:tc>
              <w:tc>
                <w:tcPr>
                  <w:tcW w:w="524" w:type="pct"/>
                  <w:noWrap w:val="0"/>
                  <w:vAlign w:val="center"/>
                </w:tcPr>
                <w:p w14:paraId="496A028D">
                  <w:pPr>
                    <w:jc w:val="center"/>
                    <w:rPr>
                      <w:color w:val="auto"/>
                    </w:rPr>
                  </w:pPr>
                  <w:r>
                    <w:rPr>
                      <w:rFonts w:hint="eastAsia"/>
                      <w:color w:val="FF0000"/>
                      <w:lang w:val="en-US" w:eastAsia="zh-CN"/>
                    </w:rPr>
                    <w:t>依托现有</w:t>
                  </w:r>
                </w:p>
              </w:tc>
              <w:tc>
                <w:tcPr>
                  <w:tcW w:w="892" w:type="pct"/>
                  <w:noWrap w:val="0"/>
                  <w:vAlign w:val="center"/>
                </w:tcPr>
                <w:p w14:paraId="644ECDC4">
                  <w:pPr>
                    <w:spacing w:line="240" w:lineRule="exact"/>
                    <w:jc w:val="center"/>
                    <w:rPr>
                      <w:color w:val="auto"/>
                    </w:rPr>
                  </w:pPr>
                  <w:r>
                    <w:rPr>
                      <w:color w:val="auto"/>
                    </w:rPr>
                    <w:t>占地面积</w:t>
                  </w:r>
                  <w:r>
                    <w:rPr>
                      <w:rFonts w:hint="eastAsia"/>
                      <w:color w:val="auto"/>
                      <w:kern w:val="0"/>
                    </w:rPr>
                    <w:t>25</w:t>
                  </w:r>
                  <w:r>
                    <w:rPr>
                      <w:color w:val="auto"/>
                      <w:kern w:val="0"/>
                    </w:rPr>
                    <w:t>00</w:t>
                  </w:r>
                  <w:r>
                    <w:rPr>
                      <w:color w:val="auto"/>
                    </w:rPr>
                    <w:t>m</w:t>
                  </w:r>
                  <w:r>
                    <w:rPr>
                      <w:color w:val="auto"/>
                      <w:vertAlign w:val="superscript"/>
                    </w:rPr>
                    <w:t>2</w:t>
                  </w:r>
                </w:p>
              </w:tc>
              <w:tc>
                <w:tcPr>
                  <w:tcW w:w="1790" w:type="pct"/>
                  <w:noWrap w:val="0"/>
                  <w:vAlign w:val="center"/>
                </w:tcPr>
                <w:p w14:paraId="3FDE45BC">
                  <w:pPr>
                    <w:spacing w:line="240" w:lineRule="exact"/>
                    <w:jc w:val="center"/>
                    <w:rPr>
                      <w:rFonts w:hint="eastAsia" w:eastAsia="宋体"/>
                      <w:color w:val="auto"/>
                      <w:lang w:val="en-US" w:eastAsia="zh-CN"/>
                    </w:rPr>
                  </w:pPr>
                  <w:r>
                    <w:rPr>
                      <w:color w:val="auto"/>
                    </w:rPr>
                    <w:t>已建，位于</w:t>
                  </w:r>
                  <w:r>
                    <w:rPr>
                      <w:rFonts w:hint="eastAsia"/>
                      <w:color w:val="auto"/>
                    </w:rPr>
                    <w:t>车间四</w:t>
                  </w:r>
                  <w:r>
                    <w:rPr>
                      <w:rFonts w:hint="eastAsia"/>
                      <w:color w:val="auto"/>
                      <w:lang w:val="en-US" w:eastAsia="zh-CN"/>
                    </w:rPr>
                    <w:t>,本次新增成品均依托2</w:t>
                  </w:r>
                  <w:r>
                    <w:rPr>
                      <w:color w:val="auto"/>
                    </w:rPr>
                    <w:t>#</w:t>
                  </w:r>
                  <w:r>
                    <w:rPr>
                      <w:rFonts w:hint="eastAsia"/>
                      <w:color w:val="auto"/>
                      <w:lang w:val="en-US" w:eastAsia="zh-CN"/>
                    </w:rPr>
                    <w:t>成品</w:t>
                  </w:r>
                  <w:r>
                    <w:rPr>
                      <w:color w:val="auto"/>
                    </w:rPr>
                    <w:t>库</w:t>
                  </w:r>
                  <w:r>
                    <w:rPr>
                      <w:rFonts w:hint="eastAsia"/>
                      <w:color w:val="auto"/>
                      <w:lang w:val="en-US" w:eastAsia="zh-CN"/>
                    </w:rPr>
                    <w:t>暂存</w:t>
                  </w:r>
                </w:p>
              </w:tc>
            </w:tr>
            <w:tr w14:paraId="044BF715">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5" w:type="pct"/>
                  <w:vMerge w:val="continue"/>
                  <w:noWrap w:val="0"/>
                  <w:vAlign w:val="center"/>
                </w:tcPr>
                <w:p w14:paraId="655652F1">
                  <w:pPr>
                    <w:jc w:val="center"/>
                    <w:rPr>
                      <w:color w:val="auto"/>
                    </w:rPr>
                  </w:pPr>
                </w:p>
              </w:tc>
              <w:tc>
                <w:tcPr>
                  <w:tcW w:w="604" w:type="pct"/>
                  <w:gridSpan w:val="2"/>
                  <w:noWrap w:val="0"/>
                  <w:vAlign w:val="center"/>
                </w:tcPr>
                <w:p w14:paraId="7D68AB2E">
                  <w:pPr>
                    <w:jc w:val="center"/>
                    <w:rPr>
                      <w:color w:val="auto"/>
                      <w:lang w:bidi="ar"/>
                    </w:rPr>
                  </w:pPr>
                  <w:r>
                    <w:rPr>
                      <w:color w:val="auto"/>
                    </w:rPr>
                    <w:t>运输</w:t>
                  </w:r>
                </w:p>
              </w:tc>
              <w:tc>
                <w:tcPr>
                  <w:tcW w:w="973" w:type="pct"/>
                  <w:noWrap w:val="0"/>
                  <w:vAlign w:val="center"/>
                </w:tcPr>
                <w:p w14:paraId="6AF49F7D">
                  <w:pPr>
                    <w:jc w:val="center"/>
                    <w:rPr>
                      <w:color w:val="auto"/>
                      <w:lang w:bidi="ar"/>
                    </w:rPr>
                  </w:pPr>
                  <w:r>
                    <w:rPr>
                      <w:color w:val="auto"/>
                      <w:lang w:bidi="ar"/>
                    </w:rPr>
                    <w:t>车运</w:t>
                  </w:r>
                </w:p>
              </w:tc>
              <w:tc>
                <w:tcPr>
                  <w:tcW w:w="524" w:type="pct"/>
                  <w:noWrap w:val="0"/>
                  <w:vAlign w:val="center"/>
                </w:tcPr>
                <w:p w14:paraId="08657BC6">
                  <w:pPr>
                    <w:jc w:val="center"/>
                    <w:rPr>
                      <w:color w:val="auto"/>
                      <w:lang w:bidi="ar"/>
                    </w:rPr>
                  </w:pPr>
                  <w:r>
                    <w:rPr>
                      <w:color w:val="auto"/>
                      <w:lang w:bidi="ar"/>
                    </w:rPr>
                    <w:t>车运</w:t>
                  </w:r>
                </w:p>
              </w:tc>
              <w:tc>
                <w:tcPr>
                  <w:tcW w:w="892" w:type="pct"/>
                  <w:noWrap w:val="0"/>
                  <w:vAlign w:val="center"/>
                </w:tcPr>
                <w:p w14:paraId="2811D49C">
                  <w:pPr>
                    <w:jc w:val="center"/>
                    <w:rPr>
                      <w:color w:val="auto"/>
                      <w:lang w:bidi="ar"/>
                    </w:rPr>
                  </w:pPr>
                  <w:r>
                    <w:rPr>
                      <w:color w:val="auto"/>
                      <w:lang w:bidi="ar"/>
                    </w:rPr>
                    <w:t>车运</w:t>
                  </w:r>
                </w:p>
              </w:tc>
              <w:tc>
                <w:tcPr>
                  <w:tcW w:w="1790" w:type="pct"/>
                  <w:noWrap w:val="0"/>
                  <w:vAlign w:val="center"/>
                </w:tcPr>
                <w:p w14:paraId="31F32BA2">
                  <w:pPr>
                    <w:jc w:val="center"/>
                    <w:rPr>
                      <w:color w:val="auto"/>
                      <w:lang w:bidi="ar"/>
                    </w:rPr>
                  </w:pPr>
                  <w:r>
                    <w:rPr>
                      <w:color w:val="auto"/>
                      <w:lang w:bidi="ar"/>
                    </w:rPr>
                    <w:t>满足需求</w:t>
                  </w:r>
                </w:p>
              </w:tc>
            </w:tr>
            <w:tr w14:paraId="3F9C732D">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5" w:type="pct"/>
                  <w:vMerge w:val="restart"/>
                  <w:noWrap w:val="0"/>
                  <w:vAlign w:val="center"/>
                </w:tcPr>
                <w:p w14:paraId="39957191">
                  <w:pPr>
                    <w:jc w:val="center"/>
                    <w:rPr>
                      <w:color w:val="auto"/>
                      <w:lang w:bidi="ar"/>
                    </w:rPr>
                  </w:pPr>
                  <w:r>
                    <w:rPr>
                      <w:color w:val="auto"/>
                      <w:lang w:bidi="ar"/>
                    </w:rPr>
                    <w:t>公用</w:t>
                  </w:r>
                </w:p>
                <w:p w14:paraId="3EE6B2ED">
                  <w:pPr>
                    <w:jc w:val="center"/>
                    <w:rPr>
                      <w:color w:val="auto"/>
                    </w:rPr>
                  </w:pPr>
                  <w:r>
                    <w:rPr>
                      <w:color w:val="auto"/>
                      <w:lang w:bidi="ar"/>
                    </w:rPr>
                    <w:t>工程</w:t>
                  </w:r>
                </w:p>
              </w:tc>
              <w:tc>
                <w:tcPr>
                  <w:tcW w:w="604" w:type="pct"/>
                  <w:gridSpan w:val="2"/>
                  <w:noWrap w:val="0"/>
                  <w:vAlign w:val="center"/>
                </w:tcPr>
                <w:p w14:paraId="4AF109B5">
                  <w:pPr>
                    <w:jc w:val="center"/>
                    <w:rPr>
                      <w:color w:val="auto"/>
                    </w:rPr>
                  </w:pPr>
                  <w:r>
                    <w:rPr>
                      <w:color w:val="auto"/>
                    </w:rPr>
                    <w:t>供水</w:t>
                  </w:r>
                </w:p>
              </w:tc>
              <w:tc>
                <w:tcPr>
                  <w:tcW w:w="973" w:type="pct"/>
                  <w:noWrap w:val="0"/>
                  <w:vAlign w:val="center"/>
                </w:tcPr>
                <w:p w14:paraId="3874B8E2">
                  <w:pPr>
                    <w:jc w:val="center"/>
                    <w:rPr>
                      <w:color w:val="auto"/>
                    </w:rPr>
                  </w:pPr>
                  <w:r>
                    <w:rPr>
                      <w:rFonts w:hint="eastAsia"/>
                      <w:color w:val="auto"/>
                    </w:rPr>
                    <w:t>26661</w:t>
                  </w:r>
                  <w:r>
                    <w:rPr>
                      <w:color w:val="auto"/>
                    </w:rPr>
                    <w:t>m</w:t>
                  </w:r>
                  <w:r>
                    <w:rPr>
                      <w:color w:val="auto"/>
                      <w:vertAlign w:val="superscript"/>
                    </w:rPr>
                    <w:t>3</w:t>
                  </w:r>
                  <w:r>
                    <w:rPr>
                      <w:color w:val="auto"/>
                    </w:rPr>
                    <w:t>/a</w:t>
                  </w:r>
                </w:p>
              </w:tc>
              <w:tc>
                <w:tcPr>
                  <w:tcW w:w="524" w:type="pct"/>
                  <w:noWrap w:val="0"/>
                  <w:vAlign w:val="center"/>
                </w:tcPr>
                <w:p w14:paraId="3A327117">
                  <w:pPr>
                    <w:jc w:val="center"/>
                    <w:rPr>
                      <w:color w:val="auto"/>
                    </w:rPr>
                  </w:pPr>
                  <w:r>
                    <w:rPr>
                      <w:color w:val="auto"/>
                    </w:rPr>
                    <w:t>/</w:t>
                  </w:r>
                </w:p>
              </w:tc>
              <w:tc>
                <w:tcPr>
                  <w:tcW w:w="892" w:type="pct"/>
                  <w:noWrap w:val="0"/>
                  <w:vAlign w:val="center"/>
                </w:tcPr>
                <w:p w14:paraId="030CCC1F">
                  <w:pPr>
                    <w:jc w:val="center"/>
                    <w:rPr>
                      <w:color w:val="auto"/>
                    </w:rPr>
                  </w:pPr>
                  <w:r>
                    <w:rPr>
                      <w:rFonts w:hint="eastAsia"/>
                      <w:color w:val="auto"/>
                    </w:rPr>
                    <w:t>26661</w:t>
                  </w:r>
                  <w:r>
                    <w:rPr>
                      <w:color w:val="auto"/>
                    </w:rPr>
                    <w:t>m</w:t>
                  </w:r>
                  <w:r>
                    <w:rPr>
                      <w:color w:val="auto"/>
                      <w:vertAlign w:val="superscript"/>
                    </w:rPr>
                    <w:t>3</w:t>
                  </w:r>
                  <w:r>
                    <w:rPr>
                      <w:color w:val="auto"/>
                    </w:rPr>
                    <w:t>/a</w:t>
                  </w:r>
                </w:p>
              </w:tc>
              <w:tc>
                <w:tcPr>
                  <w:tcW w:w="1790" w:type="pct"/>
                  <w:noWrap w:val="0"/>
                  <w:vAlign w:val="center"/>
                </w:tcPr>
                <w:p w14:paraId="7843334C">
                  <w:pPr>
                    <w:jc w:val="center"/>
                    <w:rPr>
                      <w:color w:val="auto"/>
                    </w:rPr>
                  </w:pPr>
                  <w:r>
                    <w:rPr>
                      <w:color w:val="auto"/>
                    </w:rPr>
                    <w:t>本项目</w:t>
                  </w:r>
                  <w:r>
                    <w:rPr>
                      <w:rFonts w:hint="eastAsia"/>
                      <w:color w:val="auto"/>
                      <w:lang w:val="en-US" w:eastAsia="zh-CN"/>
                    </w:rPr>
                    <w:t>不</w:t>
                  </w:r>
                  <w:r>
                    <w:rPr>
                      <w:color w:val="auto"/>
                    </w:rPr>
                    <w:t>新增</w:t>
                  </w:r>
                  <w:r>
                    <w:rPr>
                      <w:rFonts w:hint="eastAsia"/>
                      <w:color w:val="auto"/>
                      <w:lang w:val="en-US" w:eastAsia="zh-CN"/>
                    </w:rPr>
                    <w:t>用水</w:t>
                  </w:r>
                </w:p>
              </w:tc>
            </w:tr>
            <w:tr w14:paraId="7F443ACB">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5" w:type="pct"/>
                  <w:vMerge w:val="continue"/>
                  <w:noWrap w:val="0"/>
                  <w:vAlign w:val="center"/>
                </w:tcPr>
                <w:p w14:paraId="1128764A">
                  <w:pPr>
                    <w:jc w:val="center"/>
                    <w:rPr>
                      <w:color w:val="auto"/>
                    </w:rPr>
                  </w:pPr>
                </w:p>
              </w:tc>
              <w:tc>
                <w:tcPr>
                  <w:tcW w:w="604" w:type="pct"/>
                  <w:gridSpan w:val="2"/>
                  <w:noWrap w:val="0"/>
                  <w:vAlign w:val="center"/>
                </w:tcPr>
                <w:p w14:paraId="3C74BC55">
                  <w:pPr>
                    <w:jc w:val="center"/>
                    <w:rPr>
                      <w:color w:val="auto"/>
                    </w:rPr>
                  </w:pPr>
                  <w:r>
                    <w:rPr>
                      <w:color w:val="auto"/>
                    </w:rPr>
                    <w:t>排水</w:t>
                  </w:r>
                </w:p>
              </w:tc>
              <w:tc>
                <w:tcPr>
                  <w:tcW w:w="973" w:type="pct"/>
                  <w:noWrap w:val="0"/>
                  <w:vAlign w:val="center"/>
                </w:tcPr>
                <w:p w14:paraId="09E56F6C">
                  <w:pPr>
                    <w:jc w:val="center"/>
                    <w:rPr>
                      <w:color w:val="auto"/>
                    </w:rPr>
                  </w:pPr>
                  <w:r>
                    <w:rPr>
                      <w:color w:val="auto"/>
                    </w:rPr>
                    <w:t>生活污水：</w:t>
                  </w:r>
                  <w:r>
                    <w:rPr>
                      <w:rFonts w:hint="eastAsia"/>
                      <w:color w:val="auto"/>
                    </w:rPr>
                    <w:t>17682</w:t>
                  </w:r>
                  <w:r>
                    <w:rPr>
                      <w:color w:val="auto"/>
                    </w:rPr>
                    <w:t>m</w:t>
                  </w:r>
                  <w:r>
                    <w:rPr>
                      <w:color w:val="auto"/>
                      <w:vertAlign w:val="superscript"/>
                    </w:rPr>
                    <w:t>3</w:t>
                  </w:r>
                  <w:r>
                    <w:rPr>
                      <w:color w:val="auto"/>
                    </w:rPr>
                    <w:t>/a</w:t>
                  </w:r>
                </w:p>
              </w:tc>
              <w:tc>
                <w:tcPr>
                  <w:tcW w:w="524" w:type="pct"/>
                  <w:noWrap w:val="0"/>
                  <w:vAlign w:val="center"/>
                </w:tcPr>
                <w:p w14:paraId="49D550A4">
                  <w:pPr>
                    <w:jc w:val="center"/>
                    <w:rPr>
                      <w:color w:val="auto"/>
                    </w:rPr>
                  </w:pPr>
                  <w:r>
                    <w:rPr>
                      <w:color w:val="auto"/>
                    </w:rPr>
                    <w:t>/</w:t>
                  </w:r>
                </w:p>
              </w:tc>
              <w:tc>
                <w:tcPr>
                  <w:tcW w:w="892" w:type="pct"/>
                  <w:noWrap w:val="0"/>
                  <w:vAlign w:val="center"/>
                </w:tcPr>
                <w:p w14:paraId="2A1EC243">
                  <w:pPr>
                    <w:jc w:val="center"/>
                    <w:rPr>
                      <w:color w:val="auto"/>
                    </w:rPr>
                  </w:pPr>
                  <w:r>
                    <w:rPr>
                      <w:color w:val="auto"/>
                    </w:rPr>
                    <w:t>生活污水：</w:t>
                  </w:r>
                  <w:r>
                    <w:rPr>
                      <w:rFonts w:hint="eastAsia"/>
                      <w:color w:val="auto"/>
                    </w:rPr>
                    <w:t>17682</w:t>
                  </w:r>
                  <w:r>
                    <w:rPr>
                      <w:color w:val="auto"/>
                    </w:rPr>
                    <w:t>m</w:t>
                  </w:r>
                  <w:r>
                    <w:rPr>
                      <w:color w:val="auto"/>
                      <w:vertAlign w:val="superscript"/>
                    </w:rPr>
                    <w:t>3</w:t>
                  </w:r>
                  <w:r>
                    <w:rPr>
                      <w:color w:val="auto"/>
                    </w:rPr>
                    <w:t>/a</w:t>
                  </w:r>
                </w:p>
              </w:tc>
              <w:tc>
                <w:tcPr>
                  <w:tcW w:w="1790" w:type="pct"/>
                  <w:noWrap w:val="0"/>
                  <w:vAlign w:val="center"/>
                </w:tcPr>
                <w:p w14:paraId="52DA04B3">
                  <w:pPr>
                    <w:jc w:val="center"/>
                    <w:rPr>
                      <w:color w:val="auto"/>
                    </w:rPr>
                  </w:pPr>
                  <w:r>
                    <w:rPr>
                      <w:color w:val="auto"/>
                    </w:rPr>
                    <w:t>本项目</w:t>
                  </w:r>
                  <w:r>
                    <w:rPr>
                      <w:rFonts w:hint="eastAsia"/>
                      <w:color w:val="auto"/>
                      <w:lang w:val="en-US" w:eastAsia="zh-CN"/>
                    </w:rPr>
                    <w:t>不</w:t>
                  </w:r>
                  <w:r>
                    <w:rPr>
                      <w:color w:val="auto"/>
                    </w:rPr>
                    <w:t>新增</w:t>
                  </w:r>
                  <w:r>
                    <w:rPr>
                      <w:rFonts w:hint="eastAsia"/>
                      <w:color w:val="auto"/>
                      <w:lang w:val="en-US" w:eastAsia="zh-CN"/>
                    </w:rPr>
                    <w:t>废水</w:t>
                  </w:r>
                </w:p>
              </w:tc>
            </w:tr>
            <w:tr w14:paraId="59DDEEA5">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5" w:type="pct"/>
                  <w:vMerge w:val="continue"/>
                  <w:noWrap w:val="0"/>
                  <w:vAlign w:val="center"/>
                </w:tcPr>
                <w:p w14:paraId="0E1FFCCD">
                  <w:pPr>
                    <w:jc w:val="center"/>
                    <w:rPr>
                      <w:color w:val="auto"/>
                    </w:rPr>
                  </w:pPr>
                </w:p>
              </w:tc>
              <w:tc>
                <w:tcPr>
                  <w:tcW w:w="604" w:type="pct"/>
                  <w:gridSpan w:val="2"/>
                  <w:noWrap w:val="0"/>
                  <w:vAlign w:val="center"/>
                </w:tcPr>
                <w:p w14:paraId="0CFE58D0">
                  <w:pPr>
                    <w:jc w:val="center"/>
                    <w:rPr>
                      <w:color w:val="auto"/>
                    </w:rPr>
                  </w:pPr>
                  <w:r>
                    <w:rPr>
                      <w:color w:val="auto"/>
                    </w:rPr>
                    <w:t>冷却塔</w:t>
                  </w:r>
                </w:p>
              </w:tc>
              <w:tc>
                <w:tcPr>
                  <w:tcW w:w="973" w:type="pct"/>
                  <w:noWrap w:val="0"/>
                  <w:vAlign w:val="center"/>
                </w:tcPr>
                <w:p w14:paraId="1438E487">
                  <w:pPr>
                    <w:jc w:val="center"/>
                    <w:rPr>
                      <w:color w:val="auto"/>
                    </w:rPr>
                  </w:pPr>
                  <w:r>
                    <w:rPr>
                      <w:rFonts w:hint="eastAsia"/>
                      <w:color w:val="auto"/>
                      <w:kern w:val="0"/>
                      <w:lang w:bidi="ar"/>
                    </w:rPr>
                    <w:t>5</w:t>
                  </w:r>
                  <w:r>
                    <w:rPr>
                      <w:color w:val="auto"/>
                      <w:kern w:val="0"/>
                      <w:lang w:bidi="ar"/>
                    </w:rPr>
                    <w:t>t/h</w:t>
                  </w:r>
                  <w:r>
                    <w:rPr>
                      <w:color w:val="auto"/>
                    </w:rPr>
                    <w:t xml:space="preserve">， </w:t>
                  </w:r>
                  <w:r>
                    <w:rPr>
                      <w:rFonts w:hint="eastAsia"/>
                      <w:color w:val="auto"/>
                      <w:lang w:val="en-US" w:eastAsia="zh-CN"/>
                    </w:rPr>
                    <w:t>10</w:t>
                  </w:r>
                  <w:r>
                    <w:rPr>
                      <w:color w:val="auto"/>
                    </w:rPr>
                    <w:t>座</w:t>
                  </w:r>
                </w:p>
              </w:tc>
              <w:tc>
                <w:tcPr>
                  <w:tcW w:w="524" w:type="pct"/>
                  <w:noWrap w:val="0"/>
                  <w:vAlign w:val="center"/>
                </w:tcPr>
                <w:p w14:paraId="2EDDC20E">
                  <w:pPr>
                    <w:jc w:val="center"/>
                    <w:rPr>
                      <w:color w:val="auto"/>
                    </w:rPr>
                  </w:pPr>
                  <w:r>
                    <w:rPr>
                      <w:rFonts w:hint="eastAsia"/>
                      <w:color w:val="FF0000"/>
                      <w:lang w:val="en-US" w:eastAsia="zh-CN"/>
                    </w:rPr>
                    <w:t>依托现有</w:t>
                  </w:r>
                </w:p>
              </w:tc>
              <w:tc>
                <w:tcPr>
                  <w:tcW w:w="892" w:type="pct"/>
                  <w:noWrap w:val="0"/>
                  <w:vAlign w:val="center"/>
                </w:tcPr>
                <w:p w14:paraId="343784F2">
                  <w:pPr>
                    <w:jc w:val="center"/>
                    <w:rPr>
                      <w:color w:val="auto"/>
                    </w:rPr>
                  </w:pPr>
                  <w:r>
                    <w:rPr>
                      <w:rFonts w:hint="eastAsia"/>
                      <w:color w:val="auto"/>
                      <w:kern w:val="0"/>
                      <w:lang w:bidi="ar"/>
                    </w:rPr>
                    <w:t>5</w:t>
                  </w:r>
                  <w:r>
                    <w:rPr>
                      <w:color w:val="auto"/>
                      <w:kern w:val="0"/>
                      <w:lang w:bidi="ar"/>
                    </w:rPr>
                    <w:t>t/h</w:t>
                  </w:r>
                  <w:r>
                    <w:rPr>
                      <w:color w:val="auto"/>
                    </w:rPr>
                    <w:t xml:space="preserve">， </w:t>
                  </w:r>
                  <w:r>
                    <w:rPr>
                      <w:rFonts w:hint="eastAsia"/>
                      <w:color w:val="auto"/>
                      <w:lang w:val="en-US" w:eastAsia="zh-CN"/>
                    </w:rPr>
                    <w:t>10</w:t>
                  </w:r>
                  <w:r>
                    <w:rPr>
                      <w:color w:val="auto"/>
                    </w:rPr>
                    <w:t>座</w:t>
                  </w:r>
                </w:p>
              </w:tc>
              <w:tc>
                <w:tcPr>
                  <w:tcW w:w="1790" w:type="pct"/>
                  <w:noWrap w:val="0"/>
                  <w:vAlign w:val="center"/>
                </w:tcPr>
                <w:p w14:paraId="6E29D56F">
                  <w:pPr>
                    <w:jc w:val="center"/>
                    <w:rPr>
                      <w:color w:val="auto"/>
                    </w:rPr>
                  </w:pPr>
                  <w:r>
                    <w:rPr>
                      <w:rFonts w:hint="eastAsia"/>
                      <w:color w:val="auto"/>
                      <w:lang w:val="en-US" w:eastAsia="zh-CN"/>
                    </w:rPr>
                    <w:t>依托现有的</w:t>
                  </w:r>
                  <w:r>
                    <w:rPr>
                      <w:color w:val="auto"/>
                    </w:rPr>
                    <w:t>冷却塔</w:t>
                  </w:r>
                </w:p>
              </w:tc>
            </w:tr>
            <w:tr w14:paraId="77220E43">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5" w:type="pct"/>
                  <w:vMerge w:val="continue"/>
                  <w:noWrap w:val="0"/>
                  <w:vAlign w:val="center"/>
                </w:tcPr>
                <w:p w14:paraId="06ED2271">
                  <w:pPr>
                    <w:jc w:val="center"/>
                    <w:rPr>
                      <w:color w:val="auto"/>
                    </w:rPr>
                  </w:pPr>
                </w:p>
              </w:tc>
              <w:tc>
                <w:tcPr>
                  <w:tcW w:w="604" w:type="pct"/>
                  <w:gridSpan w:val="2"/>
                  <w:noWrap w:val="0"/>
                  <w:vAlign w:val="center"/>
                </w:tcPr>
                <w:p w14:paraId="5C465FF0">
                  <w:pPr>
                    <w:jc w:val="center"/>
                    <w:rPr>
                      <w:color w:val="auto"/>
                    </w:rPr>
                  </w:pPr>
                  <w:r>
                    <w:rPr>
                      <w:bCs/>
                      <w:color w:val="auto"/>
                    </w:rPr>
                    <w:t>空压机</w:t>
                  </w:r>
                </w:p>
              </w:tc>
              <w:tc>
                <w:tcPr>
                  <w:tcW w:w="973" w:type="pct"/>
                  <w:noWrap w:val="0"/>
                  <w:vAlign w:val="center"/>
                </w:tcPr>
                <w:p w14:paraId="41FD9727">
                  <w:pPr>
                    <w:jc w:val="center"/>
                    <w:rPr>
                      <w:rStyle w:val="36"/>
                      <w:color w:val="auto"/>
                      <w:sz w:val="15"/>
                      <w:szCs w:val="15"/>
                      <w:shd w:val="clear" w:color="auto" w:fill="FFFFFF"/>
                    </w:rPr>
                  </w:pPr>
                  <w:r>
                    <w:rPr>
                      <w:color w:val="auto"/>
                    </w:rPr>
                    <w:t>1</w:t>
                  </w:r>
                  <w:r>
                    <w:rPr>
                      <w:rFonts w:hint="eastAsia"/>
                      <w:color w:val="auto"/>
                      <w:lang w:val="en-US" w:eastAsia="zh-CN"/>
                    </w:rPr>
                    <w:t>5k</w:t>
                  </w:r>
                  <w:r>
                    <w:rPr>
                      <w:color w:val="auto"/>
                    </w:rPr>
                    <w:t>W，</w:t>
                  </w:r>
                  <w:r>
                    <w:rPr>
                      <w:rFonts w:hint="eastAsia"/>
                      <w:color w:val="auto"/>
                      <w:lang w:val="en-US" w:eastAsia="zh-CN"/>
                    </w:rPr>
                    <w:t>8</w:t>
                  </w:r>
                  <w:r>
                    <w:rPr>
                      <w:color w:val="auto"/>
                    </w:rPr>
                    <w:t>台</w:t>
                  </w:r>
                </w:p>
              </w:tc>
              <w:tc>
                <w:tcPr>
                  <w:tcW w:w="524" w:type="pct"/>
                  <w:noWrap w:val="0"/>
                  <w:vAlign w:val="center"/>
                </w:tcPr>
                <w:p w14:paraId="70D0DC46">
                  <w:pPr>
                    <w:jc w:val="center"/>
                    <w:rPr>
                      <w:rStyle w:val="36"/>
                      <w:color w:val="auto"/>
                      <w:sz w:val="15"/>
                      <w:szCs w:val="15"/>
                      <w:shd w:val="clear" w:color="auto" w:fill="FFFFFF"/>
                    </w:rPr>
                  </w:pPr>
                  <w:r>
                    <w:rPr>
                      <w:rFonts w:hint="eastAsia"/>
                      <w:color w:val="FF0000"/>
                      <w:lang w:val="en-US" w:eastAsia="zh-CN"/>
                    </w:rPr>
                    <w:t>依托现有</w:t>
                  </w:r>
                </w:p>
              </w:tc>
              <w:tc>
                <w:tcPr>
                  <w:tcW w:w="892" w:type="pct"/>
                  <w:noWrap w:val="0"/>
                  <w:vAlign w:val="center"/>
                </w:tcPr>
                <w:p w14:paraId="7B03A93E">
                  <w:pPr>
                    <w:jc w:val="center"/>
                    <w:rPr>
                      <w:rStyle w:val="36"/>
                      <w:color w:val="auto"/>
                      <w:sz w:val="15"/>
                      <w:szCs w:val="15"/>
                      <w:shd w:val="clear" w:color="auto" w:fill="FFFFFF"/>
                    </w:rPr>
                  </w:pPr>
                  <w:r>
                    <w:rPr>
                      <w:color w:val="auto"/>
                    </w:rPr>
                    <w:t>15kW，</w:t>
                  </w:r>
                  <w:r>
                    <w:rPr>
                      <w:rFonts w:hint="eastAsia"/>
                      <w:color w:val="auto"/>
                      <w:lang w:val="en-US" w:eastAsia="zh-CN"/>
                    </w:rPr>
                    <w:t>8</w:t>
                  </w:r>
                  <w:r>
                    <w:rPr>
                      <w:color w:val="auto"/>
                    </w:rPr>
                    <w:t>台</w:t>
                  </w:r>
                </w:p>
              </w:tc>
              <w:tc>
                <w:tcPr>
                  <w:tcW w:w="1790" w:type="pct"/>
                  <w:noWrap w:val="0"/>
                  <w:vAlign w:val="center"/>
                </w:tcPr>
                <w:p w14:paraId="01FBEF54">
                  <w:pPr>
                    <w:jc w:val="center"/>
                    <w:rPr>
                      <w:rFonts w:hint="default" w:eastAsia="宋体"/>
                      <w:color w:val="auto"/>
                      <w:lang w:val="en-US" w:eastAsia="zh-CN"/>
                    </w:rPr>
                  </w:pPr>
                  <w:r>
                    <w:rPr>
                      <w:rFonts w:hint="eastAsia"/>
                      <w:color w:val="auto"/>
                      <w:lang w:val="en-US" w:eastAsia="zh-CN"/>
                    </w:rPr>
                    <w:t>依托现有空压系统</w:t>
                  </w:r>
                </w:p>
              </w:tc>
            </w:tr>
            <w:tr w14:paraId="5398008C">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5" w:type="pct"/>
                  <w:vMerge w:val="continue"/>
                  <w:noWrap w:val="0"/>
                  <w:vAlign w:val="center"/>
                </w:tcPr>
                <w:p w14:paraId="6B27585F">
                  <w:pPr>
                    <w:jc w:val="center"/>
                    <w:rPr>
                      <w:color w:val="auto"/>
                    </w:rPr>
                  </w:pPr>
                </w:p>
              </w:tc>
              <w:tc>
                <w:tcPr>
                  <w:tcW w:w="604" w:type="pct"/>
                  <w:gridSpan w:val="2"/>
                  <w:noWrap w:val="0"/>
                  <w:vAlign w:val="center"/>
                </w:tcPr>
                <w:p w14:paraId="42894580">
                  <w:pPr>
                    <w:jc w:val="center"/>
                    <w:rPr>
                      <w:color w:val="auto"/>
                    </w:rPr>
                  </w:pPr>
                  <w:r>
                    <w:rPr>
                      <w:color w:val="auto"/>
                    </w:rPr>
                    <w:t>供电</w:t>
                  </w:r>
                </w:p>
              </w:tc>
              <w:tc>
                <w:tcPr>
                  <w:tcW w:w="973" w:type="pct"/>
                  <w:noWrap w:val="0"/>
                  <w:vAlign w:val="center"/>
                </w:tcPr>
                <w:p w14:paraId="109CEBDC">
                  <w:pPr>
                    <w:jc w:val="center"/>
                    <w:rPr>
                      <w:color w:val="auto"/>
                    </w:rPr>
                  </w:pPr>
                  <w:r>
                    <w:rPr>
                      <w:rFonts w:hint="eastAsia"/>
                      <w:color w:val="auto"/>
                    </w:rPr>
                    <w:t>62</w:t>
                  </w:r>
                  <w:r>
                    <w:rPr>
                      <w:color w:val="auto"/>
                    </w:rPr>
                    <w:t>00万kW·h/a</w:t>
                  </w:r>
                </w:p>
              </w:tc>
              <w:tc>
                <w:tcPr>
                  <w:tcW w:w="524" w:type="pct"/>
                  <w:noWrap w:val="0"/>
                  <w:vAlign w:val="center"/>
                </w:tcPr>
                <w:p w14:paraId="45D033BB">
                  <w:pPr>
                    <w:jc w:val="center"/>
                    <w:rPr>
                      <w:rFonts w:hint="default" w:eastAsia="宋体"/>
                      <w:color w:val="auto"/>
                      <w:lang w:val="en-US" w:eastAsia="zh-CN"/>
                    </w:rPr>
                  </w:pPr>
                  <w:r>
                    <w:rPr>
                      <w:rFonts w:hint="eastAsia"/>
                      <w:color w:val="auto"/>
                      <w:lang w:val="en-US" w:eastAsia="zh-CN"/>
                    </w:rPr>
                    <w:t>50</w:t>
                  </w:r>
                  <w:r>
                    <w:rPr>
                      <w:color w:val="auto"/>
                    </w:rPr>
                    <w:t>万kW·h/a</w:t>
                  </w:r>
                </w:p>
              </w:tc>
              <w:tc>
                <w:tcPr>
                  <w:tcW w:w="892" w:type="pct"/>
                  <w:noWrap w:val="0"/>
                  <w:vAlign w:val="center"/>
                </w:tcPr>
                <w:p w14:paraId="717096F1">
                  <w:pPr>
                    <w:jc w:val="center"/>
                    <w:rPr>
                      <w:color w:val="auto"/>
                    </w:rPr>
                  </w:pPr>
                  <w:r>
                    <w:rPr>
                      <w:rFonts w:hint="eastAsia"/>
                      <w:color w:val="auto"/>
                      <w:lang w:val="en-US" w:eastAsia="zh-CN"/>
                    </w:rPr>
                    <w:t>6250</w:t>
                  </w:r>
                  <w:r>
                    <w:rPr>
                      <w:color w:val="auto"/>
                    </w:rPr>
                    <w:t>万kW·h/a</w:t>
                  </w:r>
                </w:p>
              </w:tc>
              <w:tc>
                <w:tcPr>
                  <w:tcW w:w="1790" w:type="pct"/>
                  <w:noWrap w:val="0"/>
                  <w:vAlign w:val="center"/>
                </w:tcPr>
                <w:p w14:paraId="1DA79583">
                  <w:pPr>
                    <w:jc w:val="center"/>
                    <w:rPr>
                      <w:rFonts w:hint="default"/>
                      <w:color w:val="auto"/>
                      <w:lang w:val="en-US"/>
                    </w:rPr>
                  </w:pPr>
                  <w:r>
                    <w:rPr>
                      <w:rFonts w:hint="eastAsia"/>
                      <w:color w:val="auto"/>
                      <w:lang w:val="en-US" w:eastAsia="zh-CN"/>
                    </w:rPr>
                    <w:t>依托现有供电管网</w:t>
                  </w:r>
                </w:p>
              </w:tc>
            </w:tr>
            <w:tr w14:paraId="4895F2D5">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5" w:type="pct"/>
                  <w:vMerge w:val="restart"/>
                  <w:noWrap w:val="0"/>
                  <w:vAlign w:val="center"/>
                </w:tcPr>
                <w:p w14:paraId="4AED6F6E">
                  <w:pPr>
                    <w:jc w:val="center"/>
                    <w:rPr>
                      <w:color w:val="auto"/>
                    </w:rPr>
                  </w:pPr>
                  <w:r>
                    <w:rPr>
                      <w:color w:val="auto"/>
                    </w:rPr>
                    <w:t>环保</w:t>
                  </w:r>
                </w:p>
                <w:p w14:paraId="58F853FC">
                  <w:pPr>
                    <w:jc w:val="center"/>
                    <w:rPr>
                      <w:color w:val="auto"/>
                    </w:rPr>
                  </w:pPr>
                  <w:r>
                    <w:rPr>
                      <w:color w:val="auto"/>
                    </w:rPr>
                    <w:t>工程</w:t>
                  </w:r>
                </w:p>
              </w:tc>
              <w:tc>
                <w:tcPr>
                  <w:tcW w:w="116" w:type="pct"/>
                  <w:vMerge w:val="restart"/>
                  <w:noWrap w:val="0"/>
                  <w:vAlign w:val="center"/>
                </w:tcPr>
                <w:p w14:paraId="493CEE11">
                  <w:pPr>
                    <w:jc w:val="center"/>
                    <w:rPr>
                      <w:rFonts w:hint="default" w:eastAsia="宋体"/>
                      <w:color w:val="auto"/>
                      <w:lang w:val="en-US" w:eastAsia="zh-CN"/>
                    </w:rPr>
                  </w:pPr>
                  <w:r>
                    <w:rPr>
                      <w:rFonts w:hint="eastAsia"/>
                      <w:color w:val="auto"/>
                      <w:lang w:val="en-US" w:eastAsia="zh-CN"/>
                    </w:rPr>
                    <w:t>废气</w:t>
                  </w:r>
                </w:p>
              </w:tc>
              <w:tc>
                <w:tcPr>
                  <w:tcW w:w="488" w:type="pct"/>
                  <w:noWrap w:val="0"/>
                  <w:vAlign w:val="center"/>
                </w:tcPr>
                <w:p w14:paraId="3AFF3690">
                  <w:pPr>
                    <w:jc w:val="center"/>
                    <w:rPr>
                      <w:rFonts w:hint="eastAsia"/>
                      <w:color w:val="auto"/>
                      <w:lang w:val="en-US" w:eastAsia="zh-CN"/>
                    </w:rPr>
                  </w:pPr>
                  <w:r>
                    <w:rPr>
                      <w:rFonts w:hint="eastAsia"/>
                      <w:color w:val="auto"/>
                    </w:rPr>
                    <w:t>厂房一</w:t>
                  </w:r>
                  <w:r>
                    <w:rPr>
                      <w:color w:val="auto"/>
                    </w:rPr>
                    <w:t>现有项目</w:t>
                  </w:r>
                  <w:r>
                    <w:rPr>
                      <w:rFonts w:hint="eastAsia"/>
                      <w:color w:val="auto"/>
                    </w:rPr>
                    <w:t>1</w:t>
                  </w:r>
                  <w:r>
                    <w:rPr>
                      <w:rFonts w:hint="eastAsia"/>
                      <w:color w:val="auto"/>
                      <w:lang w:val="en-US" w:eastAsia="zh-CN"/>
                    </w:rPr>
                    <w:t>2</w:t>
                  </w:r>
                  <w:r>
                    <w:rPr>
                      <w:rFonts w:hint="eastAsia"/>
                      <w:color w:val="auto"/>
                    </w:rPr>
                    <w:t>条</w:t>
                  </w:r>
                  <w:r>
                    <w:rPr>
                      <w:color w:val="auto"/>
                    </w:rPr>
                    <w:t>EVA胶膜线流延成膜废气</w:t>
                  </w:r>
                </w:p>
              </w:tc>
              <w:tc>
                <w:tcPr>
                  <w:tcW w:w="973" w:type="pct"/>
                  <w:noWrap w:val="0"/>
                  <w:vAlign w:val="center"/>
                </w:tcPr>
                <w:p w14:paraId="4DE0315D">
                  <w:pPr>
                    <w:jc w:val="center"/>
                    <w:rPr>
                      <w:color w:val="auto"/>
                    </w:rPr>
                  </w:pPr>
                  <w:r>
                    <w:rPr>
                      <w:rFonts w:hint="default" w:ascii="Times New Roman" w:hAnsi="Times New Roman" w:eastAsia="宋体" w:cs="Times New Roman"/>
                      <w:color w:val="auto"/>
                      <w:lang w:val="en-US" w:eastAsia="zh-CN"/>
                    </w:rPr>
                    <w:t>二级活性炭吸附</w:t>
                  </w: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rPr>
                    <w:t>15</w:t>
                  </w:r>
                  <w:r>
                    <w:rPr>
                      <w:color w:val="auto"/>
                    </w:rPr>
                    <w:t>m高排气筒</w:t>
                  </w:r>
                  <w:r>
                    <w:rPr>
                      <w:rFonts w:hint="eastAsia"/>
                      <w:color w:val="auto"/>
                      <w:lang w:eastAsia="zh-CN"/>
                    </w:rPr>
                    <w:t>（</w:t>
                  </w:r>
                  <w:r>
                    <w:rPr>
                      <w:color w:val="auto"/>
                    </w:rPr>
                    <w:t>P1</w:t>
                  </w:r>
                  <w:r>
                    <w:rPr>
                      <w:rFonts w:hint="eastAsia"/>
                      <w:color w:val="auto"/>
                      <w:lang w:eastAsia="zh-CN"/>
                    </w:rPr>
                    <w:t>）</w:t>
                  </w:r>
                  <w:r>
                    <w:rPr>
                      <w:color w:val="auto"/>
                    </w:rPr>
                    <w:t>，废气量</w:t>
                  </w:r>
                  <w:r>
                    <w:rPr>
                      <w:rFonts w:hint="eastAsia"/>
                      <w:color w:val="auto"/>
                      <w:lang w:val="en-US" w:eastAsia="zh-CN"/>
                    </w:rPr>
                    <w:t>21</w:t>
                  </w:r>
                  <w:r>
                    <w:rPr>
                      <w:color w:val="auto"/>
                    </w:rPr>
                    <w:t>000</w:t>
                  </w:r>
                  <w:r>
                    <w:rPr>
                      <w:color w:val="auto"/>
                      <w:kern w:val="0"/>
                      <w:lang w:bidi="ar"/>
                    </w:rPr>
                    <w:t>m</w:t>
                  </w:r>
                  <w:r>
                    <w:rPr>
                      <w:color w:val="auto"/>
                      <w:kern w:val="0"/>
                      <w:vertAlign w:val="superscript"/>
                      <w:lang w:bidi="ar"/>
                    </w:rPr>
                    <w:t>3</w:t>
                  </w:r>
                  <w:r>
                    <w:rPr>
                      <w:color w:val="auto"/>
                      <w:kern w:val="0"/>
                      <w:lang w:bidi="ar"/>
                    </w:rPr>
                    <w:t>/h</w:t>
                  </w:r>
                </w:p>
              </w:tc>
              <w:tc>
                <w:tcPr>
                  <w:tcW w:w="524" w:type="pct"/>
                  <w:noWrap w:val="0"/>
                  <w:vAlign w:val="center"/>
                </w:tcPr>
                <w:p w14:paraId="0AF47B8B">
                  <w:pPr>
                    <w:jc w:val="center"/>
                    <w:rPr>
                      <w:color w:val="auto"/>
                    </w:rPr>
                  </w:pPr>
                  <w:r>
                    <w:rPr>
                      <w:color w:val="auto"/>
                    </w:rPr>
                    <w:t>/</w:t>
                  </w:r>
                </w:p>
              </w:tc>
              <w:tc>
                <w:tcPr>
                  <w:tcW w:w="892" w:type="pct"/>
                  <w:noWrap w:val="0"/>
                  <w:vAlign w:val="center"/>
                </w:tcPr>
                <w:p w14:paraId="1E31AA50">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二级活性炭吸附</w:t>
                  </w: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rPr>
                    <w:t>15</w:t>
                  </w:r>
                  <w:r>
                    <w:rPr>
                      <w:color w:val="auto"/>
                    </w:rPr>
                    <w:t>m高排气筒</w:t>
                  </w:r>
                  <w:r>
                    <w:rPr>
                      <w:rFonts w:hint="eastAsia"/>
                      <w:color w:val="auto"/>
                      <w:lang w:eastAsia="zh-CN"/>
                    </w:rPr>
                    <w:t>（</w:t>
                  </w:r>
                  <w:r>
                    <w:rPr>
                      <w:color w:val="auto"/>
                    </w:rPr>
                    <w:t>P1</w:t>
                  </w:r>
                  <w:r>
                    <w:rPr>
                      <w:rFonts w:hint="eastAsia"/>
                      <w:color w:val="auto"/>
                      <w:lang w:eastAsia="zh-CN"/>
                    </w:rPr>
                    <w:t>）</w:t>
                  </w:r>
                  <w:r>
                    <w:rPr>
                      <w:color w:val="auto"/>
                    </w:rPr>
                    <w:t>，废气量</w:t>
                  </w:r>
                  <w:r>
                    <w:rPr>
                      <w:rFonts w:hint="eastAsia"/>
                      <w:color w:val="auto"/>
                      <w:lang w:val="en-US" w:eastAsia="zh-CN"/>
                    </w:rPr>
                    <w:t>21</w:t>
                  </w:r>
                  <w:r>
                    <w:rPr>
                      <w:color w:val="auto"/>
                    </w:rPr>
                    <w:t>000</w:t>
                  </w:r>
                  <w:r>
                    <w:rPr>
                      <w:color w:val="auto"/>
                      <w:kern w:val="0"/>
                      <w:lang w:bidi="ar"/>
                    </w:rPr>
                    <w:t>m</w:t>
                  </w:r>
                  <w:r>
                    <w:rPr>
                      <w:color w:val="auto"/>
                      <w:kern w:val="0"/>
                      <w:vertAlign w:val="superscript"/>
                      <w:lang w:bidi="ar"/>
                    </w:rPr>
                    <w:t>3</w:t>
                  </w:r>
                  <w:r>
                    <w:rPr>
                      <w:color w:val="auto"/>
                      <w:kern w:val="0"/>
                      <w:lang w:bidi="ar"/>
                    </w:rPr>
                    <w:t>/h</w:t>
                  </w:r>
                </w:p>
              </w:tc>
              <w:tc>
                <w:tcPr>
                  <w:tcW w:w="1790" w:type="pct"/>
                  <w:noWrap w:val="0"/>
                  <w:vAlign w:val="center"/>
                </w:tcPr>
                <w:p w14:paraId="4DE04D66">
                  <w:pPr>
                    <w:jc w:val="center"/>
                    <w:rPr>
                      <w:rFonts w:hint="default" w:eastAsia="宋体"/>
                      <w:color w:val="auto"/>
                      <w:lang w:val="en-US" w:eastAsia="zh-CN"/>
                    </w:rPr>
                  </w:pPr>
                  <w:r>
                    <w:rPr>
                      <w:color w:val="auto"/>
                    </w:rPr>
                    <w:t>现有</w:t>
                  </w:r>
                  <w:r>
                    <w:rPr>
                      <w:rFonts w:hint="eastAsia"/>
                      <w:color w:val="auto"/>
                    </w:rPr>
                    <w:t>已建</w:t>
                  </w:r>
                  <w:r>
                    <w:rPr>
                      <w:color w:val="auto"/>
                    </w:rPr>
                    <w:t>，</w:t>
                  </w:r>
                  <w:r>
                    <w:rPr>
                      <w:rFonts w:hint="eastAsia"/>
                      <w:color w:val="auto"/>
                      <w:lang w:val="en-US" w:eastAsia="zh-CN"/>
                    </w:rPr>
                    <w:t>本次不涉及</w:t>
                  </w:r>
                </w:p>
              </w:tc>
            </w:tr>
            <w:tr w14:paraId="5BA6C215">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5" w:type="pct"/>
                  <w:vMerge w:val="continue"/>
                  <w:noWrap w:val="0"/>
                  <w:vAlign w:val="center"/>
                </w:tcPr>
                <w:p w14:paraId="3A01F22A">
                  <w:pPr>
                    <w:jc w:val="center"/>
                    <w:rPr>
                      <w:color w:val="auto"/>
                    </w:rPr>
                  </w:pPr>
                </w:p>
              </w:tc>
              <w:tc>
                <w:tcPr>
                  <w:tcW w:w="116" w:type="pct"/>
                  <w:vMerge w:val="continue"/>
                  <w:noWrap w:val="0"/>
                  <w:vAlign w:val="center"/>
                </w:tcPr>
                <w:p w14:paraId="0A7CA7C2">
                  <w:pPr>
                    <w:jc w:val="center"/>
                    <w:rPr>
                      <w:rFonts w:hint="eastAsia"/>
                      <w:color w:val="auto"/>
                      <w:lang w:val="en-US" w:eastAsia="zh-CN"/>
                    </w:rPr>
                  </w:pPr>
                </w:p>
              </w:tc>
              <w:tc>
                <w:tcPr>
                  <w:tcW w:w="488" w:type="pct"/>
                  <w:noWrap w:val="0"/>
                  <w:vAlign w:val="center"/>
                </w:tcPr>
                <w:p w14:paraId="1FE27FFE">
                  <w:pPr>
                    <w:jc w:val="center"/>
                    <w:rPr>
                      <w:rFonts w:hint="eastAsia"/>
                      <w:color w:val="auto"/>
                      <w:lang w:val="en-US" w:eastAsia="zh-CN"/>
                    </w:rPr>
                  </w:pPr>
                  <w:r>
                    <w:rPr>
                      <w:rFonts w:hint="eastAsia"/>
                      <w:color w:val="auto"/>
                    </w:rPr>
                    <w:t>车间三</w:t>
                  </w:r>
                  <w:r>
                    <w:rPr>
                      <w:color w:val="auto"/>
                    </w:rPr>
                    <w:t>现有项目</w:t>
                  </w:r>
                  <w:r>
                    <w:rPr>
                      <w:rFonts w:hint="eastAsia"/>
                      <w:color w:val="auto"/>
                    </w:rPr>
                    <w:t>5条</w:t>
                  </w:r>
                  <w:r>
                    <w:rPr>
                      <w:color w:val="auto"/>
                    </w:rPr>
                    <w:t>塑料粒子生产线</w:t>
                  </w:r>
                  <w:r>
                    <w:rPr>
                      <w:rFonts w:hint="eastAsia"/>
                      <w:color w:val="auto"/>
                    </w:rPr>
                    <w:t>挤出</w:t>
                  </w:r>
                  <w:r>
                    <w:rPr>
                      <w:color w:val="auto"/>
                    </w:rPr>
                    <w:t>成型废气</w:t>
                  </w:r>
                </w:p>
              </w:tc>
              <w:tc>
                <w:tcPr>
                  <w:tcW w:w="973" w:type="pct"/>
                  <w:noWrap w:val="0"/>
                  <w:vAlign w:val="center"/>
                </w:tcPr>
                <w:p w14:paraId="574B7E58">
                  <w:pPr>
                    <w:jc w:val="center"/>
                    <w:rPr>
                      <w:color w:val="auto"/>
                    </w:rPr>
                  </w:pPr>
                  <w:r>
                    <w:rPr>
                      <w:rFonts w:hint="default" w:ascii="Times New Roman" w:hAnsi="Times New Roman" w:eastAsia="宋体" w:cs="Times New Roman"/>
                      <w:color w:val="auto"/>
                      <w:lang w:val="en-US" w:eastAsia="zh-CN"/>
                    </w:rPr>
                    <w:t>二级活性炭吸附</w:t>
                  </w: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rPr>
                    <w:t>15</w:t>
                  </w:r>
                  <w:r>
                    <w:rPr>
                      <w:color w:val="auto"/>
                    </w:rPr>
                    <w:t>m高排气筒</w:t>
                  </w:r>
                  <w:r>
                    <w:rPr>
                      <w:rFonts w:hint="eastAsia"/>
                      <w:color w:val="auto"/>
                      <w:lang w:eastAsia="zh-CN"/>
                    </w:rPr>
                    <w:t>（</w:t>
                  </w:r>
                  <w:r>
                    <w:rPr>
                      <w:color w:val="auto"/>
                    </w:rPr>
                    <w:t>P</w:t>
                  </w:r>
                  <w:r>
                    <w:rPr>
                      <w:rFonts w:hint="eastAsia"/>
                      <w:color w:val="auto"/>
                      <w:lang w:val="en-US" w:eastAsia="zh-CN"/>
                    </w:rPr>
                    <w:t>2</w:t>
                  </w:r>
                  <w:r>
                    <w:rPr>
                      <w:rFonts w:hint="eastAsia"/>
                      <w:color w:val="auto"/>
                      <w:lang w:eastAsia="zh-CN"/>
                    </w:rPr>
                    <w:t>）</w:t>
                  </w:r>
                  <w:r>
                    <w:rPr>
                      <w:color w:val="auto"/>
                    </w:rPr>
                    <w:t>，废气量</w:t>
                  </w:r>
                  <w:r>
                    <w:rPr>
                      <w:rFonts w:hint="eastAsia"/>
                      <w:color w:val="auto"/>
                      <w:lang w:val="en-US" w:eastAsia="zh-CN"/>
                    </w:rPr>
                    <w:t>45</w:t>
                  </w:r>
                  <w:r>
                    <w:rPr>
                      <w:rFonts w:hint="eastAsia"/>
                      <w:color w:val="auto"/>
                    </w:rPr>
                    <w:t>00m</w:t>
                  </w:r>
                  <w:r>
                    <w:rPr>
                      <w:color w:val="auto"/>
                      <w:kern w:val="0"/>
                      <w:vertAlign w:val="superscript"/>
                      <w:lang w:bidi="ar"/>
                    </w:rPr>
                    <w:t>3</w:t>
                  </w:r>
                  <w:r>
                    <w:rPr>
                      <w:color w:val="auto"/>
                      <w:kern w:val="0"/>
                      <w:lang w:bidi="ar"/>
                    </w:rPr>
                    <w:t>/h</w:t>
                  </w:r>
                </w:p>
              </w:tc>
              <w:tc>
                <w:tcPr>
                  <w:tcW w:w="524" w:type="pct"/>
                  <w:noWrap w:val="0"/>
                  <w:vAlign w:val="center"/>
                </w:tcPr>
                <w:p w14:paraId="49CEF1D5">
                  <w:pPr>
                    <w:jc w:val="center"/>
                    <w:rPr>
                      <w:color w:val="auto"/>
                    </w:rPr>
                  </w:pPr>
                  <w:r>
                    <w:rPr>
                      <w:color w:val="auto"/>
                    </w:rPr>
                    <w:t>/</w:t>
                  </w:r>
                </w:p>
              </w:tc>
              <w:tc>
                <w:tcPr>
                  <w:tcW w:w="892" w:type="pct"/>
                  <w:noWrap w:val="0"/>
                  <w:vAlign w:val="center"/>
                </w:tcPr>
                <w:p w14:paraId="63D8436F">
                  <w:pPr>
                    <w:jc w:val="center"/>
                    <w:rPr>
                      <w:color w:val="auto"/>
                    </w:rPr>
                  </w:pPr>
                  <w:r>
                    <w:rPr>
                      <w:rFonts w:hint="default" w:ascii="Times New Roman" w:hAnsi="Times New Roman" w:eastAsia="宋体" w:cs="Times New Roman"/>
                      <w:color w:val="auto"/>
                      <w:lang w:val="en-US" w:eastAsia="zh-CN"/>
                    </w:rPr>
                    <w:t>二级活性炭吸附</w:t>
                  </w: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rPr>
                    <w:t>15</w:t>
                  </w:r>
                  <w:r>
                    <w:rPr>
                      <w:color w:val="auto"/>
                    </w:rPr>
                    <w:t>m高排气筒</w:t>
                  </w:r>
                  <w:r>
                    <w:rPr>
                      <w:rFonts w:hint="eastAsia"/>
                      <w:color w:val="auto"/>
                      <w:lang w:eastAsia="zh-CN"/>
                    </w:rPr>
                    <w:t>（</w:t>
                  </w:r>
                  <w:r>
                    <w:rPr>
                      <w:color w:val="auto"/>
                    </w:rPr>
                    <w:t>P</w:t>
                  </w:r>
                  <w:r>
                    <w:rPr>
                      <w:rFonts w:hint="eastAsia"/>
                      <w:color w:val="auto"/>
                      <w:lang w:val="en-US" w:eastAsia="zh-CN"/>
                    </w:rPr>
                    <w:t>2</w:t>
                  </w:r>
                  <w:r>
                    <w:rPr>
                      <w:rFonts w:hint="eastAsia"/>
                      <w:color w:val="auto"/>
                      <w:lang w:eastAsia="zh-CN"/>
                    </w:rPr>
                    <w:t>）</w:t>
                  </w:r>
                  <w:r>
                    <w:rPr>
                      <w:color w:val="auto"/>
                    </w:rPr>
                    <w:t>，废气量</w:t>
                  </w:r>
                  <w:r>
                    <w:rPr>
                      <w:rFonts w:hint="eastAsia"/>
                      <w:color w:val="auto"/>
                      <w:lang w:val="en-US" w:eastAsia="zh-CN"/>
                    </w:rPr>
                    <w:t>45</w:t>
                  </w:r>
                  <w:r>
                    <w:rPr>
                      <w:rFonts w:hint="eastAsia"/>
                      <w:color w:val="auto"/>
                    </w:rPr>
                    <w:t>00m</w:t>
                  </w:r>
                  <w:r>
                    <w:rPr>
                      <w:color w:val="auto"/>
                      <w:kern w:val="0"/>
                      <w:vertAlign w:val="superscript"/>
                      <w:lang w:bidi="ar"/>
                    </w:rPr>
                    <w:t>3</w:t>
                  </w:r>
                  <w:r>
                    <w:rPr>
                      <w:color w:val="auto"/>
                      <w:kern w:val="0"/>
                      <w:lang w:bidi="ar"/>
                    </w:rPr>
                    <w:t>/h</w:t>
                  </w:r>
                </w:p>
              </w:tc>
              <w:tc>
                <w:tcPr>
                  <w:tcW w:w="1790" w:type="pct"/>
                  <w:noWrap w:val="0"/>
                  <w:vAlign w:val="center"/>
                </w:tcPr>
                <w:p w14:paraId="7B978BD2">
                  <w:pPr>
                    <w:jc w:val="center"/>
                    <w:rPr>
                      <w:color w:val="auto"/>
                    </w:rPr>
                  </w:pPr>
                  <w:r>
                    <w:rPr>
                      <w:color w:val="auto"/>
                    </w:rPr>
                    <w:t>现有</w:t>
                  </w:r>
                  <w:r>
                    <w:rPr>
                      <w:rFonts w:hint="eastAsia"/>
                      <w:color w:val="auto"/>
                    </w:rPr>
                    <w:t>已建</w:t>
                  </w:r>
                  <w:r>
                    <w:rPr>
                      <w:color w:val="auto"/>
                    </w:rPr>
                    <w:t>，</w:t>
                  </w:r>
                  <w:r>
                    <w:rPr>
                      <w:rFonts w:hint="eastAsia"/>
                      <w:color w:val="auto"/>
                      <w:lang w:val="en-US" w:eastAsia="zh-CN"/>
                    </w:rPr>
                    <w:t>本次不涉及</w:t>
                  </w:r>
                </w:p>
              </w:tc>
            </w:tr>
            <w:tr w14:paraId="3020F04D">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5" w:type="pct"/>
                  <w:vMerge w:val="continue"/>
                  <w:noWrap w:val="0"/>
                  <w:vAlign w:val="center"/>
                </w:tcPr>
                <w:p w14:paraId="38E86158">
                  <w:pPr>
                    <w:jc w:val="center"/>
                    <w:rPr>
                      <w:color w:val="auto"/>
                    </w:rPr>
                  </w:pPr>
                </w:p>
              </w:tc>
              <w:tc>
                <w:tcPr>
                  <w:tcW w:w="116" w:type="pct"/>
                  <w:vMerge w:val="continue"/>
                  <w:noWrap w:val="0"/>
                  <w:vAlign w:val="center"/>
                </w:tcPr>
                <w:p w14:paraId="1FAE8051">
                  <w:pPr>
                    <w:jc w:val="center"/>
                    <w:rPr>
                      <w:rFonts w:hint="default" w:eastAsia="宋体"/>
                      <w:color w:val="auto"/>
                      <w:lang w:val="en-US" w:eastAsia="zh-CN"/>
                    </w:rPr>
                  </w:pPr>
                </w:p>
              </w:tc>
              <w:tc>
                <w:tcPr>
                  <w:tcW w:w="488" w:type="pct"/>
                  <w:noWrap w:val="0"/>
                  <w:vAlign w:val="center"/>
                </w:tcPr>
                <w:p w14:paraId="581216BB">
                  <w:pPr>
                    <w:jc w:val="center"/>
                    <w:rPr>
                      <w:rFonts w:hint="eastAsia"/>
                      <w:color w:val="auto"/>
                      <w:lang w:val="en-US" w:eastAsia="zh-CN"/>
                    </w:rPr>
                  </w:pPr>
                  <w:r>
                    <w:rPr>
                      <w:rFonts w:hint="eastAsia"/>
                      <w:color w:val="auto"/>
                    </w:rPr>
                    <w:t>厂房二</w:t>
                  </w:r>
                  <w:r>
                    <w:rPr>
                      <w:color w:val="auto"/>
                    </w:rPr>
                    <w:t>现有项目</w:t>
                  </w:r>
                  <w:r>
                    <w:rPr>
                      <w:rFonts w:hint="eastAsia"/>
                      <w:color w:val="auto"/>
                      <w:lang w:val="en-US" w:eastAsia="zh-CN"/>
                    </w:rPr>
                    <w:t>8</w:t>
                  </w:r>
                  <w:r>
                    <w:rPr>
                      <w:rFonts w:hint="eastAsia"/>
                      <w:color w:val="auto"/>
                    </w:rPr>
                    <w:t>条</w:t>
                  </w:r>
                  <w:r>
                    <w:rPr>
                      <w:color w:val="auto"/>
                    </w:rPr>
                    <w:t>EVA胶膜生产线流延成膜废气</w:t>
                  </w:r>
                </w:p>
              </w:tc>
              <w:tc>
                <w:tcPr>
                  <w:tcW w:w="973" w:type="pct"/>
                  <w:noWrap w:val="0"/>
                  <w:vAlign w:val="center"/>
                </w:tcPr>
                <w:p w14:paraId="18F6D588">
                  <w:pPr>
                    <w:jc w:val="center"/>
                    <w:rPr>
                      <w:color w:val="auto"/>
                    </w:rPr>
                  </w:pPr>
                  <w:r>
                    <w:rPr>
                      <w:rFonts w:hint="default" w:ascii="Times New Roman" w:hAnsi="Times New Roman" w:eastAsia="宋体" w:cs="Times New Roman"/>
                      <w:color w:val="auto"/>
                      <w:lang w:val="en-US" w:eastAsia="zh-CN"/>
                    </w:rPr>
                    <w:t>二级活性炭吸附</w:t>
                  </w: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rPr>
                    <w:t>15</w:t>
                  </w:r>
                  <w:r>
                    <w:rPr>
                      <w:color w:val="auto"/>
                    </w:rPr>
                    <w:t>m高排气筒</w:t>
                  </w:r>
                  <w:r>
                    <w:rPr>
                      <w:rFonts w:hint="eastAsia"/>
                      <w:color w:val="auto"/>
                      <w:lang w:eastAsia="zh-CN"/>
                    </w:rPr>
                    <w:t>（</w:t>
                  </w:r>
                  <w:r>
                    <w:rPr>
                      <w:color w:val="auto"/>
                    </w:rPr>
                    <w:t>P</w:t>
                  </w:r>
                  <w:r>
                    <w:rPr>
                      <w:rFonts w:hint="eastAsia"/>
                      <w:color w:val="auto"/>
                      <w:lang w:val="en-US" w:eastAsia="zh-CN"/>
                    </w:rPr>
                    <w:t>3</w:t>
                  </w:r>
                  <w:r>
                    <w:rPr>
                      <w:rFonts w:hint="eastAsia"/>
                      <w:color w:val="auto"/>
                      <w:lang w:eastAsia="zh-CN"/>
                    </w:rPr>
                    <w:t>）</w:t>
                  </w:r>
                  <w:r>
                    <w:rPr>
                      <w:color w:val="auto"/>
                    </w:rPr>
                    <w:t>，废气量</w:t>
                  </w:r>
                  <w:r>
                    <w:rPr>
                      <w:rFonts w:hint="eastAsia"/>
                      <w:color w:val="auto"/>
                      <w:lang w:val="en-US" w:eastAsia="zh-CN"/>
                    </w:rPr>
                    <w:t>63</w:t>
                  </w:r>
                  <w:r>
                    <w:rPr>
                      <w:color w:val="auto"/>
                    </w:rPr>
                    <w:t>00</w:t>
                  </w:r>
                  <w:r>
                    <w:rPr>
                      <w:color w:val="auto"/>
                      <w:kern w:val="0"/>
                      <w:lang w:bidi="ar"/>
                    </w:rPr>
                    <w:t>m</w:t>
                  </w:r>
                  <w:r>
                    <w:rPr>
                      <w:color w:val="auto"/>
                      <w:kern w:val="0"/>
                      <w:vertAlign w:val="superscript"/>
                      <w:lang w:bidi="ar"/>
                    </w:rPr>
                    <w:t>3</w:t>
                  </w:r>
                  <w:r>
                    <w:rPr>
                      <w:color w:val="auto"/>
                      <w:kern w:val="0"/>
                      <w:lang w:bidi="ar"/>
                    </w:rPr>
                    <w:t>/h</w:t>
                  </w:r>
                </w:p>
              </w:tc>
              <w:tc>
                <w:tcPr>
                  <w:tcW w:w="524" w:type="pct"/>
                  <w:noWrap w:val="0"/>
                  <w:vAlign w:val="center"/>
                </w:tcPr>
                <w:p w14:paraId="4069800D">
                  <w:pPr>
                    <w:jc w:val="center"/>
                    <w:rPr>
                      <w:rFonts w:hint="eastAsia" w:eastAsia="宋体"/>
                      <w:color w:val="auto"/>
                      <w:lang w:val="en-US" w:eastAsia="zh-CN"/>
                    </w:rPr>
                  </w:pPr>
                  <w:r>
                    <w:rPr>
                      <w:rFonts w:hint="eastAsia"/>
                      <w:color w:val="auto"/>
                      <w:lang w:val="en-US" w:eastAsia="zh-CN"/>
                    </w:rPr>
                    <w:t>/</w:t>
                  </w:r>
                </w:p>
              </w:tc>
              <w:tc>
                <w:tcPr>
                  <w:tcW w:w="892" w:type="pct"/>
                  <w:noWrap w:val="0"/>
                  <w:vAlign w:val="center"/>
                </w:tcPr>
                <w:p w14:paraId="404B25B9">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二级活性炭吸附</w:t>
                  </w: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rPr>
                    <w:t>15</w:t>
                  </w:r>
                  <w:r>
                    <w:rPr>
                      <w:color w:val="auto"/>
                    </w:rPr>
                    <w:t>m高排气筒</w:t>
                  </w:r>
                  <w:r>
                    <w:rPr>
                      <w:rFonts w:hint="eastAsia"/>
                      <w:color w:val="auto"/>
                      <w:lang w:eastAsia="zh-CN"/>
                    </w:rPr>
                    <w:t>（</w:t>
                  </w:r>
                  <w:r>
                    <w:rPr>
                      <w:color w:val="auto"/>
                    </w:rPr>
                    <w:t>P</w:t>
                  </w:r>
                  <w:r>
                    <w:rPr>
                      <w:rFonts w:hint="eastAsia"/>
                      <w:color w:val="auto"/>
                      <w:lang w:val="en-US" w:eastAsia="zh-CN"/>
                    </w:rPr>
                    <w:t>3</w:t>
                  </w:r>
                  <w:r>
                    <w:rPr>
                      <w:rFonts w:hint="eastAsia"/>
                      <w:color w:val="auto"/>
                      <w:lang w:eastAsia="zh-CN"/>
                    </w:rPr>
                    <w:t>）</w:t>
                  </w:r>
                  <w:r>
                    <w:rPr>
                      <w:color w:val="auto"/>
                    </w:rPr>
                    <w:t>，废气量</w:t>
                  </w:r>
                  <w:r>
                    <w:rPr>
                      <w:rFonts w:hint="eastAsia"/>
                      <w:color w:val="auto"/>
                      <w:lang w:val="en-US" w:eastAsia="zh-CN"/>
                    </w:rPr>
                    <w:t>63</w:t>
                  </w:r>
                  <w:r>
                    <w:rPr>
                      <w:color w:val="auto"/>
                    </w:rPr>
                    <w:t>00</w:t>
                  </w:r>
                  <w:r>
                    <w:rPr>
                      <w:color w:val="auto"/>
                      <w:kern w:val="0"/>
                      <w:lang w:bidi="ar"/>
                    </w:rPr>
                    <w:t>m</w:t>
                  </w:r>
                  <w:r>
                    <w:rPr>
                      <w:color w:val="auto"/>
                      <w:kern w:val="0"/>
                      <w:vertAlign w:val="superscript"/>
                      <w:lang w:bidi="ar"/>
                    </w:rPr>
                    <w:t>3</w:t>
                  </w:r>
                  <w:r>
                    <w:rPr>
                      <w:color w:val="auto"/>
                      <w:kern w:val="0"/>
                      <w:lang w:bidi="ar"/>
                    </w:rPr>
                    <w:t>/h</w:t>
                  </w:r>
                </w:p>
              </w:tc>
              <w:tc>
                <w:tcPr>
                  <w:tcW w:w="1790" w:type="pct"/>
                  <w:noWrap w:val="0"/>
                  <w:vAlign w:val="center"/>
                </w:tcPr>
                <w:p w14:paraId="65700C7F">
                  <w:pPr>
                    <w:jc w:val="center"/>
                    <w:rPr>
                      <w:rFonts w:hint="eastAsia"/>
                      <w:color w:val="auto"/>
                      <w:lang w:val="en-US" w:eastAsia="zh-CN"/>
                    </w:rPr>
                  </w:pPr>
                  <w:r>
                    <w:rPr>
                      <w:color w:val="auto"/>
                    </w:rPr>
                    <w:t>现有</w:t>
                  </w:r>
                  <w:r>
                    <w:rPr>
                      <w:rFonts w:hint="eastAsia"/>
                      <w:color w:val="auto"/>
                    </w:rPr>
                    <w:t>已建</w:t>
                  </w:r>
                  <w:r>
                    <w:rPr>
                      <w:color w:val="auto"/>
                    </w:rPr>
                    <w:t>，</w:t>
                  </w:r>
                  <w:r>
                    <w:rPr>
                      <w:rFonts w:hint="eastAsia"/>
                      <w:color w:val="auto"/>
                      <w:lang w:val="en-US" w:eastAsia="zh-CN"/>
                    </w:rPr>
                    <w:t>本次不涉及</w:t>
                  </w:r>
                </w:p>
              </w:tc>
            </w:tr>
            <w:tr w14:paraId="5E0BD901">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5" w:type="pct"/>
                  <w:vMerge w:val="continue"/>
                  <w:noWrap w:val="0"/>
                  <w:vAlign w:val="center"/>
                </w:tcPr>
                <w:p w14:paraId="73443C58">
                  <w:pPr>
                    <w:jc w:val="center"/>
                    <w:rPr>
                      <w:color w:val="auto"/>
                    </w:rPr>
                  </w:pPr>
                </w:p>
              </w:tc>
              <w:tc>
                <w:tcPr>
                  <w:tcW w:w="116" w:type="pct"/>
                  <w:vMerge w:val="continue"/>
                  <w:noWrap w:val="0"/>
                  <w:vAlign w:val="center"/>
                </w:tcPr>
                <w:p w14:paraId="481F066A">
                  <w:pPr>
                    <w:jc w:val="center"/>
                    <w:rPr>
                      <w:rFonts w:hint="default" w:eastAsia="宋体"/>
                      <w:color w:val="auto"/>
                      <w:lang w:val="en-US" w:eastAsia="zh-CN"/>
                    </w:rPr>
                  </w:pPr>
                </w:p>
              </w:tc>
              <w:tc>
                <w:tcPr>
                  <w:tcW w:w="488" w:type="pct"/>
                  <w:noWrap w:val="0"/>
                  <w:vAlign w:val="center"/>
                </w:tcPr>
                <w:p w14:paraId="299E407D">
                  <w:pPr>
                    <w:jc w:val="center"/>
                    <w:rPr>
                      <w:rFonts w:hint="eastAsia"/>
                      <w:color w:val="auto"/>
                      <w:lang w:val="en-US" w:eastAsia="zh-CN"/>
                    </w:rPr>
                  </w:pPr>
                  <w:r>
                    <w:rPr>
                      <w:rFonts w:hint="eastAsia"/>
                      <w:color w:val="auto"/>
                    </w:rPr>
                    <w:t>车间四</w:t>
                  </w:r>
                  <w:r>
                    <w:rPr>
                      <w:color w:val="auto"/>
                    </w:rPr>
                    <w:t>项目</w:t>
                  </w:r>
                  <w:r>
                    <w:rPr>
                      <w:rFonts w:hint="eastAsia"/>
                      <w:color w:val="auto"/>
                      <w:lang w:val="en-US" w:eastAsia="zh-CN"/>
                    </w:rPr>
                    <w:t>4</w:t>
                  </w:r>
                  <w:r>
                    <w:rPr>
                      <w:rFonts w:hint="eastAsia"/>
                      <w:color w:val="auto"/>
                    </w:rPr>
                    <w:t>条</w:t>
                  </w:r>
                  <w:r>
                    <w:rPr>
                      <w:color w:val="auto"/>
                    </w:rPr>
                    <w:t>EVA胶膜生产线流延成膜</w:t>
                  </w:r>
                  <w:r>
                    <w:rPr>
                      <w:rFonts w:ascii="Times New Roman" w:hAnsi="Times New Roman"/>
                      <w:color w:val="auto"/>
                      <w:kern w:val="2"/>
                      <w:sz w:val="21"/>
                      <w:szCs w:val="21"/>
                      <w:lang w:val="en-US" w:eastAsia="zh-CN"/>
                    </w:rPr>
                    <w:t>废气</w:t>
                  </w:r>
                </w:p>
              </w:tc>
              <w:tc>
                <w:tcPr>
                  <w:tcW w:w="973" w:type="pct"/>
                  <w:noWrap w:val="0"/>
                  <w:vAlign w:val="center"/>
                </w:tcPr>
                <w:p w14:paraId="23FAE72A">
                  <w:pPr>
                    <w:jc w:val="center"/>
                    <w:rPr>
                      <w:color w:val="auto"/>
                    </w:rPr>
                  </w:pPr>
                  <w:r>
                    <w:rPr>
                      <w:rFonts w:hint="default" w:ascii="Times New Roman" w:hAnsi="Times New Roman" w:eastAsia="宋体" w:cs="Times New Roman"/>
                      <w:color w:val="auto"/>
                      <w:lang w:val="en-US" w:eastAsia="zh-CN"/>
                    </w:rPr>
                    <w:t>二级活性炭吸附</w:t>
                  </w:r>
                  <w:r>
                    <w:rPr>
                      <w:rFonts w:hint="eastAsia" w:ascii="Times New Roman" w:hAnsi="Times New Roman" w:eastAsia="宋体" w:cs="Times New Roman"/>
                      <w:color w:val="auto"/>
                      <w:lang w:val="en-US" w:eastAsia="zh-CN"/>
                    </w:rPr>
                    <w:t>+</w:t>
                  </w:r>
                  <w:r>
                    <w:rPr>
                      <w:rFonts w:hint="eastAsia" w:cs="Times New Roman"/>
                      <w:color w:val="auto"/>
                      <w:lang w:val="en-US" w:eastAsia="zh-CN"/>
                    </w:rPr>
                    <w:t>2</w:t>
                  </w:r>
                  <w:r>
                    <w:rPr>
                      <w:rFonts w:ascii="Times New Roman" w:hAnsi="Times New Roman" w:eastAsia="宋体" w:cs="Times New Roman"/>
                      <w:color w:val="auto"/>
                    </w:rPr>
                    <w:t>5</w:t>
                  </w:r>
                  <w:r>
                    <w:rPr>
                      <w:color w:val="auto"/>
                    </w:rPr>
                    <w:t>m高排气筒</w:t>
                  </w:r>
                  <w:r>
                    <w:rPr>
                      <w:rFonts w:hint="eastAsia"/>
                      <w:color w:val="auto"/>
                      <w:lang w:eastAsia="zh-CN"/>
                    </w:rPr>
                    <w:t>（</w:t>
                  </w:r>
                  <w:r>
                    <w:rPr>
                      <w:color w:val="auto"/>
                    </w:rPr>
                    <w:t>P</w:t>
                  </w:r>
                  <w:r>
                    <w:rPr>
                      <w:rFonts w:hint="eastAsia"/>
                      <w:color w:val="auto"/>
                      <w:lang w:val="en-US" w:eastAsia="zh-CN"/>
                    </w:rPr>
                    <w:t>4</w:t>
                  </w:r>
                  <w:r>
                    <w:rPr>
                      <w:rFonts w:hint="eastAsia"/>
                      <w:color w:val="auto"/>
                      <w:lang w:eastAsia="zh-CN"/>
                    </w:rPr>
                    <w:t>）</w:t>
                  </w:r>
                  <w:r>
                    <w:rPr>
                      <w:color w:val="auto"/>
                    </w:rPr>
                    <w:t>，废气量</w:t>
                  </w:r>
                  <w:r>
                    <w:rPr>
                      <w:rFonts w:hint="eastAsia"/>
                      <w:color w:val="auto"/>
                      <w:lang w:val="en-US" w:eastAsia="zh-CN"/>
                    </w:rPr>
                    <w:t>55</w:t>
                  </w:r>
                  <w:r>
                    <w:rPr>
                      <w:color w:val="auto"/>
                    </w:rPr>
                    <w:t>00</w:t>
                  </w:r>
                  <w:r>
                    <w:rPr>
                      <w:color w:val="auto"/>
                      <w:kern w:val="0"/>
                      <w:lang w:bidi="ar"/>
                    </w:rPr>
                    <w:t>m</w:t>
                  </w:r>
                  <w:r>
                    <w:rPr>
                      <w:color w:val="auto"/>
                      <w:kern w:val="0"/>
                      <w:vertAlign w:val="superscript"/>
                      <w:lang w:bidi="ar"/>
                    </w:rPr>
                    <w:t>3</w:t>
                  </w:r>
                  <w:r>
                    <w:rPr>
                      <w:color w:val="auto"/>
                      <w:kern w:val="0"/>
                      <w:lang w:bidi="ar"/>
                    </w:rPr>
                    <w:t>/h</w:t>
                  </w:r>
                </w:p>
              </w:tc>
              <w:tc>
                <w:tcPr>
                  <w:tcW w:w="1416" w:type="pct"/>
                  <w:gridSpan w:val="2"/>
                  <w:noWrap w:val="0"/>
                  <w:vAlign w:val="center"/>
                </w:tcPr>
                <w:p w14:paraId="670D7B8D">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二级活性炭吸附</w:t>
                  </w:r>
                  <w:r>
                    <w:rPr>
                      <w:rFonts w:hint="eastAsia" w:ascii="Times New Roman" w:hAnsi="Times New Roman" w:eastAsia="宋体" w:cs="Times New Roman"/>
                      <w:color w:val="auto"/>
                      <w:lang w:val="en-US" w:eastAsia="zh-CN"/>
                    </w:rPr>
                    <w:t>+</w:t>
                  </w:r>
                  <w:r>
                    <w:rPr>
                      <w:rFonts w:hint="eastAsia" w:cs="Times New Roman"/>
                      <w:color w:val="auto"/>
                      <w:lang w:val="en-US" w:eastAsia="zh-CN"/>
                    </w:rPr>
                    <w:t>2</w:t>
                  </w:r>
                  <w:r>
                    <w:rPr>
                      <w:rFonts w:ascii="Times New Roman" w:hAnsi="Times New Roman" w:eastAsia="宋体" w:cs="Times New Roman"/>
                      <w:color w:val="auto"/>
                    </w:rPr>
                    <w:t>5</w:t>
                  </w:r>
                  <w:r>
                    <w:rPr>
                      <w:color w:val="auto"/>
                    </w:rPr>
                    <w:t>m高排气筒</w:t>
                  </w:r>
                  <w:r>
                    <w:rPr>
                      <w:rFonts w:hint="eastAsia"/>
                      <w:color w:val="auto"/>
                      <w:lang w:eastAsia="zh-CN"/>
                    </w:rPr>
                    <w:t>（</w:t>
                  </w:r>
                  <w:r>
                    <w:rPr>
                      <w:color w:val="auto"/>
                    </w:rPr>
                    <w:t>P</w:t>
                  </w:r>
                  <w:r>
                    <w:rPr>
                      <w:rFonts w:hint="eastAsia"/>
                      <w:color w:val="auto"/>
                      <w:lang w:val="en-US" w:eastAsia="zh-CN"/>
                    </w:rPr>
                    <w:t>4</w:t>
                  </w:r>
                  <w:r>
                    <w:rPr>
                      <w:rFonts w:hint="eastAsia"/>
                      <w:color w:val="auto"/>
                      <w:lang w:eastAsia="zh-CN"/>
                    </w:rPr>
                    <w:t>）</w:t>
                  </w:r>
                  <w:r>
                    <w:rPr>
                      <w:color w:val="auto"/>
                    </w:rPr>
                    <w:t>，废气量</w:t>
                  </w:r>
                  <w:r>
                    <w:rPr>
                      <w:rFonts w:hint="eastAsia"/>
                      <w:color w:val="auto"/>
                      <w:lang w:val="en-US" w:eastAsia="zh-CN"/>
                    </w:rPr>
                    <w:t>7</w:t>
                  </w:r>
                  <w:r>
                    <w:rPr>
                      <w:color w:val="auto"/>
                    </w:rPr>
                    <w:t>000</w:t>
                  </w:r>
                  <w:r>
                    <w:rPr>
                      <w:color w:val="auto"/>
                      <w:kern w:val="0"/>
                      <w:lang w:bidi="ar"/>
                    </w:rPr>
                    <w:t>m</w:t>
                  </w:r>
                  <w:r>
                    <w:rPr>
                      <w:color w:val="auto"/>
                      <w:kern w:val="0"/>
                      <w:vertAlign w:val="superscript"/>
                      <w:lang w:bidi="ar"/>
                    </w:rPr>
                    <w:t>3</w:t>
                  </w:r>
                  <w:r>
                    <w:rPr>
                      <w:color w:val="auto"/>
                      <w:kern w:val="0"/>
                      <w:lang w:bidi="ar"/>
                    </w:rPr>
                    <w:t>/h</w:t>
                  </w:r>
                </w:p>
              </w:tc>
              <w:tc>
                <w:tcPr>
                  <w:tcW w:w="1790" w:type="pct"/>
                  <w:noWrap w:val="0"/>
                  <w:vAlign w:val="center"/>
                </w:tcPr>
                <w:p w14:paraId="751C4588">
                  <w:pPr>
                    <w:jc w:val="center"/>
                    <w:rPr>
                      <w:color w:val="auto"/>
                    </w:rPr>
                  </w:pPr>
                  <w:r>
                    <w:rPr>
                      <w:rFonts w:hint="eastAsia"/>
                      <w:color w:val="auto"/>
                      <w:lang w:val="en-US" w:eastAsia="zh-CN"/>
                    </w:rPr>
                    <w:t>改建</w:t>
                  </w:r>
                  <w:r>
                    <w:rPr>
                      <w:color w:val="auto"/>
                    </w:rPr>
                    <w:t>现有</w:t>
                  </w:r>
                  <w:r>
                    <w:rPr>
                      <w:rFonts w:hint="eastAsia"/>
                      <w:color w:val="auto"/>
                      <w:lang w:eastAsia="zh-CN"/>
                    </w:rPr>
                    <w:t>的</w:t>
                  </w:r>
                  <w:r>
                    <w:rPr>
                      <w:rFonts w:hint="eastAsia"/>
                      <w:color w:val="auto"/>
                      <w:lang w:val="en-US" w:eastAsia="zh-CN"/>
                    </w:rPr>
                    <w:t>废气设施（增加活性炭装填量，更换风机）</w:t>
                  </w:r>
                </w:p>
              </w:tc>
            </w:tr>
            <w:tr w14:paraId="4C81360E">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5" w:type="pct"/>
                  <w:vMerge w:val="continue"/>
                  <w:noWrap w:val="0"/>
                  <w:vAlign w:val="center"/>
                </w:tcPr>
                <w:p w14:paraId="46E2C698">
                  <w:pPr>
                    <w:jc w:val="center"/>
                    <w:rPr>
                      <w:color w:val="auto"/>
                    </w:rPr>
                  </w:pPr>
                </w:p>
              </w:tc>
              <w:tc>
                <w:tcPr>
                  <w:tcW w:w="116" w:type="pct"/>
                  <w:vMerge w:val="continue"/>
                  <w:noWrap w:val="0"/>
                  <w:vAlign w:val="center"/>
                </w:tcPr>
                <w:p w14:paraId="3A36B037">
                  <w:pPr>
                    <w:jc w:val="center"/>
                    <w:rPr>
                      <w:rFonts w:hint="default" w:eastAsia="宋体"/>
                      <w:color w:val="auto"/>
                      <w:lang w:val="en-US" w:eastAsia="zh-CN"/>
                    </w:rPr>
                  </w:pPr>
                </w:p>
              </w:tc>
              <w:tc>
                <w:tcPr>
                  <w:tcW w:w="488" w:type="pct"/>
                  <w:noWrap w:val="0"/>
                  <w:vAlign w:val="center"/>
                </w:tcPr>
                <w:p w14:paraId="411C880B">
                  <w:pPr>
                    <w:jc w:val="center"/>
                    <w:rPr>
                      <w:rFonts w:hint="default" w:eastAsia="宋体"/>
                      <w:color w:val="auto"/>
                      <w:lang w:val="en-US" w:eastAsia="zh-CN"/>
                    </w:rPr>
                  </w:pPr>
                  <w:r>
                    <w:rPr>
                      <w:rFonts w:hint="eastAsia"/>
                      <w:color w:val="auto"/>
                    </w:rPr>
                    <w:t>车间四</w:t>
                  </w:r>
                  <w:r>
                    <w:rPr>
                      <w:color w:val="auto"/>
                    </w:rPr>
                    <w:t>项目</w:t>
                  </w:r>
                  <w:r>
                    <w:rPr>
                      <w:rFonts w:hint="eastAsia"/>
                      <w:color w:val="auto"/>
                      <w:lang w:val="en-US" w:eastAsia="zh-CN"/>
                    </w:rPr>
                    <w:t>5</w:t>
                  </w:r>
                  <w:r>
                    <w:rPr>
                      <w:rFonts w:hint="eastAsia"/>
                      <w:color w:val="auto"/>
                    </w:rPr>
                    <w:t>条</w:t>
                  </w:r>
                  <w:r>
                    <w:rPr>
                      <w:color w:val="auto"/>
                    </w:rPr>
                    <w:t>EVA胶膜生产线流延成膜</w:t>
                  </w:r>
                  <w:r>
                    <w:rPr>
                      <w:rFonts w:ascii="Times New Roman" w:hAnsi="Times New Roman"/>
                      <w:color w:val="auto"/>
                      <w:kern w:val="2"/>
                      <w:sz w:val="21"/>
                      <w:szCs w:val="21"/>
                      <w:lang w:val="en-US" w:eastAsia="zh-CN"/>
                    </w:rPr>
                    <w:t>废气</w:t>
                  </w:r>
                </w:p>
              </w:tc>
              <w:tc>
                <w:tcPr>
                  <w:tcW w:w="973" w:type="pct"/>
                  <w:noWrap w:val="0"/>
                  <w:vAlign w:val="center"/>
                </w:tcPr>
                <w:p w14:paraId="483747E3">
                  <w:pPr>
                    <w:jc w:val="center"/>
                    <w:rPr>
                      <w:color w:val="auto"/>
                    </w:rPr>
                  </w:pPr>
                  <w:r>
                    <w:rPr>
                      <w:rFonts w:hint="default" w:ascii="Times New Roman" w:hAnsi="Times New Roman" w:eastAsia="宋体" w:cs="Times New Roman"/>
                      <w:color w:val="auto"/>
                      <w:lang w:val="en-US" w:eastAsia="zh-CN"/>
                    </w:rPr>
                    <w:t>二级活性炭吸附</w:t>
                  </w:r>
                  <w:r>
                    <w:rPr>
                      <w:rFonts w:hint="eastAsia" w:ascii="Times New Roman" w:hAnsi="Times New Roman" w:eastAsia="宋体" w:cs="Times New Roman"/>
                      <w:color w:val="auto"/>
                      <w:lang w:val="en-US" w:eastAsia="zh-CN"/>
                    </w:rPr>
                    <w:t>+</w:t>
                  </w:r>
                  <w:r>
                    <w:rPr>
                      <w:rFonts w:hint="eastAsia" w:cs="Times New Roman"/>
                      <w:color w:val="auto"/>
                      <w:lang w:val="en-US" w:eastAsia="zh-CN"/>
                    </w:rPr>
                    <w:t>2</w:t>
                  </w:r>
                  <w:r>
                    <w:rPr>
                      <w:rFonts w:ascii="Times New Roman" w:hAnsi="Times New Roman" w:eastAsia="宋体" w:cs="Times New Roman"/>
                      <w:color w:val="auto"/>
                    </w:rPr>
                    <w:t>5</w:t>
                  </w:r>
                  <w:r>
                    <w:rPr>
                      <w:color w:val="auto"/>
                    </w:rPr>
                    <w:t>m高排气筒</w:t>
                  </w:r>
                  <w:r>
                    <w:rPr>
                      <w:rFonts w:hint="eastAsia"/>
                      <w:color w:val="auto"/>
                      <w:lang w:eastAsia="zh-CN"/>
                    </w:rPr>
                    <w:t>（</w:t>
                  </w:r>
                  <w:r>
                    <w:rPr>
                      <w:color w:val="auto"/>
                    </w:rPr>
                    <w:t>P</w:t>
                  </w:r>
                  <w:r>
                    <w:rPr>
                      <w:rFonts w:hint="eastAsia"/>
                      <w:color w:val="auto"/>
                      <w:lang w:val="en-US" w:eastAsia="zh-CN"/>
                    </w:rPr>
                    <w:t>5</w:t>
                  </w:r>
                  <w:r>
                    <w:rPr>
                      <w:rFonts w:hint="eastAsia"/>
                      <w:color w:val="auto"/>
                      <w:lang w:eastAsia="zh-CN"/>
                    </w:rPr>
                    <w:t>）</w:t>
                  </w:r>
                  <w:r>
                    <w:rPr>
                      <w:color w:val="auto"/>
                    </w:rPr>
                    <w:t>，废气量</w:t>
                  </w:r>
                  <w:r>
                    <w:rPr>
                      <w:rFonts w:hint="eastAsia"/>
                      <w:color w:val="auto"/>
                      <w:lang w:val="en-US" w:eastAsia="zh-CN"/>
                    </w:rPr>
                    <w:t>55</w:t>
                  </w:r>
                  <w:r>
                    <w:rPr>
                      <w:color w:val="auto"/>
                    </w:rPr>
                    <w:t>00</w:t>
                  </w:r>
                  <w:r>
                    <w:rPr>
                      <w:color w:val="auto"/>
                      <w:kern w:val="0"/>
                      <w:lang w:bidi="ar"/>
                    </w:rPr>
                    <w:t>m</w:t>
                  </w:r>
                  <w:r>
                    <w:rPr>
                      <w:color w:val="auto"/>
                      <w:kern w:val="0"/>
                      <w:vertAlign w:val="superscript"/>
                      <w:lang w:bidi="ar"/>
                    </w:rPr>
                    <w:t>3</w:t>
                  </w:r>
                  <w:r>
                    <w:rPr>
                      <w:color w:val="auto"/>
                      <w:kern w:val="0"/>
                      <w:lang w:bidi="ar"/>
                    </w:rPr>
                    <w:t>/h</w:t>
                  </w:r>
                </w:p>
              </w:tc>
              <w:tc>
                <w:tcPr>
                  <w:tcW w:w="524" w:type="pct"/>
                  <w:noWrap w:val="0"/>
                  <w:vAlign w:val="center"/>
                </w:tcPr>
                <w:p w14:paraId="41A2FD29">
                  <w:pPr>
                    <w:jc w:val="center"/>
                    <w:rPr>
                      <w:color w:val="auto"/>
                    </w:rPr>
                  </w:pPr>
                  <w:r>
                    <w:rPr>
                      <w:color w:val="auto"/>
                    </w:rPr>
                    <w:t>/</w:t>
                  </w:r>
                </w:p>
              </w:tc>
              <w:tc>
                <w:tcPr>
                  <w:tcW w:w="892" w:type="pct"/>
                  <w:noWrap w:val="0"/>
                  <w:vAlign w:val="center"/>
                </w:tcPr>
                <w:p w14:paraId="68D2FFF3">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二级活性炭吸附</w:t>
                  </w:r>
                  <w:r>
                    <w:rPr>
                      <w:rFonts w:hint="eastAsia" w:ascii="Times New Roman" w:hAnsi="Times New Roman" w:eastAsia="宋体" w:cs="Times New Roman"/>
                      <w:color w:val="auto"/>
                      <w:lang w:val="en-US" w:eastAsia="zh-CN"/>
                    </w:rPr>
                    <w:t>+</w:t>
                  </w:r>
                  <w:r>
                    <w:rPr>
                      <w:rFonts w:hint="eastAsia" w:cs="Times New Roman"/>
                      <w:color w:val="auto"/>
                      <w:lang w:val="en-US" w:eastAsia="zh-CN"/>
                    </w:rPr>
                    <w:t>2</w:t>
                  </w:r>
                  <w:r>
                    <w:rPr>
                      <w:rFonts w:ascii="Times New Roman" w:hAnsi="Times New Roman" w:eastAsia="宋体" w:cs="Times New Roman"/>
                      <w:color w:val="auto"/>
                    </w:rPr>
                    <w:t>5</w:t>
                  </w:r>
                  <w:r>
                    <w:rPr>
                      <w:color w:val="auto"/>
                    </w:rPr>
                    <w:t>m高排气筒</w:t>
                  </w:r>
                  <w:r>
                    <w:rPr>
                      <w:rFonts w:hint="eastAsia"/>
                      <w:color w:val="auto"/>
                      <w:lang w:eastAsia="zh-CN"/>
                    </w:rPr>
                    <w:t>（</w:t>
                  </w:r>
                  <w:r>
                    <w:rPr>
                      <w:color w:val="auto"/>
                    </w:rPr>
                    <w:t>P</w:t>
                  </w:r>
                  <w:r>
                    <w:rPr>
                      <w:rFonts w:hint="eastAsia"/>
                      <w:color w:val="auto"/>
                      <w:lang w:val="en-US" w:eastAsia="zh-CN"/>
                    </w:rPr>
                    <w:t>5</w:t>
                  </w:r>
                  <w:r>
                    <w:rPr>
                      <w:rFonts w:hint="eastAsia"/>
                      <w:color w:val="auto"/>
                      <w:lang w:eastAsia="zh-CN"/>
                    </w:rPr>
                    <w:t>）</w:t>
                  </w:r>
                  <w:r>
                    <w:rPr>
                      <w:color w:val="auto"/>
                    </w:rPr>
                    <w:t>，废气量</w:t>
                  </w:r>
                  <w:r>
                    <w:rPr>
                      <w:rFonts w:hint="eastAsia"/>
                      <w:color w:val="auto"/>
                      <w:lang w:val="en-US" w:eastAsia="zh-CN"/>
                    </w:rPr>
                    <w:t>55</w:t>
                  </w:r>
                  <w:r>
                    <w:rPr>
                      <w:color w:val="auto"/>
                    </w:rPr>
                    <w:t>00</w:t>
                  </w:r>
                  <w:r>
                    <w:rPr>
                      <w:color w:val="auto"/>
                      <w:kern w:val="0"/>
                      <w:lang w:bidi="ar"/>
                    </w:rPr>
                    <w:t>m</w:t>
                  </w:r>
                  <w:r>
                    <w:rPr>
                      <w:color w:val="auto"/>
                      <w:kern w:val="0"/>
                      <w:vertAlign w:val="superscript"/>
                      <w:lang w:bidi="ar"/>
                    </w:rPr>
                    <w:t>3</w:t>
                  </w:r>
                  <w:r>
                    <w:rPr>
                      <w:color w:val="auto"/>
                      <w:kern w:val="0"/>
                      <w:lang w:bidi="ar"/>
                    </w:rPr>
                    <w:t>/h</w:t>
                  </w:r>
                </w:p>
              </w:tc>
              <w:tc>
                <w:tcPr>
                  <w:tcW w:w="1790" w:type="pct"/>
                  <w:noWrap w:val="0"/>
                  <w:vAlign w:val="center"/>
                </w:tcPr>
                <w:p w14:paraId="65FACFF6">
                  <w:pPr>
                    <w:jc w:val="center"/>
                    <w:rPr>
                      <w:color w:val="auto"/>
                    </w:rPr>
                  </w:pPr>
                  <w:r>
                    <w:rPr>
                      <w:color w:val="auto"/>
                    </w:rPr>
                    <w:t>现有</w:t>
                  </w:r>
                  <w:r>
                    <w:rPr>
                      <w:rFonts w:hint="eastAsia"/>
                      <w:color w:val="auto"/>
                    </w:rPr>
                    <w:t>已建</w:t>
                  </w:r>
                  <w:r>
                    <w:rPr>
                      <w:color w:val="auto"/>
                    </w:rPr>
                    <w:t>，</w:t>
                  </w:r>
                  <w:r>
                    <w:rPr>
                      <w:rFonts w:hint="eastAsia"/>
                      <w:color w:val="auto"/>
                      <w:lang w:val="en-US" w:eastAsia="zh-CN"/>
                    </w:rPr>
                    <w:t>本次不涉及</w:t>
                  </w:r>
                </w:p>
              </w:tc>
            </w:tr>
            <w:tr w14:paraId="162EF962">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5" w:type="pct"/>
                  <w:vMerge w:val="continue"/>
                  <w:noWrap w:val="0"/>
                  <w:vAlign w:val="center"/>
                </w:tcPr>
                <w:p w14:paraId="5FC106BF">
                  <w:pPr>
                    <w:jc w:val="center"/>
                    <w:rPr>
                      <w:color w:val="auto"/>
                    </w:rPr>
                  </w:pPr>
                </w:p>
              </w:tc>
              <w:tc>
                <w:tcPr>
                  <w:tcW w:w="116" w:type="pct"/>
                  <w:vMerge w:val="continue"/>
                  <w:noWrap w:val="0"/>
                  <w:vAlign w:val="center"/>
                </w:tcPr>
                <w:p w14:paraId="5231283A">
                  <w:pPr>
                    <w:jc w:val="center"/>
                    <w:rPr>
                      <w:rFonts w:hint="default" w:eastAsia="宋体"/>
                      <w:color w:val="auto"/>
                      <w:lang w:val="en-US" w:eastAsia="zh-CN"/>
                    </w:rPr>
                  </w:pPr>
                </w:p>
              </w:tc>
              <w:tc>
                <w:tcPr>
                  <w:tcW w:w="488" w:type="pct"/>
                  <w:noWrap w:val="0"/>
                  <w:vAlign w:val="center"/>
                </w:tcPr>
                <w:p w14:paraId="0F4DE30E">
                  <w:pPr>
                    <w:jc w:val="center"/>
                    <w:rPr>
                      <w:rFonts w:hint="eastAsia"/>
                      <w:color w:val="auto"/>
                      <w:lang w:val="en-US" w:eastAsia="zh-CN"/>
                    </w:rPr>
                  </w:pPr>
                  <w:r>
                    <w:rPr>
                      <w:rFonts w:hint="eastAsia"/>
                      <w:color w:val="auto"/>
                    </w:rPr>
                    <w:t>车间三</w:t>
                  </w:r>
                  <w:r>
                    <w:rPr>
                      <w:color w:val="auto"/>
                    </w:rPr>
                    <w:t>现有项目</w:t>
                  </w:r>
                  <w:r>
                    <w:rPr>
                      <w:rFonts w:hint="eastAsia"/>
                      <w:color w:val="auto"/>
                      <w:lang w:val="en-US" w:eastAsia="zh-CN"/>
                    </w:rPr>
                    <w:t>2</w:t>
                  </w:r>
                  <w:r>
                    <w:rPr>
                      <w:rFonts w:hint="eastAsia"/>
                      <w:color w:val="auto"/>
                    </w:rPr>
                    <w:t>条</w:t>
                  </w:r>
                  <w:r>
                    <w:rPr>
                      <w:rFonts w:hint="eastAsia"/>
                      <w:color w:val="auto"/>
                      <w:sz w:val="21"/>
                      <w:szCs w:val="21"/>
                    </w:rPr>
                    <w:t>热熔胶</w:t>
                  </w:r>
                  <w:r>
                    <w:rPr>
                      <w:rFonts w:hint="eastAsia"/>
                      <w:color w:val="auto"/>
                      <w:sz w:val="21"/>
                      <w:szCs w:val="21"/>
                      <w:lang w:val="en-US" w:eastAsia="zh-CN"/>
                    </w:rPr>
                    <w:t>挤出线</w:t>
                  </w:r>
                  <w:r>
                    <w:rPr>
                      <w:color w:val="auto"/>
                    </w:rPr>
                    <w:t>有机废气</w:t>
                  </w:r>
                </w:p>
              </w:tc>
              <w:tc>
                <w:tcPr>
                  <w:tcW w:w="973" w:type="pct"/>
                  <w:noWrap w:val="0"/>
                  <w:vAlign w:val="center"/>
                </w:tcPr>
                <w:p w14:paraId="698BC448">
                  <w:pPr>
                    <w:jc w:val="center"/>
                    <w:rPr>
                      <w:color w:val="auto"/>
                    </w:rPr>
                  </w:pPr>
                  <w:r>
                    <w:rPr>
                      <w:rFonts w:hint="default" w:ascii="Times New Roman" w:hAnsi="Times New Roman" w:eastAsia="宋体" w:cs="Times New Roman"/>
                      <w:color w:val="auto"/>
                      <w:lang w:val="en-US" w:eastAsia="zh-CN"/>
                    </w:rPr>
                    <w:t>二级活性炭吸附</w:t>
                  </w: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rPr>
                    <w:t>15</w:t>
                  </w:r>
                  <w:r>
                    <w:rPr>
                      <w:color w:val="auto"/>
                    </w:rPr>
                    <w:t>m高排气筒</w:t>
                  </w:r>
                  <w:r>
                    <w:rPr>
                      <w:rFonts w:hint="eastAsia"/>
                      <w:color w:val="auto"/>
                      <w:lang w:eastAsia="zh-CN"/>
                    </w:rPr>
                    <w:t>（</w:t>
                  </w:r>
                  <w:r>
                    <w:rPr>
                      <w:color w:val="auto"/>
                    </w:rPr>
                    <w:t>P</w:t>
                  </w:r>
                  <w:r>
                    <w:rPr>
                      <w:rFonts w:hint="eastAsia"/>
                      <w:color w:val="auto"/>
                      <w:lang w:val="en-US" w:eastAsia="zh-CN"/>
                    </w:rPr>
                    <w:t>6</w:t>
                  </w:r>
                  <w:r>
                    <w:rPr>
                      <w:rFonts w:hint="eastAsia"/>
                      <w:color w:val="auto"/>
                      <w:lang w:eastAsia="zh-CN"/>
                    </w:rPr>
                    <w:t>）</w:t>
                  </w:r>
                  <w:r>
                    <w:rPr>
                      <w:color w:val="auto"/>
                    </w:rPr>
                    <w:t>，废气量</w:t>
                  </w:r>
                  <w:r>
                    <w:rPr>
                      <w:rFonts w:hint="eastAsia"/>
                      <w:color w:val="auto"/>
                      <w:lang w:val="en-US" w:eastAsia="zh-CN"/>
                    </w:rPr>
                    <w:t>30</w:t>
                  </w:r>
                  <w:r>
                    <w:rPr>
                      <w:rFonts w:hint="eastAsia"/>
                      <w:color w:val="auto"/>
                    </w:rPr>
                    <w:t>00m</w:t>
                  </w:r>
                  <w:r>
                    <w:rPr>
                      <w:color w:val="auto"/>
                      <w:kern w:val="0"/>
                      <w:vertAlign w:val="superscript"/>
                      <w:lang w:bidi="ar"/>
                    </w:rPr>
                    <w:t>3</w:t>
                  </w:r>
                  <w:r>
                    <w:rPr>
                      <w:color w:val="auto"/>
                      <w:kern w:val="0"/>
                      <w:lang w:bidi="ar"/>
                    </w:rPr>
                    <w:t>/h</w:t>
                  </w:r>
                </w:p>
              </w:tc>
              <w:tc>
                <w:tcPr>
                  <w:tcW w:w="524" w:type="pct"/>
                  <w:noWrap w:val="0"/>
                  <w:vAlign w:val="center"/>
                </w:tcPr>
                <w:p w14:paraId="2EF9EC86">
                  <w:pPr>
                    <w:jc w:val="center"/>
                    <w:rPr>
                      <w:color w:val="auto"/>
                    </w:rPr>
                  </w:pPr>
                  <w:r>
                    <w:rPr>
                      <w:color w:val="auto"/>
                    </w:rPr>
                    <w:t>/</w:t>
                  </w:r>
                </w:p>
              </w:tc>
              <w:tc>
                <w:tcPr>
                  <w:tcW w:w="892" w:type="pct"/>
                  <w:noWrap w:val="0"/>
                  <w:vAlign w:val="center"/>
                </w:tcPr>
                <w:p w14:paraId="322B5670">
                  <w:pPr>
                    <w:jc w:val="center"/>
                    <w:rPr>
                      <w:color w:val="auto"/>
                    </w:rPr>
                  </w:pPr>
                  <w:r>
                    <w:rPr>
                      <w:rFonts w:hint="default" w:ascii="Times New Roman" w:hAnsi="Times New Roman" w:eastAsia="宋体" w:cs="Times New Roman"/>
                      <w:color w:val="auto"/>
                      <w:lang w:val="en-US" w:eastAsia="zh-CN"/>
                    </w:rPr>
                    <w:t>二级活性炭吸附</w:t>
                  </w: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rPr>
                    <w:t>15</w:t>
                  </w:r>
                  <w:r>
                    <w:rPr>
                      <w:color w:val="auto"/>
                    </w:rPr>
                    <w:t>m高排气筒</w:t>
                  </w:r>
                  <w:r>
                    <w:rPr>
                      <w:rFonts w:hint="eastAsia"/>
                      <w:color w:val="auto"/>
                      <w:lang w:eastAsia="zh-CN"/>
                    </w:rPr>
                    <w:t>（</w:t>
                  </w:r>
                  <w:r>
                    <w:rPr>
                      <w:color w:val="auto"/>
                    </w:rPr>
                    <w:t>P</w:t>
                  </w:r>
                  <w:r>
                    <w:rPr>
                      <w:rFonts w:hint="eastAsia"/>
                      <w:color w:val="auto"/>
                      <w:lang w:val="en-US" w:eastAsia="zh-CN"/>
                    </w:rPr>
                    <w:t>6</w:t>
                  </w:r>
                  <w:r>
                    <w:rPr>
                      <w:rFonts w:hint="eastAsia"/>
                      <w:color w:val="auto"/>
                      <w:lang w:eastAsia="zh-CN"/>
                    </w:rPr>
                    <w:t>）</w:t>
                  </w:r>
                  <w:r>
                    <w:rPr>
                      <w:color w:val="auto"/>
                    </w:rPr>
                    <w:t>，废气量</w:t>
                  </w:r>
                  <w:r>
                    <w:rPr>
                      <w:rFonts w:hint="eastAsia"/>
                      <w:color w:val="auto"/>
                      <w:lang w:val="en-US" w:eastAsia="zh-CN"/>
                    </w:rPr>
                    <w:t>30</w:t>
                  </w:r>
                  <w:r>
                    <w:rPr>
                      <w:rFonts w:hint="eastAsia"/>
                      <w:color w:val="auto"/>
                    </w:rPr>
                    <w:t>00m</w:t>
                  </w:r>
                  <w:r>
                    <w:rPr>
                      <w:color w:val="auto"/>
                      <w:kern w:val="0"/>
                      <w:vertAlign w:val="superscript"/>
                      <w:lang w:bidi="ar"/>
                    </w:rPr>
                    <w:t>3</w:t>
                  </w:r>
                  <w:r>
                    <w:rPr>
                      <w:color w:val="auto"/>
                      <w:kern w:val="0"/>
                      <w:lang w:bidi="ar"/>
                    </w:rPr>
                    <w:t>/h</w:t>
                  </w:r>
                </w:p>
              </w:tc>
              <w:tc>
                <w:tcPr>
                  <w:tcW w:w="1790" w:type="pct"/>
                  <w:noWrap w:val="0"/>
                  <w:vAlign w:val="center"/>
                </w:tcPr>
                <w:p w14:paraId="0AAB8143">
                  <w:pPr>
                    <w:jc w:val="center"/>
                    <w:rPr>
                      <w:rFonts w:hint="eastAsia"/>
                      <w:color w:val="auto"/>
                      <w:lang w:val="en-US" w:eastAsia="zh-CN"/>
                    </w:rPr>
                  </w:pPr>
                  <w:r>
                    <w:rPr>
                      <w:color w:val="auto"/>
                    </w:rPr>
                    <w:t>现有</w:t>
                  </w:r>
                  <w:r>
                    <w:rPr>
                      <w:rFonts w:hint="eastAsia"/>
                      <w:color w:val="auto"/>
                    </w:rPr>
                    <w:t>已建</w:t>
                  </w:r>
                  <w:r>
                    <w:rPr>
                      <w:color w:val="auto"/>
                    </w:rPr>
                    <w:t>，</w:t>
                  </w:r>
                  <w:r>
                    <w:rPr>
                      <w:rFonts w:hint="eastAsia"/>
                      <w:color w:val="auto"/>
                      <w:lang w:val="en-US" w:eastAsia="zh-CN"/>
                    </w:rPr>
                    <w:t>本次不涉及</w:t>
                  </w:r>
                </w:p>
              </w:tc>
            </w:tr>
            <w:tr w14:paraId="18886102">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5" w:type="pct"/>
                  <w:vMerge w:val="continue"/>
                  <w:noWrap w:val="0"/>
                  <w:vAlign w:val="center"/>
                </w:tcPr>
                <w:p w14:paraId="070EA4D0">
                  <w:pPr>
                    <w:jc w:val="center"/>
                    <w:rPr>
                      <w:color w:val="auto"/>
                    </w:rPr>
                  </w:pPr>
                </w:p>
              </w:tc>
              <w:tc>
                <w:tcPr>
                  <w:tcW w:w="604" w:type="pct"/>
                  <w:gridSpan w:val="2"/>
                  <w:noWrap w:val="0"/>
                  <w:vAlign w:val="center"/>
                </w:tcPr>
                <w:p w14:paraId="496BD2FD">
                  <w:pPr>
                    <w:pStyle w:val="25"/>
                    <w:widowControl w:val="0"/>
                    <w:spacing w:before="0" w:beforeAutospacing="0" w:after="0" w:afterAutospacing="0"/>
                    <w:jc w:val="center"/>
                    <w:rPr>
                      <w:rFonts w:ascii="Times New Roman" w:hAnsi="Times New Roman"/>
                      <w:color w:val="auto"/>
                      <w:kern w:val="2"/>
                      <w:sz w:val="21"/>
                      <w:szCs w:val="21"/>
                      <w:lang w:val="en-US" w:eastAsia="zh-CN"/>
                    </w:rPr>
                  </w:pPr>
                  <w:r>
                    <w:rPr>
                      <w:rFonts w:ascii="Times New Roman" w:hAnsi="Times New Roman"/>
                      <w:color w:val="auto"/>
                      <w:kern w:val="2"/>
                      <w:sz w:val="21"/>
                      <w:szCs w:val="21"/>
                      <w:lang w:val="en-US" w:eastAsia="zh-CN"/>
                    </w:rPr>
                    <w:t>废水</w:t>
                  </w:r>
                </w:p>
              </w:tc>
              <w:tc>
                <w:tcPr>
                  <w:tcW w:w="973" w:type="pct"/>
                  <w:noWrap w:val="0"/>
                  <w:vAlign w:val="center"/>
                </w:tcPr>
                <w:p w14:paraId="797B540A">
                  <w:pPr>
                    <w:jc w:val="center"/>
                    <w:rPr>
                      <w:rFonts w:hint="default" w:eastAsia="宋体"/>
                      <w:color w:val="auto"/>
                      <w:lang w:val="en-US" w:eastAsia="zh-CN"/>
                    </w:rPr>
                  </w:pPr>
                  <w:r>
                    <w:rPr>
                      <w:rFonts w:hint="eastAsia"/>
                      <w:color w:val="auto"/>
                      <w:lang w:val="en-US" w:eastAsia="zh-CN"/>
                    </w:rPr>
                    <w:t>化粪池</w:t>
                  </w:r>
                </w:p>
              </w:tc>
              <w:tc>
                <w:tcPr>
                  <w:tcW w:w="524" w:type="pct"/>
                  <w:noWrap w:val="0"/>
                  <w:vAlign w:val="center"/>
                </w:tcPr>
                <w:p w14:paraId="479D9F22">
                  <w:pPr>
                    <w:jc w:val="center"/>
                    <w:rPr>
                      <w:color w:val="auto"/>
                    </w:rPr>
                  </w:pPr>
                  <w:r>
                    <w:rPr>
                      <w:color w:val="auto"/>
                    </w:rPr>
                    <w:t>/</w:t>
                  </w:r>
                </w:p>
              </w:tc>
              <w:tc>
                <w:tcPr>
                  <w:tcW w:w="892" w:type="pct"/>
                  <w:noWrap w:val="0"/>
                  <w:vAlign w:val="center"/>
                </w:tcPr>
                <w:p w14:paraId="186EEBCA">
                  <w:pPr>
                    <w:jc w:val="center"/>
                    <w:rPr>
                      <w:color w:val="auto"/>
                    </w:rPr>
                  </w:pPr>
                  <w:r>
                    <w:rPr>
                      <w:rFonts w:hint="eastAsia"/>
                      <w:color w:val="auto"/>
                      <w:lang w:val="en-US" w:eastAsia="zh-CN"/>
                    </w:rPr>
                    <w:t>化粪池</w:t>
                  </w:r>
                </w:p>
              </w:tc>
              <w:tc>
                <w:tcPr>
                  <w:tcW w:w="1790" w:type="pct"/>
                  <w:noWrap w:val="0"/>
                  <w:vAlign w:val="center"/>
                </w:tcPr>
                <w:p w14:paraId="0A4A2CC3">
                  <w:pPr>
                    <w:jc w:val="center"/>
                    <w:rPr>
                      <w:color w:val="auto"/>
                    </w:rPr>
                  </w:pPr>
                  <w:r>
                    <w:rPr>
                      <w:color w:val="auto"/>
                    </w:rPr>
                    <w:t>本项目</w:t>
                  </w:r>
                  <w:r>
                    <w:rPr>
                      <w:rFonts w:hint="eastAsia"/>
                      <w:color w:val="auto"/>
                      <w:lang w:val="en-US" w:eastAsia="zh-CN"/>
                    </w:rPr>
                    <w:t>不</w:t>
                  </w:r>
                  <w:r>
                    <w:rPr>
                      <w:color w:val="auto"/>
                    </w:rPr>
                    <w:t>新增</w:t>
                  </w:r>
                  <w:r>
                    <w:rPr>
                      <w:rFonts w:hint="eastAsia"/>
                      <w:color w:val="auto"/>
                      <w:lang w:val="en-US" w:eastAsia="zh-CN"/>
                    </w:rPr>
                    <w:t>生产和</w:t>
                  </w:r>
                  <w:r>
                    <w:rPr>
                      <w:color w:val="auto"/>
                    </w:rPr>
                    <w:t>生活污水</w:t>
                  </w:r>
                </w:p>
              </w:tc>
            </w:tr>
            <w:tr w14:paraId="6BC742A4">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5" w:type="pct"/>
                  <w:vMerge w:val="continue"/>
                  <w:noWrap w:val="0"/>
                  <w:vAlign w:val="center"/>
                </w:tcPr>
                <w:p w14:paraId="4AE663CE">
                  <w:pPr>
                    <w:jc w:val="center"/>
                    <w:rPr>
                      <w:color w:val="auto"/>
                    </w:rPr>
                  </w:pPr>
                </w:p>
              </w:tc>
              <w:tc>
                <w:tcPr>
                  <w:tcW w:w="604" w:type="pct"/>
                  <w:gridSpan w:val="2"/>
                  <w:noWrap w:val="0"/>
                  <w:vAlign w:val="center"/>
                </w:tcPr>
                <w:p w14:paraId="2EF1421F">
                  <w:pPr>
                    <w:pStyle w:val="25"/>
                    <w:widowControl w:val="0"/>
                    <w:spacing w:before="0" w:beforeAutospacing="0" w:after="0" w:afterAutospacing="0"/>
                    <w:jc w:val="center"/>
                    <w:rPr>
                      <w:rFonts w:ascii="Times New Roman" w:hAnsi="Times New Roman"/>
                      <w:color w:val="auto"/>
                      <w:kern w:val="2"/>
                      <w:sz w:val="21"/>
                      <w:szCs w:val="21"/>
                      <w:lang w:val="en-US" w:eastAsia="zh-CN"/>
                    </w:rPr>
                  </w:pPr>
                  <w:r>
                    <w:rPr>
                      <w:rFonts w:ascii="Times New Roman" w:hAnsi="Times New Roman"/>
                      <w:color w:val="auto"/>
                      <w:kern w:val="2"/>
                      <w:sz w:val="21"/>
                      <w:szCs w:val="21"/>
                      <w:lang w:val="en-US" w:eastAsia="zh-CN"/>
                    </w:rPr>
                    <w:t>噪声</w:t>
                  </w:r>
                </w:p>
              </w:tc>
              <w:tc>
                <w:tcPr>
                  <w:tcW w:w="973" w:type="pct"/>
                  <w:noWrap w:val="0"/>
                  <w:vAlign w:val="center"/>
                </w:tcPr>
                <w:p w14:paraId="2F7BF624">
                  <w:pPr>
                    <w:jc w:val="center"/>
                    <w:rPr>
                      <w:color w:val="auto"/>
                    </w:rPr>
                  </w:pPr>
                  <w:r>
                    <w:rPr>
                      <w:color w:val="auto"/>
                    </w:rPr>
                    <w:t>采取基础减振、建筑隔音等措施</w:t>
                  </w:r>
                </w:p>
              </w:tc>
              <w:tc>
                <w:tcPr>
                  <w:tcW w:w="524" w:type="pct"/>
                  <w:noWrap w:val="0"/>
                  <w:vAlign w:val="center"/>
                </w:tcPr>
                <w:p w14:paraId="0BA47F3A">
                  <w:pPr>
                    <w:jc w:val="center"/>
                    <w:rPr>
                      <w:color w:val="auto"/>
                    </w:rPr>
                  </w:pPr>
                  <w:r>
                    <w:rPr>
                      <w:color w:val="auto"/>
                    </w:rPr>
                    <w:t>采取基础减振、建筑隔音等措施</w:t>
                  </w:r>
                </w:p>
              </w:tc>
              <w:tc>
                <w:tcPr>
                  <w:tcW w:w="892" w:type="pct"/>
                  <w:noWrap w:val="0"/>
                  <w:vAlign w:val="center"/>
                </w:tcPr>
                <w:p w14:paraId="7E6BBC75">
                  <w:pPr>
                    <w:jc w:val="center"/>
                    <w:rPr>
                      <w:color w:val="auto"/>
                    </w:rPr>
                  </w:pPr>
                  <w:r>
                    <w:rPr>
                      <w:color w:val="auto"/>
                    </w:rPr>
                    <w:t>采取基础减振、建筑隔音等措施</w:t>
                  </w:r>
                </w:p>
              </w:tc>
              <w:tc>
                <w:tcPr>
                  <w:tcW w:w="1790" w:type="pct"/>
                  <w:noWrap w:val="0"/>
                  <w:vAlign w:val="center"/>
                </w:tcPr>
                <w:p w14:paraId="1F1AD08A">
                  <w:pPr>
                    <w:jc w:val="center"/>
                    <w:rPr>
                      <w:color w:val="auto"/>
                    </w:rPr>
                  </w:pPr>
                  <w:r>
                    <w:rPr>
                      <w:color w:val="auto"/>
                    </w:rPr>
                    <w:t>确保厂界噪声达标排放</w:t>
                  </w:r>
                </w:p>
              </w:tc>
            </w:tr>
            <w:tr w14:paraId="4B35DA20">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15" w:type="pct"/>
                  <w:vMerge w:val="continue"/>
                  <w:noWrap w:val="0"/>
                  <w:vAlign w:val="center"/>
                </w:tcPr>
                <w:p w14:paraId="299E9012">
                  <w:pPr>
                    <w:jc w:val="center"/>
                    <w:rPr>
                      <w:color w:val="auto"/>
                    </w:rPr>
                  </w:pPr>
                </w:p>
              </w:tc>
              <w:tc>
                <w:tcPr>
                  <w:tcW w:w="604" w:type="pct"/>
                  <w:gridSpan w:val="2"/>
                  <w:noWrap w:val="0"/>
                  <w:vAlign w:val="center"/>
                </w:tcPr>
                <w:p w14:paraId="695DC53D">
                  <w:pPr>
                    <w:pStyle w:val="25"/>
                    <w:widowControl w:val="0"/>
                    <w:spacing w:before="0" w:beforeAutospacing="0" w:after="0" w:afterAutospacing="0"/>
                    <w:jc w:val="center"/>
                    <w:rPr>
                      <w:rFonts w:ascii="Times New Roman" w:hAnsi="Times New Roman"/>
                      <w:color w:val="auto"/>
                      <w:kern w:val="2"/>
                      <w:sz w:val="21"/>
                      <w:szCs w:val="21"/>
                      <w:lang w:val="en-US" w:eastAsia="zh-CN"/>
                    </w:rPr>
                  </w:pPr>
                  <w:r>
                    <w:rPr>
                      <w:rFonts w:ascii="Times New Roman" w:hAnsi="Times New Roman"/>
                      <w:color w:val="auto"/>
                      <w:sz w:val="21"/>
                      <w:szCs w:val="21"/>
                      <w:lang w:val="en-US" w:eastAsia="zh-CN"/>
                    </w:rPr>
                    <w:t>危废</w:t>
                  </w:r>
                  <w:r>
                    <w:rPr>
                      <w:rFonts w:ascii="Times New Roman" w:hAnsi="Times New Roman"/>
                      <w:color w:val="auto"/>
                      <w:kern w:val="2"/>
                      <w:sz w:val="21"/>
                      <w:szCs w:val="21"/>
                      <w:lang w:val="en-US" w:eastAsia="zh-CN" w:bidi="ar"/>
                    </w:rPr>
                    <w:t>暂存间</w:t>
                  </w:r>
                </w:p>
              </w:tc>
              <w:tc>
                <w:tcPr>
                  <w:tcW w:w="973" w:type="pct"/>
                  <w:noWrap w:val="0"/>
                  <w:vAlign w:val="center"/>
                </w:tcPr>
                <w:p w14:paraId="3C30BB91">
                  <w:pPr>
                    <w:jc w:val="center"/>
                    <w:rPr>
                      <w:color w:val="auto"/>
                    </w:rPr>
                  </w:pPr>
                  <w:r>
                    <w:rPr>
                      <w:rFonts w:hint="eastAsia"/>
                      <w:color w:val="auto"/>
                      <w:lang w:val="en-US" w:eastAsia="zh-CN"/>
                    </w:rPr>
                    <w:t>30</w:t>
                  </w:r>
                  <w:r>
                    <w:rPr>
                      <w:color w:val="auto"/>
                    </w:rPr>
                    <w:t>m</w:t>
                  </w:r>
                  <w:r>
                    <w:rPr>
                      <w:color w:val="auto"/>
                      <w:vertAlign w:val="superscript"/>
                    </w:rPr>
                    <w:t>2</w:t>
                  </w:r>
                </w:p>
              </w:tc>
              <w:tc>
                <w:tcPr>
                  <w:tcW w:w="524" w:type="pct"/>
                  <w:noWrap w:val="0"/>
                  <w:vAlign w:val="center"/>
                </w:tcPr>
                <w:p w14:paraId="5A3EF375">
                  <w:pPr>
                    <w:jc w:val="center"/>
                    <w:rPr>
                      <w:color w:val="auto"/>
                    </w:rPr>
                  </w:pPr>
                  <w:r>
                    <w:rPr>
                      <w:color w:val="auto"/>
                    </w:rPr>
                    <w:t>/</w:t>
                  </w:r>
                </w:p>
              </w:tc>
              <w:tc>
                <w:tcPr>
                  <w:tcW w:w="892" w:type="pct"/>
                  <w:noWrap w:val="0"/>
                  <w:vAlign w:val="center"/>
                </w:tcPr>
                <w:p w14:paraId="46C5963C">
                  <w:pPr>
                    <w:jc w:val="center"/>
                    <w:rPr>
                      <w:color w:val="auto"/>
                    </w:rPr>
                  </w:pPr>
                  <w:r>
                    <w:rPr>
                      <w:rFonts w:hint="eastAsia"/>
                      <w:color w:val="auto"/>
                      <w:lang w:val="en-US" w:eastAsia="zh-CN"/>
                    </w:rPr>
                    <w:t>30</w:t>
                  </w:r>
                  <w:r>
                    <w:rPr>
                      <w:color w:val="auto"/>
                    </w:rPr>
                    <w:t>m</w:t>
                  </w:r>
                  <w:r>
                    <w:rPr>
                      <w:color w:val="auto"/>
                      <w:vertAlign w:val="superscript"/>
                    </w:rPr>
                    <w:t>2</w:t>
                  </w:r>
                </w:p>
              </w:tc>
              <w:tc>
                <w:tcPr>
                  <w:tcW w:w="1790" w:type="pct"/>
                  <w:noWrap w:val="0"/>
                  <w:vAlign w:val="center"/>
                </w:tcPr>
                <w:p w14:paraId="6F339E31">
                  <w:pPr>
                    <w:jc w:val="center"/>
                    <w:rPr>
                      <w:rFonts w:hint="default" w:eastAsia="宋体"/>
                      <w:color w:val="auto"/>
                      <w:lang w:val="en-US" w:eastAsia="zh-CN" w:bidi="ar"/>
                    </w:rPr>
                  </w:pPr>
                  <w:r>
                    <w:rPr>
                      <w:color w:val="auto"/>
                    </w:rPr>
                    <w:t>现有</w:t>
                  </w:r>
                  <w:r>
                    <w:rPr>
                      <w:rFonts w:hint="eastAsia"/>
                      <w:color w:val="auto"/>
                    </w:rPr>
                    <w:t>已建</w:t>
                  </w:r>
                  <w:r>
                    <w:rPr>
                      <w:color w:val="auto"/>
                    </w:rPr>
                    <w:t>，</w:t>
                  </w:r>
                  <w:r>
                    <w:rPr>
                      <w:rFonts w:hint="eastAsia"/>
                      <w:color w:val="auto"/>
                      <w:lang w:val="en-US" w:eastAsia="zh-CN"/>
                    </w:rPr>
                    <w:t>依托现有</w:t>
                  </w:r>
                </w:p>
              </w:tc>
            </w:tr>
            <w:tr w14:paraId="441F17C9">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5" w:type="pct"/>
                  <w:vMerge w:val="continue"/>
                  <w:noWrap w:val="0"/>
                  <w:vAlign w:val="center"/>
                </w:tcPr>
                <w:p w14:paraId="1B432263">
                  <w:pPr>
                    <w:jc w:val="center"/>
                    <w:rPr>
                      <w:color w:val="auto"/>
                    </w:rPr>
                  </w:pPr>
                </w:p>
              </w:tc>
              <w:tc>
                <w:tcPr>
                  <w:tcW w:w="604" w:type="pct"/>
                  <w:gridSpan w:val="2"/>
                  <w:noWrap w:val="0"/>
                  <w:vAlign w:val="center"/>
                </w:tcPr>
                <w:p w14:paraId="5637789E">
                  <w:pPr>
                    <w:pStyle w:val="25"/>
                    <w:widowControl w:val="0"/>
                    <w:spacing w:before="0" w:beforeAutospacing="0" w:after="0" w:afterAutospacing="0"/>
                    <w:jc w:val="center"/>
                    <w:rPr>
                      <w:rFonts w:ascii="Times New Roman" w:hAnsi="Times New Roman"/>
                      <w:color w:val="auto"/>
                      <w:sz w:val="21"/>
                      <w:szCs w:val="21"/>
                      <w:lang w:val="en-US" w:eastAsia="zh-CN"/>
                    </w:rPr>
                  </w:pPr>
                  <w:r>
                    <w:rPr>
                      <w:rFonts w:hint="eastAsia" w:ascii="Times New Roman" w:hAnsi="Times New Roman"/>
                      <w:color w:val="auto"/>
                      <w:kern w:val="2"/>
                      <w:sz w:val="21"/>
                      <w:szCs w:val="21"/>
                      <w:lang w:val="en-US" w:eastAsia="zh-CN" w:bidi="ar"/>
                    </w:rPr>
                    <w:t>一般固废仓库</w:t>
                  </w:r>
                </w:p>
              </w:tc>
              <w:tc>
                <w:tcPr>
                  <w:tcW w:w="973" w:type="pct"/>
                  <w:noWrap w:val="0"/>
                  <w:vAlign w:val="center"/>
                </w:tcPr>
                <w:p w14:paraId="0B45B560">
                  <w:pPr>
                    <w:spacing w:line="320" w:lineRule="exact"/>
                    <w:jc w:val="center"/>
                    <w:rPr>
                      <w:color w:val="auto"/>
                    </w:rPr>
                  </w:pPr>
                  <w:r>
                    <w:rPr>
                      <w:rFonts w:hint="eastAsia"/>
                      <w:color w:val="auto"/>
                    </w:rPr>
                    <w:t>1</w:t>
                  </w:r>
                  <w:r>
                    <w:rPr>
                      <w:rFonts w:hint="eastAsia"/>
                      <w:color w:val="auto"/>
                      <w:lang w:val="en-US" w:eastAsia="zh-CN"/>
                    </w:rPr>
                    <w:t>50</w:t>
                  </w:r>
                  <w:r>
                    <w:rPr>
                      <w:color w:val="auto"/>
                    </w:rPr>
                    <w:t>m</w:t>
                  </w:r>
                  <w:r>
                    <w:rPr>
                      <w:color w:val="auto"/>
                      <w:vertAlign w:val="superscript"/>
                    </w:rPr>
                    <w:t>2</w:t>
                  </w:r>
                </w:p>
              </w:tc>
              <w:tc>
                <w:tcPr>
                  <w:tcW w:w="524" w:type="pct"/>
                  <w:noWrap w:val="0"/>
                  <w:vAlign w:val="center"/>
                </w:tcPr>
                <w:p w14:paraId="24797B02">
                  <w:pPr>
                    <w:spacing w:line="320" w:lineRule="exact"/>
                    <w:jc w:val="center"/>
                    <w:rPr>
                      <w:color w:val="auto"/>
                    </w:rPr>
                  </w:pPr>
                  <w:r>
                    <w:rPr>
                      <w:color w:val="auto"/>
                    </w:rPr>
                    <w:t>/</w:t>
                  </w:r>
                </w:p>
              </w:tc>
              <w:tc>
                <w:tcPr>
                  <w:tcW w:w="892" w:type="pct"/>
                  <w:noWrap w:val="0"/>
                  <w:vAlign w:val="center"/>
                </w:tcPr>
                <w:p w14:paraId="31E1C7A1">
                  <w:pPr>
                    <w:spacing w:line="320" w:lineRule="exact"/>
                    <w:jc w:val="center"/>
                    <w:rPr>
                      <w:rFonts w:hint="eastAsia"/>
                      <w:color w:val="auto"/>
                      <w:lang w:val="en-US" w:eastAsia="zh-CN"/>
                    </w:rPr>
                  </w:pPr>
                  <w:r>
                    <w:rPr>
                      <w:rFonts w:hint="eastAsia"/>
                      <w:color w:val="auto"/>
                    </w:rPr>
                    <w:t>1</w:t>
                  </w:r>
                  <w:r>
                    <w:rPr>
                      <w:rFonts w:hint="eastAsia"/>
                      <w:color w:val="auto"/>
                      <w:lang w:val="en-US" w:eastAsia="zh-CN"/>
                    </w:rPr>
                    <w:t>50</w:t>
                  </w:r>
                  <w:r>
                    <w:rPr>
                      <w:color w:val="auto"/>
                    </w:rPr>
                    <w:t>m</w:t>
                  </w:r>
                  <w:r>
                    <w:rPr>
                      <w:color w:val="auto"/>
                      <w:vertAlign w:val="superscript"/>
                    </w:rPr>
                    <w:t>2</w:t>
                  </w:r>
                </w:p>
              </w:tc>
              <w:tc>
                <w:tcPr>
                  <w:tcW w:w="1790" w:type="pct"/>
                  <w:noWrap w:val="0"/>
                  <w:vAlign w:val="center"/>
                </w:tcPr>
                <w:p w14:paraId="487BF7F3">
                  <w:pPr>
                    <w:jc w:val="center"/>
                    <w:rPr>
                      <w:color w:val="auto"/>
                    </w:rPr>
                  </w:pPr>
                  <w:r>
                    <w:rPr>
                      <w:color w:val="auto"/>
                    </w:rPr>
                    <w:t>现有</w:t>
                  </w:r>
                  <w:r>
                    <w:rPr>
                      <w:rFonts w:hint="eastAsia"/>
                      <w:color w:val="auto"/>
                    </w:rPr>
                    <w:t>已建</w:t>
                  </w:r>
                  <w:r>
                    <w:rPr>
                      <w:color w:val="auto"/>
                    </w:rPr>
                    <w:t>，</w:t>
                  </w:r>
                  <w:r>
                    <w:rPr>
                      <w:rFonts w:hint="eastAsia"/>
                      <w:color w:val="auto"/>
                      <w:lang w:val="en-US" w:eastAsia="zh-CN"/>
                    </w:rPr>
                    <w:t>依托现有</w:t>
                  </w:r>
                </w:p>
              </w:tc>
            </w:tr>
            <w:tr w14:paraId="64A278F6">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19" w:type="pct"/>
                  <w:gridSpan w:val="3"/>
                  <w:noWrap w:val="0"/>
                  <w:vAlign w:val="center"/>
                </w:tcPr>
                <w:p w14:paraId="4601C14B">
                  <w:pPr>
                    <w:pStyle w:val="25"/>
                    <w:widowControl w:val="0"/>
                    <w:spacing w:before="0" w:beforeAutospacing="0" w:after="0" w:afterAutospacing="0"/>
                    <w:jc w:val="center"/>
                    <w:rPr>
                      <w:rFonts w:ascii="Times New Roman" w:hAnsi="Times New Roman"/>
                      <w:color w:val="auto"/>
                      <w:kern w:val="2"/>
                      <w:sz w:val="21"/>
                      <w:szCs w:val="21"/>
                      <w:lang w:val="en-US" w:eastAsia="zh-CN" w:bidi="ar"/>
                    </w:rPr>
                  </w:pPr>
                  <w:r>
                    <w:rPr>
                      <w:rFonts w:hint="eastAsia" w:cs="Times New Roman"/>
                      <w:color w:val="auto"/>
                      <w:sz w:val="21"/>
                      <w:szCs w:val="21"/>
                      <w:lang w:eastAsia="zh-CN"/>
                    </w:rPr>
                    <w:t>风险防控措施</w:t>
                  </w:r>
                </w:p>
              </w:tc>
              <w:tc>
                <w:tcPr>
                  <w:tcW w:w="2389" w:type="pct"/>
                  <w:gridSpan w:val="3"/>
                  <w:noWrap w:val="0"/>
                  <w:vAlign w:val="center"/>
                </w:tcPr>
                <w:p w14:paraId="2DB87D29">
                  <w:pPr>
                    <w:spacing w:line="320" w:lineRule="exact"/>
                    <w:jc w:val="center"/>
                    <w:rPr>
                      <w:rFonts w:hint="eastAsia"/>
                      <w:color w:val="auto"/>
                      <w:lang w:val="en-US" w:eastAsia="zh-CN"/>
                    </w:rPr>
                  </w:pPr>
                  <w:r>
                    <w:rPr>
                      <w:rFonts w:hint="eastAsia" w:ascii="Times New Roman" w:hAnsi="Times New Roman" w:eastAsia="宋体" w:cs="Times New Roman"/>
                      <w:color w:val="auto"/>
                      <w:sz w:val="21"/>
                      <w:szCs w:val="21"/>
                      <w:lang w:val="en-US" w:eastAsia="zh-CN"/>
                    </w:rPr>
                    <w:t>雨水口设置阀门，</w:t>
                  </w:r>
                  <w:r>
                    <w:rPr>
                      <w:rFonts w:hint="eastAsia" w:cs="Times New Roman"/>
                      <w:bCs/>
                      <w:color w:val="auto"/>
                      <w:sz w:val="21"/>
                      <w:szCs w:val="21"/>
                      <w:lang w:val="en-US" w:eastAsia="zh-CN"/>
                    </w:rPr>
                    <w:t>事故应急池180m</w:t>
                  </w:r>
                  <w:r>
                    <w:rPr>
                      <w:rFonts w:hint="eastAsia" w:cs="Times New Roman"/>
                      <w:bCs/>
                      <w:color w:val="auto"/>
                      <w:sz w:val="21"/>
                      <w:szCs w:val="21"/>
                      <w:vertAlign w:val="superscript"/>
                      <w:lang w:val="en-US" w:eastAsia="zh-CN"/>
                    </w:rPr>
                    <w:t>3</w:t>
                  </w:r>
                </w:p>
              </w:tc>
              <w:tc>
                <w:tcPr>
                  <w:tcW w:w="1790" w:type="pct"/>
                  <w:noWrap w:val="0"/>
                  <w:vAlign w:val="center"/>
                </w:tcPr>
                <w:p w14:paraId="428FACE6">
                  <w:pPr>
                    <w:jc w:val="center"/>
                    <w:rPr>
                      <w:rFonts w:hint="default" w:ascii="Times New Roman" w:hAnsi="Times New Roman" w:eastAsia="宋体" w:cs="Times New Roman"/>
                      <w:color w:val="auto"/>
                      <w:sz w:val="21"/>
                      <w:szCs w:val="21"/>
                      <w:lang w:val="en-US" w:eastAsia="zh-CN"/>
                    </w:rPr>
                  </w:pPr>
                  <w:r>
                    <w:rPr>
                      <w:rFonts w:hint="eastAsia"/>
                      <w:color w:val="auto"/>
                      <w:lang w:val="en-US" w:eastAsia="zh-CN"/>
                    </w:rPr>
                    <w:t>依托现有</w:t>
                  </w:r>
                </w:p>
              </w:tc>
            </w:tr>
          </w:tbl>
          <w:p w14:paraId="0E796BAB">
            <w:pPr>
              <w:pStyle w:val="25"/>
              <w:spacing w:before="0" w:beforeAutospacing="0" w:after="0" w:afterAutospacing="0"/>
              <w:jc w:val="center"/>
              <w:outlineLvl w:val="0"/>
              <w:rPr>
                <w:rFonts w:hint="default" w:ascii="Times New Roman" w:hAnsi="Times New Roman" w:eastAsia="黑体" w:cs="Times New Roman"/>
                <w:snapToGrid w:val="0"/>
                <w:color w:val="auto"/>
                <w:sz w:val="30"/>
                <w:szCs w:val="30"/>
                <w:vertAlign w:val="baseline"/>
              </w:rPr>
            </w:pPr>
          </w:p>
        </w:tc>
      </w:tr>
    </w:tbl>
    <w:p w14:paraId="3BC97AFC">
      <w:pPr>
        <w:pStyle w:val="25"/>
        <w:spacing w:before="0" w:beforeAutospacing="0" w:after="0" w:afterAutospacing="0"/>
        <w:jc w:val="center"/>
        <w:outlineLvl w:val="0"/>
        <w:rPr>
          <w:rFonts w:hint="default" w:ascii="Times New Roman" w:hAnsi="Times New Roman" w:eastAsia="黑体" w:cs="Times New Roman"/>
          <w:snapToGrid w:val="0"/>
          <w:color w:val="auto"/>
          <w:sz w:val="30"/>
          <w:szCs w:val="30"/>
        </w:rPr>
        <w:sectPr>
          <w:pgSz w:w="16838" w:h="11906" w:orient="landscape"/>
          <w:pgMar w:top="1417" w:right="1417" w:bottom="1417" w:left="1417" w:header="851" w:footer="1134"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5"/>
        <w:gridCol w:w="8413"/>
      </w:tblGrid>
      <w:tr w14:paraId="13397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Align w:val="center"/>
          </w:tcPr>
          <w:p w14:paraId="64E4884C">
            <w:pPr>
              <w:pStyle w:val="25"/>
              <w:spacing w:before="0" w:beforeAutospacing="0" w:after="0" w:afterAutospacing="0"/>
              <w:jc w:val="center"/>
              <w:outlineLvl w:val="0"/>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建设</w:t>
            </w:r>
          </w:p>
          <w:p w14:paraId="49D96998">
            <w:pPr>
              <w:pStyle w:val="25"/>
              <w:spacing w:before="0" w:beforeAutospacing="0" w:after="0" w:afterAutospacing="0"/>
              <w:jc w:val="center"/>
              <w:outlineLvl w:val="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内容</w:t>
            </w:r>
          </w:p>
        </w:tc>
        <w:tc>
          <w:tcPr>
            <w:tcW w:w="8413" w:type="dxa"/>
          </w:tcPr>
          <w:p w14:paraId="31A266ED">
            <w:pPr>
              <w:keepNext w:val="0"/>
              <w:keepLines w:val="0"/>
              <w:pageBreakBefore w:val="0"/>
              <w:widowControl w:val="0"/>
              <w:numPr>
                <w:ilvl w:val="0"/>
                <w:numId w:val="4"/>
              </w:numPr>
              <w:kinsoku/>
              <w:wordWrap/>
              <w:overflowPunct/>
              <w:topLinePunct w:val="0"/>
              <w:autoSpaceDE/>
              <w:autoSpaceDN/>
              <w:bidi w:val="0"/>
              <w:adjustRightInd w:val="0"/>
              <w:snapToGrid w:val="0"/>
              <w:spacing w:line="500" w:lineRule="exact"/>
              <w:textAlignment w:val="auto"/>
              <w:rPr>
                <w:rFonts w:hint="eastAsia" w:cs="Times New Roman" w:eastAsiaTheme="minorEastAsia"/>
                <w:b/>
                <w:bCs/>
                <w:color w:val="auto"/>
                <w:kern w:val="0"/>
                <w:sz w:val="21"/>
                <w:szCs w:val="21"/>
                <w:lang w:val="en-US" w:eastAsia="zh-CN"/>
              </w:rPr>
            </w:pPr>
            <w:r>
              <w:rPr>
                <w:rFonts w:hint="eastAsia" w:cs="Times New Roman" w:eastAsiaTheme="minorEastAsia"/>
                <w:b/>
                <w:bCs/>
                <w:color w:val="auto"/>
                <w:kern w:val="0"/>
                <w:sz w:val="21"/>
                <w:szCs w:val="21"/>
                <w:lang w:val="en-US" w:eastAsia="zh-CN"/>
              </w:rPr>
              <w:t>VOC平衡</w:t>
            </w:r>
          </w:p>
          <w:p w14:paraId="11E0493A">
            <w:pPr>
              <w:tabs>
                <w:tab w:val="center" w:pos="4156"/>
                <w:tab w:val="left" w:pos="6375"/>
              </w:tabs>
              <w:spacing w:line="480" w:lineRule="exact"/>
              <w:jc w:val="center"/>
              <w:rPr>
                <w:b/>
                <w:bCs/>
                <w:color w:val="auto"/>
                <w:sz w:val="21"/>
                <w:szCs w:val="21"/>
              </w:rPr>
            </w:pPr>
            <w:r>
              <w:rPr>
                <w:b/>
                <w:bCs/>
                <w:color w:val="auto"/>
                <w:sz w:val="21"/>
                <w:szCs w:val="21"/>
              </w:rPr>
              <w:t>表</w:t>
            </w:r>
            <w:r>
              <w:rPr>
                <w:rFonts w:hint="eastAsia"/>
                <w:b/>
                <w:bCs/>
                <w:color w:val="auto"/>
                <w:sz w:val="21"/>
                <w:szCs w:val="21"/>
              </w:rPr>
              <w:t>2-</w:t>
            </w:r>
            <w:r>
              <w:rPr>
                <w:rFonts w:hint="eastAsia"/>
                <w:b/>
                <w:bCs/>
                <w:color w:val="auto"/>
                <w:sz w:val="21"/>
                <w:szCs w:val="21"/>
                <w:lang w:val="en-US" w:eastAsia="zh-CN"/>
              </w:rPr>
              <w:t>10 项目</w:t>
            </w:r>
            <w:r>
              <w:rPr>
                <w:rFonts w:hint="eastAsia" w:cs="Times New Roman"/>
                <w:b/>
                <w:bCs/>
                <w:color w:val="auto"/>
                <w:sz w:val="21"/>
                <w:szCs w:val="21"/>
                <w:lang w:val="en-US" w:eastAsia="zh-CN"/>
              </w:rPr>
              <w:t>VOC</w:t>
            </w:r>
            <w:r>
              <w:rPr>
                <w:b/>
                <w:bCs/>
                <w:color w:val="auto"/>
                <w:sz w:val="21"/>
                <w:szCs w:val="21"/>
              </w:rPr>
              <w:t>平衡表  单位：t/a</w:t>
            </w:r>
          </w:p>
          <w:tbl>
            <w:tblPr>
              <w:tblStyle w:val="31"/>
              <w:tblW w:w="4998" w:type="pct"/>
              <w:tblInd w:w="0" w:type="dxa"/>
              <w:tblBorders>
                <w:top w:val="single" w:color="auto" w:sz="4" w:space="0"/>
                <w:left w:val="none" w:color="auto" w:sz="0" w:space="0"/>
                <w:bottom w:val="single" w:color="auto" w:sz="4"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2634"/>
              <w:gridCol w:w="936"/>
              <w:gridCol w:w="1167"/>
              <w:gridCol w:w="2224"/>
              <w:gridCol w:w="1233"/>
            </w:tblGrid>
            <w:tr w14:paraId="760B058C">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2178" w:type="pct"/>
                  <w:gridSpan w:val="2"/>
                  <w:noWrap w:val="0"/>
                  <w:vAlign w:val="center"/>
                </w:tcPr>
                <w:p w14:paraId="33110EE7">
                  <w:pPr>
                    <w:snapToGrid w:val="0"/>
                    <w:jc w:val="center"/>
                    <w:rPr>
                      <w:b/>
                      <w:color w:val="auto"/>
                      <w:kern w:val="0"/>
                      <w:sz w:val="21"/>
                      <w:szCs w:val="21"/>
                    </w:rPr>
                  </w:pPr>
                  <w:r>
                    <w:rPr>
                      <w:b/>
                      <w:color w:val="auto"/>
                      <w:kern w:val="0"/>
                      <w:sz w:val="21"/>
                      <w:szCs w:val="21"/>
                    </w:rPr>
                    <w:t>投入</w:t>
                  </w:r>
                </w:p>
              </w:tc>
              <w:tc>
                <w:tcPr>
                  <w:tcW w:w="2821" w:type="pct"/>
                  <w:gridSpan w:val="3"/>
                  <w:noWrap w:val="0"/>
                  <w:vAlign w:val="center"/>
                </w:tcPr>
                <w:p w14:paraId="7D7373D8">
                  <w:pPr>
                    <w:snapToGrid w:val="0"/>
                    <w:jc w:val="center"/>
                    <w:rPr>
                      <w:b/>
                      <w:color w:val="auto"/>
                      <w:kern w:val="0"/>
                      <w:sz w:val="21"/>
                      <w:szCs w:val="21"/>
                    </w:rPr>
                  </w:pPr>
                  <w:r>
                    <w:rPr>
                      <w:b/>
                      <w:color w:val="auto"/>
                      <w:kern w:val="0"/>
                      <w:sz w:val="21"/>
                      <w:szCs w:val="21"/>
                    </w:rPr>
                    <w:t>产出</w:t>
                  </w:r>
                </w:p>
              </w:tc>
            </w:tr>
            <w:tr w14:paraId="7A55159F">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1607" w:type="pct"/>
                  <w:noWrap w:val="0"/>
                  <w:vAlign w:val="center"/>
                </w:tcPr>
                <w:p w14:paraId="6E1D9B2C">
                  <w:pPr>
                    <w:snapToGrid w:val="0"/>
                    <w:jc w:val="center"/>
                    <w:rPr>
                      <w:b/>
                      <w:color w:val="auto"/>
                      <w:kern w:val="0"/>
                      <w:sz w:val="21"/>
                      <w:szCs w:val="21"/>
                    </w:rPr>
                  </w:pPr>
                  <w:r>
                    <w:rPr>
                      <w:b/>
                      <w:color w:val="auto"/>
                      <w:kern w:val="0"/>
                      <w:sz w:val="21"/>
                      <w:szCs w:val="21"/>
                    </w:rPr>
                    <w:t>原辅料</w:t>
                  </w:r>
                </w:p>
              </w:tc>
              <w:tc>
                <w:tcPr>
                  <w:tcW w:w="570" w:type="pct"/>
                  <w:noWrap w:val="0"/>
                  <w:vAlign w:val="center"/>
                </w:tcPr>
                <w:p w14:paraId="7413AAF9">
                  <w:pPr>
                    <w:snapToGrid w:val="0"/>
                    <w:jc w:val="center"/>
                    <w:rPr>
                      <w:b/>
                      <w:color w:val="auto"/>
                      <w:kern w:val="0"/>
                      <w:sz w:val="21"/>
                      <w:szCs w:val="21"/>
                    </w:rPr>
                  </w:pPr>
                  <w:r>
                    <w:rPr>
                      <w:rFonts w:hint="eastAsia"/>
                      <w:b/>
                      <w:color w:val="auto"/>
                      <w:kern w:val="0"/>
                      <w:sz w:val="21"/>
                      <w:szCs w:val="21"/>
                    </w:rPr>
                    <w:t>消耗</w:t>
                  </w:r>
                  <w:r>
                    <w:rPr>
                      <w:b/>
                      <w:color w:val="auto"/>
                      <w:kern w:val="0"/>
                      <w:sz w:val="21"/>
                      <w:szCs w:val="21"/>
                    </w:rPr>
                    <w:t>量</w:t>
                  </w:r>
                </w:p>
              </w:tc>
              <w:tc>
                <w:tcPr>
                  <w:tcW w:w="712" w:type="pct"/>
                  <w:noWrap w:val="0"/>
                  <w:vAlign w:val="center"/>
                </w:tcPr>
                <w:p w14:paraId="273E3974">
                  <w:pPr>
                    <w:snapToGrid w:val="0"/>
                    <w:jc w:val="center"/>
                    <w:rPr>
                      <w:b/>
                      <w:color w:val="auto"/>
                      <w:kern w:val="0"/>
                      <w:sz w:val="21"/>
                      <w:szCs w:val="21"/>
                    </w:rPr>
                  </w:pPr>
                  <w:r>
                    <w:rPr>
                      <w:b/>
                      <w:color w:val="auto"/>
                      <w:kern w:val="0"/>
                      <w:sz w:val="21"/>
                      <w:szCs w:val="21"/>
                    </w:rPr>
                    <w:t>去向</w:t>
                  </w:r>
                </w:p>
              </w:tc>
              <w:tc>
                <w:tcPr>
                  <w:tcW w:w="2109" w:type="pct"/>
                  <w:gridSpan w:val="2"/>
                  <w:noWrap w:val="0"/>
                  <w:vAlign w:val="center"/>
                </w:tcPr>
                <w:p w14:paraId="05283839">
                  <w:pPr>
                    <w:snapToGrid w:val="0"/>
                    <w:jc w:val="center"/>
                    <w:rPr>
                      <w:b/>
                      <w:color w:val="auto"/>
                      <w:kern w:val="0"/>
                      <w:sz w:val="21"/>
                      <w:szCs w:val="21"/>
                    </w:rPr>
                  </w:pPr>
                  <w:r>
                    <w:rPr>
                      <w:b/>
                      <w:color w:val="auto"/>
                      <w:kern w:val="0"/>
                      <w:sz w:val="21"/>
                      <w:szCs w:val="21"/>
                    </w:rPr>
                    <w:t>含量</w:t>
                  </w:r>
                </w:p>
              </w:tc>
            </w:tr>
            <w:tr w14:paraId="7527D7B9">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1607" w:type="pct"/>
                  <w:vMerge w:val="restart"/>
                  <w:noWrap w:val="0"/>
                  <w:vAlign w:val="center"/>
                </w:tcPr>
                <w:p w14:paraId="1A12148C">
                  <w:pPr>
                    <w:snapToGrid w:val="0"/>
                    <w:jc w:val="center"/>
                    <w:rPr>
                      <w:rFonts w:hint="eastAsia" w:eastAsia="宋体"/>
                      <w:color w:val="auto"/>
                      <w:sz w:val="21"/>
                      <w:szCs w:val="21"/>
                      <w:lang w:eastAsia="zh-CN"/>
                    </w:rPr>
                  </w:pPr>
                  <w:r>
                    <w:rPr>
                      <w:rFonts w:hint="eastAsia" w:ascii="Times New Roman" w:hAnsi="Times New Roman" w:eastAsia="宋体" w:cs="Times New Roman"/>
                      <w:bCs/>
                      <w:color w:val="auto"/>
                      <w:kern w:val="2"/>
                      <w:sz w:val="21"/>
                      <w:szCs w:val="21"/>
                      <w:lang w:val="en-US" w:eastAsia="zh-CN" w:bidi="ar-SA"/>
                    </w:rPr>
                    <w:t>EVA胶膜流延成型</w:t>
                  </w:r>
                  <w:r>
                    <w:rPr>
                      <w:rFonts w:hint="eastAsia"/>
                      <w:color w:val="auto"/>
                      <w:kern w:val="0"/>
                      <w:sz w:val="21"/>
                      <w:szCs w:val="21"/>
                      <w:lang w:eastAsia="zh-CN"/>
                    </w:rPr>
                    <w:t>废气</w:t>
                  </w:r>
                </w:p>
              </w:tc>
              <w:tc>
                <w:tcPr>
                  <w:tcW w:w="570" w:type="pct"/>
                  <w:vMerge w:val="restart"/>
                  <w:noWrap w:val="0"/>
                  <w:vAlign w:val="center"/>
                </w:tcPr>
                <w:p w14:paraId="02207B6A">
                  <w:pPr>
                    <w:snapToGrid w:val="0"/>
                    <w:jc w:val="center"/>
                    <w:rPr>
                      <w:rFonts w:hint="default"/>
                      <w:color w:val="auto"/>
                      <w:kern w:val="0"/>
                      <w:sz w:val="21"/>
                      <w:szCs w:val="21"/>
                      <w:lang w:val="en-US"/>
                    </w:rPr>
                  </w:pPr>
                  <w:r>
                    <w:rPr>
                      <w:rFonts w:hint="eastAsia" w:cs="Times New Roman"/>
                      <w:bCs/>
                      <w:color w:val="auto"/>
                      <w:kern w:val="2"/>
                      <w:sz w:val="21"/>
                      <w:szCs w:val="21"/>
                      <w:lang w:val="en-US" w:eastAsia="zh-CN" w:bidi="ar-SA"/>
                    </w:rPr>
                    <w:t>2.354</w:t>
                  </w:r>
                </w:p>
              </w:tc>
              <w:tc>
                <w:tcPr>
                  <w:tcW w:w="712" w:type="pct"/>
                  <w:noWrap w:val="0"/>
                  <w:vAlign w:val="center"/>
                </w:tcPr>
                <w:p w14:paraId="54A0FD37">
                  <w:pPr>
                    <w:snapToGrid w:val="0"/>
                    <w:jc w:val="center"/>
                    <w:rPr>
                      <w:color w:val="auto"/>
                      <w:kern w:val="0"/>
                      <w:sz w:val="21"/>
                      <w:szCs w:val="21"/>
                    </w:rPr>
                  </w:pPr>
                  <w:r>
                    <w:rPr>
                      <w:color w:val="auto"/>
                      <w:kern w:val="0"/>
                      <w:sz w:val="21"/>
                      <w:szCs w:val="21"/>
                    </w:rPr>
                    <w:t>废气</w:t>
                  </w:r>
                </w:p>
              </w:tc>
              <w:tc>
                <w:tcPr>
                  <w:tcW w:w="1357" w:type="pct"/>
                  <w:noWrap w:val="0"/>
                  <w:vAlign w:val="center"/>
                </w:tcPr>
                <w:p w14:paraId="32E4EF02">
                  <w:pPr>
                    <w:snapToGrid w:val="0"/>
                    <w:jc w:val="center"/>
                    <w:rPr>
                      <w:color w:val="auto"/>
                      <w:sz w:val="21"/>
                      <w:szCs w:val="21"/>
                    </w:rPr>
                  </w:pPr>
                  <w:r>
                    <w:rPr>
                      <w:rFonts w:hint="eastAsia"/>
                      <w:color w:val="auto"/>
                      <w:sz w:val="21"/>
                      <w:szCs w:val="21"/>
                    </w:rPr>
                    <w:t>有</w:t>
                  </w:r>
                  <w:r>
                    <w:rPr>
                      <w:color w:val="auto"/>
                      <w:sz w:val="21"/>
                      <w:szCs w:val="21"/>
                    </w:rPr>
                    <w:t>组织排放</w:t>
                  </w:r>
                </w:p>
              </w:tc>
              <w:tc>
                <w:tcPr>
                  <w:tcW w:w="1290" w:type="dxa"/>
                  <w:noWrap w:val="0"/>
                  <w:vAlign w:val="center"/>
                </w:tcPr>
                <w:p w14:paraId="17DAA751">
                  <w:pPr>
                    <w:jc w:val="center"/>
                    <w:rPr>
                      <w:rFonts w:hint="default" w:eastAsia="宋体"/>
                      <w:color w:val="auto"/>
                      <w:kern w:val="0"/>
                      <w:sz w:val="21"/>
                      <w:szCs w:val="21"/>
                      <w:lang w:val="en-US" w:eastAsia="zh-CN"/>
                    </w:rPr>
                  </w:pPr>
                  <w:r>
                    <w:rPr>
                      <w:rFonts w:hint="eastAsia" w:cs="Times New Roman"/>
                      <w:color w:val="auto"/>
                      <w:kern w:val="44"/>
                      <w:sz w:val="21"/>
                      <w:szCs w:val="21"/>
                      <w:lang w:val="en-US" w:eastAsia="zh-CN" w:bidi="ar-SA"/>
                    </w:rPr>
                    <w:t>0.212</w:t>
                  </w:r>
                </w:p>
              </w:tc>
            </w:tr>
            <w:tr w14:paraId="2D5D6F74">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1607" w:type="pct"/>
                  <w:vMerge w:val="continue"/>
                  <w:noWrap w:val="0"/>
                  <w:vAlign w:val="center"/>
                </w:tcPr>
                <w:p w14:paraId="326E171F">
                  <w:pPr>
                    <w:snapToGrid w:val="0"/>
                    <w:jc w:val="center"/>
                    <w:rPr>
                      <w:color w:val="auto"/>
                      <w:sz w:val="21"/>
                      <w:szCs w:val="21"/>
                    </w:rPr>
                  </w:pPr>
                </w:p>
              </w:tc>
              <w:tc>
                <w:tcPr>
                  <w:tcW w:w="570" w:type="pct"/>
                  <w:vMerge w:val="continue"/>
                  <w:noWrap w:val="0"/>
                  <w:vAlign w:val="center"/>
                </w:tcPr>
                <w:p w14:paraId="275DB098">
                  <w:pPr>
                    <w:snapToGrid w:val="0"/>
                    <w:jc w:val="center"/>
                    <w:rPr>
                      <w:rFonts w:hint="default"/>
                      <w:color w:val="auto"/>
                      <w:kern w:val="0"/>
                      <w:sz w:val="21"/>
                      <w:szCs w:val="21"/>
                      <w:lang w:val="en-US"/>
                    </w:rPr>
                  </w:pPr>
                </w:p>
              </w:tc>
              <w:tc>
                <w:tcPr>
                  <w:tcW w:w="712" w:type="pct"/>
                  <w:noWrap w:val="0"/>
                  <w:vAlign w:val="center"/>
                </w:tcPr>
                <w:p w14:paraId="0950C066">
                  <w:pPr>
                    <w:snapToGrid w:val="0"/>
                    <w:jc w:val="center"/>
                    <w:rPr>
                      <w:rFonts w:hint="eastAsia"/>
                      <w:color w:val="auto"/>
                      <w:kern w:val="0"/>
                      <w:sz w:val="21"/>
                      <w:szCs w:val="21"/>
                    </w:rPr>
                  </w:pPr>
                  <w:r>
                    <w:rPr>
                      <w:rFonts w:hint="eastAsia"/>
                      <w:color w:val="auto"/>
                      <w:kern w:val="0"/>
                      <w:sz w:val="21"/>
                      <w:szCs w:val="21"/>
                    </w:rPr>
                    <w:t>废气</w:t>
                  </w:r>
                </w:p>
              </w:tc>
              <w:tc>
                <w:tcPr>
                  <w:tcW w:w="1357" w:type="pct"/>
                  <w:noWrap w:val="0"/>
                  <w:vAlign w:val="center"/>
                </w:tcPr>
                <w:p w14:paraId="25AA457F">
                  <w:pPr>
                    <w:snapToGrid w:val="0"/>
                    <w:jc w:val="center"/>
                    <w:rPr>
                      <w:color w:val="auto"/>
                      <w:sz w:val="21"/>
                      <w:szCs w:val="21"/>
                    </w:rPr>
                  </w:pPr>
                  <w:r>
                    <w:rPr>
                      <w:rFonts w:hint="eastAsia"/>
                      <w:color w:val="auto"/>
                      <w:sz w:val="21"/>
                      <w:szCs w:val="21"/>
                    </w:rPr>
                    <w:t>无</w:t>
                  </w:r>
                  <w:r>
                    <w:rPr>
                      <w:color w:val="auto"/>
                      <w:sz w:val="21"/>
                      <w:szCs w:val="21"/>
                    </w:rPr>
                    <w:t>组织排放</w:t>
                  </w:r>
                </w:p>
              </w:tc>
              <w:tc>
                <w:tcPr>
                  <w:tcW w:w="1290" w:type="dxa"/>
                  <w:noWrap w:val="0"/>
                  <w:vAlign w:val="center"/>
                </w:tcPr>
                <w:p w14:paraId="61C28889">
                  <w:pPr>
                    <w:jc w:val="center"/>
                    <w:rPr>
                      <w:rFonts w:hint="default" w:eastAsia="宋体"/>
                      <w:color w:val="auto"/>
                      <w:kern w:val="0"/>
                      <w:sz w:val="21"/>
                      <w:szCs w:val="21"/>
                      <w:lang w:val="en-US" w:eastAsia="zh-CN"/>
                    </w:rPr>
                  </w:pPr>
                  <w:r>
                    <w:rPr>
                      <w:rFonts w:hint="eastAsia" w:eastAsia="等线"/>
                      <w:color w:val="auto"/>
                      <w:sz w:val="21"/>
                      <w:szCs w:val="21"/>
                      <w:lang w:val="en-US" w:eastAsia="zh-CN"/>
                    </w:rPr>
                    <w:t>0.235</w:t>
                  </w:r>
                </w:p>
              </w:tc>
            </w:tr>
            <w:tr w14:paraId="6814DB34">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1607" w:type="pct"/>
                  <w:vMerge w:val="continue"/>
                  <w:noWrap w:val="0"/>
                  <w:vAlign w:val="center"/>
                </w:tcPr>
                <w:p w14:paraId="043ABDF8">
                  <w:pPr>
                    <w:snapToGrid w:val="0"/>
                    <w:jc w:val="center"/>
                    <w:rPr>
                      <w:color w:val="auto"/>
                      <w:sz w:val="21"/>
                      <w:szCs w:val="21"/>
                    </w:rPr>
                  </w:pPr>
                </w:p>
              </w:tc>
              <w:tc>
                <w:tcPr>
                  <w:tcW w:w="570" w:type="pct"/>
                  <w:vMerge w:val="continue"/>
                  <w:noWrap w:val="0"/>
                  <w:vAlign w:val="center"/>
                </w:tcPr>
                <w:p w14:paraId="2379E17B">
                  <w:pPr>
                    <w:snapToGrid w:val="0"/>
                    <w:jc w:val="center"/>
                    <w:rPr>
                      <w:rFonts w:hint="default" w:eastAsia="宋体"/>
                      <w:color w:val="auto"/>
                      <w:kern w:val="0"/>
                      <w:sz w:val="21"/>
                      <w:szCs w:val="21"/>
                      <w:lang w:val="en-US" w:eastAsia="zh-CN"/>
                    </w:rPr>
                  </w:pPr>
                </w:p>
              </w:tc>
              <w:tc>
                <w:tcPr>
                  <w:tcW w:w="712" w:type="pct"/>
                  <w:noWrap w:val="0"/>
                  <w:vAlign w:val="center"/>
                </w:tcPr>
                <w:p w14:paraId="6FDD47D4">
                  <w:pPr>
                    <w:snapToGrid w:val="0"/>
                    <w:jc w:val="center"/>
                    <w:rPr>
                      <w:rFonts w:hint="eastAsia" w:eastAsia="宋体"/>
                      <w:color w:val="auto"/>
                      <w:kern w:val="0"/>
                      <w:sz w:val="21"/>
                      <w:szCs w:val="21"/>
                      <w:lang w:eastAsia="zh-CN"/>
                    </w:rPr>
                  </w:pPr>
                  <w:r>
                    <w:rPr>
                      <w:rFonts w:hint="eastAsia"/>
                      <w:color w:val="auto"/>
                      <w:kern w:val="0"/>
                      <w:sz w:val="21"/>
                      <w:szCs w:val="21"/>
                      <w:lang w:eastAsia="zh-CN"/>
                    </w:rPr>
                    <w:t>固废</w:t>
                  </w:r>
                </w:p>
              </w:tc>
              <w:tc>
                <w:tcPr>
                  <w:tcW w:w="1357" w:type="pct"/>
                  <w:noWrap w:val="0"/>
                  <w:vAlign w:val="center"/>
                </w:tcPr>
                <w:p w14:paraId="3347F86B">
                  <w:pPr>
                    <w:snapToGrid w:val="0"/>
                    <w:jc w:val="center"/>
                    <w:rPr>
                      <w:rFonts w:hint="eastAsia"/>
                      <w:color w:val="auto"/>
                      <w:sz w:val="21"/>
                      <w:szCs w:val="21"/>
                    </w:rPr>
                  </w:pPr>
                  <w:r>
                    <w:rPr>
                      <w:rFonts w:hint="eastAsia"/>
                      <w:color w:val="auto"/>
                      <w:sz w:val="21"/>
                      <w:szCs w:val="21"/>
                      <w:lang w:eastAsia="zh-CN"/>
                    </w:rPr>
                    <w:t>进入废</w:t>
                  </w:r>
                  <w:r>
                    <w:rPr>
                      <w:rFonts w:hint="eastAsia"/>
                      <w:color w:val="auto"/>
                      <w:sz w:val="21"/>
                      <w:szCs w:val="21"/>
                    </w:rPr>
                    <w:t>活性炭</w:t>
                  </w:r>
                </w:p>
              </w:tc>
              <w:tc>
                <w:tcPr>
                  <w:tcW w:w="752" w:type="pct"/>
                  <w:noWrap w:val="0"/>
                  <w:vAlign w:val="center"/>
                </w:tcPr>
                <w:p w14:paraId="598F33E7">
                  <w:pPr>
                    <w:snapToGrid w:val="0"/>
                    <w:jc w:val="center"/>
                    <w:rPr>
                      <w:rFonts w:hint="default" w:eastAsia="宋体"/>
                      <w:color w:val="auto"/>
                      <w:kern w:val="0"/>
                      <w:sz w:val="21"/>
                      <w:szCs w:val="21"/>
                      <w:lang w:val="en-US" w:eastAsia="zh-CN"/>
                    </w:rPr>
                  </w:pPr>
                  <w:r>
                    <w:rPr>
                      <w:rFonts w:hint="eastAsia"/>
                      <w:color w:val="auto"/>
                      <w:kern w:val="0"/>
                      <w:sz w:val="21"/>
                      <w:szCs w:val="21"/>
                      <w:lang w:val="en-US" w:eastAsia="zh-CN"/>
                    </w:rPr>
                    <w:t>1.907</w:t>
                  </w:r>
                </w:p>
              </w:tc>
            </w:tr>
            <w:tr w14:paraId="5238494E">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1607" w:type="pct"/>
                  <w:noWrap w:val="0"/>
                  <w:vAlign w:val="center"/>
                </w:tcPr>
                <w:p w14:paraId="2F24D44C">
                  <w:pPr>
                    <w:snapToGrid w:val="0"/>
                    <w:jc w:val="center"/>
                    <w:rPr>
                      <w:color w:val="auto"/>
                      <w:kern w:val="0"/>
                      <w:sz w:val="21"/>
                      <w:szCs w:val="21"/>
                    </w:rPr>
                  </w:pPr>
                  <w:r>
                    <w:rPr>
                      <w:color w:val="auto"/>
                      <w:kern w:val="0"/>
                      <w:sz w:val="21"/>
                      <w:szCs w:val="21"/>
                    </w:rPr>
                    <w:t>合计</w:t>
                  </w:r>
                </w:p>
              </w:tc>
              <w:tc>
                <w:tcPr>
                  <w:tcW w:w="570" w:type="pct"/>
                  <w:noWrap w:val="0"/>
                  <w:vAlign w:val="center"/>
                </w:tcPr>
                <w:p w14:paraId="2978A55B">
                  <w:pPr>
                    <w:snapToGrid w:val="0"/>
                    <w:jc w:val="center"/>
                    <w:rPr>
                      <w:rFonts w:hint="default" w:eastAsia="仿宋"/>
                      <w:color w:val="auto"/>
                      <w:kern w:val="0"/>
                      <w:sz w:val="21"/>
                      <w:szCs w:val="21"/>
                      <w:lang w:val="en-US" w:eastAsia="zh-CN"/>
                    </w:rPr>
                  </w:pPr>
                  <w:r>
                    <w:rPr>
                      <w:rFonts w:hint="eastAsia" w:cs="Times New Roman"/>
                      <w:bCs/>
                      <w:color w:val="auto"/>
                      <w:kern w:val="2"/>
                      <w:sz w:val="21"/>
                      <w:szCs w:val="21"/>
                      <w:lang w:val="en-US" w:eastAsia="zh-CN" w:bidi="ar-SA"/>
                    </w:rPr>
                    <w:t>2.354</w:t>
                  </w:r>
                </w:p>
              </w:tc>
              <w:tc>
                <w:tcPr>
                  <w:tcW w:w="712" w:type="pct"/>
                  <w:noWrap w:val="0"/>
                  <w:vAlign w:val="center"/>
                </w:tcPr>
                <w:p w14:paraId="4E6D5FBA">
                  <w:pPr>
                    <w:snapToGrid w:val="0"/>
                    <w:jc w:val="center"/>
                    <w:rPr>
                      <w:color w:val="auto"/>
                      <w:kern w:val="0"/>
                      <w:sz w:val="21"/>
                      <w:szCs w:val="21"/>
                    </w:rPr>
                  </w:pPr>
                  <w:r>
                    <w:rPr>
                      <w:color w:val="auto"/>
                      <w:kern w:val="0"/>
                      <w:sz w:val="21"/>
                      <w:szCs w:val="21"/>
                    </w:rPr>
                    <w:t>合计</w:t>
                  </w:r>
                </w:p>
              </w:tc>
              <w:tc>
                <w:tcPr>
                  <w:tcW w:w="2109" w:type="pct"/>
                  <w:gridSpan w:val="2"/>
                  <w:noWrap w:val="0"/>
                  <w:vAlign w:val="center"/>
                </w:tcPr>
                <w:p w14:paraId="059CA615">
                  <w:pPr>
                    <w:snapToGrid w:val="0"/>
                    <w:jc w:val="center"/>
                    <w:rPr>
                      <w:rFonts w:hint="default" w:eastAsia="宋体"/>
                      <w:color w:val="auto"/>
                      <w:kern w:val="0"/>
                      <w:sz w:val="21"/>
                      <w:szCs w:val="21"/>
                      <w:lang w:val="en-US" w:eastAsia="zh-CN"/>
                    </w:rPr>
                  </w:pPr>
                  <w:r>
                    <w:rPr>
                      <w:rFonts w:hint="eastAsia" w:cs="Times New Roman"/>
                      <w:bCs/>
                      <w:color w:val="auto"/>
                      <w:kern w:val="2"/>
                      <w:sz w:val="21"/>
                      <w:szCs w:val="21"/>
                      <w:lang w:val="en-US" w:eastAsia="zh-CN" w:bidi="ar-SA"/>
                    </w:rPr>
                    <w:t>2.354</w:t>
                  </w:r>
                </w:p>
              </w:tc>
            </w:tr>
          </w:tbl>
          <w:p w14:paraId="79CB1269">
            <w:pPr>
              <w:adjustRightInd w:val="0"/>
              <w:snapToGrid w:val="0"/>
              <w:spacing w:line="500" w:lineRule="exact"/>
              <w:rPr>
                <w:rFonts w:hint="default" w:ascii="Times New Roman" w:hAnsi="Times New Roman" w:cs="Times New Roman" w:eastAsiaTheme="minorEastAsia"/>
                <w:b/>
                <w:color w:val="auto"/>
                <w:sz w:val="21"/>
                <w:szCs w:val="21"/>
              </w:rPr>
            </w:pPr>
            <w:r>
              <w:rPr>
                <w:rFonts w:hint="eastAsia" w:cs="Times New Roman" w:eastAsiaTheme="minorEastAsia"/>
                <w:b/>
                <w:bCs/>
                <w:color w:val="auto"/>
                <w:kern w:val="0"/>
                <w:sz w:val="21"/>
                <w:szCs w:val="21"/>
                <w:lang w:val="en-US" w:eastAsia="zh-CN"/>
              </w:rPr>
              <w:t>7</w:t>
            </w:r>
            <w:r>
              <w:rPr>
                <w:rFonts w:hint="default" w:ascii="Times New Roman" w:hAnsi="Times New Roman" w:cs="Times New Roman" w:eastAsiaTheme="minorEastAsia"/>
                <w:b/>
                <w:bCs/>
                <w:color w:val="auto"/>
                <w:kern w:val="0"/>
                <w:sz w:val="21"/>
                <w:szCs w:val="21"/>
              </w:rPr>
              <w:t>、劳动定员及工作制度</w:t>
            </w:r>
          </w:p>
          <w:p w14:paraId="7A436B60">
            <w:pPr>
              <w:adjustRightInd w:val="0"/>
              <w:snapToGrid w:val="0"/>
              <w:spacing w:line="500" w:lineRule="exact"/>
              <w:ind w:firstLine="420" w:firstLineChars="20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本项目</w:t>
            </w:r>
            <w:r>
              <w:rPr>
                <w:rFonts w:hint="eastAsia" w:cs="Times New Roman" w:eastAsiaTheme="minorEastAsia"/>
                <w:color w:val="auto"/>
                <w:sz w:val="21"/>
                <w:szCs w:val="21"/>
                <w:lang w:val="en-US" w:eastAsia="zh-CN"/>
              </w:rPr>
              <w:t>不新增员工，用工在现有项目调剂</w:t>
            </w:r>
            <w:r>
              <w:rPr>
                <w:rFonts w:hint="eastAsia" w:cs="Times New Roman" w:eastAsiaTheme="minorEastAsia"/>
                <w:color w:val="auto"/>
                <w:sz w:val="21"/>
                <w:szCs w:val="21"/>
                <w:lang w:eastAsia="zh-CN"/>
              </w:rPr>
              <w:t>。</w:t>
            </w:r>
            <w:r>
              <w:rPr>
                <w:rFonts w:hint="eastAsia" w:ascii="Times New Roman" w:hAnsi="Times New Roman" w:cs="Times New Roman" w:eastAsiaTheme="minorEastAsia"/>
                <w:color w:val="auto"/>
                <w:sz w:val="21"/>
                <w:szCs w:val="21"/>
                <w:lang w:val="en-US" w:eastAsia="zh-CN"/>
              </w:rPr>
              <w:t>项目采取3</w:t>
            </w:r>
            <w:r>
              <w:rPr>
                <w:rFonts w:hint="default" w:ascii="Times New Roman" w:hAnsi="Times New Roman" w:cs="Times New Roman" w:eastAsiaTheme="minorEastAsia"/>
                <w:color w:val="auto"/>
                <w:sz w:val="21"/>
                <w:szCs w:val="21"/>
                <w:lang w:val="en-US" w:eastAsia="zh-CN"/>
              </w:rPr>
              <w:t>班制生产，8h/班，年工作日约300天，年工作</w:t>
            </w:r>
            <w:r>
              <w:rPr>
                <w:rFonts w:hint="eastAsia" w:ascii="Times New Roman" w:hAnsi="Times New Roman" w:cs="Times New Roman" w:eastAsiaTheme="minorEastAsia"/>
                <w:color w:val="auto"/>
                <w:sz w:val="21"/>
                <w:szCs w:val="21"/>
                <w:lang w:val="en-US" w:eastAsia="zh-CN"/>
              </w:rPr>
              <w:t>72</w:t>
            </w:r>
            <w:r>
              <w:rPr>
                <w:rFonts w:hint="default" w:ascii="Times New Roman" w:hAnsi="Times New Roman" w:cs="Times New Roman" w:eastAsiaTheme="minorEastAsia"/>
                <w:color w:val="auto"/>
                <w:sz w:val="21"/>
                <w:szCs w:val="21"/>
                <w:lang w:val="en-US" w:eastAsia="zh-CN"/>
              </w:rPr>
              <w:t>00小时，厂内</w:t>
            </w:r>
            <w:r>
              <w:rPr>
                <w:rFonts w:hint="eastAsia" w:ascii="Times New Roman" w:hAnsi="Times New Roman" w:cs="Times New Roman" w:eastAsiaTheme="minorEastAsia"/>
                <w:color w:val="auto"/>
                <w:sz w:val="21"/>
                <w:szCs w:val="21"/>
                <w:lang w:val="en-US" w:eastAsia="zh-CN"/>
              </w:rPr>
              <w:t>不</w:t>
            </w:r>
            <w:r>
              <w:rPr>
                <w:rFonts w:hint="default" w:ascii="Times New Roman" w:hAnsi="Times New Roman" w:cs="Times New Roman" w:eastAsiaTheme="minorEastAsia"/>
                <w:color w:val="auto"/>
                <w:sz w:val="21"/>
                <w:szCs w:val="21"/>
                <w:lang w:val="en-US" w:eastAsia="zh-CN"/>
              </w:rPr>
              <w:t>设</w:t>
            </w:r>
            <w:r>
              <w:rPr>
                <w:rFonts w:hint="eastAsia" w:ascii="Times New Roman" w:hAnsi="Times New Roman" w:cs="Times New Roman" w:eastAsiaTheme="minorEastAsia"/>
                <w:color w:val="auto"/>
                <w:sz w:val="21"/>
                <w:szCs w:val="21"/>
                <w:lang w:val="en-US" w:eastAsia="zh-CN"/>
              </w:rPr>
              <w:t>食堂、</w:t>
            </w:r>
            <w:r>
              <w:rPr>
                <w:rFonts w:hint="default" w:ascii="Times New Roman" w:hAnsi="Times New Roman" w:cs="Times New Roman" w:eastAsiaTheme="minorEastAsia"/>
                <w:color w:val="auto"/>
                <w:sz w:val="21"/>
                <w:szCs w:val="21"/>
                <w:lang w:val="en-US" w:eastAsia="zh-CN"/>
              </w:rPr>
              <w:t>浴室及宿舍</w:t>
            </w:r>
            <w:r>
              <w:rPr>
                <w:rFonts w:hint="default" w:ascii="Times New Roman" w:hAnsi="Times New Roman" w:cs="Times New Roman" w:eastAsiaTheme="minorEastAsia"/>
                <w:color w:val="auto"/>
                <w:sz w:val="21"/>
                <w:szCs w:val="21"/>
              </w:rPr>
              <w:t>。</w:t>
            </w:r>
          </w:p>
          <w:p w14:paraId="4EC28C7E">
            <w:pPr>
              <w:adjustRightInd w:val="0"/>
              <w:snapToGrid w:val="0"/>
              <w:spacing w:line="500" w:lineRule="exact"/>
              <w:rPr>
                <w:rFonts w:hint="default" w:ascii="Times New Roman" w:hAnsi="Times New Roman" w:cs="Times New Roman" w:eastAsiaTheme="minorEastAsia"/>
                <w:b/>
                <w:color w:val="auto"/>
                <w:sz w:val="21"/>
                <w:szCs w:val="21"/>
              </w:rPr>
            </w:pPr>
            <w:r>
              <w:rPr>
                <w:rFonts w:hint="eastAsia" w:cs="Times New Roman" w:eastAsiaTheme="minorEastAsia"/>
                <w:b/>
                <w:color w:val="auto"/>
                <w:sz w:val="21"/>
                <w:szCs w:val="21"/>
                <w:lang w:val="en-US" w:eastAsia="zh-CN"/>
              </w:rPr>
              <w:t>8</w:t>
            </w:r>
            <w:r>
              <w:rPr>
                <w:rFonts w:hint="default" w:ascii="Times New Roman" w:hAnsi="Times New Roman" w:cs="Times New Roman" w:eastAsiaTheme="minorEastAsia"/>
                <w:b/>
                <w:color w:val="auto"/>
                <w:sz w:val="21"/>
                <w:szCs w:val="21"/>
              </w:rPr>
              <w:t>、厂区平面布置</w:t>
            </w:r>
          </w:p>
          <w:p w14:paraId="2659D171">
            <w:pPr>
              <w:spacing w:line="500" w:lineRule="exact"/>
              <w:ind w:firstLine="420" w:firstLineChars="200"/>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rPr>
              <w:t>本项目</w:t>
            </w:r>
            <w:r>
              <w:rPr>
                <w:rFonts w:hint="eastAsia" w:ascii="Times New Roman" w:hAnsi="Times New Roman" w:cs="Times New Roman" w:eastAsiaTheme="minorEastAsia"/>
                <w:color w:val="auto"/>
                <w:sz w:val="21"/>
                <w:szCs w:val="21"/>
                <w:highlight w:val="none"/>
                <w:lang w:val="en-US" w:eastAsia="zh-CN"/>
              </w:rPr>
              <w:t>位于江苏省常州市金坛经济开发区南二环东路2229号</w:t>
            </w:r>
            <w:r>
              <w:rPr>
                <w:rFonts w:hint="default" w:ascii="Times New Roman" w:hAnsi="Times New Roman" w:cs="Times New Roman" w:eastAsiaTheme="minorEastAsia"/>
                <w:color w:val="auto"/>
                <w:sz w:val="21"/>
                <w:szCs w:val="21"/>
                <w:highlight w:val="none"/>
                <w:lang w:val="en-US" w:eastAsia="zh-CN"/>
              </w:rPr>
              <w:t>，</w:t>
            </w:r>
            <w:r>
              <w:rPr>
                <w:rFonts w:hint="eastAsia" w:ascii="Times New Roman" w:hAnsi="Times New Roman" w:cs="Times New Roman" w:eastAsiaTheme="minorEastAsia"/>
                <w:color w:val="auto"/>
                <w:sz w:val="21"/>
                <w:szCs w:val="21"/>
                <w:highlight w:val="none"/>
                <w:lang w:val="en-US" w:eastAsia="zh-CN"/>
              </w:rPr>
              <w:t>厂区设有7栋建筑，分别为厂房一、厂房二、仓库一、仓库二、车间三、车间四和车间五</w:t>
            </w:r>
            <w:r>
              <w:rPr>
                <w:rFonts w:hint="default" w:ascii="Times New Roman" w:hAnsi="Times New Roman" w:cs="Times New Roman" w:eastAsiaTheme="minorEastAsia"/>
                <w:color w:val="auto"/>
                <w:sz w:val="21"/>
                <w:szCs w:val="21"/>
                <w:highlight w:val="none"/>
                <w:lang w:val="en-US" w:eastAsia="zh-CN"/>
              </w:rPr>
              <w:t>，本项目</w:t>
            </w:r>
            <w:r>
              <w:rPr>
                <w:rFonts w:hint="eastAsia" w:ascii="Times New Roman" w:hAnsi="Times New Roman" w:cs="Times New Roman" w:eastAsiaTheme="minorEastAsia"/>
                <w:color w:val="auto"/>
                <w:sz w:val="21"/>
                <w:szCs w:val="21"/>
                <w:highlight w:val="none"/>
                <w:lang w:val="en-US" w:eastAsia="zh-CN"/>
              </w:rPr>
              <w:t>新增设备均</w:t>
            </w:r>
            <w:r>
              <w:rPr>
                <w:rFonts w:hint="default" w:ascii="Times New Roman" w:hAnsi="Times New Roman" w:cs="Times New Roman" w:eastAsiaTheme="minorEastAsia"/>
                <w:color w:val="auto"/>
                <w:sz w:val="21"/>
                <w:szCs w:val="21"/>
                <w:highlight w:val="none"/>
                <w:lang w:val="en-US" w:eastAsia="zh-CN"/>
              </w:rPr>
              <w:t>位于</w:t>
            </w:r>
            <w:r>
              <w:rPr>
                <w:rFonts w:hint="eastAsia" w:ascii="Times New Roman" w:hAnsi="Times New Roman" w:cs="Times New Roman" w:eastAsiaTheme="minorEastAsia"/>
                <w:color w:val="auto"/>
                <w:sz w:val="21"/>
                <w:szCs w:val="21"/>
                <w:highlight w:val="none"/>
                <w:lang w:val="en-US" w:eastAsia="zh-CN"/>
              </w:rPr>
              <w:t>车间四</w:t>
            </w:r>
            <w:r>
              <w:rPr>
                <w:rFonts w:hint="default" w:ascii="Times New Roman" w:hAnsi="Times New Roman" w:cs="Times New Roman" w:eastAsiaTheme="minorEastAsia"/>
                <w:color w:val="auto"/>
                <w:sz w:val="21"/>
                <w:szCs w:val="21"/>
                <w:highlight w:val="none"/>
                <w:lang w:val="en-US" w:eastAsia="zh-CN"/>
              </w:rPr>
              <w:t>。项目</w:t>
            </w:r>
            <w:r>
              <w:rPr>
                <w:rFonts w:hint="eastAsia" w:ascii="Times New Roman" w:hAnsi="Times New Roman" w:cs="Times New Roman" w:eastAsiaTheme="minorEastAsia"/>
                <w:color w:val="auto"/>
                <w:sz w:val="21"/>
                <w:szCs w:val="21"/>
                <w:highlight w:val="none"/>
                <w:lang w:val="en-US" w:eastAsia="zh-CN"/>
              </w:rPr>
              <w:t>厂区</w:t>
            </w:r>
            <w:r>
              <w:rPr>
                <w:rFonts w:hint="default" w:ascii="Times New Roman" w:hAnsi="Times New Roman" w:cs="Times New Roman" w:eastAsiaTheme="minorEastAsia"/>
                <w:color w:val="auto"/>
                <w:sz w:val="21"/>
                <w:szCs w:val="21"/>
                <w:highlight w:val="none"/>
                <w:lang w:val="en-US" w:eastAsia="zh-CN"/>
              </w:rPr>
              <w:t>平面布置图详见附图3。</w:t>
            </w:r>
          </w:p>
          <w:p w14:paraId="5AA14F23">
            <w:pPr>
              <w:adjustRightInd w:val="0"/>
              <w:snapToGrid w:val="0"/>
              <w:spacing w:line="500" w:lineRule="exact"/>
              <w:rPr>
                <w:rFonts w:hint="default" w:ascii="Times New Roman" w:hAnsi="Times New Roman" w:cs="Times New Roman" w:eastAsiaTheme="minorEastAsia"/>
                <w:b/>
                <w:color w:val="auto"/>
                <w:sz w:val="21"/>
                <w:szCs w:val="21"/>
                <w:lang w:val="en-US" w:eastAsia="zh-CN"/>
              </w:rPr>
            </w:pPr>
            <w:r>
              <w:rPr>
                <w:rFonts w:hint="eastAsia" w:cs="Times New Roman" w:eastAsiaTheme="minorEastAsia"/>
                <w:b/>
                <w:color w:val="auto"/>
                <w:sz w:val="21"/>
                <w:szCs w:val="21"/>
                <w:lang w:val="en-US" w:eastAsia="zh-CN"/>
              </w:rPr>
              <w:t>9</w:t>
            </w:r>
            <w:r>
              <w:rPr>
                <w:rFonts w:hint="default" w:ascii="Times New Roman" w:hAnsi="Times New Roman" w:cs="Times New Roman" w:eastAsiaTheme="minorEastAsia"/>
                <w:b/>
                <w:color w:val="auto"/>
                <w:sz w:val="21"/>
                <w:szCs w:val="21"/>
                <w:lang w:val="en-US" w:eastAsia="zh-CN"/>
              </w:rPr>
              <w:t>、厂区周围概况</w:t>
            </w:r>
          </w:p>
          <w:p w14:paraId="36E4EC59">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500" w:lineRule="exact"/>
              <w:ind w:left="0" w:leftChars="0"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inorEastAsia"/>
                <w:color w:val="auto"/>
                <w:sz w:val="21"/>
                <w:szCs w:val="21"/>
                <w:lang w:val="en-US" w:eastAsia="zh-CN"/>
              </w:rPr>
              <w:t>项目</w:t>
            </w:r>
            <w:r>
              <w:rPr>
                <w:rFonts w:hint="eastAsia" w:cs="Times New Roman" w:eastAsiaTheme="minorEastAsia"/>
                <w:color w:val="auto"/>
                <w:sz w:val="21"/>
                <w:szCs w:val="21"/>
                <w:lang w:val="en-US" w:eastAsia="zh-CN"/>
              </w:rPr>
              <w:t>厂区</w:t>
            </w:r>
            <w:r>
              <w:rPr>
                <w:rFonts w:hint="eastAsia" w:cs="Times New Roman" w:eastAsiaTheme="minorEastAsia"/>
                <w:color w:val="auto"/>
                <w:sz w:val="21"/>
                <w:szCs w:val="21"/>
                <w:highlight w:val="none"/>
                <w:lang w:val="en-US" w:eastAsia="zh-CN"/>
              </w:rPr>
              <w:t>位于常州市金坛经济开发区南二环</w:t>
            </w:r>
            <w:r>
              <w:rPr>
                <w:rFonts w:hint="eastAsia" w:ascii="Times New Roman" w:hAnsi="Times New Roman" w:cs="Times New Roman" w:eastAsiaTheme="minorEastAsia"/>
                <w:color w:val="auto"/>
                <w:sz w:val="21"/>
                <w:szCs w:val="21"/>
                <w:highlight w:val="none"/>
                <w:lang w:val="en-US" w:eastAsia="zh-CN"/>
              </w:rPr>
              <w:t>东路2229号</w:t>
            </w:r>
            <w:r>
              <w:rPr>
                <w:rFonts w:hint="default" w:ascii="Times New Roman" w:hAnsi="Times New Roman" w:cs="Times New Roman" w:eastAsiaTheme="minorEastAsia"/>
                <w:color w:val="auto"/>
                <w:sz w:val="21"/>
                <w:szCs w:val="21"/>
                <w:highlight w:val="none"/>
                <w:lang w:val="en-US" w:eastAsia="zh-CN"/>
              </w:rPr>
              <w:t>，</w:t>
            </w:r>
            <w:r>
              <w:rPr>
                <w:rFonts w:hint="eastAsia" w:ascii="Times New Roman" w:hAnsi="Times New Roman" w:cs="Times New Roman" w:eastAsiaTheme="minorEastAsia"/>
                <w:color w:val="auto"/>
                <w:sz w:val="21"/>
                <w:szCs w:val="21"/>
                <w:highlight w:val="none"/>
                <w:lang w:val="en-US" w:eastAsia="zh-CN"/>
              </w:rPr>
              <w:t>厂区东侧和南侧均为爱思开电池材料科技（江苏）有限公司，西侧为复兴南路，北侧为南二环东路。项目所在地</w:t>
            </w:r>
            <w:r>
              <w:rPr>
                <w:rFonts w:hint="eastAsia" w:cs="Times New Roman" w:eastAsiaTheme="minorEastAsia"/>
                <w:color w:val="auto"/>
                <w:sz w:val="21"/>
                <w:szCs w:val="21"/>
                <w:highlight w:val="none"/>
                <w:lang w:val="en-US" w:eastAsia="zh-CN"/>
              </w:rPr>
              <w:t>5</w:t>
            </w:r>
            <w:r>
              <w:rPr>
                <w:rFonts w:hint="eastAsia" w:ascii="Times New Roman" w:hAnsi="Times New Roman" w:cs="Times New Roman" w:eastAsiaTheme="minorEastAsia"/>
                <w:color w:val="auto"/>
                <w:sz w:val="21"/>
                <w:szCs w:val="21"/>
                <w:highlight w:val="none"/>
                <w:lang w:val="en-US" w:eastAsia="zh-CN"/>
              </w:rPr>
              <w:t>00m范围内无环境敏感目标</w:t>
            </w:r>
            <w:r>
              <w:rPr>
                <w:rFonts w:hint="default" w:ascii="Times New Roman" w:hAnsi="Times New Roman" w:cs="Times New Roman" w:eastAsiaTheme="minorEastAsia"/>
                <w:color w:val="auto"/>
                <w:sz w:val="21"/>
                <w:szCs w:val="21"/>
                <w:highlight w:val="none"/>
                <w:lang w:val="en-US" w:eastAsia="zh-CN"/>
              </w:rPr>
              <w:t>。项目周边500米范围土地利用现状</w:t>
            </w:r>
            <w:r>
              <w:rPr>
                <w:rFonts w:hint="default" w:ascii="Times New Roman" w:hAnsi="Times New Roman" w:cs="Times New Roman" w:eastAsiaTheme="minorEastAsia"/>
                <w:color w:val="auto"/>
                <w:sz w:val="21"/>
                <w:szCs w:val="21"/>
                <w:lang w:val="en-US" w:eastAsia="zh-CN"/>
              </w:rPr>
              <w:t>见附图2。</w:t>
            </w:r>
          </w:p>
        </w:tc>
      </w:tr>
      <w:tr w14:paraId="0BA21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Align w:val="center"/>
          </w:tcPr>
          <w:p w14:paraId="642CED2A">
            <w:pPr>
              <w:pStyle w:val="25"/>
              <w:spacing w:before="0" w:beforeAutospacing="0" w:after="0" w:afterAutospacing="0"/>
              <w:jc w:val="center"/>
              <w:outlineLvl w:val="0"/>
              <w:rPr>
                <w:rFonts w:hint="default" w:ascii="Times New Roman" w:hAnsi="Times New Roman" w:cs="Times New Roman" w:eastAsiaTheme="minorEastAsia"/>
                <w:bCs/>
                <w:color w:val="auto"/>
                <w:kern w:val="2"/>
                <w:sz w:val="21"/>
                <w:szCs w:val="21"/>
              </w:rPr>
            </w:pPr>
            <w:r>
              <w:rPr>
                <w:rFonts w:hint="default" w:ascii="Times New Roman" w:hAnsi="Times New Roman" w:cs="Times New Roman" w:eastAsiaTheme="minorEastAsia"/>
                <w:color w:val="auto"/>
                <w:sz w:val="21"/>
                <w:szCs w:val="21"/>
              </w:rPr>
              <w:t>工艺流程和产排污环节</w:t>
            </w:r>
          </w:p>
        </w:tc>
        <w:tc>
          <w:tcPr>
            <w:tcW w:w="8413" w:type="dxa"/>
          </w:tcPr>
          <w:p w14:paraId="41E5782F">
            <w:pPr>
              <w:numPr>
                <w:ilvl w:val="0"/>
                <w:numId w:val="5"/>
              </w:numPr>
              <w:adjustRightInd w:val="0"/>
              <w:snapToGrid w:val="0"/>
              <w:spacing w:line="500" w:lineRule="exact"/>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施工期</w:t>
            </w:r>
          </w:p>
          <w:p w14:paraId="6E5495F6">
            <w:pPr>
              <w:adjustRightInd w:val="0"/>
              <w:snapToGrid w:val="0"/>
              <w:spacing w:line="500" w:lineRule="exact"/>
              <w:ind w:firstLine="420" w:firstLineChars="200"/>
              <w:rPr>
                <w:rFonts w:hint="default" w:ascii="Times New Roman" w:hAnsi="Times New Roman" w:cs="Times New Roman" w:eastAsiaTheme="minorEastAsia"/>
                <w:b w:val="0"/>
                <w:bCs w:val="0"/>
                <w:color w:val="auto"/>
                <w:sz w:val="21"/>
                <w:szCs w:val="21"/>
                <w:lang w:eastAsia="zh-CN"/>
              </w:rPr>
            </w:pPr>
            <w:r>
              <w:rPr>
                <w:rFonts w:hint="eastAsia" w:ascii="Times New Roman" w:hAnsi="Times New Roman" w:eastAsia="宋体" w:cs="Times New Roman"/>
                <w:color w:val="auto"/>
                <w:sz w:val="21"/>
                <w:szCs w:val="21"/>
                <w:highlight w:val="none"/>
                <w:lang w:eastAsia="zh-CN"/>
              </w:rPr>
              <w:t>本项目</w:t>
            </w:r>
            <w:r>
              <w:rPr>
                <w:rFonts w:hint="eastAsia" w:cs="Times New Roman"/>
                <w:color w:val="auto"/>
                <w:sz w:val="21"/>
                <w:szCs w:val="21"/>
                <w:highlight w:val="none"/>
                <w:lang w:val="en-US" w:eastAsia="zh-CN"/>
              </w:rPr>
              <w:t>利用</w:t>
            </w:r>
            <w:r>
              <w:rPr>
                <w:rFonts w:hint="eastAsia" w:ascii="Times New Roman" w:hAnsi="Times New Roman" w:eastAsia="宋体" w:cs="Times New Roman"/>
                <w:color w:val="auto"/>
                <w:sz w:val="21"/>
                <w:szCs w:val="21"/>
                <w:highlight w:val="none"/>
                <w:lang w:val="en-US" w:eastAsia="zh-CN"/>
              </w:rPr>
              <w:t>已建厂房</w:t>
            </w:r>
            <w:r>
              <w:rPr>
                <w:rFonts w:hint="eastAsia" w:ascii="Times New Roman" w:hAnsi="Times New Roman" w:eastAsia="宋体" w:cs="Times New Roman"/>
                <w:color w:val="auto"/>
                <w:sz w:val="21"/>
                <w:szCs w:val="21"/>
                <w:highlight w:val="none"/>
                <w:lang w:eastAsia="zh-CN"/>
              </w:rPr>
              <w:t>进行生产，施工期仅涉及设备安装，其影响范围小、程度轻、时间短。施工期产污环节主要是设备安装产生的噪声、施工人员生活污水、生活垃圾。考虑施工期环境影响微弱，本评价主要针对营运期影响进行分析</w:t>
            </w:r>
            <w:r>
              <w:rPr>
                <w:rFonts w:hint="default" w:ascii="Times New Roman" w:hAnsi="Times New Roman" w:cs="Times New Roman" w:eastAsiaTheme="minorEastAsia"/>
                <w:b w:val="0"/>
                <w:bCs w:val="0"/>
                <w:color w:val="auto"/>
                <w:sz w:val="21"/>
                <w:szCs w:val="21"/>
                <w:lang w:eastAsia="zh-CN"/>
              </w:rPr>
              <w:t>。</w:t>
            </w:r>
          </w:p>
          <w:p w14:paraId="725B0A70">
            <w:pPr>
              <w:numPr>
                <w:ilvl w:val="0"/>
                <w:numId w:val="0"/>
              </w:numPr>
              <w:adjustRightInd w:val="0"/>
              <w:snapToGrid w:val="0"/>
              <w:spacing w:line="500" w:lineRule="exact"/>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二、运营期</w:t>
            </w:r>
          </w:p>
          <w:p w14:paraId="62EA5EFC">
            <w:pPr>
              <w:adjustRightInd w:val="0"/>
              <w:snapToGrid w:val="0"/>
              <w:spacing w:line="500" w:lineRule="exact"/>
              <w:ind w:firstLine="422" w:firstLineChars="200"/>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1、生产工艺流程</w:t>
            </w:r>
          </w:p>
          <w:p w14:paraId="50B7D6CC">
            <w:pPr>
              <w:adjustRightInd w:val="0"/>
              <w:snapToGrid w:val="0"/>
              <w:spacing w:line="500" w:lineRule="exact"/>
              <w:ind w:firstLine="420" w:firstLineChars="20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本次对车间四现有的4条EVA生产线进行技术改造，采用新式配料搅拌系统、 大流量计量泵等设备，通过宽幅变更、提升线速、改进螺杆结构等方式提升产能，项目生产工艺及生产时间均不发生变化</w:t>
            </w:r>
            <w:r>
              <w:rPr>
                <w:rFonts w:hint="eastAsia" w:ascii="Times New Roman" w:hAnsi="Times New Roman" w:eastAsia="宋体" w:cs="Times New Roman"/>
                <w:color w:val="auto"/>
                <w:sz w:val="21"/>
                <w:szCs w:val="21"/>
                <w:highlight w:val="none"/>
                <w:lang w:eastAsia="zh-CN"/>
              </w:rPr>
              <w:t>。</w:t>
            </w:r>
          </w:p>
          <w:p w14:paraId="074F320A">
            <w:pPr>
              <w:pStyle w:val="9"/>
              <w:numPr>
                <w:ilvl w:val="0"/>
                <w:numId w:val="0"/>
              </w:numPr>
              <w:ind w:right="113" w:rightChars="0"/>
              <w:jc w:val="center"/>
              <w:rPr>
                <w:rFonts w:hint="default" w:ascii="Times New Roman" w:hAnsi="Times New Roman" w:cs="Times New Roman" w:eastAsiaTheme="minorEastAsia"/>
                <w:color w:val="auto"/>
                <w:sz w:val="21"/>
                <w:szCs w:val="21"/>
                <w:lang w:val="en-US" w:eastAsia="zh-CN"/>
              </w:rPr>
            </w:pPr>
            <w:r>
              <w:drawing>
                <wp:inline distT="0" distB="0" distL="114300" distR="114300">
                  <wp:extent cx="4792345" cy="4107815"/>
                  <wp:effectExtent l="0" t="0" r="8255" b="698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6"/>
                          <a:stretch>
                            <a:fillRect/>
                          </a:stretch>
                        </pic:blipFill>
                        <pic:spPr>
                          <a:xfrm>
                            <a:off x="0" y="0"/>
                            <a:ext cx="4792345" cy="4107815"/>
                          </a:xfrm>
                          <a:prstGeom prst="rect">
                            <a:avLst/>
                          </a:prstGeom>
                          <a:noFill/>
                          <a:ln>
                            <a:noFill/>
                          </a:ln>
                        </pic:spPr>
                      </pic:pic>
                    </a:graphicData>
                  </a:graphic>
                </wp:inline>
              </w:drawing>
            </w:r>
          </w:p>
          <w:p w14:paraId="46B653B5">
            <w:pPr>
              <w:pStyle w:val="11"/>
              <w:keepNext w:val="0"/>
              <w:keepLines w:val="0"/>
              <w:pageBreakBefore w:val="0"/>
              <w:widowControl w:val="0"/>
              <w:kinsoku/>
              <w:wordWrap/>
              <w:overflowPunct/>
              <w:topLinePunct w:val="0"/>
              <w:autoSpaceDE/>
              <w:autoSpaceDN/>
              <w:bidi w:val="0"/>
              <w:adjustRightInd w:val="0"/>
              <w:snapToGrid w:val="0"/>
              <w:spacing w:before="120" w:after="0" w:line="240" w:lineRule="auto"/>
              <w:ind w:left="0" w:leftChars="0" w:right="0" w:rightChars="0"/>
              <w:jc w:val="center"/>
              <w:textAlignment w:val="auto"/>
              <w:rPr>
                <w:rFonts w:hint="default" w:ascii="Times New Roman" w:hAnsi="Times New Roman" w:cs="Times New Roman" w:eastAsiaTheme="minorEastAsia"/>
                <w:b/>
                <w:color w:val="auto"/>
                <w:sz w:val="21"/>
                <w:szCs w:val="21"/>
                <w:highlight w:val="none"/>
                <w:lang w:val="en-US" w:eastAsia="zh-CN"/>
              </w:rPr>
            </w:pPr>
            <w:r>
              <w:rPr>
                <w:rFonts w:hint="default" w:ascii="Times New Roman" w:hAnsi="Times New Roman" w:cs="Times New Roman" w:eastAsiaTheme="minorEastAsia"/>
                <w:color w:val="auto"/>
                <w:sz w:val="21"/>
                <w:szCs w:val="21"/>
              </w:rPr>
              <w:drawing>
                <wp:inline distT="0" distB="0" distL="114300" distR="114300">
                  <wp:extent cx="635" cy="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7"/>
                          <a:stretch>
                            <a:fillRect/>
                          </a:stretch>
                        </pic:blipFill>
                        <pic:spPr>
                          <a:xfrm>
                            <a:off x="0" y="0"/>
                            <a:ext cx="635" cy="0"/>
                          </a:xfrm>
                          <a:prstGeom prst="rect">
                            <a:avLst/>
                          </a:prstGeom>
                          <a:noFill/>
                          <a:ln>
                            <a:noFill/>
                          </a:ln>
                        </pic:spPr>
                      </pic:pic>
                    </a:graphicData>
                  </a:graphic>
                </wp:inline>
              </w:drawing>
            </w:r>
            <w:r>
              <w:rPr>
                <w:rFonts w:hint="default" w:ascii="Times New Roman" w:hAnsi="Times New Roman" w:cs="Times New Roman" w:eastAsiaTheme="minorEastAsia"/>
                <w:color w:val="auto"/>
                <w:sz w:val="21"/>
                <w:szCs w:val="21"/>
              </w:rPr>
              <w:drawing>
                <wp:inline distT="0" distB="0" distL="114300" distR="114300">
                  <wp:extent cx="635" cy="0"/>
                  <wp:effectExtent l="0" t="0" r="0"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7"/>
                          <a:stretch>
                            <a:fillRect/>
                          </a:stretch>
                        </pic:blipFill>
                        <pic:spPr>
                          <a:xfrm>
                            <a:off x="0" y="0"/>
                            <a:ext cx="635" cy="0"/>
                          </a:xfrm>
                          <a:prstGeom prst="rect">
                            <a:avLst/>
                          </a:prstGeom>
                          <a:noFill/>
                          <a:ln>
                            <a:noFill/>
                          </a:ln>
                        </pic:spPr>
                      </pic:pic>
                    </a:graphicData>
                  </a:graphic>
                </wp:inline>
              </w:drawing>
            </w:r>
            <w:r>
              <w:rPr>
                <w:rFonts w:hint="default" w:ascii="Times New Roman" w:hAnsi="Times New Roman" w:cs="Times New Roman" w:eastAsiaTheme="minorEastAsia"/>
                <w:color w:val="auto"/>
                <w:sz w:val="21"/>
                <w:szCs w:val="21"/>
              </w:rPr>
              <w:drawing>
                <wp:inline distT="0" distB="0" distL="114300" distR="114300">
                  <wp:extent cx="635" cy="0"/>
                  <wp:effectExtent l="0" t="0" r="0"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8"/>
                          <a:stretch>
                            <a:fillRect/>
                          </a:stretch>
                        </pic:blipFill>
                        <pic:spPr>
                          <a:xfrm>
                            <a:off x="0" y="0"/>
                            <a:ext cx="635" cy="0"/>
                          </a:xfrm>
                          <a:prstGeom prst="rect">
                            <a:avLst/>
                          </a:prstGeom>
                          <a:noFill/>
                          <a:ln>
                            <a:noFill/>
                          </a:ln>
                        </pic:spPr>
                      </pic:pic>
                    </a:graphicData>
                  </a:graphic>
                </wp:inline>
              </w:drawing>
            </w:r>
            <w:r>
              <w:rPr>
                <w:rFonts w:hint="default" w:ascii="Times New Roman" w:hAnsi="Times New Roman" w:cs="Times New Roman" w:eastAsiaTheme="minorEastAsia"/>
                <w:b/>
                <w:color w:val="auto"/>
                <w:sz w:val="21"/>
                <w:szCs w:val="21"/>
                <w:highlight w:val="none"/>
                <w:lang w:val="en-US" w:eastAsia="zh-CN"/>
              </w:rPr>
              <w:t>图2-</w:t>
            </w:r>
            <w:r>
              <w:rPr>
                <w:rFonts w:hint="eastAsia" w:ascii="Times New Roman" w:hAnsi="Times New Roman" w:cs="Times New Roman" w:eastAsiaTheme="minorEastAsia"/>
                <w:b/>
                <w:color w:val="auto"/>
                <w:sz w:val="21"/>
                <w:szCs w:val="21"/>
                <w:highlight w:val="none"/>
                <w:lang w:val="en-US" w:eastAsia="zh-CN"/>
              </w:rPr>
              <w:t xml:space="preserve">2 </w:t>
            </w:r>
            <w:r>
              <w:rPr>
                <w:rFonts w:hint="default" w:ascii="Times New Roman" w:hAnsi="Times New Roman" w:cs="Times New Roman" w:eastAsiaTheme="minorEastAsia"/>
                <w:b/>
                <w:color w:val="auto"/>
                <w:sz w:val="21"/>
                <w:szCs w:val="21"/>
                <w:highlight w:val="none"/>
                <w:lang w:val="en-US" w:eastAsia="zh-CN"/>
              </w:rPr>
              <w:t>项目生产工艺流程及产污环节图</w:t>
            </w:r>
          </w:p>
          <w:p w14:paraId="1081D9B4">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工艺流程说明：</w:t>
            </w:r>
          </w:p>
          <w:p w14:paraId="1A435C19">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500" w:lineRule="exact"/>
              <w:ind w:left="0" w:leftChars="0"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混料：外购EVA胶粒和交联剂、光稳定剂等助剂拆包后人工置入各自的物料框内，经真空上料机吸入三维混合机料斗中并在混合机中搅拌均匀，</w:t>
            </w:r>
            <w:r>
              <w:rPr>
                <w:rFonts w:hint="eastAsia" w:ascii="Times New Roman" w:hAnsi="Times New Roman" w:eastAsia="宋体" w:cs="Times New Roman"/>
                <w:color w:val="FF0000"/>
                <w:sz w:val="21"/>
                <w:szCs w:val="21"/>
                <w:highlight w:val="none"/>
                <w:lang w:val="en-US" w:eastAsia="zh-CN"/>
              </w:rPr>
              <w:t>由于</w:t>
            </w:r>
            <w:r>
              <w:rPr>
                <w:rFonts w:hint="eastAsia" w:cs="Times New Roman"/>
                <w:color w:val="FF0000"/>
                <w:sz w:val="21"/>
                <w:szCs w:val="21"/>
                <w:highlight w:val="none"/>
                <w:lang w:val="en-US" w:eastAsia="zh-CN"/>
              </w:rPr>
              <w:t>物料均为颗粒料且</w:t>
            </w:r>
            <w:r>
              <w:rPr>
                <w:rFonts w:hint="eastAsia" w:ascii="Times New Roman" w:hAnsi="Times New Roman" w:eastAsia="宋体" w:cs="Times New Roman"/>
                <w:color w:val="FF0000"/>
                <w:sz w:val="21"/>
                <w:szCs w:val="21"/>
                <w:highlight w:val="none"/>
                <w:lang w:val="en-US" w:eastAsia="zh-CN"/>
              </w:rPr>
              <w:t>物料输送及搅拌过程均密闭，故不考虑</w:t>
            </w:r>
            <w:r>
              <w:rPr>
                <w:rFonts w:hint="eastAsia" w:cs="Times New Roman"/>
                <w:color w:val="FF0000"/>
                <w:sz w:val="21"/>
                <w:szCs w:val="21"/>
                <w:highlight w:val="none"/>
                <w:lang w:val="en-US" w:eastAsia="zh-CN"/>
              </w:rPr>
              <w:t>投料、</w:t>
            </w:r>
            <w:r>
              <w:rPr>
                <w:rFonts w:hint="eastAsia" w:ascii="Times New Roman" w:hAnsi="Times New Roman" w:eastAsia="宋体" w:cs="Times New Roman"/>
                <w:color w:val="FF0000"/>
                <w:sz w:val="21"/>
                <w:szCs w:val="21"/>
                <w:highlight w:val="none"/>
                <w:lang w:val="en-US" w:eastAsia="zh-CN"/>
              </w:rPr>
              <w:t>混料粉尘</w:t>
            </w:r>
            <w:r>
              <w:rPr>
                <w:rFonts w:hint="eastAsia" w:ascii="Times New Roman" w:hAnsi="Times New Roman" w:eastAsia="宋体" w:cs="Times New Roman"/>
                <w:color w:val="auto"/>
                <w:sz w:val="21"/>
                <w:szCs w:val="21"/>
                <w:highlight w:val="none"/>
                <w:lang w:val="en-US" w:eastAsia="zh-CN"/>
              </w:rPr>
              <w:t>。原料拆包时产生少量</w:t>
            </w:r>
            <w:r>
              <w:rPr>
                <w:rFonts w:hint="eastAsia" w:cs="Times New Roman"/>
                <w:color w:val="auto"/>
                <w:sz w:val="21"/>
                <w:szCs w:val="21"/>
                <w:highlight w:val="none"/>
                <w:lang w:val="en-US" w:eastAsia="zh-CN"/>
              </w:rPr>
              <w:t>废包装材料</w:t>
            </w:r>
            <w:r>
              <w:rPr>
                <w:rFonts w:hint="eastAsia" w:ascii="Times New Roman" w:hAnsi="Times New Roman" w:eastAsia="宋体" w:cs="Times New Roman"/>
                <w:color w:val="auto"/>
                <w:sz w:val="21"/>
                <w:szCs w:val="21"/>
                <w:highlight w:val="none"/>
                <w:lang w:val="en-US" w:eastAsia="zh-CN"/>
              </w:rPr>
              <w:t>（S1）。</w:t>
            </w:r>
          </w:p>
          <w:p w14:paraId="776B8EDD">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500" w:lineRule="exact"/>
              <w:ind w:left="0" w:leftChars="0"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流延成膜：将混合好的配料加入单螺杆流延成型机的料斗中，电加热至80～100℃，使混合料熔融，熔融料通过流延系统及T型模头流延成型，流延成膜，此工序需用冷却水间接冷却（依托现有项目冷却系统），冷却水循环使用，定期补充，不排放。此工序产生少量有机废气（G1）</w:t>
            </w:r>
            <w:r>
              <w:rPr>
                <w:rFonts w:hint="eastAsia" w:cs="Times New Roman"/>
                <w:color w:val="FF0000"/>
                <w:sz w:val="21"/>
                <w:szCs w:val="21"/>
                <w:highlight w:val="none"/>
                <w:lang w:val="en-US" w:eastAsia="zh-CN"/>
              </w:rPr>
              <w:t>和废塑料（</w:t>
            </w:r>
            <w:r>
              <w:rPr>
                <w:rFonts w:hint="eastAsia" w:ascii="Times New Roman" w:hAnsi="Times New Roman" w:eastAsia="宋体" w:cs="Times New Roman"/>
                <w:color w:val="FF0000"/>
                <w:sz w:val="21"/>
                <w:szCs w:val="21"/>
                <w:highlight w:val="none"/>
                <w:lang w:val="en-US" w:eastAsia="zh-CN"/>
              </w:rPr>
              <w:t>S2</w:t>
            </w:r>
            <w:r>
              <w:rPr>
                <w:rFonts w:hint="eastAsia" w:cs="Times New Roman"/>
                <w:color w:val="FF0000"/>
                <w:sz w:val="21"/>
                <w:szCs w:val="21"/>
                <w:highlight w:val="none"/>
                <w:lang w:val="en-US" w:eastAsia="zh-CN"/>
              </w:rPr>
              <w:t>）</w:t>
            </w:r>
            <w:r>
              <w:rPr>
                <w:rFonts w:hint="eastAsia" w:ascii="Times New Roman" w:hAnsi="Times New Roman" w:eastAsia="宋体" w:cs="Times New Roman"/>
                <w:color w:val="FF0000"/>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 xml:space="preserve"> </w:t>
            </w:r>
          </w:p>
          <w:p w14:paraId="53178A9B">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500" w:lineRule="exact"/>
              <w:ind w:left="0" w:leftChars="0"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检测：利用生产线配套的测厚系统对EVA胶膜进行质量检验，此工序产生少量废胶膜（S</w:t>
            </w:r>
            <w:r>
              <w:rPr>
                <w:rFonts w:hint="eastAsia"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lang w:val="en-US" w:eastAsia="zh-CN"/>
              </w:rPr>
              <w:t xml:space="preserve">）。 </w:t>
            </w:r>
          </w:p>
          <w:p w14:paraId="1F6B1A49">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500" w:lineRule="exact"/>
              <w:ind w:left="0" w:leftChars="0"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收卷：合格的EVA胶膜经牵引系统引至收卷系统中收卷，此工序产生少量废胶膜（S</w:t>
            </w:r>
            <w:r>
              <w:rPr>
                <w:rFonts w:hint="eastAsia" w:cs="Times New Roman"/>
                <w:color w:val="auto"/>
                <w:sz w:val="21"/>
                <w:szCs w:val="21"/>
                <w:highlight w:val="none"/>
                <w:lang w:val="en-US" w:eastAsia="zh-CN"/>
              </w:rPr>
              <w:t>4</w:t>
            </w:r>
            <w:r>
              <w:rPr>
                <w:rFonts w:hint="eastAsia" w:ascii="Times New Roman" w:hAnsi="Times New Roman" w:eastAsia="宋体" w:cs="Times New Roman"/>
                <w:color w:val="auto"/>
                <w:sz w:val="21"/>
                <w:szCs w:val="21"/>
                <w:highlight w:val="none"/>
                <w:lang w:val="en-US" w:eastAsia="zh-CN"/>
              </w:rPr>
              <w:t xml:space="preserve">）。 </w:t>
            </w:r>
          </w:p>
          <w:p w14:paraId="0A00D4B3">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500" w:lineRule="exact"/>
              <w:ind w:left="0" w:leftChars="0"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包装：将产品包装即成品入库。 </w:t>
            </w:r>
          </w:p>
          <w:p w14:paraId="726C9175">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500" w:lineRule="exact"/>
              <w:ind w:left="0" w:leftChars="0"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此外，项目</w:t>
            </w:r>
            <w:r>
              <w:rPr>
                <w:rFonts w:hint="eastAsia" w:ascii="Times New Roman" w:hAnsi="Times New Roman" w:eastAsia="宋体" w:cs="Times New Roman"/>
                <w:color w:val="auto"/>
                <w:sz w:val="21"/>
                <w:szCs w:val="21"/>
                <w:highlight w:val="none"/>
                <w:lang w:val="en-US" w:eastAsia="zh-CN"/>
              </w:rPr>
              <w:t>生产过程中产生的废胶膜收集后直接回用于混料工序，</w:t>
            </w:r>
            <w:r>
              <w:rPr>
                <w:rFonts w:hint="eastAsia" w:cs="Times New Roman"/>
                <w:color w:val="auto"/>
                <w:sz w:val="21"/>
                <w:szCs w:val="21"/>
                <w:highlight w:val="none"/>
                <w:lang w:val="en-US" w:eastAsia="zh-CN"/>
              </w:rPr>
              <w:t>无须</w:t>
            </w:r>
            <w:r>
              <w:rPr>
                <w:rFonts w:hint="eastAsia" w:ascii="Times New Roman" w:hAnsi="Times New Roman" w:eastAsia="宋体" w:cs="Times New Roman"/>
                <w:color w:val="auto"/>
                <w:sz w:val="21"/>
                <w:szCs w:val="21"/>
                <w:highlight w:val="none"/>
                <w:lang w:val="en-US" w:eastAsia="zh-CN"/>
              </w:rPr>
              <w:t>破碎。</w:t>
            </w:r>
          </w:p>
          <w:p w14:paraId="6D52F997">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500" w:lineRule="exact"/>
              <w:ind w:left="0" w:lef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其他产污工序</w:t>
            </w:r>
          </w:p>
          <w:p w14:paraId="1784B793">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500" w:lineRule="exact"/>
              <w:ind w:left="0" w:leftChars="0" w:firstLine="420" w:firstLineChars="200"/>
              <w:textAlignment w:val="auto"/>
              <w:rPr>
                <w:rFonts w:hint="default" w:ascii="Times New Roman" w:hAnsi="Times New Roman" w:eastAsia="黑体" w:cs="Times New Roman"/>
                <w:snapToGrid w:val="0"/>
                <w:color w:val="auto"/>
                <w:sz w:val="30"/>
                <w:szCs w:val="30"/>
                <w:vertAlign w:val="baseline"/>
              </w:rPr>
            </w:pPr>
            <w:r>
              <w:rPr>
                <w:rFonts w:hint="eastAsia" w:ascii="Times New Roman" w:hAnsi="Times New Roman" w:eastAsia="宋体" w:cs="Times New Roman"/>
                <w:color w:val="auto"/>
                <w:sz w:val="21"/>
                <w:szCs w:val="21"/>
                <w:highlight w:val="none"/>
                <w:lang w:val="en-US" w:eastAsia="zh-CN"/>
              </w:rPr>
              <w:t>（1）项目有机废气采用活性炭吸附装置处理，活性炭吸附箱需定期更换产生废活性炭（S</w:t>
            </w:r>
            <w:r>
              <w:rPr>
                <w:rFonts w:hint="eastAsia"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br w:type="textWrapping"/>
            </w:r>
            <w:r>
              <w:rPr>
                <w:rFonts w:hint="eastAsia" w:ascii="Times New Roman" w:hAnsi="Times New Roman" w:eastAsia="宋体" w:cs="Times New Roman"/>
                <w:color w:val="auto"/>
                <w:sz w:val="21"/>
                <w:szCs w:val="21"/>
                <w:highlight w:val="none"/>
                <w:lang w:val="en-US" w:eastAsia="zh-CN"/>
              </w:rPr>
              <w:t xml:space="preserve">    （2）项目</w:t>
            </w:r>
            <w:r>
              <w:rPr>
                <w:rFonts w:hint="eastAsia" w:cs="Times New Roman"/>
                <w:color w:val="auto"/>
                <w:sz w:val="21"/>
                <w:szCs w:val="21"/>
                <w:highlight w:val="none"/>
                <w:lang w:val="en-US" w:eastAsia="zh-CN"/>
              </w:rPr>
              <w:t>设备</w:t>
            </w:r>
            <w:r>
              <w:rPr>
                <w:rFonts w:hint="eastAsia" w:ascii="Times New Roman" w:hAnsi="Times New Roman" w:eastAsia="宋体" w:cs="Times New Roman"/>
                <w:color w:val="auto"/>
                <w:sz w:val="21"/>
                <w:szCs w:val="21"/>
                <w:highlight w:val="none"/>
                <w:lang w:val="en-US" w:eastAsia="zh-CN"/>
              </w:rPr>
              <w:t>保养过程产生少量废机油（S</w:t>
            </w:r>
            <w:r>
              <w:rPr>
                <w:rFonts w:hint="eastAsia" w:cs="Times New Roman"/>
                <w:color w:val="auto"/>
                <w:sz w:val="21"/>
                <w:szCs w:val="21"/>
                <w:highlight w:val="none"/>
                <w:lang w:val="en-US" w:eastAsia="zh-CN"/>
              </w:rPr>
              <w:t>6</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、废油桶</w:t>
            </w:r>
            <w:r>
              <w:rPr>
                <w:rFonts w:hint="eastAsia" w:ascii="Times New Roman" w:hAnsi="Times New Roman" w:eastAsia="宋体" w:cs="Times New Roman"/>
                <w:color w:val="auto"/>
                <w:sz w:val="21"/>
                <w:szCs w:val="21"/>
                <w:highlight w:val="none"/>
                <w:lang w:val="en-US" w:eastAsia="zh-CN"/>
              </w:rPr>
              <w:t>（S</w:t>
            </w:r>
            <w:r>
              <w:rPr>
                <w:rFonts w:hint="eastAsia" w:cs="Times New Roman"/>
                <w:color w:val="auto"/>
                <w:sz w:val="21"/>
                <w:szCs w:val="21"/>
                <w:highlight w:val="none"/>
                <w:lang w:val="en-US" w:eastAsia="zh-CN"/>
              </w:rPr>
              <w:t>7</w:t>
            </w:r>
            <w:r>
              <w:rPr>
                <w:rFonts w:hint="eastAsia" w:ascii="Times New Roman" w:hAnsi="Times New Roman" w:eastAsia="宋体" w:cs="Times New Roman"/>
                <w:color w:val="auto"/>
                <w:sz w:val="21"/>
                <w:szCs w:val="21"/>
                <w:highlight w:val="none"/>
                <w:lang w:val="en-US" w:eastAsia="zh-CN"/>
              </w:rPr>
              <w:t>）和废含油抹布手套（S</w:t>
            </w:r>
            <w:r>
              <w:rPr>
                <w:rFonts w:hint="eastAsia" w:cs="Times New Roman"/>
                <w:color w:val="auto"/>
                <w:sz w:val="21"/>
                <w:szCs w:val="21"/>
                <w:highlight w:val="none"/>
                <w:lang w:val="en-US" w:eastAsia="zh-CN"/>
              </w:rPr>
              <w:t>8</w:t>
            </w:r>
            <w:r>
              <w:rPr>
                <w:rFonts w:hint="eastAsia" w:ascii="Times New Roman" w:hAnsi="Times New Roman" w:eastAsia="宋体" w:cs="Times New Roman"/>
                <w:color w:val="auto"/>
                <w:sz w:val="21"/>
                <w:szCs w:val="21"/>
                <w:highlight w:val="none"/>
                <w:lang w:val="en-US" w:eastAsia="zh-CN"/>
              </w:rPr>
              <w:t>）。</w:t>
            </w:r>
          </w:p>
        </w:tc>
      </w:tr>
      <w:tr w14:paraId="1A066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Align w:val="center"/>
          </w:tcPr>
          <w:p w14:paraId="00E1DBF2">
            <w:pPr>
              <w:pStyle w:val="25"/>
              <w:spacing w:before="0" w:beforeAutospacing="0" w:after="0" w:afterAutospacing="0"/>
              <w:jc w:val="center"/>
              <w:outlineLvl w:val="0"/>
              <w:rPr>
                <w:rFonts w:hint="default" w:ascii="Times New Roman" w:hAnsi="Times New Roman" w:eastAsia="黑体" w:cs="Times New Roman"/>
                <w:snapToGrid w:val="0"/>
                <w:color w:val="auto"/>
                <w:sz w:val="30"/>
                <w:szCs w:val="30"/>
                <w:vertAlign w:val="baseline"/>
              </w:rPr>
            </w:pPr>
            <w:r>
              <w:rPr>
                <w:rFonts w:hint="default" w:ascii="Times New Roman" w:hAnsi="Times New Roman" w:cs="Times New Roman" w:eastAsiaTheme="minorEastAsia"/>
                <w:bCs/>
                <w:color w:val="auto"/>
                <w:kern w:val="2"/>
                <w:sz w:val="21"/>
                <w:szCs w:val="21"/>
              </w:rPr>
              <w:t>与项目有关的原有环境污染问题</w:t>
            </w:r>
          </w:p>
        </w:tc>
        <w:tc>
          <w:tcPr>
            <w:tcW w:w="8413" w:type="dxa"/>
          </w:tcPr>
          <w:p w14:paraId="3E9F5E3D">
            <w:pPr>
              <w:adjustRightInd w:val="0"/>
              <w:snapToGrid w:val="0"/>
              <w:spacing w:line="500" w:lineRule="exact"/>
              <w:jc w:val="left"/>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一、原有项目</w:t>
            </w:r>
            <w:r>
              <w:rPr>
                <w:rFonts w:hint="default" w:ascii="Times New Roman" w:hAnsi="Times New Roman" w:cs="Times New Roman"/>
                <w:b/>
                <w:bCs/>
                <w:color w:val="auto"/>
                <w:kern w:val="0"/>
                <w:sz w:val="21"/>
                <w:szCs w:val="21"/>
              </w:rPr>
              <w:t>环保手续履行情况</w:t>
            </w:r>
          </w:p>
          <w:p w14:paraId="77F7BEEF">
            <w:pPr>
              <w:adjustRightInd w:val="0"/>
              <w:snapToGrid w:val="0"/>
              <w:spacing w:line="500" w:lineRule="exact"/>
              <w:ind w:firstLine="420" w:firstLineChars="200"/>
              <w:jc w:val="left"/>
              <w:rPr>
                <w:rFonts w:hint="default" w:ascii="Times New Roman" w:hAnsi="Times New Roman" w:cs="Times New Roman"/>
                <w:b/>
                <w:bCs/>
                <w:color w:val="auto"/>
                <w:sz w:val="21"/>
                <w:szCs w:val="21"/>
              </w:rPr>
            </w:pPr>
            <w:r>
              <w:rPr>
                <w:rFonts w:hint="default" w:ascii="Times New Roman" w:hAnsi="Times New Roman" w:cs="Times New Roman"/>
                <w:color w:val="auto"/>
                <w:sz w:val="21"/>
                <w:szCs w:val="21"/>
              </w:rPr>
              <w:t>1、公司原有环保手续情况</w:t>
            </w:r>
          </w:p>
          <w:p w14:paraId="7528A151">
            <w:pPr>
              <w:adjustRightInd w:val="0"/>
              <w:snapToGrid w:val="0"/>
              <w:spacing w:line="500" w:lineRule="exac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表2-</w:t>
            </w:r>
            <w:r>
              <w:rPr>
                <w:rFonts w:hint="eastAsia" w:cs="Times New Roman"/>
                <w:b/>
                <w:bCs/>
                <w:color w:val="auto"/>
                <w:sz w:val="21"/>
                <w:szCs w:val="21"/>
                <w:lang w:val="en-US" w:eastAsia="zh-CN"/>
              </w:rPr>
              <w:t>11</w:t>
            </w:r>
            <w:r>
              <w:rPr>
                <w:rFonts w:hint="eastAsia" w:ascii="Times New Roman" w:hAnsi="Times New Roman" w:cs="Times New Roman"/>
                <w:b/>
                <w:bCs/>
                <w:color w:val="auto"/>
                <w:sz w:val="21"/>
                <w:szCs w:val="21"/>
                <w:lang w:val="en-US" w:eastAsia="zh-CN"/>
              </w:rPr>
              <w:t xml:space="preserve"> </w:t>
            </w:r>
            <w:r>
              <w:rPr>
                <w:rFonts w:hint="default" w:ascii="Times New Roman" w:hAnsi="Times New Roman" w:cs="Times New Roman"/>
                <w:b/>
                <w:bCs/>
                <w:color w:val="auto"/>
                <w:sz w:val="21"/>
                <w:szCs w:val="21"/>
              </w:rPr>
              <w:t>原有项</w:t>
            </w:r>
            <w:r>
              <w:rPr>
                <w:rFonts w:hint="default" w:ascii="Times New Roman" w:hAnsi="Times New Roman" w:eastAsia="宋体" w:cs="Times New Roman"/>
                <w:b/>
                <w:bCs/>
                <w:color w:val="auto"/>
                <w:sz w:val="21"/>
                <w:szCs w:val="21"/>
              </w:rPr>
              <w:t>目</w:t>
            </w:r>
            <w:r>
              <w:rPr>
                <w:rFonts w:hint="eastAsia" w:ascii="Times New Roman" w:hAnsi="Times New Roman" w:eastAsia="宋体" w:cs="Times New Roman"/>
                <w:b/>
                <w:bCs/>
                <w:color w:val="auto"/>
                <w:sz w:val="21"/>
                <w:szCs w:val="21"/>
                <w:lang w:val="en-US" w:eastAsia="zh-CN"/>
              </w:rPr>
              <w:t>环保</w:t>
            </w:r>
            <w:r>
              <w:rPr>
                <w:rFonts w:hint="default" w:ascii="Times New Roman" w:hAnsi="Times New Roman" w:eastAsia="宋体" w:cs="Times New Roman"/>
                <w:b/>
                <w:bCs/>
                <w:color w:val="auto"/>
                <w:sz w:val="21"/>
                <w:szCs w:val="21"/>
              </w:rPr>
              <w:t>手续</w:t>
            </w:r>
            <w:r>
              <w:rPr>
                <w:rFonts w:hint="default" w:ascii="Times New Roman" w:hAnsi="Times New Roman" w:cs="Times New Roman"/>
                <w:b/>
                <w:bCs/>
                <w:color w:val="auto"/>
                <w:sz w:val="21"/>
                <w:szCs w:val="21"/>
              </w:rPr>
              <w:t>履行情况</w:t>
            </w:r>
          </w:p>
          <w:tbl>
            <w:tblPr>
              <w:tblStyle w:val="3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90"/>
              <w:gridCol w:w="2649"/>
              <w:gridCol w:w="1318"/>
              <w:gridCol w:w="2537"/>
            </w:tblGrid>
            <w:tr w14:paraId="1DB263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1" w:type="pct"/>
                  <w:noWrap w:val="0"/>
                  <w:vAlign w:val="center"/>
                </w:tcPr>
                <w:p w14:paraId="0114C0CA">
                  <w:pPr>
                    <w:pStyle w:val="124"/>
                    <w:rPr>
                      <w:rFonts w:eastAsia="宋体"/>
                      <w:color w:val="auto"/>
                      <w:sz w:val="21"/>
                      <w:szCs w:val="21"/>
                    </w:rPr>
                  </w:pPr>
                  <w:r>
                    <w:rPr>
                      <w:rFonts w:eastAsia="宋体"/>
                      <w:color w:val="auto"/>
                      <w:sz w:val="21"/>
                      <w:szCs w:val="21"/>
                    </w:rPr>
                    <w:t>项目名称</w:t>
                  </w:r>
                </w:p>
              </w:tc>
              <w:tc>
                <w:tcPr>
                  <w:tcW w:w="1616" w:type="pct"/>
                  <w:noWrap w:val="0"/>
                  <w:vAlign w:val="center"/>
                </w:tcPr>
                <w:p w14:paraId="336924E9">
                  <w:pPr>
                    <w:pStyle w:val="124"/>
                    <w:rPr>
                      <w:rFonts w:eastAsia="宋体"/>
                      <w:color w:val="auto"/>
                      <w:sz w:val="21"/>
                      <w:szCs w:val="21"/>
                    </w:rPr>
                  </w:pPr>
                  <w:r>
                    <w:rPr>
                      <w:rFonts w:eastAsia="宋体"/>
                      <w:color w:val="auto"/>
                      <w:sz w:val="21"/>
                      <w:szCs w:val="21"/>
                    </w:rPr>
                    <w:t>批复部门</w:t>
                  </w:r>
                </w:p>
              </w:tc>
              <w:tc>
                <w:tcPr>
                  <w:tcW w:w="2351" w:type="pct"/>
                  <w:gridSpan w:val="2"/>
                  <w:noWrap w:val="0"/>
                  <w:vAlign w:val="center"/>
                </w:tcPr>
                <w:p w14:paraId="0288D7FD">
                  <w:pPr>
                    <w:pStyle w:val="124"/>
                    <w:rPr>
                      <w:rFonts w:eastAsia="宋体"/>
                      <w:color w:val="auto"/>
                      <w:sz w:val="21"/>
                      <w:szCs w:val="21"/>
                    </w:rPr>
                  </w:pPr>
                  <w:r>
                    <w:rPr>
                      <w:rFonts w:eastAsia="宋体"/>
                      <w:color w:val="auto"/>
                      <w:sz w:val="21"/>
                      <w:szCs w:val="21"/>
                    </w:rPr>
                    <w:t>验收情况</w:t>
                  </w:r>
                </w:p>
              </w:tc>
            </w:tr>
            <w:tr w14:paraId="360E40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1" w:type="pct"/>
                  <w:vMerge w:val="restart"/>
                  <w:noWrap w:val="0"/>
                  <w:vAlign w:val="center"/>
                </w:tcPr>
                <w:p w14:paraId="4BF30CEE">
                  <w:pPr>
                    <w:adjustRightInd w:val="0"/>
                    <w:snapToGrid w:val="0"/>
                    <w:jc w:val="center"/>
                    <w:rPr>
                      <w:color w:val="auto"/>
                      <w:sz w:val="21"/>
                      <w:szCs w:val="21"/>
                    </w:rPr>
                  </w:pPr>
                  <w:r>
                    <w:rPr>
                      <w:color w:val="auto"/>
                      <w:sz w:val="21"/>
                      <w:szCs w:val="21"/>
                    </w:rPr>
                    <w:t>新建年产光伏组件用高性能EVA胶膜、功能性塑料项目</w:t>
                  </w:r>
                  <w:r>
                    <w:rPr>
                      <w:rFonts w:hint="eastAsia"/>
                      <w:color w:val="auto"/>
                      <w:sz w:val="21"/>
                      <w:szCs w:val="21"/>
                    </w:rPr>
                    <w:t>（产品方案：光伏组件用高性能EVA胶膜3000万m</w:t>
                  </w:r>
                  <w:r>
                    <w:rPr>
                      <w:rFonts w:hint="eastAsia"/>
                      <w:color w:val="auto"/>
                      <w:sz w:val="21"/>
                      <w:szCs w:val="21"/>
                      <w:vertAlign w:val="superscript"/>
                    </w:rPr>
                    <w:t>2</w:t>
                  </w:r>
                  <w:r>
                    <w:rPr>
                      <w:rFonts w:hint="eastAsia"/>
                      <w:color w:val="auto"/>
                      <w:sz w:val="21"/>
                      <w:szCs w:val="21"/>
                    </w:rPr>
                    <w:t>/年、功能性塑料2万吨/年）</w:t>
                  </w:r>
                </w:p>
              </w:tc>
              <w:tc>
                <w:tcPr>
                  <w:tcW w:w="1616" w:type="pct"/>
                  <w:vMerge w:val="restart"/>
                  <w:noWrap w:val="0"/>
                  <w:vAlign w:val="center"/>
                </w:tcPr>
                <w:p w14:paraId="2EF8B6AD">
                  <w:pPr>
                    <w:pStyle w:val="9"/>
                    <w:adjustRightInd w:val="0"/>
                    <w:spacing w:before="0" w:after="0" w:line="240" w:lineRule="auto"/>
                    <w:ind w:right="0"/>
                    <w:jc w:val="center"/>
                    <w:rPr>
                      <w:color w:val="auto"/>
                      <w:sz w:val="21"/>
                      <w:szCs w:val="21"/>
                      <w:lang w:val="en-US" w:eastAsia="zh-CN"/>
                    </w:rPr>
                  </w:pPr>
                  <w:r>
                    <w:rPr>
                      <w:color w:val="auto"/>
                      <w:sz w:val="21"/>
                      <w:szCs w:val="21"/>
                      <w:lang w:val="en-US" w:eastAsia="zh-CN"/>
                    </w:rPr>
                    <w:t>2011年8月2日</w:t>
                  </w:r>
                </w:p>
                <w:p w14:paraId="2CD92A17">
                  <w:pPr>
                    <w:pStyle w:val="9"/>
                    <w:adjustRightInd w:val="0"/>
                    <w:spacing w:before="0" w:after="0" w:line="240" w:lineRule="auto"/>
                    <w:ind w:right="0"/>
                    <w:jc w:val="center"/>
                    <w:rPr>
                      <w:color w:val="auto"/>
                      <w:sz w:val="21"/>
                      <w:szCs w:val="21"/>
                      <w:lang w:val="en-US" w:eastAsia="zh-CN"/>
                    </w:rPr>
                  </w:pPr>
                  <w:r>
                    <w:rPr>
                      <w:color w:val="auto"/>
                      <w:sz w:val="21"/>
                      <w:szCs w:val="21"/>
                      <w:lang w:val="en-US" w:eastAsia="zh-CN"/>
                    </w:rPr>
                    <w:t>金坛市环境保护局</w:t>
                  </w:r>
                </w:p>
                <w:p w14:paraId="1E7ED29F">
                  <w:pPr>
                    <w:pStyle w:val="9"/>
                    <w:adjustRightInd w:val="0"/>
                    <w:spacing w:before="0" w:after="0" w:line="240" w:lineRule="auto"/>
                    <w:ind w:right="0"/>
                    <w:jc w:val="center"/>
                    <w:rPr>
                      <w:color w:val="auto"/>
                      <w:sz w:val="21"/>
                      <w:szCs w:val="21"/>
                      <w:lang w:val="en-US" w:eastAsia="zh-CN"/>
                    </w:rPr>
                  </w:pPr>
                  <w:r>
                    <w:rPr>
                      <w:color w:val="auto"/>
                      <w:sz w:val="21"/>
                      <w:szCs w:val="21"/>
                      <w:lang w:val="en-US" w:eastAsia="zh-CN"/>
                    </w:rPr>
                    <w:t>坛环审〔20</w:t>
                  </w:r>
                  <w:r>
                    <w:rPr>
                      <w:rFonts w:hint="eastAsia"/>
                      <w:color w:val="auto"/>
                      <w:sz w:val="21"/>
                      <w:szCs w:val="21"/>
                      <w:lang w:val="en-US" w:eastAsia="zh-CN"/>
                    </w:rPr>
                    <w:t>11</w:t>
                  </w:r>
                  <w:r>
                    <w:rPr>
                      <w:color w:val="auto"/>
                      <w:sz w:val="21"/>
                      <w:szCs w:val="21"/>
                      <w:lang w:val="en-US" w:eastAsia="zh-CN"/>
                    </w:rPr>
                    <w:t>〕148号</w:t>
                  </w:r>
                </w:p>
              </w:tc>
              <w:tc>
                <w:tcPr>
                  <w:tcW w:w="804" w:type="pct"/>
                  <w:noWrap w:val="0"/>
                  <w:vAlign w:val="center"/>
                </w:tcPr>
                <w:p w14:paraId="0047FF57">
                  <w:pPr>
                    <w:pStyle w:val="9"/>
                    <w:adjustRightInd w:val="0"/>
                    <w:spacing w:before="0" w:after="0" w:line="240" w:lineRule="auto"/>
                    <w:ind w:right="0"/>
                    <w:jc w:val="center"/>
                    <w:rPr>
                      <w:color w:val="auto"/>
                      <w:sz w:val="21"/>
                      <w:szCs w:val="21"/>
                      <w:lang w:val="en-US" w:eastAsia="zh-CN"/>
                    </w:rPr>
                  </w:pPr>
                  <w:r>
                    <w:rPr>
                      <w:color w:val="auto"/>
                      <w:sz w:val="21"/>
                      <w:szCs w:val="21"/>
                      <w:lang w:val="en-US" w:eastAsia="zh-CN"/>
                    </w:rPr>
                    <w:t>产光伏组件用高性能EVA胶膜3000万</w:t>
                  </w:r>
                  <w:r>
                    <w:rPr>
                      <w:rFonts w:hint="eastAsia"/>
                      <w:color w:val="auto"/>
                      <w:sz w:val="21"/>
                      <w:szCs w:val="21"/>
                    </w:rPr>
                    <w:t>m</w:t>
                  </w:r>
                  <w:r>
                    <w:rPr>
                      <w:rFonts w:hint="eastAsia"/>
                      <w:color w:val="auto"/>
                      <w:sz w:val="21"/>
                      <w:szCs w:val="21"/>
                      <w:vertAlign w:val="superscript"/>
                    </w:rPr>
                    <w:t>2</w:t>
                  </w:r>
                </w:p>
              </w:tc>
              <w:tc>
                <w:tcPr>
                  <w:tcW w:w="1547" w:type="pct"/>
                  <w:noWrap w:val="0"/>
                  <w:vAlign w:val="center"/>
                </w:tcPr>
                <w:p w14:paraId="7D5660AE">
                  <w:pPr>
                    <w:pStyle w:val="9"/>
                    <w:adjustRightInd w:val="0"/>
                    <w:spacing w:before="0" w:after="0" w:line="240" w:lineRule="auto"/>
                    <w:ind w:right="0"/>
                    <w:jc w:val="center"/>
                    <w:rPr>
                      <w:color w:val="auto"/>
                      <w:sz w:val="21"/>
                      <w:szCs w:val="21"/>
                      <w:lang w:val="en-US" w:eastAsia="zh-CN"/>
                    </w:rPr>
                  </w:pPr>
                  <w:r>
                    <w:rPr>
                      <w:color w:val="auto"/>
                      <w:sz w:val="21"/>
                      <w:szCs w:val="21"/>
                      <w:lang w:val="en-US" w:eastAsia="zh-CN"/>
                    </w:rPr>
                    <w:t>2016年7月4日通过金坛区环境保护局验收</w:t>
                  </w:r>
                </w:p>
                <w:p w14:paraId="554F393F">
                  <w:pPr>
                    <w:pStyle w:val="9"/>
                    <w:adjustRightInd w:val="0"/>
                    <w:spacing w:before="0" w:after="0" w:line="240" w:lineRule="auto"/>
                    <w:ind w:right="0"/>
                    <w:jc w:val="center"/>
                    <w:rPr>
                      <w:color w:val="auto"/>
                      <w:sz w:val="21"/>
                      <w:szCs w:val="21"/>
                      <w:lang w:val="en-US" w:eastAsia="zh-CN"/>
                    </w:rPr>
                  </w:pPr>
                  <w:r>
                    <w:rPr>
                      <w:color w:val="auto"/>
                      <w:sz w:val="21"/>
                      <w:szCs w:val="21"/>
                      <w:lang w:val="en-US" w:eastAsia="zh-CN"/>
                    </w:rPr>
                    <w:t>（部分验收）</w:t>
                  </w:r>
                </w:p>
              </w:tc>
            </w:tr>
            <w:tr w14:paraId="0BED26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031" w:type="pct"/>
                  <w:vMerge w:val="continue"/>
                  <w:noWrap w:val="0"/>
                  <w:vAlign w:val="center"/>
                </w:tcPr>
                <w:p w14:paraId="1034955D">
                  <w:pPr>
                    <w:adjustRightInd w:val="0"/>
                    <w:snapToGrid w:val="0"/>
                    <w:jc w:val="center"/>
                    <w:rPr>
                      <w:color w:val="auto"/>
                      <w:sz w:val="21"/>
                      <w:szCs w:val="21"/>
                    </w:rPr>
                  </w:pPr>
                </w:p>
              </w:tc>
              <w:tc>
                <w:tcPr>
                  <w:tcW w:w="1616" w:type="pct"/>
                  <w:vMerge w:val="continue"/>
                  <w:noWrap w:val="0"/>
                  <w:vAlign w:val="center"/>
                </w:tcPr>
                <w:p w14:paraId="310247E6">
                  <w:pPr>
                    <w:pStyle w:val="9"/>
                    <w:adjustRightInd w:val="0"/>
                    <w:spacing w:line="240" w:lineRule="auto"/>
                    <w:ind w:right="0"/>
                    <w:jc w:val="center"/>
                    <w:rPr>
                      <w:color w:val="auto"/>
                      <w:sz w:val="21"/>
                      <w:szCs w:val="21"/>
                      <w:lang w:val="en-US" w:eastAsia="zh-CN"/>
                    </w:rPr>
                  </w:pPr>
                </w:p>
              </w:tc>
              <w:tc>
                <w:tcPr>
                  <w:tcW w:w="804" w:type="pct"/>
                  <w:noWrap w:val="0"/>
                  <w:vAlign w:val="center"/>
                </w:tcPr>
                <w:p w14:paraId="7B4F491C">
                  <w:pPr>
                    <w:pStyle w:val="9"/>
                    <w:adjustRightInd w:val="0"/>
                    <w:spacing w:before="0" w:after="0" w:line="240" w:lineRule="auto"/>
                    <w:ind w:right="0"/>
                    <w:jc w:val="center"/>
                    <w:rPr>
                      <w:color w:val="auto"/>
                      <w:sz w:val="21"/>
                      <w:szCs w:val="21"/>
                      <w:lang w:val="en-US" w:eastAsia="zh-CN"/>
                    </w:rPr>
                  </w:pPr>
                  <w:r>
                    <w:rPr>
                      <w:color w:val="auto"/>
                      <w:sz w:val="21"/>
                      <w:szCs w:val="21"/>
                      <w:lang w:val="en-US" w:eastAsia="zh-CN"/>
                    </w:rPr>
                    <w:t>年产</w:t>
                  </w:r>
                  <w:r>
                    <w:rPr>
                      <w:rFonts w:hint="eastAsia"/>
                      <w:color w:val="auto"/>
                      <w:sz w:val="21"/>
                      <w:szCs w:val="21"/>
                      <w:lang w:val="en-US" w:eastAsia="zh-CN"/>
                    </w:rPr>
                    <w:t>1</w:t>
                  </w:r>
                  <w:r>
                    <w:rPr>
                      <w:color w:val="auto"/>
                      <w:sz w:val="21"/>
                      <w:szCs w:val="21"/>
                      <w:lang w:val="en-US" w:eastAsia="zh-CN"/>
                    </w:rPr>
                    <w:t>万吨功能性塑料</w:t>
                  </w:r>
                </w:p>
              </w:tc>
              <w:tc>
                <w:tcPr>
                  <w:tcW w:w="1547" w:type="pct"/>
                  <w:noWrap w:val="0"/>
                  <w:vAlign w:val="center"/>
                </w:tcPr>
                <w:p w14:paraId="4E803695">
                  <w:pPr>
                    <w:pStyle w:val="9"/>
                    <w:adjustRightInd w:val="0"/>
                    <w:spacing w:before="0" w:after="0" w:line="240" w:lineRule="auto"/>
                    <w:ind w:right="0"/>
                    <w:jc w:val="center"/>
                    <w:rPr>
                      <w:bCs/>
                      <w:color w:val="auto"/>
                      <w:sz w:val="21"/>
                      <w:szCs w:val="21"/>
                      <w:lang w:val="en-US" w:eastAsia="zh-CN"/>
                    </w:rPr>
                  </w:pPr>
                  <w:r>
                    <w:rPr>
                      <w:color w:val="auto"/>
                      <w:sz w:val="21"/>
                      <w:szCs w:val="21"/>
                      <w:lang w:val="en-US" w:eastAsia="zh-CN"/>
                    </w:rPr>
                    <w:t>于2019年12月19日通过竣工环境保护自主验收</w:t>
                  </w:r>
                  <w:r>
                    <w:rPr>
                      <w:rFonts w:eastAsia="仿宋"/>
                      <w:color w:val="auto"/>
                      <w:sz w:val="21"/>
                      <w:szCs w:val="21"/>
                      <w:lang w:val="en-US" w:eastAsia="zh-CN"/>
                    </w:rPr>
                    <w:t>（</w:t>
                  </w:r>
                  <w:r>
                    <w:rPr>
                      <w:color w:val="auto"/>
                      <w:sz w:val="21"/>
                      <w:szCs w:val="21"/>
                      <w:lang w:val="en-US" w:eastAsia="zh-CN"/>
                    </w:rPr>
                    <w:t>部分验收）</w:t>
                  </w:r>
                </w:p>
              </w:tc>
            </w:tr>
            <w:tr w14:paraId="021163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031" w:type="pct"/>
                  <w:vMerge w:val="continue"/>
                  <w:noWrap w:val="0"/>
                  <w:vAlign w:val="center"/>
                </w:tcPr>
                <w:p w14:paraId="63EC4CAF">
                  <w:pPr>
                    <w:pStyle w:val="9"/>
                    <w:adjustRightInd w:val="0"/>
                    <w:spacing w:before="0" w:after="0" w:line="240" w:lineRule="auto"/>
                    <w:ind w:right="0"/>
                    <w:jc w:val="center"/>
                    <w:rPr>
                      <w:color w:val="auto"/>
                      <w:sz w:val="21"/>
                      <w:szCs w:val="21"/>
                      <w:lang w:val="en-US" w:eastAsia="zh-CN"/>
                    </w:rPr>
                  </w:pPr>
                </w:p>
              </w:tc>
              <w:tc>
                <w:tcPr>
                  <w:tcW w:w="1616" w:type="pct"/>
                  <w:vMerge w:val="continue"/>
                  <w:noWrap w:val="0"/>
                  <w:vAlign w:val="center"/>
                </w:tcPr>
                <w:p w14:paraId="4C0E550E">
                  <w:pPr>
                    <w:pStyle w:val="9"/>
                    <w:adjustRightInd w:val="0"/>
                    <w:spacing w:before="0" w:after="0" w:line="240" w:lineRule="auto"/>
                    <w:ind w:right="0"/>
                    <w:jc w:val="center"/>
                    <w:rPr>
                      <w:color w:val="auto"/>
                      <w:sz w:val="21"/>
                      <w:szCs w:val="21"/>
                      <w:lang w:val="en-US" w:eastAsia="zh-CN"/>
                    </w:rPr>
                  </w:pPr>
                </w:p>
              </w:tc>
              <w:tc>
                <w:tcPr>
                  <w:tcW w:w="804" w:type="pct"/>
                  <w:noWrap w:val="0"/>
                  <w:vAlign w:val="center"/>
                </w:tcPr>
                <w:p w14:paraId="243EE41B">
                  <w:pPr>
                    <w:pStyle w:val="9"/>
                    <w:adjustRightInd w:val="0"/>
                    <w:spacing w:before="0" w:after="0" w:line="240" w:lineRule="auto"/>
                    <w:ind w:right="0"/>
                    <w:jc w:val="center"/>
                    <w:rPr>
                      <w:color w:val="auto"/>
                      <w:sz w:val="21"/>
                      <w:szCs w:val="21"/>
                      <w:lang w:val="en-US" w:eastAsia="zh-CN"/>
                    </w:rPr>
                  </w:pPr>
                  <w:r>
                    <w:rPr>
                      <w:color w:val="auto"/>
                      <w:sz w:val="21"/>
                      <w:szCs w:val="21"/>
                      <w:lang w:val="en-US" w:eastAsia="zh-CN"/>
                    </w:rPr>
                    <w:t>年产</w:t>
                  </w:r>
                  <w:r>
                    <w:rPr>
                      <w:rFonts w:hint="eastAsia"/>
                      <w:color w:val="auto"/>
                      <w:sz w:val="21"/>
                      <w:szCs w:val="21"/>
                      <w:lang w:val="en-US" w:eastAsia="zh-CN"/>
                    </w:rPr>
                    <w:t>0.8</w:t>
                  </w:r>
                  <w:r>
                    <w:rPr>
                      <w:color w:val="auto"/>
                      <w:sz w:val="21"/>
                      <w:szCs w:val="21"/>
                      <w:lang w:val="en-US" w:eastAsia="zh-CN"/>
                    </w:rPr>
                    <w:t>万吨功能性塑料</w:t>
                  </w:r>
                </w:p>
              </w:tc>
              <w:tc>
                <w:tcPr>
                  <w:tcW w:w="1547" w:type="pct"/>
                  <w:noWrap w:val="0"/>
                  <w:vAlign w:val="center"/>
                </w:tcPr>
                <w:p w14:paraId="56F6E57A">
                  <w:pPr>
                    <w:pStyle w:val="9"/>
                    <w:adjustRightInd w:val="0"/>
                    <w:spacing w:before="0" w:after="0" w:line="240" w:lineRule="auto"/>
                    <w:ind w:right="0"/>
                    <w:jc w:val="center"/>
                    <w:rPr>
                      <w:rFonts w:hint="eastAsia"/>
                      <w:color w:val="auto"/>
                      <w:sz w:val="21"/>
                      <w:szCs w:val="21"/>
                      <w:lang w:val="en-US" w:eastAsia="zh-CN"/>
                    </w:rPr>
                  </w:pPr>
                  <w:r>
                    <w:rPr>
                      <w:color w:val="auto"/>
                      <w:sz w:val="21"/>
                      <w:szCs w:val="21"/>
                      <w:lang w:val="en-US" w:eastAsia="zh-CN"/>
                    </w:rPr>
                    <w:t>于2021年3月通过竣工环境保护自主验收</w:t>
                  </w:r>
                  <w:r>
                    <w:rPr>
                      <w:rFonts w:hint="eastAsia"/>
                      <w:color w:val="auto"/>
                      <w:sz w:val="21"/>
                      <w:szCs w:val="21"/>
                      <w:lang w:val="en-US" w:eastAsia="zh-CN"/>
                    </w:rPr>
                    <w:t>，剩余产能（</w:t>
                  </w:r>
                  <w:r>
                    <w:rPr>
                      <w:color w:val="auto"/>
                      <w:sz w:val="21"/>
                      <w:szCs w:val="21"/>
                      <w:lang w:val="en-US" w:eastAsia="zh-CN"/>
                    </w:rPr>
                    <w:t>年产</w:t>
                  </w:r>
                  <w:r>
                    <w:rPr>
                      <w:rFonts w:hint="eastAsia"/>
                      <w:color w:val="auto"/>
                      <w:sz w:val="21"/>
                      <w:szCs w:val="21"/>
                      <w:lang w:val="en-US" w:eastAsia="zh-CN"/>
                    </w:rPr>
                    <w:t>功能性塑料2000吨）不再建设</w:t>
                  </w:r>
                </w:p>
              </w:tc>
            </w:tr>
            <w:tr w14:paraId="348A2D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031" w:type="pct"/>
                  <w:noWrap w:val="0"/>
                  <w:vAlign w:val="center"/>
                </w:tcPr>
                <w:p w14:paraId="3BA22859">
                  <w:pPr>
                    <w:adjustRightInd w:val="0"/>
                    <w:snapToGrid w:val="0"/>
                    <w:jc w:val="center"/>
                    <w:rPr>
                      <w:color w:val="auto"/>
                      <w:sz w:val="21"/>
                      <w:szCs w:val="21"/>
                      <w:lang w:val="en-US" w:eastAsia="zh-CN"/>
                    </w:rPr>
                  </w:pPr>
                  <w:r>
                    <w:rPr>
                      <w:color w:val="auto"/>
                      <w:sz w:val="21"/>
                      <w:szCs w:val="21"/>
                    </w:rPr>
                    <w:t>有机废气整治项目环境影响登记表</w:t>
                  </w:r>
                </w:p>
              </w:tc>
              <w:tc>
                <w:tcPr>
                  <w:tcW w:w="1616" w:type="pct"/>
                  <w:noWrap w:val="0"/>
                  <w:vAlign w:val="center"/>
                </w:tcPr>
                <w:p w14:paraId="34707231">
                  <w:pPr>
                    <w:widowControl/>
                    <w:jc w:val="left"/>
                    <w:rPr>
                      <w:color w:val="auto"/>
                      <w:sz w:val="21"/>
                      <w:szCs w:val="21"/>
                      <w:lang w:val="en-US" w:eastAsia="zh-CN"/>
                    </w:rPr>
                  </w:pPr>
                  <w:r>
                    <w:rPr>
                      <w:color w:val="auto"/>
                      <w:sz w:val="21"/>
                      <w:szCs w:val="21"/>
                    </w:rPr>
                    <w:t>2</w:t>
                  </w:r>
                  <w:r>
                    <w:rPr>
                      <w:rFonts w:ascii="Times New Roman" w:hAnsi="Times New Roman" w:eastAsia="宋体" w:cs="Times New Roman"/>
                      <w:color w:val="auto"/>
                      <w:sz w:val="21"/>
                      <w:szCs w:val="21"/>
                    </w:rPr>
                    <w:t>019年12月6日常州市生态环境局备案，备案号</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20193204000200000177</w:t>
                  </w:r>
                </w:p>
              </w:tc>
              <w:tc>
                <w:tcPr>
                  <w:tcW w:w="2351" w:type="pct"/>
                  <w:gridSpan w:val="2"/>
                  <w:noWrap w:val="0"/>
                  <w:vAlign w:val="center"/>
                </w:tcPr>
                <w:p w14:paraId="26B84779">
                  <w:pPr>
                    <w:pStyle w:val="9"/>
                    <w:adjustRightInd w:val="0"/>
                    <w:spacing w:before="0" w:after="0" w:line="240" w:lineRule="auto"/>
                    <w:ind w:right="0"/>
                    <w:jc w:val="center"/>
                    <w:rPr>
                      <w:color w:val="auto"/>
                      <w:sz w:val="21"/>
                      <w:szCs w:val="21"/>
                      <w:lang w:val="en-US" w:eastAsia="zh-CN"/>
                    </w:rPr>
                  </w:pPr>
                  <w:r>
                    <w:rPr>
                      <w:rFonts w:hint="eastAsia"/>
                      <w:color w:val="auto"/>
                      <w:sz w:val="21"/>
                      <w:szCs w:val="21"/>
                      <w:lang w:val="en-US" w:eastAsia="zh-CN"/>
                    </w:rPr>
                    <w:t>无须</w:t>
                  </w:r>
                  <w:r>
                    <w:rPr>
                      <w:color w:val="auto"/>
                      <w:sz w:val="21"/>
                      <w:szCs w:val="21"/>
                      <w:lang w:val="en-US" w:eastAsia="zh-CN"/>
                    </w:rPr>
                    <w:t>验收</w:t>
                  </w:r>
                </w:p>
              </w:tc>
            </w:tr>
            <w:tr w14:paraId="612954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031" w:type="pct"/>
                  <w:vMerge w:val="restart"/>
                  <w:noWrap w:val="0"/>
                  <w:vAlign w:val="center"/>
                </w:tcPr>
                <w:p w14:paraId="79ED62D5">
                  <w:pPr>
                    <w:pStyle w:val="9"/>
                    <w:adjustRightInd w:val="0"/>
                    <w:spacing w:before="0" w:after="0" w:line="240" w:lineRule="auto"/>
                    <w:ind w:right="0"/>
                    <w:jc w:val="center"/>
                    <w:rPr>
                      <w:color w:val="auto"/>
                      <w:sz w:val="21"/>
                      <w:szCs w:val="21"/>
                      <w:lang w:val="en-US" w:eastAsia="zh-CN"/>
                    </w:rPr>
                  </w:pPr>
                  <w:r>
                    <w:rPr>
                      <w:rFonts w:hint="eastAsia"/>
                      <w:color w:val="auto"/>
                      <w:sz w:val="21"/>
                      <w:szCs w:val="21"/>
                      <w:lang w:val="en-US" w:eastAsia="zh-CN"/>
                    </w:rPr>
                    <w:t>功能性聚烯烃热熔胶扩产项目（产品方案：功能性聚烯烃热熔胶4万吨/年）</w:t>
                  </w:r>
                </w:p>
              </w:tc>
              <w:tc>
                <w:tcPr>
                  <w:tcW w:w="1616" w:type="pct"/>
                  <w:vMerge w:val="restart"/>
                  <w:noWrap w:val="0"/>
                  <w:vAlign w:val="center"/>
                </w:tcPr>
                <w:p w14:paraId="33B24E6F">
                  <w:pPr>
                    <w:pStyle w:val="9"/>
                    <w:adjustRightInd w:val="0"/>
                    <w:spacing w:before="0" w:after="0" w:line="240" w:lineRule="auto"/>
                    <w:ind w:right="0"/>
                    <w:jc w:val="center"/>
                    <w:rPr>
                      <w:color w:val="auto"/>
                      <w:sz w:val="21"/>
                      <w:szCs w:val="21"/>
                      <w:lang w:val="en-US" w:eastAsia="zh-CN"/>
                    </w:rPr>
                  </w:pPr>
                  <w:r>
                    <w:rPr>
                      <w:color w:val="auto"/>
                      <w:sz w:val="21"/>
                      <w:szCs w:val="21"/>
                      <w:lang w:val="en-US" w:eastAsia="zh-CN"/>
                    </w:rPr>
                    <w:t>201</w:t>
                  </w:r>
                  <w:r>
                    <w:rPr>
                      <w:rFonts w:hint="eastAsia"/>
                      <w:color w:val="auto"/>
                      <w:sz w:val="21"/>
                      <w:szCs w:val="21"/>
                      <w:lang w:val="en-US" w:eastAsia="zh-CN"/>
                    </w:rPr>
                    <w:t>7</w:t>
                  </w:r>
                  <w:r>
                    <w:rPr>
                      <w:color w:val="auto"/>
                      <w:sz w:val="21"/>
                      <w:szCs w:val="21"/>
                      <w:lang w:val="en-US" w:eastAsia="zh-CN"/>
                    </w:rPr>
                    <w:t>年</w:t>
                  </w:r>
                  <w:r>
                    <w:rPr>
                      <w:rFonts w:hint="eastAsia"/>
                      <w:color w:val="auto"/>
                      <w:sz w:val="21"/>
                      <w:szCs w:val="21"/>
                      <w:lang w:val="en-US" w:eastAsia="zh-CN"/>
                    </w:rPr>
                    <w:t>10</w:t>
                  </w:r>
                  <w:r>
                    <w:rPr>
                      <w:color w:val="auto"/>
                      <w:sz w:val="21"/>
                      <w:szCs w:val="21"/>
                      <w:lang w:val="en-US" w:eastAsia="zh-CN"/>
                    </w:rPr>
                    <w:t>月</w:t>
                  </w:r>
                  <w:r>
                    <w:rPr>
                      <w:rFonts w:hint="eastAsia"/>
                      <w:color w:val="auto"/>
                      <w:sz w:val="21"/>
                      <w:szCs w:val="21"/>
                      <w:lang w:val="en-US" w:eastAsia="zh-CN"/>
                    </w:rPr>
                    <w:t>30</w:t>
                  </w:r>
                  <w:r>
                    <w:rPr>
                      <w:color w:val="auto"/>
                      <w:sz w:val="21"/>
                      <w:szCs w:val="21"/>
                      <w:lang w:val="en-US" w:eastAsia="zh-CN"/>
                    </w:rPr>
                    <w:t>日</w:t>
                  </w:r>
                </w:p>
                <w:p w14:paraId="3119D1CA">
                  <w:pPr>
                    <w:pStyle w:val="9"/>
                    <w:adjustRightInd w:val="0"/>
                    <w:spacing w:before="0" w:after="0" w:line="240" w:lineRule="auto"/>
                    <w:ind w:right="0"/>
                    <w:jc w:val="center"/>
                    <w:rPr>
                      <w:color w:val="auto"/>
                      <w:sz w:val="21"/>
                      <w:szCs w:val="21"/>
                      <w:lang w:val="en-US" w:eastAsia="zh-CN"/>
                    </w:rPr>
                  </w:pPr>
                  <w:r>
                    <w:rPr>
                      <w:rFonts w:hint="eastAsia"/>
                      <w:color w:val="auto"/>
                      <w:sz w:val="21"/>
                      <w:szCs w:val="21"/>
                      <w:lang w:val="en-US" w:eastAsia="zh-CN"/>
                    </w:rPr>
                    <w:t>常州市</w:t>
                  </w:r>
                  <w:r>
                    <w:rPr>
                      <w:color w:val="auto"/>
                      <w:sz w:val="21"/>
                      <w:szCs w:val="21"/>
                      <w:lang w:val="en-US" w:eastAsia="zh-CN"/>
                    </w:rPr>
                    <w:t>金坛</w:t>
                  </w:r>
                  <w:r>
                    <w:rPr>
                      <w:rFonts w:hint="eastAsia"/>
                      <w:color w:val="auto"/>
                      <w:sz w:val="21"/>
                      <w:szCs w:val="21"/>
                      <w:lang w:val="en-US" w:eastAsia="zh-CN"/>
                    </w:rPr>
                    <w:t>区</w:t>
                  </w:r>
                  <w:r>
                    <w:rPr>
                      <w:color w:val="auto"/>
                      <w:sz w:val="21"/>
                      <w:szCs w:val="21"/>
                      <w:lang w:val="en-US" w:eastAsia="zh-CN"/>
                    </w:rPr>
                    <w:t>环境保护局</w:t>
                  </w:r>
                </w:p>
                <w:p w14:paraId="4576A79A">
                  <w:pPr>
                    <w:pStyle w:val="9"/>
                    <w:adjustRightInd w:val="0"/>
                    <w:spacing w:before="0" w:after="0" w:line="240" w:lineRule="auto"/>
                    <w:ind w:right="0"/>
                    <w:jc w:val="center"/>
                    <w:rPr>
                      <w:color w:val="auto"/>
                      <w:sz w:val="21"/>
                      <w:szCs w:val="21"/>
                      <w:lang w:val="en-US" w:eastAsia="zh-CN"/>
                    </w:rPr>
                  </w:pPr>
                  <w:r>
                    <w:rPr>
                      <w:color w:val="auto"/>
                      <w:sz w:val="21"/>
                      <w:szCs w:val="21"/>
                      <w:lang w:val="en-US" w:eastAsia="zh-CN"/>
                    </w:rPr>
                    <w:t>坛环</w:t>
                  </w:r>
                  <w:r>
                    <w:rPr>
                      <w:rFonts w:hint="eastAsia"/>
                      <w:color w:val="auto"/>
                      <w:sz w:val="21"/>
                      <w:szCs w:val="21"/>
                      <w:lang w:val="en-US" w:eastAsia="zh-CN"/>
                    </w:rPr>
                    <w:t>开</w:t>
                  </w:r>
                  <w:r>
                    <w:rPr>
                      <w:color w:val="auto"/>
                      <w:sz w:val="21"/>
                      <w:szCs w:val="21"/>
                      <w:lang w:val="en-US" w:eastAsia="zh-CN"/>
                    </w:rPr>
                    <w:t>审〔20</w:t>
                  </w:r>
                  <w:r>
                    <w:rPr>
                      <w:rFonts w:hint="eastAsia"/>
                      <w:color w:val="auto"/>
                      <w:sz w:val="21"/>
                      <w:szCs w:val="21"/>
                      <w:lang w:val="en-US" w:eastAsia="zh-CN"/>
                    </w:rPr>
                    <w:t>17</w:t>
                  </w:r>
                  <w:r>
                    <w:rPr>
                      <w:color w:val="auto"/>
                      <w:sz w:val="21"/>
                      <w:szCs w:val="21"/>
                      <w:lang w:val="en-US" w:eastAsia="zh-CN"/>
                    </w:rPr>
                    <w:t>〕</w:t>
                  </w:r>
                  <w:r>
                    <w:rPr>
                      <w:rFonts w:hint="eastAsia"/>
                      <w:color w:val="auto"/>
                      <w:sz w:val="21"/>
                      <w:szCs w:val="21"/>
                      <w:lang w:val="en-US" w:eastAsia="zh-CN"/>
                    </w:rPr>
                    <w:t>8</w:t>
                  </w:r>
                  <w:r>
                    <w:rPr>
                      <w:color w:val="auto"/>
                      <w:sz w:val="21"/>
                      <w:szCs w:val="21"/>
                      <w:lang w:val="en-US" w:eastAsia="zh-CN"/>
                    </w:rPr>
                    <w:t>8号</w:t>
                  </w:r>
                </w:p>
              </w:tc>
              <w:tc>
                <w:tcPr>
                  <w:tcW w:w="804" w:type="pct"/>
                  <w:noWrap w:val="0"/>
                  <w:vAlign w:val="center"/>
                </w:tcPr>
                <w:p w14:paraId="071CCDF1">
                  <w:pPr>
                    <w:pStyle w:val="9"/>
                    <w:adjustRightInd w:val="0"/>
                    <w:spacing w:before="0" w:after="0" w:line="240" w:lineRule="auto"/>
                    <w:ind w:right="0"/>
                    <w:jc w:val="center"/>
                    <w:rPr>
                      <w:rFonts w:hint="eastAsia"/>
                      <w:color w:val="auto"/>
                      <w:sz w:val="21"/>
                      <w:szCs w:val="21"/>
                      <w:lang w:val="en-US" w:eastAsia="zh-CN"/>
                    </w:rPr>
                  </w:pPr>
                  <w:r>
                    <w:rPr>
                      <w:color w:val="auto"/>
                      <w:sz w:val="21"/>
                      <w:szCs w:val="21"/>
                      <w:lang w:val="en-US" w:eastAsia="zh-CN"/>
                    </w:rPr>
                    <w:t>年产</w:t>
                  </w:r>
                  <w:r>
                    <w:rPr>
                      <w:rFonts w:hint="eastAsia"/>
                      <w:color w:val="auto"/>
                      <w:sz w:val="21"/>
                      <w:szCs w:val="21"/>
                      <w:lang w:val="en-US" w:eastAsia="zh-CN"/>
                    </w:rPr>
                    <w:t>0.5</w:t>
                  </w:r>
                  <w:r>
                    <w:rPr>
                      <w:color w:val="auto"/>
                      <w:sz w:val="21"/>
                      <w:szCs w:val="21"/>
                      <w:lang w:val="en-US" w:eastAsia="zh-CN"/>
                    </w:rPr>
                    <w:t>万吨</w:t>
                  </w:r>
                  <w:r>
                    <w:rPr>
                      <w:rFonts w:hint="eastAsia"/>
                      <w:color w:val="auto"/>
                      <w:sz w:val="21"/>
                      <w:szCs w:val="21"/>
                      <w:lang w:val="en-US" w:eastAsia="zh-CN"/>
                    </w:rPr>
                    <w:t>功能性聚烯烃热熔胶</w:t>
                  </w:r>
                </w:p>
              </w:tc>
              <w:tc>
                <w:tcPr>
                  <w:tcW w:w="1547" w:type="pct"/>
                  <w:noWrap w:val="0"/>
                  <w:vAlign w:val="center"/>
                </w:tcPr>
                <w:p w14:paraId="7A90F155">
                  <w:pPr>
                    <w:pStyle w:val="9"/>
                    <w:adjustRightInd w:val="0"/>
                    <w:spacing w:before="0" w:after="0" w:line="240" w:lineRule="auto"/>
                    <w:ind w:right="0"/>
                    <w:jc w:val="center"/>
                    <w:rPr>
                      <w:rFonts w:hint="eastAsia"/>
                      <w:color w:val="auto"/>
                      <w:sz w:val="21"/>
                      <w:szCs w:val="21"/>
                      <w:lang w:val="en-US" w:eastAsia="zh-CN"/>
                    </w:rPr>
                  </w:pPr>
                  <w:r>
                    <w:rPr>
                      <w:color w:val="auto"/>
                      <w:sz w:val="21"/>
                      <w:szCs w:val="21"/>
                      <w:lang w:val="en-US" w:eastAsia="zh-CN"/>
                    </w:rPr>
                    <w:t>于202</w:t>
                  </w:r>
                  <w:r>
                    <w:rPr>
                      <w:rFonts w:hint="eastAsia"/>
                      <w:color w:val="auto"/>
                      <w:sz w:val="21"/>
                      <w:szCs w:val="21"/>
                      <w:lang w:val="en-US" w:eastAsia="zh-CN"/>
                    </w:rPr>
                    <w:t>3</w:t>
                  </w:r>
                  <w:r>
                    <w:rPr>
                      <w:color w:val="auto"/>
                      <w:sz w:val="21"/>
                      <w:szCs w:val="21"/>
                      <w:lang w:val="en-US" w:eastAsia="zh-CN"/>
                    </w:rPr>
                    <w:t>年</w:t>
                  </w:r>
                  <w:r>
                    <w:rPr>
                      <w:rFonts w:hint="eastAsia"/>
                      <w:color w:val="auto"/>
                      <w:sz w:val="21"/>
                      <w:szCs w:val="21"/>
                      <w:lang w:val="en-US" w:eastAsia="zh-CN"/>
                    </w:rPr>
                    <w:t>6</w:t>
                  </w:r>
                  <w:r>
                    <w:rPr>
                      <w:color w:val="auto"/>
                      <w:sz w:val="21"/>
                      <w:szCs w:val="21"/>
                      <w:lang w:val="en-US" w:eastAsia="zh-CN"/>
                    </w:rPr>
                    <w:t>月通过竣工环境保护自主验收</w:t>
                  </w:r>
                  <w:r>
                    <w:rPr>
                      <w:rFonts w:eastAsia="仿宋"/>
                      <w:color w:val="auto"/>
                      <w:sz w:val="21"/>
                      <w:szCs w:val="21"/>
                      <w:lang w:val="en-US" w:eastAsia="zh-CN"/>
                    </w:rPr>
                    <w:t>（</w:t>
                  </w:r>
                  <w:r>
                    <w:rPr>
                      <w:color w:val="auto"/>
                      <w:sz w:val="21"/>
                      <w:szCs w:val="21"/>
                      <w:lang w:val="en-US" w:eastAsia="zh-CN"/>
                    </w:rPr>
                    <w:t>部分验收）</w:t>
                  </w:r>
                </w:p>
              </w:tc>
            </w:tr>
            <w:tr w14:paraId="46D8AA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031" w:type="pct"/>
                  <w:vMerge w:val="continue"/>
                  <w:noWrap w:val="0"/>
                  <w:vAlign w:val="center"/>
                </w:tcPr>
                <w:p w14:paraId="1F2A2EF5">
                  <w:pPr>
                    <w:pStyle w:val="9"/>
                    <w:adjustRightInd w:val="0"/>
                    <w:spacing w:before="0" w:after="0" w:line="240" w:lineRule="auto"/>
                    <w:ind w:right="0"/>
                    <w:jc w:val="center"/>
                    <w:rPr>
                      <w:color w:val="auto"/>
                      <w:sz w:val="21"/>
                      <w:szCs w:val="21"/>
                    </w:rPr>
                  </w:pPr>
                </w:p>
              </w:tc>
              <w:tc>
                <w:tcPr>
                  <w:tcW w:w="1616" w:type="pct"/>
                  <w:vMerge w:val="continue"/>
                  <w:noWrap w:val="0"/>
                  <w:vAlign w:val="center"/>
                </w:tcPr>
                <w:p w14:paraId="56847F9F">
                  <w:pPr>
                    <w:pStyle w:val="9"/>
                    <w:adjustRightInd w:val="0"/>
                    <w:spacing w:before="0" w:after="0" w:line="240" w:lineRule="auto"/>
                    <w:ind w:right="0"/>
                    <w:jc w:val="center"/>
                    <w:rPr>
                      <w:color w:val="auto"/>
                      <w:sz w:val="21"/>
                      <w:szCs w:val="21"/>
                    </w:rPr>
                  </w:pPr>
                </w:p>
              </w:tc>
              <w:tc>
                <w:tcPr>
                  <w:tcW w:w="804" w:type="pct"/>
                  <w:noWrap w:val="0"/>
                  <w:vAlign w:val="center"/>
                </w:tcPr>
                <w:p w14:paraId="74A9C0CD">
                  <w:pPr>
                    <w:pStyle w:val="9"/>
                    <w:adjustRightInd w:val="0"/>
                    <w:spacing w:before="0" w:after="0" w:line="240" w:lineRule="auto"/>
                    <w:ind w:right="0"/>
                    <w:jc w:val="center"/>
                    <w:rPr>
                      <w:color w:val="auto"/>
                      <w:sz w:val="21"/>
                      <w:szCs w:val="21"/>
                    </w:rPr>
                  </w:pPr>
                  <w:r>
                    <w:rPr>
                      <w:color w:val="auto"/>
                      <w:sz w:val="21"/>
                      <w:szCs w:val="21"/>
                      <w:lang w:val="en-US" w:eastAsia="zh-CN"/>
                    </w:rPr>
                    <w:t>年产</w:t>
                  </w:r>
                  <w:r>
                    <w:rPr>
                      <w:rFonts w:hint="eastAsia"/>
                      <w:color w:val="auto"/>
                      <w:sz w:val="21"/>
                      <w:szCs w:val="21"/>
                      <w:lang w:val="en-US" w:eastAsia="zh-CN"/>
                    </w:rPr>
                    <w:t>3.5</w:t>
                  </w:r>
                  <w:r>
                    <w:rPr>
                      <w:color w:val="auto"/>
                      <w:sz w:val="21"/>
                      <w:szCs w:val="21"/>
                      <w:lang w:val="en-US" w:eastAsia="zh-CN"/>
                    </w:rPr>
                    <w:t>万吨</w:t>
                  </w:r>
                  <w:r>
                    <w:rPr>
                      <w:rFonts w:hint="eastAsia"/>
                      <w:color w:val="auto"/>
                      <w:sz w:val="21"/>
                      <w:szCs w:val="21"/>
                      <w:lang w:val="en-US" w:eastAsia="zh-CN"/>
                    </w:rPr>
                    <w:t>功能性聚烯烃热熔胶</w:t>
                  </w:r>
                </w:p>
              </w:tc>
              <w:tc>
                <w:tcPr>
                  <w:tcW w:w="1547" w:type="pct"/>
                  <w:noWrap w:val="0"/>
                  <w:vAlign w:val="center"/>
                </w:tcPr>
                <w:p w14:paraId="3409DD6F">
                  <w:pPr>
                    <w:pStyle w:val="9"/>
                    <w:adjustRightInd w:val="0"/>
                    <w:spacing w:before="0" w:after="0" w:line="240" w:lineRule="auto"/>
                    <w:ind w:right="0"/>
                    <w:jc w:val="center"/>
                    <w:rPr>
                      <w:color w:val="auto"/>
                      <w:sz w:val="21"/>
                      <w:szCs w:val="21"/>
                    </w:rPr>
                  </w:pPr>
                  <w:r>
                    <w:rPr>
                      <w:rFonts w:hint="eastAsia"/>
                      <w:color w:val="auto"/>
                      <w:sz w:val="21"/>
                      <w:szCs w:val="21"/>
                      <w:lang w:val="en-US" w:eastAsia="zh-CN"/>
                    </w:rPr>
                    <w:t>建设中</w:t>
                  </w:r>
                </w:p>
              </w:tc>
            </w:tr>
            <w:tr w14:paraId="3D06BE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031" w:type="pct"/>
                  <w:vMerge w:val="restart"/>
                  <w:noWrap w:val="0"/>
                  <w:vAlign w:val="center"/>
                </w:tcPr>
                <w:p w14:paraId="21AE1EA3">
                  <w:pPr>
                    <w:adjustRightInd w:val="0"/>
                    <w:snapToGrid w:val="0"/>
                    <w:jc w:val="center"/>
                    <w:rPr>
                      <w:color w:val="auto"/>
                      <w:sz w:val="21"/>
                      <w:szCs w:val="21"/>
                    </w:rPr>
                  </w:pPr>
                  <w:r>
                    <w:rPr>
                      <w:color w:val="auto"/>
                      <w:sz w:val="21"/>
                      <w:szCs w:val="21"/>
                    </w:rPr>
                    <w:t>新型太阳能封装材料扩产项目</w:t>
                  </w:r>
                  <w:r>
                    <w:rPr>
                      <w:rFonts w:hint="eastAsia"/>
                      <w:color w:val="auto"/>
                      <w:sz w:val="21"/>
                      <w:szCs w:val="21"/>
                    </w:rPr>
                    <w:t>（产品方案：光伏组件用高性能EVA胶膜9000万m</w:t>
                  </w:r>
                  <w:r>
                    <w:rPr>
                      <w:rFonts w:hint="eastAsia"/>
                      <w:color w:val="auto"/>
                      <w:sz w:val="21"/>
                      <w:szCs w:val="21"/>
                      <w:vertAlign w:val="superscript"/>
                    </w:rPr>
                    <w:t>2</w:t>
                  </w:r>
                  <w:r>
                    <w:rPr>
                      <w:rFonts w:hint="eastAsia"/>
                      <w:color w:val="auto"/>
                      <w:sz w:val="21"/>
                      <w:szCs w:val="21"/>
                    </w:rPr>
                    <w:t>/年）</w:t>
                  </w:r>
                </w:p>
              </w:tc>
              <w:tc>
                <w:tcPr>
                  <w:tcW w:w="1616" w:type="pct"/>
                  <w:vMerge w:val="restart"/>
                  <w:noWrap w:val="0"/>
                  <w:vAlign w:val="center"/>
                </w:tcPr>
                <w:p w14:paraId="3C0193E7">
                  <w:pPr>
                    <w:pStyle w:val="9"/>
                    <w:adjustRightInd w:val="0"/>
                    <w:spacing w:before="0" w:after="0" w:line="240" w:lineRule="auto"/>
                    <w:ind w:right="0"/>
                    <w:jc w:val="center"/>
                    <w:rPr>
                      <w:color w:val="auto"/>
                      <w:sz w:val="21"/>
                      <w:szCs w:val="21"/>
                      <w:lang w:val="en-US" w:eastAsia="zh-CN"/>
                    </w:rPr>
                  </w:pPr>
                  <w:r>
                    <w:rPr>
                      <w:color w:val="auto"/>
                      <w:sz w:val="21"/>
                      <w:szCs w:val="21"/>
                      <w:lang w:val="en-US" w:eastAsia="zh-CN"/>
                    </w:rPr>
                    <w:t>2020年11月20日</w:t>
                  </w:r>
                </w:p>
                <w:p w14:paraId="497C581E">
                  <w:pPr>
                    <w:pStyle w:val="9"/>
                    <w:adjustRightInd w:val="0"/>
                    <w:spacing w:before="0" w:after="0" w:line="240" w:lineRule="auto"/>
                    <w:ind w:right="0"/>
                    <w:jc w:val="center"/>
                    <w:rPr>
                      <w:color w:val="auto"/>
                      <w:sz w:val="21"/>
                      <w:szCs w:val="21"/>
                      <w:lang w:val="en-US" w:eastAsia="zh-CN"/>
                    </w:rPr>
                  </w:pPr>
                  <w:r>
                    <w:rPr>
                      <w:color w:val="auto"/>
                      <w:sz w:val="21"/>
                      <w:szCs w:val="21"/>
                      <w:lang w:val="en-US" w:eastAsia="zh-CN"/>
                    </w:rPr>
                    <w:t>常州市生态环境局</w:t>
                  </w:r>
                </w:p>
                <w:p w14:paraId="06AC375E">
                  <w:pPr>
                    <w:pStyle w:val="9"/>
                    <w:adjustRightInd w:val="0"/>
                    <w:spacing w:before="0" w:after="0" w:line="240" w:lineRule="auto"/>
                    <w:ind w:right="0"/>
                    <w:jc w:val="center"/>
                    <w:rPr>
                      <w:color w:val="auto"/>
                      <w:sz w:val="21"/>
                      <w:szCs w:val="21"/>
                      <w:lang w:val="en-US" w:eastAsia="zh-CN"/>
                    </w:rPr>
                  </w:pPr>
                  <w:r>
                    <w:rPr>
                      <w:color w:val="auto"/>
                      <w:sz w:val="21"/>
                      <w:szCs w:val="21"/>
                      <w:lang w:val="en-US" w:eastAsia="zh-CN"/>
                    </w:rPr>
                    <w:t>常金环审〔2020〕168号</w:t>
                  </w:r>
                </w:p>
              </w:tc>
              <w:tc>
                <w:tcPr>
                  <w:tcW w:w="804" w:type="pct"/>
                  <w:noWrap w:val="0"/>
                  <w:vAlign w:val="center"/>
                </w:tcPr>
                <w:p w14:paraId="10FB51BD">
                  <w:pPr>
                    <w:widowControl/>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年产高性能EVA胶膜</w:t>
                  </w:r>
                  <w:r>
                    <w:rPr>
                      <w:rFonts w:hint="eastAsia" w:ascii="Times New Roman" w:hAnsi="Times New Roman" w:eastAsia="宋体" w:cs="Times New Roman"/>
                      <w:color w:val="auto"/>
                      <w:kern w:val="2"/>
                      <w:sz w:val="21"/>
                      <w:szCs w:val="21"/>
                      <w:lang w:val="en-US" w:eastAsia="zh-CN" w:bidi="ar-SA"/>
                    </w:rPr>
                    <w:t>40</w:t>
                  </w:r>
                  <w:r>
                    <w:rPr>
                      <w:rFonts w:ascii="Times New Roman" w:hAnsi="Times New Roman" w:eastAsia="宋体" w:cs="Times New Roman"/>
                      <w:color w:val="auto"/>
                      <w:kern w:val="2"/>
                      <w:sz w:val="21"/>
                      <w:szCs w:val="21"/>
                      <w:lang w:val="en-US" w:eastAsia="zh-CN" w:bidi="ar-SA"/>
                    </w:rPr>
                    <w:t>00万</w:t>
                  </w:r>
                  <w:r>
                    <w:rPr>
                      <w:rFonts w:hint="eastAsia"/>
                      <w:color w:val="auto"/>
                      <w:sz w:val="21"/>
                      <w:szCs w:val="21"/>
                    </w:rPr>
                    <w:t>m</w:t>
                  </w:r>
                  <w:r>
                    <w:rPr>
                      <w:rFonts w:hint="eastAsia"/>
                      <w:color w:val="auto"/>
                      <w:sz w:val="21"/>
                      <w:szCs w:val="21"/>
                      <w:vertAlign w:val="superscript"/>
                    </w:rPr>
                    <w:t>2</w:t>
                  </w:r>
                </w:p>
              </w:tc>
              <w:tc>
                <w:tcPr>
                  <w:tcW w:w="1547" w:type="pct"/>
                  <w:noWrap w:val="0"/>
                  <w:vAlign w:val="center"/>
                </w:tcPr>
                <w:p w14:paraId="3568F278">
                  <w:pPr>
                    <w:pStyle w:val="115"/>
                    <w:rPr>
                      <w:rFonts w:eastAsia="宋体"/>
                      <w:bCs/>
                      <w:color w:val="auto"/>
                      <w:sz w:val="21"/>
                      <w:szCs w:val="21"/>
                    </w:rPr>
                  </w:pPr>
                  <w:r>
                    <w:rPr>
                      <w:rFonts w:eastAsia="宋体"/>
                      <w:color w:val="auto"/>
                      <w:sz w:val="21"/>
                      <w:szCs w:val="21"/>
                    </w:rPr>
                    <w:t>2021年3月通过竣工环境保护自主验收（部分验收）</w:t>
                  </w:r>
                </w:p>
              </w:tc>
            </w:tr>
            <w:tr w14:paraId="259582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031" w:type="pct"/>
                  <w:vMerge w:val="continue"/>
                  <w:noWrap w:val="0"/>
                  <w:vAlign w:val="center"/>
                </w:tcPr>
                <w:p w14:paraId="422DB07C">
                  <w:pPr>
                    <w:pStyle w:val="115"/>
                    <w:rPr>
                      <w:color w:val="auto"/>
                      <w:sz w:val="21"/>
                      <w:szCs w:val="21"/>
                    </w:rPr>
                  </w:pPr>
                </w:p>
              </w:tc>
              <w:tc>
                <w:tcPr>
                  <w:tcW w:w="1616" w:type="pct"/>
                  <w:vMerge w:val="continue"/>
                  <w:noWrap w:val="0"/>
                  <w:vAlign w:val="center"/>
                </w:tcPr>
                <w:p w14:paraId="2A308BA9">
                  <w:pPr>
                    <w:pStyle w:val="115"/>
                    <w:rPr>
                      <w:color w:val="auto"/>
                      <w:sz w:val="21"/>
                      <w:szCs w:val="21"/>
                    </w:rPr>
                  </w:pPr>
                </w:p>
              </w:tc>
              <w:tc>
                <w:tcPr>
                  <w:tcW w:w="804" w:type="pct"/>
                  <w:noWrap w:val="0"/>
                  <w:vAlign w:val="center"/>
                </w:tcPr>
                <w:p w14:paraId="0902A535">
                  <w:pPr>
                    <w:pStyle w:val="115"/>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年产高性能EVA胶膜</w:t>
                  </w:r>
                  <w:r>
                    <w:rPr>
                      <w:rFonts w:hint="eastAsia" w:ascii="Times New Roman" w:hAnsi="Times New Roman" w:eastAsia="宋体" w:cs="Times New Roman"/>
                      <w:color w:val="auto"/>
                      <w:kern w:val="2"/>
                      <w:sz w:val="21"/>
                      <w:szCs w:val="21"/>
                      <w:lang w:val="en-US" w:eastAsia="zh-CN" w:bidi="ar-SA"/>
                    </w:rPr>
                    <w:t>50</w:t>
                  </w:r>
                  <w:r>
                    <w:rPr>
                      <w:rFonts w:ascii="Times New Roman" w:hAnsi="Times New Roman" w:eastAsia="宋体" w:cs="Times New Roman"/>
                      <w:color w:val="auto"/>
                      <w:kern w:val="2"/>
                      <w:sz w:val="21"/>
                      <w:szCs w:val="21"/>
                      <w:lang w:val="en-US" w:eastAsia="zh-CN" w:bidi="ar-SA"/>
                    </w:rPr>
                    <w:t>00万</w:t>
                  </w:r>
                  <w:r>
                    <w:rPr>
                      <w:rFonts w:hint="eastAsia"/>
                      <w:color w:val="auto"/>
                      <w:sz w:val="21"/>
                      <w:szCs w:val="21"/>
                    </w:rPr>
                    <w:t>m</w:t>
                  </w:r>
                  <w:r>
                    <w:rPr>
                      <w:rFonts w:hint="eastAsia"/>
                      <w:color w:val="auto"/>
                      <w:sz w:val="21"/>
                      <w:szCs w:val="21"/>
                      <w:vertAlign w:val="superscript"/>
                    </w:rPr>
                    <w:t>2</w:t>
                  </w:r>
                </w:p>
              </w:tc>
              <w:tc>
                <w:tcPr>
                  <w:tcW w:w="1547" w:type="pct"/>
                  <w:noWrap w:val="0"/>
                  <w:vAlign w:val="center"/>
                </w:tcPr>
                <w:p w14:paraId="01482FDC">
                  <w:pPr>
                    <w:pStyle w:val="115"/>
                    <w:rPr>
                      <w:color w:val="auto"/>
                      <w:sz w:val="21"/>
                      <w:szCs w:val="21"/>
                    </w:rPr>
                  </w:pPr>
                  <w:r>
                    <w:rPr>
                      <w:rFonts w:eastAsia="宋体"/>
                      <w:color w:val="auto"/>
                      <w:sz w:val="21"/>
                      <w:szCs w:val="21"/>
                    </w:rPr>
                    <w:t>202</w:t>
                  </w:r>
                  <w:r>
                    <w:rPr>
                      <w:rFonts w:hint="eastAsia" w:eastAsia="宋体"/>
                      <w:color w:val="auto"/>
                      <w:sz w:val="21"/>
                      <w:szCs w:val="21"/>
                      <w:lang w:val="en-US" w:eastAsia="zh-CN"/>
                    </w:rPr>
                    <w:t>3</w:t>
                  </w:r>
                  <w:r>
                    <w:rPr>
                      <w:rFonts w:eastAsia="宋体"/>
                      <w:color w:val="auto"/>
                      <w:sz w:val="21"/>
                      <w:szCs w:val="21"/>
                    </w:rPr>
                    <w:t>年</w:t>
                  </w:r>
                  <w:r>
                    <w:rPr>
                      <w:rFonts w:hint="eastAsia" w:eastAsia="宋体"/>
                      <w:color w:val="auto"/>
                      <w:sz w:val="21"/>
                      <w:szCs w:val="21"/>
                      <w:lang w:val="en-US" w:eastAsia="zh-CN"/>
                    </w:rPr>
                    <w:t>12</w:t>
                  </w:r>
                  <w:r>
                    <w:rPr>
                      <w:rFonts w:eastAsia="宋体"/>
                      <w:color w:val="auto"/>
                      <w:sz w:val="21"/>
                      <w:szCs w:val="21"/>
                    </w:rPr>
                    <w:t>月通过竣工环境保护自主验收（部分验收）</w:t>
                  </w:r>
                </w:p>
              </w:tc>
            </w:tr>
            <w:tr w14:paraId="6668FD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031" w:type="pct"/>
                  <w:noWrap w:val="0"/>
                  <w:vAlign w:val="center"/>
                </w:tcPr>
                <w:p w14:paraId="1374719D">
                  <w:pPr>
                    <w:pStyle w:val="115"/>
                    <w:rPr>
                      <w:rFonts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新型太阳能封装材料扩产项目</w:t>
                  </w:r>
                  <w:r>
                    <w:rPr>
                      <w:rFonts w:hint="eastAsia" w:ascii="Times New Roman" w:hAnsi="Times New Roman" w:eastAsia="宋体" w:cs="Times New Roman"/>
                      <w:color w:val="auto"/>
                      <w:kern w:val="2"/>
                      <w:sz w:val="21"/>
                      <w:szCs w:val="21"/>
                      <w:lang w:val="en-US" w:eastAsia="zh-CN" w:bidi="ar-SA"/>
                    </w:rPr>
                    <w:t>（产品方案：</w:t>
                  </w:r>
                  <w:r>
                    <w:rPr>
                      <w:rFonts w:ascii="Times New Roman" w:hAnsi="Times New Roman" w:eastAsia="宋体" w:cs="Times New Roman"/>
                      <w:color w:val="auto"/>
                      <w:kern w:val="2"/>
                      <w:sz w:val="21"/>
                      <w:szCs w:val="21"/>
                      <w:lang w:val="en-US" w:eastAsia="zh-CN" w:bidi="ar-SA"/>
                    </w:rPr>
                    <w:t>POE</w:t>
                  </w:r>
                  <w:r>
                    <w:rPr>
                      <w:rFonts w:hint="eastAsia" w:ascii="Times New Roman" w:hAnsi="Times New Roman" w:eastAsia="宋体" w:cs="Times New Roman"/>
                      <w:color w:val="auto"/>
                      <w:kern w:val="2"/>
                      <w:sz w:val="21"/>
                      <w:szCs w:val="21"/>
                      <w:lang w:val="en-US" w:eastAsia="zh-CN" w:bidi="ar-SA"/>
                    </w:rPr>
                    <w:t>胶膜</w:t>
                  </w:r>
                  <w:r>
                    <w:rPr>
                      <w:rFonts w:ascii="Times New Roman" w:hAnsi="Times New Roman" w:eastAsia="宋体" w:cs="Times New Roman"/>
                      <w:color w:val="auto"/>
                      <w:kern w:val="2"/>
                      <w:sz w:val="21"/>
                      <w:szCs w:val="21"/>
                      <w:lang w:val="en-US" w:eastAsia="zh-CN" w:bidi="ar-SA"/>
                    </w:rPr>
                    <w:t>9000万</w:t>
                  </w:r>
                  <w:r>
                    <w:rPr>
                      <w:rFonts w:hint="eastAsia" w:ascii="Times New Roman" w:hAnsi="Times New Roman" w:eastAsia="宋体" w:cs="Times New Roman"/>
                      <w:color w:val="auto"/>
                      <w:kern w:val="2"/>
                      <w:sz w:val="21"/>
                      <w:szCs w:val="21"/>
                      <w:lang w:val="en-US" w:eastAsia="zh-CN" w:bidi="ar-SA"/>
                    </w:rPr>
                    <w:t>m</w:t>
                  </w:r>
                  <w:r>
                    <w:rPr>
                      <w:rFonts w:ascii="Times New Roman" w:hAnsi="Times New Roman" w:eastAsia="宋体" w:cs="Times New Roman"/>
                      <w:color w:val="auto"/>
                      <w:kern w:val="2"/>
                      <w:sz w:val="21"/>
                      <w:szCs w:val="21"/>
                      <w:vertAlign w:val="superscript"/>
                      <w:lang w:val="en-US" w:eastAsia="zh-CN" w:bidi="ar-SA"/>
                    </w:rPr>
                    <w:t>2</w:t>
                  </w:r>
                  <w:r>
                    <w:rPr>
                      <w:rFonts w:hint="eastAsia" w:ascii="Times New Roman" w:hAnsi="Times New Roman" w:eastAsia="宋体" w:cs="Times New Roman"/>
                      <w:color w:val="auto"/>
                      <w:kern w:val="2"/>
                      <w:sz w:val="21"/>
                      <w:szCs w:val="21"/>
                      <w:lang w:val="en-US" w:eastAsia="zh-CN" w:bidi="ar-SA"/>
                    </w:rPr>
                    <w:t>/年和白色E</w:t>
                  </w:r>
                  <w:r>
                    <w:rPr>
                      <w:rFonts w:ascii="Times New Roman" w:hAnsi="Times New Roman" w:eastAsia="宋体" w:cs="Times New Roman"/>
                      <w:color w:val="auto"/>
                      <w:kern w:val="2"/>
                      <w:sz w:val="21"/>
                      <w:szCs w:val="21"/>
                      <w:lang w:val="en-US" w:eastAsia="zh-CN" w:bidi="ar-SA"/>
                    </w:rPr>
                    <w:t>VA胶膜9000万</w:t>
                  </w:r>
                  <w:r>
                    <w:rPr>
                      <w:rFonts w:hint="eastAsia" w:ascii="Times New Roman" w:hAnsi="Times New Roman" w:eastAsia="宋体" w:cs="Times New Roman"/>
                      <w:color w:val="auto"/>
                      <w:kern w:val="2"/>
                      <w:sz w:val="21"/>
                      <w:szCs w:val="21"/>
                      <w:lang w:val="en-US" w:eastAsia="zh-CN" w:bidi="ar-SA"/>
                    </w:rPr>
                    <w:t>m</w:t>
                  </w:r>
                  <w:r>
                    <w:rPr>
                      <w:rFonts w:ascii="Times New Roman" w:hAnsi="Times New Roman" w:eastAsia="宋体" w:cs="Times New Roman"/>
                      <w:color w:val="auto"/>
                      <w:kern w:val="2"/>
                      <w:sz w:val="21"/>
                      <w:szCs w:val="21"/>
                      <w:vertAlign w:val="superscript"/>
                      <w:lang w:val="en-US" w:eastAsia="zh-CN" w:bidi="ar-SA"/>
                    </w:rPr>
                    <w:t>2</w:t>
                  </w:r>
                  <w:r>
                    <w:rPr>
                      <w:rFonts w:hint="eastAsia" w:ascii="Times New Roman" w:hAnsi="Times New Roman" w:eastAsia="宋体" w:cs="Times New Roman"/>
                      <w:color w:val="auto"/>
                      <w:kern w:val="2"/>
                      <w:sz w:val="21"/>
                      <w:szCs w:val="21"/>
                      <w:lang w:val="en-US" w:eastAsia="zh-CN" w:bidi="ar-SA"/>
                    </w:rPr>
                    <w:t>/年）</w:t>
                  </w:r>
                </w:p>
              </w:tc>
              <w:tc>
                <w:tcPr>
                  <w:tcW w:w="1616" w:type="pct"/>
                  <w:noWrap w:val="0"/>
                  <w:vAlign w:val="center"/>
                </w:tcPr>
                <w:p w14:paraId="3AD930F7">
                  <w:pPr>
                    <w:pStyle w:val="115"/>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2022年10月8日</w:t>
                  </w:r>
                </w:p>
                <w:p w14:paraId="793E509C">
                  <w:pPr>
                    <w:pStyle w:val="115"/>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常州市生态环境局</w:t>
                  </w:r>
                </w:p>
                <w:p w14:paraId="3C22A63E">
                  <w:pPr>
                    <w:pStyle w:val="115"/>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常金环审〔2022〕92号</w:t>
                  </w:r>
                </w:p>
              </w:tc>
              <w:tc>
                <w:tcPr>
                  <w:tcW w:w="2351" w:type="pct"/>
                  <w:gridSpan w:val="2"/>
                  <w:noWrap w:val="0"/>
                  <w:vAlign w:val="center"/>
                </w:tcPr>
                <w:p w14:paraId="58331EA6">
                  <w:pPr>
                    <w:pStyle w:val="115"/>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建设中</w:t>
                  </w:r>
                </w:p>
              </w:tc>
            </w:tr>
            <w:tr w14:paraId="1F3647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031" w:type="pct"/>
                  <w:noWrap w:val="0"/>
                  <w:vAlign w:val="center"/>
                </w:tcPr>
                <w:p w14:paraId="3A6C96EA">
                  <w:pPr>
                    <w:pStyle w:val="115"/>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太阳能封装材料技改项目（对</w:t>
                  </w:r>
                  <w:r>
                    <w:rPr>
                      <w:rFonts w:hint="default" w:ascii="Times New Roman" w:hAnsi="Times New Roman" w:eastAsia="宋体" w:cs="Times New Roman"/>
                      <w:color w:val="auto"/>
                      <w:kern w:val="2"/>
                      <w:sz w:val="21"/>
                      <w:szCs w:val="21"/>
                      <w:lang w:val="en-US" w:eastAsia="zh-CN" w:bidi="ar-SA"/>
                    </w:rPr>
                    <w:t>新建年产光伏组件用高性能EVA胶膜、功能性塑料项目进行技改</w:t>
                  </w:r>
                  <w:r>
                    <w:rPr>
                      <w:rFonts w:hint="eastAsia" w:ascii="Times New Roman" w:hAnsi="Times New Roman" w:eastAsia="宋体" w:cs="Times New Roman"/>
                      <w:color w:val="auto"/>
                      <w:kern w:val="2"/>
                      <w:sz w:val="21"/>
                      <w:szCs w:val="21"/>
                      <w:lang w:val="en-US" w:eastAsia="zh-CN" w:bidi="ar-SA"/>
                    </w:rPr>
                    <w:t>，新增</w:t>
                  </w:r>
                  <w:r>
                    <w:rPr>
                      <w:rFonts w:hint="default" w:ascii="Times New Roman" w:hAnsi="Times New Roman" w:eastAsia="宋体" w:cs="Times New Roman"/>
                      <w:color w:val="auto"/>
                      <w:kern w:val="2"/>
                      <w:sz w:val="21"/>
                      <w:szCs w:val="21"/>
                      <w:lang w:val="en-US" w:eastAsia="zh-CN" w:bidi="ar-SA"/>
                    </w:rPr>
                    <w:t>年产</w:t>
                  </w:r>
                  <w:r>
                    <w:rPr>
                      <w:rFonts w:hint="eastAsia" w:ascii="Times New Roman" w:hAnsi="Times New Roman" w:eastAsia="宋体" w:cs="Times New Roman"/>
                      <w:color w:val="auto"/>
                      <w:kern w:val="2"/>
                      <w:sz w:val="21"/>
                      <w:szCs w:val="21"/>
                      <w:lang w:val="en-US" w:eastAsia="zh-CN" w:bidi="ar-SA"/>
                    </w:rPr>
                    <w:t>高性能EVA胶膜2000万m</w:t>
                  </w:r>
                  <w:r>
                    <w:rPr>
                      <w:rFonts w:hint="eastAsia" w:ascii="Times New Roman" w:hAnsi="Times New Roman" w:eastAsia="宋体" w:cs="Times New Roman"/>
                      <w:color w:val="auto"/>
                      <w:kern w:val="2"/>
                      <w:sz w:val="21"/>
                      <w:szCs w:val="21"/>
                      <w:vertAlign w:val="superscript"/>
                      <w:lang w:val="en-US" w:eastAsia="zh-CN" w:bidi="ar-SA"/>
                    </w:rPr>
                    <w:t>2</w:t>
                  </w:r>
                  <w:r>
                    <w:rPr>
                      <w:rFonts w:hint="eastAsia" w:ascii="Times New Roman" w:hAnsi="Times New Roman" w:eastAsia="宋体" w:cs="Times New Roman"/>
                      <w:color w:val="auto"/>
                      <w:kern w:val="2"/>
                      <w:sz w:val="21"/>
                      <w:szCs w:val="21"/>
                      <w:lang w:val="en-US" w:eastAsia="zh-CN" w:bidi="ar-SA"/>
                    </w:rPr>
                    <w:t>）</w:t>
                  </w:r>
                </w:p>
              </w:tc>
              <w:tc>
                <w:tcPr>
                  <w:tcW w:w="1616" w:type="pct"/>
                  <w:noWrap w:val="0"/>
                  <w:vAlign w:val="center"/>
                </w:tcPr>
                <w:p w14:paraId="3522E815">
                  <w:pPr>
                    <w:pStyle w:val="9"/>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w:t>
                  </w:r>
                  <w:r>
                    <w:rPr>
                      <w:rFonts w:hint="eastAsia" w:ascii="Times New Roman" w:hAnsi="Times New Roman" w:cs="Times New Roman"/>
                      <w:color w:val="auto"/>
                      <w:kern w:val="2"/>
                      <w:sz w:val="21"/>
                      <w:szCs w:val="21"/>
                      <w:lang w:val="en-US" w:eastAsia="zh-CN" w:bidi="ar-SA"/>
                    </w:rPr>
                    <w:t>4</w:t>
                  </w:r>
                  <w:r>
                    <w:rPr>
                      <w:rFonts w:hint="default" w:ascii="Times New Roman" w:hAnsi="Times New Roman" w:cs="Times New Roman"/>
                      <w:color w:val="auto"/>
                      <w:kern w:val="2"/>
                      <w:sz w:val="21"/>
                      <w:szCs w:val="21"/>
                      <w:lang w:val="en-US" w:eastAsia="zh-CN" w:bidi="ar-SA"/>
                    </w:rPr>
                    <w:t>年</w:t>
                  </w:r>
                  <w:r>
                    <w:rPr>
                      <w:rFonts w:hint="eastAsia" w:ascii="Times New Roman" w:hAnsi="Times New Roman" w:cs="Times New Roman"/>
                      <w:color w:val="auto"/>
                      <w:kern w:val="2"/>
                      <w:sz w:val="21"/>
                      <w:szCs w:val="21"/>
                      <w:lang w:val="en-US" w:eastAsia="zh-CN" w:bidi="ar-SA"/>
                    </w:rPr>
                    <w:t>2</w:t>
                  </w:r>
                  <w:r>
                    <w:rPr>
                      <w:rFonts w:hint="default" w:ascii="Times New Roman" w:hAnsi="Times New Roman" w:cs="Times New Roman"/>
                      <w:color w:val="auto"/>
                      <w:kern w:val="2"/>
                      <w:sz w:val="21"/>
                      <w:szCs w:val="21"/>
                      <w:lang w:val="en-US" w:eastAsia="zh-CN" w:bidi="ar-SA"/>
                    </w:rPr>
                    <w:t>月2</w:t>
                  </w:r>
                  <w:r>
                    <w:rPr>
                      <w:rFonts w:hint="eastAsia" w:ascii="Times New Roman" w:hAnsi="Times New Roman" w:cs="Times New Roman"/>
                      <w:color w:val="auto"/>
                      <w:kern w:val="2"/>
                      <w:sz w:val="21"/>
                      <w:szCs w:val="21"/>
                      <w:lang w:val="en-US" w:eastAsia="zh-CN" w:bidi="ar-SA"/>
                    </w:rPr>
                    <w:t>3</w:t>
                  </w:r>
                  <w:r>
                    <w:rPr>
                      <w:rFonts w:hint="default" w:ascii="Times New Roman" w:hAnsi="Times New Roman" w:cs="Times New Roman"/>
                      <w:color w:val="auto"/>
                      <w:kern w:val="2"/>
                      <w:sz w:val="21"/>
                      <w:szCs w:val="21"/>
                      <w:lang w:val="en-US" w:eastAsia="zh-CN" w:bidi="ar-SA"/>
                    </w:rPr>
                    <w:t>日</w:t>
                  </w:r>
                </w:p>
                <w:p w14:paraId="175A2705">
                  <w:pPr>
                    <w:pStyle w:val="9"/>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常州市生态环境局</w:t>
                  </w:r>
                </w:p>
                <w:p w14:paraId="75FCDF85">
                  <w:pPr>
                    <w:pStyle w:val="9"/>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常金环审〔2024〕22号</w:t>
                  </w:r>
                </w:p>
              </w:tc>
              <w:tc>
                <w:tcPr>
                  <w:tcW w:w="2351" w:type="pct"/>
                  <w:gridSpan w:val="2"/>
                  <w:noWrap w:val="0"/>
                  <w:vAlign w:val="center"/>
                </w:tcPr>
                <w:p w14:paraId="5A1151EA">
                  <w:pPr>
                    <w:pStyle w:val="115"/>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建设中</w:t>
                  </w:r>
                </w:p>
              </w:tc>
            </w:tr>
            <w:tr w14:paraId="1D15B6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1" w:type="pct"/>
                  <w:noWrap w:val="0"/>
                  <w:vAlign w:val="center"/>
                </w:tcPr>
                <w:p w14:paraId="7AECF192">
                  <w:pPr>
                    <w:snapToGrid w:val="0"/>
                    <w:jc w:val="center"/>
                    <w:rPr>
                      <w:color w:val="auto"/>
                      <w:sz w:val="21"/>
                      <w:szCs w:val="21"/>
                    </w:rPr>
                  </w:pPr>
                  <w:r>
                    <w:rPr>
                      <w:color w:val="auto"/>
                      <w:sz w:val="21"/>
                      <w:szCs w:val="21"/>
                    </w:rPr>
                    <w:t>排污许可证申领时间及编号</w:t>
                  </w:r>
                </w:p>
              </w:tc>
              <w:tc>
                <w:tcPr>
                  <w:tcW w:w="3968" w:type="pct"/>
                  <w:gridSpan w:val="3"/>
                  <w:noWrap w:val="0"/>
                  <w:vAlign w:val="center"/>
                </w:tcPr>
                <w:p w14:paraId="1AC33C32">
                  <w:pPr>
                    <w:snapToGrid w:val="0"/>
                    <w:jc w:val="center"/>
                    <w:rPr>
                      <w:color w:val="auto"/>
                      <w:sz w:val="21"/>
                      <w:szCs w:val="21"/>
                    </w:rPr>
                  </w:pPr>
                  <w:r>
                    <w:rPr>
                      <w:rFonts w:hint="default" w:ascii="Times New Roman" w:hAnsi="Times New Roman" w:eastAsia="宋体" w:cs="Times New Roman"/>
                      <w:color w:val="auto"/>
                      <w:kern w:val="0"/>
                      <w:sz w:val="21"/>
                      <w:szCs w:val="21"/>
                      <w:lang w:val="en-US" w:eastAsia="zh-CN" w:bidi="ar-SA"/>
                    </w:rPr>
                    <w:t>证书编号：91320413591190896J001Y</w:t>
                  </w:r>
                  <w:r>
                    <w:rPr>
                      <w:rFonts w:hint="default" w:ascii="Times New Roman" w:hAnsi="Times New Roman" w:eastAsia="宋体" w:cs="Times New Roman"/>
                      <w:color w:val="auto"/>
                      <w:kern w:val="0"/>
                      <w:sz w:val="21"/>
                      <w:szCs w:val="21"/>
                      <w:lang w:val="en-US" w:eastAsia="zh-CN" w:bidi="ar-SA"/>
                    </w:rPr>
                    <w:br w:type="textWrapping"/>
                  </w:r>
                  <w:r>
                    <w:rPr>
                      <w:rFonts w:hint="default" w:ascii="Times New Roman" w:hAnsi="Times New Roman" w:eastAsia="宋体" w:cs="Times New Roman"/>
                      <w:color w:val="auto"/>
                      <w:kern w:val="0"/>
                      <w:sz w:val="21"/>
                      <w:szCs w:val="21"/>
                      <w:lang w:val="en-US" w:eastAsia="zh-CN" w:bidi="ar-SA"/>
                    </w:rPr>
                    <w:t>202</w:t>
                  </w:r>
                  <w:r>
                    <w:rPr>
                      <w:rFonts w:hint="eastAsia" w:ascii="Times New Roman" w:hAnsi="Times New Roman" w:eastAsia="宋体" w:cs="Times New Roman"/>
                      <w:color w:val="auto"/>
                      <w:kern w:val="0"/>
                      <w:sz w:val="21"/>
                      <w:szCs w:val="21"/>
                      <w:lang w:val="en-US" w:eastAsia="zh-CN" w:bidi="ar-SA"/>
                    </w:rPr>
                    <w:t>4</w:t>
                  </w:r>
                  <w:r>
                    <w:rPr>
                      <w:rFonts w:hint="default" w:ascii="Times New Roman" w:hAnsi="Times New Roman" w:eastAsia="宋体" w:cs="Times New Roman"/>
                      <w:color w:val="auto"/>
                      <w:kern w:val="0"/>
                      <w:sz w:val="21"/>
                      <w:szCs w:val="21"/>
                      <w:lang w:val="en-US" w:eastAsia="zh-CN" w:bidi="ar-SA"/>
                    </w:rPr>
                    <w:t>年</w:t>
                  </w:r>
                  <w:r>
                    <w:rPr>
                      <w:rFonts w:hint="eastAsia" w:ascii="Times New Roman" w:hAnsi="Times New Roman" w:eastAsia="宋体" w:cs="Times New Roman"/>
                      <w:color w:val="auto"/>
                      <w:kern w:val="0"/>
                      <w:sz w:val="21"/>
                      <w:szCs w:val="21"/>
                      <w:lang w:val="en-US" w:eastAsia="zh-CN" w:bidi="ar-SA"/>
                    </w:rPr>
                    <w:t>5</w:t>
                  </w:r>
                  <w:r>
                    <w:rPr>
                      <w:rFonts w:hint="default" w:ascii="Times New Roman" w:hAnsi="Times New Roman" w:eastAsia="宋体" w:cs="Times New Roman"/>
                      <w:color w:val="auto"/>
                      <w:kern w:val="0"/>
                      <w:sz w:val="21"/>
                      <w:szCs w:val="21"/>
                      <w:lang w:val="en-US" w:eastAsia="zh-CN" w:bidi="ar-SA"/>
                    </w:rPr>
                    <w:t>月</w:t>
                  </w:r>
                  <w:r>
                    <w:rPr>
                      <w:rFonts w:hint="eastAsia" w:ascii="Times New Roman" w:hAnsi="Times New Roman" w:eastAsia="宋体" w:cs="Times New Roman"/>
                      <w:color w:val="auto"/>
                      <w:kern w:val="0"/>
                      <w:sz w:val="21"/>
                      <w:szCs w:val="21"/>
                      <w:lang w:val="en-US" w:eastAsia="zh-CN" w:bidi="ar-SA"/>
                    </w:rPr>
                    <w:t>13</w:t>
                  </w:r>
                  <w:r>
                    <w:rPr>
                      <w:rFonts w:hint="default" w:ascii="Times New Roman" w:hAnsi="Times New Roman" w:eastAsia="宋体" w:cs="Times New Roman"/>
                      <w:color w:val="auto"/>
                      <w:kern w:val="0"/>
                      <w:sz w:val="21"/>
                      <w:szCs w:val="21"/>
                      <w:lang w:val="en-US" w:eastAsia="zh-CN" w:bidi="ar-SA"/>
                    </w:rPr>
                    <w:t>日-202</w:t>
                  </w:r>
                  <w:r>
                    <w:rPr>
                      <w:rFonts w:hint="eastAsia" w:ascii="Times New Roman" w:hAnsi="Times New Roman" w:eastAsia="宋体" w:cs="Times New Roman"/>
                      <w:color w:val="auto"/>
                      <w:kern w:val="0"/>
                      <w:sz w:val="21"/>
                      <w:szCs w:val="21"/>
                      <w:lang w:val="en-US" w:eastAsia="zh-CN" w:bidi="ar-SA"/>
                    </w:rPr>
                    <w:t>9</w:t>
                  </w:r>
                  <w:r>
                    <w:rPr>
                      <w:rFonts w:hint="default" w:ascii="Times New Roman" w:hAnsi="Times New Roman" w:eastAsia="宋体" w:cs="Times New Roman"/>
                      <w:color w:val="auto"/>
                      <w:kern w:val="0"/>
                      <w:sz w:val="21"/>
                      <w:szCs w:val="21"/>
                      <w:lang w:val="en-US" w:eastAsia="zh-CN" w:bidi="ar-SA"/>
                    </w:rPr>
                    <w:t>年</w:t>
                  </w:r>
                  <w:r>
                    <w:rPr>
                      <w:rFonts w:hint="eastAsia" w:ascii="Times New Roman" w:hAnsi="Times New Roman" w:eastAsia="宋体" w:cs="Times New Roman"/>
                      <w:color w:val="auto"/>
                      <w:kern w:val="0"/>
                      <w:sz w:val="21"/>
                      <w:szCs w:val="21"/>
                      <w:lang w:val="en-US" w:eastAsia="zh-CN" w:bidi="ar-SA"/>
                    </w:rPr>
                    <w:t>5</w:t>
                  </w:r>
                  <w:r>
                    <w:rPr>
                      <w:rFonts w:hint="default" w:ascii="Times New Roman" w:hAnsi="Times New Roman" w:eastAsia="宋体" w:cs="Times New Roman"/>
                      <w:color w:val="auto"/>
                      <w:kern w:val="0"/>
                      <w:sz w:val="21"/>
                      <w:szCs w:val="21"/>
                      <w:lang w:val="en-US" w:eastAsia="zh-CN" w:bidi="ar-SA"/>
                    </w:rPr>
                    <w:t>月</w:t>
                  </w:r>
                  <w:r>
                    <w:rPr>
                      <w:rFonts w:hint="eastAsia" w:ascii="Times New Roman" w:hAnsi="Times New Roman" w:eastAsia="宋体" w:cs="Times New Roman"/>
                      <w:color w:val="auto"/>
                      <w:kern w:val="0"/>
                      <w:sz w:val="21"/>
                      <w:szCs w:val="21"/>
                      <w:lang w:val="en-US" w:eastAsia="zh-CN" w:bidi="ar-SA"/>
                    </w:rPr>
                    <w:t>12</w:t>
                  </w:r>
                  <w:r>
                    <w:rPr>
                      <w:rFonts w:hint="default" w:ascii="Times New Roman" w:hAnsi="Times New Roman" w:eastAsia="宋体" w:cs="Times New Roman"/>
                      <w:color w:val="auto"/>
                      <w:kern w:val="0"/>
                      <w:sz w:val="21"/>
                      <w:szCs w:val="21"/>
                      <w:lang w:val="en-US" w:eastAsia="zh-CN" w:bidi="ar-SA"/>
                    </w:rPr>
                    <w:t>日</w:t>
                  </w:r>
                </w:p>
              </w:tc>
            </w:tr>
          </w:tbl>
          <w:p w14:paraId="39BCB2D2">
            <w:pPr>
              <w:keepNext w:val="0"/>
              <w:keepLines w:val="0"/>
              <w:pageBreakBefore w:val="0"/>
              <w:widowControl w:val="0"/>
              <w:kinsoku/>
              <w:wordWrap/>
              <w:overflowPunct/>
              <w:topLinePunct w:val="0"/>
              <w:autoSpaceDE w:val="0"/>
              <w:autoSpaceDN w:val="0"/>
              <w:bidi w:val="0"/>
              <w:adjustRightInd w:val="0"/>
              <w:snapToGrid w:val="0"/>
              <w:spacing w:line="500" w:lineRule="exact"/>
              <w:ind w:firstLine="420" w:firstLineChars="200"/>
              <w:textAlignment w:val="auto"/>
              <w:rPr>
                <w:b w:val="0"/>
                <w:bCs/>
                <w:color w:val="auto"/>
                <w:kern w:val="0"/>
                <w:sz w:val="21"/>
                <w:szCs w:val="21"/>
              </w:rPr>
            </w:pPr>
            <w:r>
              <w:rPr>
                <w:rFonts w:hint="eastAsia" w:cs="Times New Roman"/>
                <w:b w:val="0"/>
                <w:bCs/>
                <w:color w:val="auto"/>
                <w:sz w:val="21"/>
                <w:szCs w:val="21"/>
                <w:lang w:val="en-US" w:eastAsia="zh-CN"/>
              </w:rPr>
              <w:t>2</w:t>
            </w:r>
            <w:r>
              <w:rPr>
                <w:b w:val="0"/>
                <w:bCs/>
                <w:color w:val="auto"/>
                <w:kern w:val="0"/>
                <w:sz w:val="21"/>
                <w:szCs w:val="21"/>
              </w:rPr>
              <w:t>.现有工程主要污染物产生环节、治理措施、排放状况</w:t>
            </w:r>
          </w:p>
          <w:p w14:paraId="7FB6DE78">
            <w:pPr>
              <w:keepNext w:val="0"/>
              <w:keepLines w:val="0"/>
              <w:pageBreakBefore w:val="0"/>
              <w:widowControl w:val="0"/>
              <w:kinsoku/>
              <w:wordWrap/>
              <w:overflowPunct/>
              <w:topLinePunct w:val="0"/>
              <w:autoSpaceDE w:val="0"/>
              <w:autoSpaceDN w:val="0"/>
              <w:bidi w:val="0"/>
              <w:adjustRightInd w:val="0"/>
              <w:snapToGrid w:val="0"/>
              <w:spacing w:line="500" w:lineRule="exact"/>
              <w:ind w:firstLine="420" w:firstLineChars="200"/>
              <w:textAlignment w:val="auto"/>
              <w:rPr>
                <w:color w:val="auto"/>
                <w:sz w:val="21"/>
                <w:szCs w:val="21"/>
              </w:rPr>
            </w:pPr>
            <w:r>
              <w:rPr>
                <w:color w:val="auto"/>
                <w:sz w:val="21"/>
                <w:szCs w:val="21"/>
              </w:rPr>
              <w:t>现有工程建设内容和污染物排放情况根据原有项目环评、环保竣工验收和企业自行监测数据进行回顾分析。</w:t>
            </w:r>
          </w:p>
          <w:p w14:paraId="5316E3B2">
            <w:pPr>
              <w:pStyle w:val="94"/>
              <w:keepNext w:val="0"/>
              <w:keepLines w:val="0"/>
              <w:pageBreakBefore w:val="0"/>
              <w:widowControl w:val="0"/>
              <w:kinsoku/>
              <w:wordWrap/>
              <w:overflowPunct/>
              <w:topLinePunct w:val="0"/>
              <w:bidi w:val="0"/>
              <w:adjustRightInd w:val="0"/>
              <w:snapToGrid w:val="0"/>
              <w:spacing w:line="500" w:lineRule="exact"/>
              <w:ind w:firstLine="420"/>
              <w:textAlignment w:val="auto"/>
              <w:rPr>
                <w:rFonts w:eastAsia="宋体"/>
                <w:color w:val="auto"/>
                <w:sz w:val="21"/>
                <w:szCs w:val="21"/>
              </w:rPr>
            </w:pPr>
            <w:r>
              <w:rPr>
                <w:rFonts w:hint="eastAsia" w:eastAsia="宋体"/>
                <w:color w:val="auto"/>
                <w:sz w:val="21"/>
                <w:szCs w:val="21"/>
              </w:rPr>
              <w:t>（1）已建项目</w:t>
            </w:r>
          </w:p>
          <w:p w14:paraId="4BA51E6C">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20" w:firstLineChars="200"/>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已建项目</w:t>
            </w:r>
            <w:r>
              <w:rPr>
                <w:rFonts w:hint="eastAsia" w:ascii="Times New Roman" w:hAnsi="Times New Roman" w:eastAsia="宋体" w:cs="Times New Roman"/>
                <w:color w:val="auto"/>
                <w:sz w:val="21"/>
                <w:szCs w:val="21"/>
                <w:lang w:val="en-US" w:eastAsia="zh-CN"/>
              </w:rPr>
              <w:t>为</w:t>
            </w:r>
            <w:r>
              <w:rPr>
                <w:rFonts w:ascii="Times New Roman" w:hAnsi="Times New Roman" w:eastAsia="宋体" w:cs="Times New Roman"/>
                <w:color w:val="auto"/>
                <w:sz w:val="21"/>
                <w:szCs w:val="21"/>
              </w:rPr>
              <w:t>新建年产光伏组件用高性能EVA胶膜、功能性塑料项目</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lang w:val="en-US" w:eastAsia="zh-CN"/>
              </w:rPr>
              <w:t>产光伏组件用高性能EVA胶膜3000万平方米</w:t>
            </w:r>
            <w:r>
              <w:rPr>
                <w:rFonts w:hint="eastAsia" w:ascii="Times New Roman" w:hAnsi="Times New Roman" w:eastAsia="宋体" w:cs="Times New Roman"/>
                <w:color w:val="auto"/>
                <w:sz w:val="21"/>
                <w:szCs w:val="21"/>
                <w:lang w:val="en-US" w:eastAsia="zh-CN"/>
              </w:rPr>
              <w:t>、</w:t>
            </w:r>
            <w:r>
              <w:rPr>
                <w:rFonts w:ascii="Times New Roman" w:hAnsi="Times New Roman" w:eastAsia="宋体" w:cs="Times New Roman"/>
                <w:color w:val="auto"/>
                <w:sz w:val="21"/>
                <w:szCs w:val="21"/>
                <w:lang w:val="en-US" w:eastAsia="zh-CN"/>
              </w:rPr>
              <w:t>功能性塑料</w:t>
            </w:r>
            <w:r>
              <w:rPr>
                <w:rFonts w:hint="eastAsia" w:ascii="Times New Roman" w:hAnsi="Times New Roman" w:eastAsia="宋体" w:cs="Times New Roman"/>
                <w:color w:val="auto"/>
                <w:sz w:val="21"/>
                <w:szCs w:val="21"/>
              </w:rPr>
              <w:t>1.8</w:t>
            </w:r>
            <w:r>
              <w:rPr>
                <w:rFonts w:ascii="Times New Roman" w:hAnsi="Times New Roman" w:eastAsia="宋体" w:cs="Times New Roman"/>
                <w:color w:val="auto"/>
                <w:sz w:val="21"/>
                <w:szCs w:val="21"/>
              </w:rPr>
              <w:t>万吨</w:t>
            </w:r>
            <w:r>
              <w:rPr>
                <w:rFonts w:hint="eastAsia" w:ascii="Times New Roman" w:hAnsi="Times New Roman" w:eastAsia="宋体" w:cs="Times New Roman"/>
                <w:color w:val="auto"/>
                <w:sz w:val="21"/>
                <w:szCs w:val="21"/>
                <w:lang w:eastAsia="zh-CN"/>
              </w:rPr>
              <w:t>）</w:t>
            </w:r>
            <w:r>
              <w:rPr>
                <w:rFonts w:hint="eastAsia" w:cs="Times New Roman"/>
                <w:color w:val="auto"/>
                <w:sz w:val="21"/>
                <w:szCs w:val="21"/>
                <w:lang w:val="en-US" w:eastAsia="zh-CN"/>
              </w:rPr>
              <w:t>、</w:t>
            </w:r>
            <w:r>
              <w:rPr>
                <w:rFonts w:ascii="Times New Roman" w:hAnsi="Times New Roman" w:eastAsia="宋体" w:cs="Times New Roman"/>
                <w:color w:val="auto"/>
                <w:sz w:val="21"/>
                <w:szCs w:val="21"/>
              </w:rPr>
              <w:t>新型太阳能封装材料扩产项目</w:t>
            </w:r>
            <w:r>
              <w:rPr>
                <w:rFonts w:hint="eastAsia" w:ascii="Times New Roman" w:hAnsi="Times New Roman" w:eastAsia="宋体" w:cs="Times New Roman"/>
                <w:color w:val="auto"/>
                <w:sz w:val="21"/>
                <w:szCs w:val="21"/>
                <w:lang w:eastAsia="zh-CN"/>
              </w:rPr>
              <w:t>（</w:t>
            </w:r>
            <w:r>
              <w:rPr>
                <w:rFonts w:hint="eastAsia" w:cs="Times New Roman"/>
                <w:color w:val="auto"/>
                <w:sz w:val="21"/>
                <w:szCs w:val="21"/>
                <w:lang w:val="en-US" w:eastAsia="zh-CN"/>
              </w:rPr>
              <w:t>年</w:t>
            </w:r>
            <w:r>
              <w:rPr>
                <w:rFonts w:ascii="Times New Roman" w:hAnsi="Times New Roman" w:eastAsia="宋体" w:cs="Times New Roman"/>
                <w:color w:val="auto"/>
                <w:sz w:val="21"/>
                <w:szCs w:val="21"/>
                <w:lang w:val="en-US" w:eastAsia="zh-CN"/>
              </w:rPr>
              <w:t>产光伏组件用高性能EVA胶膜</w:t>
            </w:r>
            <w:r>
              <w:rPr>
                <w:rFonts w:hint="eastAsia" w:ascii="Times New Roman" w:hAnsi="Times New Roman" w:eastAsia="宋体" w:cs="Times New Roman"/>
                <w:color w:val="auto"/>
                <w:sz w:val="21"/>
                <w:szCs w:val="21"/>
                <w:lang w:val="en-US" w:eastAsia="zh-CN"/>
              </w:rPr>
              <w:t>9</w:t>
            </w:r>
            <w:r>
              <w:rPr>
                <w:rFonts w:ascii="Times New Roman" w:hAnsi="Times New Roman" w:eastAsia="宋体" w:cs="Times New Roman"/>
                <w:color w:val="auto"/>
                <w:sz w:val="21"/>
                <w:szCs w:val="21"/>
                <w:lang w:val="en-US" w:eastAsia="zh-CN"/>
              </w:rPr>
              <w:t>000万平方米</w:t>
            </w:r>
            <w:r>
              <w:rPr>
                <w:rFonts w:hint="eastAsia" w:ascii="Times New Roman" w:hAnsi="Times New Roman" w:eastAsia="宋体" w:cs="Times New Roman"/>
                <w:color w:val="auto"/>
                <w:sz w:val="21"/>
                <w:szCs w:val="21"/>
                <w:lang w:eastAsia="zh-CN"/>
              </w:rPr>
              <w:t>）</w:t>
            </w:r>
            <w:r>
              <w:rPr>
                <w:rFonts w:hint="eastAsia" w:cs="Times New Roman"/>
                <w:color w:val="auto"/>
                <w:sz w:val="21"/>
                <w:szCs w:val="21"/>
                <w:lang w:val="en-US" w:eastAsia="zh-CN"/>
              </w:rPr>
              <w:t>和</w:t>
            </w:r>
            <w:r>
              <w:rPr>
                <w:rFonts w:hint="eastAsia"/>
                <w:color w:val="auto"/>
                <w:sz w:val="21"/>
                <w:szCs w:val="21"/>
                <w:lang w:val="en-US" w:eastAsia="zh-CN"/>
              </w:rPr>
              <w:t>功能性聚烯烃热熔胶扩产项目（</w:t>
            </w:r>
            <w:r>
              <w:rPr>
                <w:rFonts w:hint="eastAsia" w:cs="Times New Roman"/>
                <w:color w:val="auto"/>
                <w:sz w:val="21"/>
                <w:szCs w:val="21"/>
                <w:lang w:val="en-US" w:eastAsia="zh-CN"/>
              </w:rPr>
              <w:t>年</w:t>
            </w:r>
            <w:r>
              <w:rPr>
                <w:rFonts w:ascii="Times New Roman" w:hAnsi="Times New Roman" w:eastAsia="宋体" w:cs="Times New Roman"/>
                <w:color w:val="auto"/>
                <w:sz w:val="21"/>
                <w:szCs w:val="21"/>
                <w:lang w:val="en-US" w:eastAsia="zh-CN"/>
              </w:rPr>
              <w:t>产</w:t>
            </w:r>
            <w:r>
              <w:rPr>
                <w:rFonts w:hint="eastAsia"/>
                <w:color w:val="auto"/>
                <w:sz w:val="21"/>
                <w:szCs w:val="21"/>
                <w:lang w:val="en-US" w:eastAsia="zh-CN"/>
              </w:rPr>
              <w:t>功能性聚烯烃热熔胶0.5万吨/年</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w:t>
            </w:r>
          </w:p>
          <w:p w14:paraId="6625921C">
            <w:pPr>
              <w:keepNext w:val="0"/>
              <w:keepLines w:val="0"/>
              <w:pageBreakBefore w:val="0"/>
              <w:widowControl w:val="0"/>
              <w:kinsoku/>
              <w:wordWrap/>
              <w:overflowPunct/>
              <w:topLinePunct w:val="0"/>
              <w:bidi w:val="0"/>
              <w:adjustRightInd w:val="0"/>
              <w:snapToGrid w:val="0"/>
              <w:spacing w:line="500" w:lineRule="exact"/>
              <w:ind w:left="420" w:leftChars="200"/>
              <w:textAlignment w:val="auto"/>
              <w:rPr>
                <w:color w:val="auto"/>
                <w:sz w:val="21"/>
                <w:szCs w:val="21"/>
              </w:rPr>
            </w:pPr>
            <w:r>
              <w:rPr>
                <w:color w:val="auto"/>
                <w:sz w:val="21"/>
                <w:szCs w:val="21"/>
              </w:rPr>
              <w:t>①废水</w:t>
            </w:r>
          </w:p>
          <w:p w14:paraId="1B489B45">
            <w:pPr>
              <w:keepNext w:val="0"/>
              <w:keepLines w:val="0"/>
              <w:pageBreakBefore w:val="0"/>
              <w:widowControl w:val="0"/>
              <w:kinsoku/>
              <w:wordWrap/>
              <w:overflowPunct/>
              <w:topLinePunct w:val="0"/>
              <w:bidi w:val="0"/>
              <w:adjustRightInd w:val="0"/>
              <w:snapToGrid w:val="0"/>
              <w:spacing w:line="500" w:lineRule="exact"/>
              <w:ind w:firstLine="420" w:firstLineChars="200"/>
              <w:textAlignment w:val="auto"/>
              <w:rPr>
                <w:color w:val="auto"/>
                <w:sz w:val="21"/>
                <w:szCs w:val="21"/>
              </w:rPr>
            </w:pPr>
            <w:r>
              <w:rPr>
                <w:rFonts w:hint="eastAsia"/>
                <w:color w:val="auto"/>
                <w:sz w:val="21"/>
                <w:szCs w:val="21"/>
              </w:rPr>
              <w:t>已建</w:t>
            </w:r>
            <w:r>
              <w:rPr>
                <w:color w:val="auto"/>
                <w:sz w:val="21"/>
                <w:szCs w:val="21"/>
              </w:rPr>
              <w:t>项目</w:t>
            </w:r>
            <w:r>
              <w:rPr>
                <w:rFonts w:hint="eastAsia"/>
                <w:color w:val="auto"/>
                <w:sz w:val="21"/>
                <w:szCs w:val="21"/>
              </w:rPr>
              <w:t>主要为</w:t>
            </w:r>
            <w:r>
              <w:rPr>
                <w:color w:val="auto"/>
                <w:sz w:val="21"/>
                <w:szCs w:val="21"/>
              </w:rPr>
              <w:t>生活污水</w:t>
            </w:r>
            <w:r>
              <w:rPr>
                <w:rFonts w:hint="eastAsia"/>
                <w:color w:val="auto"/>
                <w:sz w:val="21"/>
                <w:szCs w:val="21"/>
              </w:rPr>
              <w:t>（</w:t>
            </w:r>
            <w:r>
              <w:rPr>
                <w:rFonts w:hint="eastAsia" w:eastAsia="仿宋"/>
                <w:bCs/>
                <w:color w:val="auto"/>
                <w:sz w:val="21"/>
                <w:szCs w:val="21"/>
                <w:lang w:val="en-US" w:eastAsia="zh-CN"/>
              </w:rPr>
              <w:t>10470</w:t>
            </w:r>
            <w:r>
              <w:rPr>
                <w:rFonts w:hint="eastAsia" w:eastAsia="仿宋"/>
                <w:bCs/>
                <w:color w:val="auto"/>
                <w:sz w:val="21"/>
                <w:szCs w:val="21"/>
              </w:rPr>
              <w:t>t/a</w:t>
            </w:r>
            <w:r>
              <w:rPr>
                <w:rFonts w:hint="eastAsia"/>
                <w:color w:val="auto"/>
                <w:sz w:val="21"/>
                <w:szCs w:val="21"/>
              </w:rPr>
              <w:t>）</w:t>
            </w:r>
            <w:r>
              <w:rPr>
                <w:color w:val="auto"/>
                <w:sz w:val="21"/>
                <w:szCs w:val="21"/>
              </w:rPr>
              <w:t>，职工生活污水经化粪池预处理达接管要求后，排入园区污水管网，最终排入常州金坛区第二污水处理有限公司集中处理。</w:t>
            </w:r>
          </w:p>
          <w:p w14:paraId="7000D52D">
            <w:pPr>
              <w:keepNext w:val="0"/>
              <w:keepLines w:val="0"/>
              <w:pageBreakBefore w:val="0"/>
              <w:widowControl w:val="0"/>
              <w:kinsoku/>
              <w:wordWrap/>
              <w:overflowPunct/>
              <w:topLinePunct w:val="0"/>
              <w:autoSpaceDE w:val="0"/>
              <w:autoSpaceDN w:val="0"/>
              <w:bidi w:val="0"/>
              <w:adjustRightInd w:val="0"/>
              <w:snapToGrid w:val="0"/>
              <w:spacing w:line="500" w:lineRule="exact"/>
              <w:ind w:firstLine="420" w:firstLineChars="200"/>
              <w:textAlignment w:val="auto"/>
              <w:rPr>
                <w:color w:val="auto"/>
                <w:sz w:val="21"/>
                <w:szCs w:val="21"/>
              </w:rPr>
            </w:pPr>
            <w:r>
              <w:rPr>
                <w:color w:val="auto"/>
                <w:sz w:val="21"/>
                <w:szCs w:val="21"/>
              </w:rPr>
              <w:t>企业废水排放口监测数据见</w:t>
            </w:r>
            <w:r>
              <w:rPr>
                <w:rFonts w:hint="eastAsia"/>
                <w:color w:val="auto"/>
                <w:sz w:val="21"/>
                <w:szCs w:val="21"/>
                <w:lang w:val="en-US" w:eastAsia="zh-CN"/>
              </w:rPr>
              <w:t>下</w:t>
            </w:r>
            <w:r>
              <w:rPr>
                <w:color w:val="auto"/>
                <w:sz w:val="21"/>
                <w:szCs w:val="21"/>
              </w:rPr>
              <w:t>表。</w:t>
            </w:r>
          </w:p>
          <w:p w14:paraId="516A2304">
            <w:pPr>
              <w:keepNext w:val="0"/>
              <w:keepLines w:val="0"/>
              <w:pageBreakBefore w:val="0"/>
              <w:widowControl w:val="0"/>
              <w:kinsoku/>
              <w:wordWrap/>
              <w:overflowPunct/>
              <w:topLinePunct w:val="0"/>
              <w:bidi w:val="0"/>
              <w:adjustRightInd w:val="0"/>
              <w:snapToGrid w:val="0"/>
              <w:spacing w:line="500" w:lineRule="exact"/>
              <w:jc w:val="center"/>
              <w:textAlignment w:val="auto"/>
              <w:rPr>
                <w:b/>
                <w:bCs/>
                <w:color w:val="auto"/>
                <w:sz w:val="21"/>
                <w:szCs w:val="21"/>
              </w:rPr>
            </w:pPr>
            <w:r>
              <w:rPr>
                <w:b/>
                <w:bCs/>
                <w:color w:val="auto"/>
                <w:sz w:val="21"/>
                <w:szCs w:val="21"/>
              </w:rPr>
              <w:t>表2-1</w:t>
            </w:r>
            <w:r>
              <w:rPr>
                <w:rFonts w:hint="eastAsia"/>
                <w:b/>
                <w:bCs/>
                <w:color w:val="auto"/>
                <w:sz w:val="21"/>
                <w:szCs w:val="21"/>
                <w:lang w:val="en-US" w:eastAsia="zh-CN"/>
              </w:rPr>
              <w:t>2</w:t>
            </w:r>
            <w:r>
              <w:rPr>
                <w:b/>
                <w:bCs/>
                <w:color w:val="auto"/>
                <w:sz w:val="21"/>
                <w:szCs w:val="21"/>
              </w:rPr>
              <w:t xml:space="preserve">  废水污染物排放情况  单位：mg/L</w:t>
            </w:r>
          </w:p>
          <w:tbl>
            <w:tblPr>
              <w:tblStyle w:val="3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28" w:type="dxa"/>
                <w:left w:w="28" w:type="dxa"/>
                <w:bottom w:w="28" w:type="dxa"/>
                <w:right w:w="28" w:type="dxa"/>
              </w:tblCellMar>
            </w:tblPr>
            <w:tblGrid>
              <w:gridCol w:w="768"/>
              <w:gridCol w:w="912"/>
              <w:gridCol w:w="1966"/>
              <w:gridCol w:w="1151"/>
              <w:gridCol w:w="1151"/>
              <w:gridCol w:w="1169"/>
              <w:gridCol w:w="1077"/>
            </w:tblGrid>
            <w:tr w14:paraId="4CB060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469" w:type="pct"/>
                  <w:vMerge w:val="restart"/>
                  <w:tcBorders>
                    <w:tl2br w:val="nil"/>
                    <w:tr2bl w:val="nil"/>
                  </w:tcBorders>
                  <w:noWrap w:val="0"/>
                  <w:tcMar>
                    <w:top w:w="0" w:type="dxa"/>
                    <w:bottom w:w="0" w:type="dxa"/>
                  </w:tcMar>
                  <w:vAlign w:val="center"/>
                </w:tcPr>
                <w:p w14:paraId="2EA5D16E">
                  <w:pPr>
                    <w:keepNext w:val="0"/>
                    <w:keepLines w:val="0"/>
                    <w:pageBreakBefore w:val="0"/>
                    <w:widowControl w:val="0"/>
                    <w:kinsoku/>
                    <w:wordWrap/>
                    <w:overflowPunct/>
                    <w:topLinePunct w:val="0"/>
                    <w:autoSpaceDE/>
                    <w:autoSpaceDN/>
                    <w:bidi w:val="0"/>
                    <w:adjustRightInd w:val="0"/>
                    <w:snapToGrid w:val="0"/>
                    <w:spacing w:line="320" w:lineRule="atLeas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监</w:t>
                  </w:r>
                  <w:r>
                    <w:rPr>
                      <w:rFonts w:hint="default" w:ascii="Times New Roman" w:hAnsi="Times New Roman" w:eastAsia="宋体" w:cs="Times New Roman"/>
                      <w:b/>
                      <w:bCs/>
                      <w:color w:val="auto"/>
                      <w:sz w:val="21"/>
                      <w:szCs w:val="21"/>
                    </w:rPr>
                    <w:t>测</w:t>
                  </w:r>
                </w:p>
                <w:p w14:paraId="39A30C88">
                  <w:pPr>
                    <w:keepNext w:val="0"/>
                    <w:keepLines w:val="0"/>
                    <w:pageBreakBefore w:val="0"/>
                    <w:widowControl w:val="0"/>
                    <w:kinsoku/>
                    <w:wordWrap/>
                    <w:overflowPunct/>
                    <w:topLinePunct w:val="0"/>
                    <w:autoSpaceDE/>
                    <w:autoSpaceDN/>
                    <w:bidi w:val="0"/>
                    <w:adjustRightInd w:val="0"/>
                    <w:snapToGrid w:val="0"/>
                    <w:spacing w:line="320" w:lineRule="atLeas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点位</w:t>
                  </w:r>
                </w:p>
              </w:tc>
              <w:tc>
                <w:tcPr>
                  <w:tcW w:w="556" w:type="pct"/>
                  <w:vMerge w:val="restart"/>
                  <w:tcBorders>
                    <w:tl2br w:val="nil"/>
                    <w:tr2bl w:val="nil"/>
                  </w:tcBorders>
                  <w:noWrap w:val="0"/>
                  <w:tcMar>
                    <w:top w:w="0" w:type="dxa"/>
                    <w:bottom w:w="0" w:type="dxa"/>
                  </w:tcMar>
                  <w:vAlign w:val="center"/>
                </w:tcPr>
                <w:p w14:paraId="5264205A">
                  <w:pPr>
                    <w:keepNext w:val="0"/>
                    <w:keepLines w:val="0"/>
                    <w:pageBreakBefore w:val="0"/>
                    <w:widowControl w:val="0"/>
                    <w:kinsoku/>
                    <w:wordWrap/>
                    <w:overflowPunct/>
                    <w:topLinePunct w:val="0"/>
                    <w:autoSpaceDE/>
                    <w:autoSpaceDN/>
                    <w:bidi w:val="0"/>
                    <w:adjustRightInd w:val="0"/>
                    <w:snapToGrid w:val="0"/>
                    <w:spacing w:line="320" w:lineRule="atLeas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监测</w:t>
                  </w:r>
                </w:p>
                <w:p w14:paraId="49A37B7F">
                  <w:pPr>
                    <w:keepNext w:val="0"/>
                    <w:keepLines w:val="0"/>
                    <w:pageBreakBefore w:val="0"/>
                    <w:widowControl w:val="0"/>
                    <w:kinsoku/>
                    <w:wordWrap/>
                    <w:overflowPunct/>
                    <w:topLinePunct w:val="0"/>
                    <w:autoSpaceDE/>
                    <w:autoSpaceDN/>
                    <w:bidi w:val="0"/>
                    <w:adjustRightInd w:val="0"/>
                    <w:snapToGrid w:val="0"/>
                    <w:spacing w:line="320" w:lineRule="atLeas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项目</w:t>
                  </w:r>
                </w:p>
              </w:tc>
              <w:tc>
                <w:tcPr>
                  <w:tcW w:w="1199" w:type="pct"/>
                  <w:vMerge w:val="restart"/>
                  <w:tcBorders>
                    <w:tl2br w:val="nil"/>
                    <w:tr2bl w:val="nil"/>
                  </w:tcBorders>
                  <w:noWrap w:val="0"/>
                  <w:tcMar>
                    <w:top w:w="0" w:type="dxa"/>
                    <w:bottom w:w="0" w:type="dxa"/>
                  </w:tcMar>
                  <w:vAlign w:val="center"/>
                </w:tcPr>
                <w:p w14:paraId="4134F1A8">
                  <w:pPr>
                    <w:keepNext w:val="0"/>
                    <w:keepLines w:val="0"/>
                    <w:pageBreakBefore w:val="0"/>
                    <w:widowControl w:val="0"/>
                    <w:kinsoku/>
                    <w:wordWrap/>
                    <w:overflowPunct/>
                    <w:topLinePunct w:val="0"/>
                    <w:autoSpaceDE/>
                    <w:autoSpaceDN/>
                    <w:bidi w:val="0"/>
                    <w:adjustRightInd w:val="0"/>
                    <w:snapToGrid w:val="0"/>
                    <w:spacing w:line="320" w:lineRule="atLeas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日期</w:t>
                  </w:r>
                </w:p>
              </w:tc>
              <w:tc>
                <w:tcPr>
                  <w:tcW w:w="2117" w:type="pct"/>
                  <w:gridSpan w:val="3"/>
                  <w:tcBorders>
                    <w:tl2br w:val="nil"/>
                    <w:tr2bl w:val="nil"/>
                  </w:tcBorders>
                  <w:noWrap w:val="0"/>
                  <w:tcMar>
                    <w:top w:w="0" w:type="dxa"/>
                    <w:bottom w:w="0" w:type="dxa"/>
                  </w:tcMar>
                  <w:vAlign w:val="center"/>
                </w:tcPr>
                <w:p w14:paraId="1FEEA35E">
                  <w:pPr>
                    <w:keepNext w:val="0"/>
                    <w:keepLines w:val="0"/>
                    <w:pageBreakBefore w:val="0"/>
                    <w:widowControl w:val="0"/>
                    <w:kinsoku/>
                    <w:wordWrap/>
                    <w:overflowPunct/>
                    <w:topLinePunct w:val="0"/>
                    <w:autoSpaceDE/>
                    <w:autoSpaceDN/>
                    <w:bidi w:val="0"/>
                    <w:adjustRightInd w:val="0"/>
                    <w:snapToGrid w:val="0"/>
                    <w:spacing w:line="320" w:lineRule="atLeas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监测结果</w:t>
                  </w:r>
                </w:p>
              </w:tc>
              <w:tc>
                <w:tcPr>
                  <w:tcW w:w="657" w:type="pct"/>
                  <w:vMerge w:val="restart"/>
                  <w:tcBorders>
                    <w:tl2br w:val="nil"/>
                    <w:tr2bl w:val="nil"/>
                  </w:tcBorders>
                  <w:noWrap w:val="0"/>
                  <w:tcMar>
                    <w:top w:w="0" w:type="dxa"/>
                    <w:bottom w:w="0" w:type="dxa"/>
                  </w:tcMar>
                  <w:vAlign w:val="center"/>
                </w:tcPr>
                <w:p w14:paraId="4B4ECAE6">
                  <w:pPr>
                    <w:keepNext w:val="0"/>
                    <w:keepLines w:val="0"/>
                    <w:pageBreakBefore w:val="0"/>
                    <w:widowControl w:val="0"/>
                    <w:kinsoku/>
                    <w:wordWrap/>
                    <w:overflowPunct/>
                    <w:topLinePunct w:val="0"/>
                    <w:autoSpaceDE/>
                    <w:autoSpaceDN/>
                    <w:bidi w:val="0"/>
                    <w:adjustRightInd w:val="0"/>
                    <w:snapToGrid w:val="0"/>
                    <w:spacing w:line="320" w:lineRule="atLeas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标准</w:t>
                  </w:r>
                </w:p>
              </w:tc>
            </w:tr>
            <w:tr w14:paraId="66FE5A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469" w:type="pct"/>
                  <w:vMerge w:val="continue"/>
                  <w:tcBorders>
                    <w:tl2br w:val="nil"/>
                    <w:tr2bl w:val="nil"/>
                  </w:tcBorders>
                  <w:noWrap w:val="0"/>
                  <w:vAlign w:val="center"/>
                </w:tcPr>
                <w:p w14:paraId="44509D0A">
                  <w:pPr>
                    <w:keepNext w:val="0"/>
                    <w:keepLines w:val="0"/>
                    <w:pageBreakBefore w:val="0"/>
                    <w:widowControl w:val="0"/>
                    <w:kinsoku/>
                    <w:wordWrap/>
                    <w:overflowPunct/>
                    <w:topLinePunct w:val="0"/>
                    <w:autoSpaceDE/>
                    <w:autoSpaceDN/>
                    <w:bidi w:val="0"/>
                    <w:spacing w:line="320" w:lineRule="atLeas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rPr>
                  </w:pPr>
                </w:p>
              </w:tc>
              <w:tc>
                <w:tcPr>
                  <w:tcW w:w="556" w:type="pct"/>
                  <w:vMerge w:val="continue"/>
                  <w:tcBorders>
                    <w:tl2br w:val="nil"/>
                    <w:tr2bl w:val="nil"/>
                  </w:tcBorders>
                  <w:noWrap w:val="0"/>
                  <w:vAlign w:val="center"/>
                </w:tcPr>
                <w:p w14:paraId="3625BAA5">
                  <w:pPr>
                    <w:keepNext w:val="0"/>
                    <w:keepLines w:val="0"/>
                    <w:pageBreakBefore w:val="0"/>
                    <w:widowControl w:val="0"/>
                    <w:kinsoku/>
                    <w:wordWrap/>
                    <w:overflowPunct/>
                    <w:topLinePunct w:val="0"/>
                    <w:autoSpaceDE/>
                    <w:autoSpaceDN/>
                    <w:bidi w:val="0"/>
                    <w:spacing w:line="320" w:lineRule="atLeas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rPr>
                  </w:pPr>
                </w:p>
              </w:tc>
              <w:tc>
                <w:tcPr>
                  <w:tcW w:w="1199" w:type="pct"/>
                  <w:vMerge w:val="continue"/>
                  <w:tcBorders>
                    <w:tl2br w:val="nil"/>
                    <w:tr2bl w:val="nil"/>
                  </w:tcBorders>
                  <w:noWrap w:val="0"/>
                  <w:vAlign w:val="center"/>
                </w:tcPr>
                <w:p w14:paraId="36FAA8FC">
                  <w:pPr>
                    <w:keepNext w:val="0"/>
                    <w:keepLines w:val="0"/>
                    <w:pageBreakBefore w:val="0"/>
                    <w:widowControl w:val="0"/>
                    <w:kinsoku/>
                    <w:wordWrap/>
                    <w:overflowPunct/>
                    <w:topLinePunct w:val="0"/>
                    <w:autoSpaceDE/>
                    <w:autoSpaceDN/>
                    <w:bidi w:val="0"/>
                    <w:spacing w:line="320" w:lineRule="atLeas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rPr>
                  </w:pPr>
                </w:p>
              </w:tc>
              <w:tc>
                <w:tcPr>
                  <w:tcW w:w="702" w:type="pct"/>
                  <w:tcBorders>
                    <w:tl2br w:val="nil"/>
                    <w:tr2bl w:val="nil"/>
                  </w:tcBorders>
                  <w:noWrap w:val="0"/>
                  <w:vAlign w:val="center"/>
                </w:tcPr>
                <w:p w14:paraId="46487FD0">
                  <w:pPr>
                    <w:keepNext w:val="0"/>
                    <w:keepLines w:val="0"/>
                    <w:pageBreakBefore w:val="0"/>
                    <w:widowControl w:val="0"/>
                    <w:kinsoku/>
                    <w:wordWrap/>
                    <w:overflowPunct/>
                    <w:topLinePunct w:val="0"/>
                    <w:autoSpaceDE/>
                    <w:autoSpaceDN/>
                    <w:bidi w:val="0"/>
                    <w:spacing w:line="320" w:lineRule="atLeas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1</w:t>
                  </w:r>
                </w:p>
              </w:tc>
              <w:tc>
                <w:tcPr>
                  <w:tcW w:w="702" w:type="pct"/>
                  <w:tcBorders>
                    <w:tl2br w:val="nil"/>
                    <w:tr2bl w:val="nil"/>
                  </w:tcBorders>
                  <w:noWrap w:val="0"/>
                  <w:vAlign w:val="center"/>
                </w:tcPr>
                <w:p w14:paraId="0DEDD513">
                  <w:pPr>
                    <w:keepNext w:val="0"/>
                    <w:keepLines w:val="0"/>
                    <w:pageBreakBefore w:val="0"/>
                    <w:widowControl w:val="0"/>
                    <w:kinsoku/>
                    <w:wordWrap/>
                    <w:overflowPunct/>
                    <w:topLinePunct w:val="0"/>
                    <w:autoSpaceDE/>
                    <w:autoSpaceDN/>
                    <w:bidi w:val="0"/>
                    <w:spacing w:line="320" w:lineRule="atLeas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2</w:t>
                  </w:r>
                </w:p>
              </w:tc>
              <w:tc>
                <w:tcPr>
                  <w:tcW w:w="711" w:type="pct"/>
                  <w:tcBorders>
                    <w:tl2br w:val="nil"/>
                    <w:tr2bl w:val="nil"/>
                  </w:tcBorders>
                  <w:noWrap w:val="0"/>
                  <w:vAlign w:val="center"/>
                </w:tcPr>
                <w:p w14:paraId="21DF1EC9">
                  <w:pPr>
                    <w:keepNext w:val="0"/>
                    <w:keepLines w:val="0"/>
                    <w:pageBreakBefore w:val="0"/>
                    <w:widowControl w:val="0"/>
                    <w:kinsoku/>
                    <w:wordWrap/>
                    <w:overflowPunct/>
                    <w:topLinePunct w:val="0"/>
                    <w:autoSpaceDE/>
                    <w:autoSpaceDN/>
                    <w:bidi w:val="0"/>
                    <w:spacing w:line="320" w:lineRule="atLeas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val="en-US" w:eastAsia="zh-CN"/>
                    </w:rPr>
                    <w:t>3</w:t>
                  </w:r>
                </w:p>
              </w:tc>
              <w:tc>
                <w:tcPr>
                  <w:tcW w:w="657" w:type="pct"/>
                  <w:vMerge w:val="continue"/>
                  <w:tcBorders>
                    <w:tl2br w:val="nil"/>
                    <w:tr2bl w:val="nil"/>
                  </w:tcBorders>
                  <w:noWrap w:val="0"/>
                  <w:vAlign w:val="center"/>
                </w:tcPr>
                <w:p w14:paraId="3E225199">
                  <w:pPr>
                    <w:keepNext w:val="0"/>
                    <w:keepLines w:val="0"/>
                    <w:pageBreakBefore w:val="0"/>
                    <w:widowControl w:val="0"/>
                    <w:kinsoku/>
                    <w:wordWrap/>
                    <w:overflowPunct/>
                    <w:topLinePunct w:val="0"/>
                    <w:autoSpaceDE/>
                    <w:autoSpaceDN/>
                    <w:bidi w:val="0"/>
                    <w:spacing w:line="320" w:lineRule="atLeas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p>
              </w:tc>
            </w:tr>
            <w:tr w14:paraId="2025D8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55" w:hRule="atLeast"/>
                <w:jc w:val="center"/>
              </w:trPr>
              <w:tc>
                <w:tcPr>
                  <w:tcW w:w="469" w:type="pct"/>
                  <w:vMerge w:val="restart"/>
                  <w:tcBorders>
                    <w:tl2br w:val="nil"/>
                    <w:tr2bl w:val="nil"/>
                  </w:tcBorders>
                  <w:noWrap w:val="0"/>
                  <w:vAlign w:val="center"/>
                </w:tcPr>
                <w:p w14:paraId="46528D04">
                  <w:pPr>
                    <w:keepNext w:val="0"/>
                    <w:keepLines w:val="0"/>
                    <w:pageBreakBefore w:val="0"/>
                    <w:widowControl w:val="0"/>
                    <w:kinsoku/>
                    <w:wordWrap/>
                    <w:overflowPunct/>
                    <w:topLinePunct w:val="0"/>
                    <w:autoSpaceDE/>
                    <w:autoSpaceDN/>
                    <w:bidi w:val="0"/>
                    <w:adjustRightInd w:val="0"/>
                    <w:snapToGrid w:val="0"/>
                    <w:spacing w:line="320" w:lineRule="atLeast"/>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w:t>
                  </w:r>
                </w:p>
                <w:p w14:paraId="071F5751">
                  <w:pPr>
                    <w:keepNext w:val="0"/>
                    <w:keepLines w:val="0"/>
                    <w:pageBreakBefore w:val="0"/>
                    <w:widowControl w:val="0"/>
                    <w:kinsoku/>
                    <w:wordWrap/>
                    <w:overflowPunct/>
                    <w:topLinePunct w:val="0"/>
                    <w:autoSpaceDE/>
                    <w:autoSpaceDN/>
                    <w:bidi w:val="0"/>
                    <w:adjustRightInd w:val="0"/>
                    <w:snapToGrid w:val="0"/>
                    <w:spacing w:line="320" w:lineRule="atLeast"/>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水</w:t>
                  </w:r>
                </w:p>
                <w:p w14:paraId="70E60F4E">
                  <w:pPr>
                    <w:keepNext w:val="0"/>
                    <w:keepLines w:val="0"/>
                    <w:pageBreakBefore w:val="0"/>
                    <w:widowControl w:val="0"/>
                    <w:kinsoku/>
                    <w:wordWrap/>
                    <w:overflowPunct/>
                    <w:topLinePunct w:val="0"/>
                    <w:autoSpaceDE/>
                    <w:autoSpaceDN/>
                    <w:bidi w:val="0"/>
                    <w:adjustRightInd w:val="0"/>
                    <w:snapToGrid w:val="0"/>
                    <w:spacing w:line="320" w:lineRule="atLeast"/>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接</w:t>
                  </w:r>
                </w:p>
                <w:p w14:paraId="7346CCB9">
                  <w:pPr>
                    <w:keepNext w:val="0"/>
                    <w:keepLines w:val="0"/>
                    <w:pageBreakBefore w:val="0"/>
                    <w:widowControl w:val="0"/>
                    <w:kinsoku/>
                    <w:wordWrap/>
                    <w:overflowPunct/>
                    <w:topLinePunct w:val="0"/>
                    <w:autoSpaceDE/>
                    <w:autoSpaceDN/>
                    <w:bidi w:val="0"/>
                    <w:adjustRightInd w:val="0"/>
                    <w:snapToGrid w:val="0"/>
                    <w:spacing w:line="320" w:lineRule="atLeast"/>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管</w:t>
                  </w:r>
                </w:p>
                <w:p w14:paraId="0C0E7B53">
                  <w:pPr>
                    <w:keepNext w:val="0"/>
                    <w:keepLines w:val="0"/>
                    <w:pageBreakBefore w:val="0"/>
                    <w:widowControl w:val="0"/>
                    <w:kinsoku/>
                    <w:wordWrap/>
                    <w:overflowPunct/>
                    <w:topLinePunct w:val="0"/>
                    <w:autoSpaceDE/>
                    <w:autoSpaceDN/>
                    <w:bidi w:val="0"/>
                    <w:adjustRightInd w:val="0"/>
                    <w:snapToGrid w:val="0"/>
                    <w:spacing w:line="320" w:lineRule="atLeas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口</w:t>
                  </w:r>
                </w:p>
              </w:tc>
              <w:tc>
                <w:tcPr>
                  <w:tcW w:w="556" w:type="pct"/>
                  <w:tcBorders>
                    <w:tl2br w:val="nil"/>
                    <w:tr2bl w:val="nil"/>
                  </w:tcBorders>
                  <w:noWrap w:val="0"/>
                  <w:vAlign w:val="center"/>
                </w:tcPr>
                <w:p w14:paraId="53466A59">
                  <w:pPr>
                    <w:keepNext w:val="0"/>
                    <w:keepLines w:val="0"/>
                    <w:pageBreakBefore w:val="0"/>
                    <w:widowControl w:val="0"/>
                    <w:kinsoku/>
                    <w:wordWrap/>
                    <w:overflowPunct/>
                    <w:topLinePunct w:val="0"/>
                    <w:autoSpaceDE/>
                    <w:autoSpaceDN/>
                    <w:bidi w:val="0"/>
                    <w:adjustRightInd w:val="0"/>
                    <w:snapToGrid w:val="0"/>
                    <w:spacing w:line="320" w:lineRule="atLeas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1199" w:type="pct"/>
                  <w:tcBorders>
                    <w:tl2br w:val="nil"/>
                    <w:tr2bl w:val="nil"/>
                  </w:tcBorders>
                  <w:noWrap w:val="0"/>
                  <w:vAlign w:val="center"/>
                </w:tcPr>
                <w:p w14:paraId="5AD36AF4">
                  <w:pPr>
                    <w:keepNext w:val="0"/>
                    <w:keepLines w:val="0"/>
                    <w:pageBreakBefore w:val="0"/>
                    <w:widowControl w:val="0"/>
                    <w:kinsoku/>
                    <w:wordWrap/>
                    <w:overflowPunct/>
                    <w:topLinePunct w:val="0"/>
                    <w:autoSpaceDE/>
                    <w:autoSpaceDN/>
                    <w:bidi w:val="0"/>
                    <w:spacing w:line="320" w:lineRule="atLeas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2025年</w:t>
                  </w:r>
                  <w:r>
                    <w:rPr>
                      <w:rFonts w:hint="eastAsia" w:cs="Times New Roman"/>
                      <w:b w:val="0"/>
                      <w:bCs w:val="0"/>
                      <w:color w:val="auto"/>
                      <w:sz w:val="21"/>
                      <w:szCs w:val="21"/>
                      <w:lang w:val="en-US" w:eastAsia="zh-CN"/>
                    </w:rPr>
                    <w:t>12</w:t>
                  </w:r>
                  <w:r>
                    <w:rPr>
                      <w:rFonts w:hint="eastAsia" w:ascii="Times New Roman" w:hAnsi="Times New Roman" w:eastAsia="宋体" w:cs="Times New Roman"/>
                      <w:b w:val="0"/>
                      <w:bCs w:val="0"/>
                      <w:color w:val="auto"/>
                      <w:sz w:val="21"/>
                      <w:szCs w:val="21"/>
                      <w:lang w:val="en-US" w:eastAsia="zh-CN"/>
                    </w:rPr>
                    <w:t>月2</w:t>
                  </w:r>
                  <w:r>
                    <w:rPr>
                      <w:rFonts w:hint="eastAsia" w:cs="Times New Roman"/>
                      <w:b w:val="0"/>
                      <w:bCs w:val="0"/>
                      <w:color w:val="auto"/>
                      <w:sz w:val="21"/>
                      <w:szCs w:val="21"/>
                      <w:lang w:val="en-US" w:eastAsia="zh-CN"/>
                    </w:rPr>
                    <w:t>2</w:t>
                  </w:r>
                  <w:r>
                    <w:rPr>
                      <w:rFonts w:hint="eastAsia" w:ascii="Times New Roman" w:hAnsi="Times New Roman" w:eastAsia="宋体" w:cs="Times New Roman"/>
                      <w:b w:val="0"/>
                      <w:bCs w:val="0"/>
                      <w:color w:val="auto"/>
                      <w:sz w:val="21"/>
                      <w:szCs w:val="21"/>
                      <w:lang w:val="en-US" w:eastAsia="zh-CN"/>
                    </w:rPr>
                    <w:t>日</w:t>
                  </w:r>
                </w:p>
              </w:tc>
              <w:tc>
                <w:tcPr>
                  <w:tcW w:w="702" w:type="pct"/>
                  <w:tcBorders>
                    <w:tl2br w:val="nil"/>
                    <w:tr2bl w:val="nil"/>
                  </w:tcBorders>
                  <w:noWrap w:val="0"/>
                  <w:vAlign w:val="center"/>
                </w:tcPr>
                <w:p w14:paraId="56F971F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82</w:t>
                  </w:r>
                </w:p>
              </w:tc>
              <w:tc>
                <w:tcPr>
                  <w:tcW w:w="702" w:type="pct"/>
                  <w:tcBorders>
                    <w:tl2br w:val="nil"/>
                    <w:tr2bl w:val="nil"/>
                  </w:tcBorders>
                  <w:noWrap w:val="0"/>
                  <w:vAlign w:val="center"/>
                </w:tcPr>
                <w:p w14:paraId="7B962BA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87</w:t>
                  </w:r>
                </w:p>
              </w:tc>
              <w:tc>
                <w:tcPr>
                  <w:tcW w:w="711" w:type="pct"/>
                  <w:tcBorders>
                    <w:tl2br w:val="nil"/>
                    <w:tr2bl w:val="nil"/>
                  </w:tcBorders>
                  <w:noWrap w:val="0"/>
                  <w:vAlign w:val="center"/>
                </w:tcPr>
                <w:p w14:paraId="6A3B5FF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83</w:t>
                  </w:r>
                </w:p>
              </w:tc>
              <w:tc>
                <w:tcPr>
                  <w:tcW w:w="657" w:type="pct"/>
                  <w:tcBorders>
                    <w:tl2br w:val="nil"/>
                    <w:tr2bl w:val="nil"/>
                  </w:tcBorders>
                  <w:noWrap w:val="0"/>
                  <w:vAlign w:val="center"/>
                </w:tcPr>
                <w:p w14:paraId="1088C9D0">
                  <w:pPr>
                    <w:adjustRightInd w:val="0"/>
                    <w:snapToGrid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eastAsia="宋体"/>
                      <w:color w:val="auto"/>
                      <w:lang w:val="en-US" w:eastAsia="zh-CN"/>
                    </w:rPr>
                    <w:t>500</w:t>
                  </w:r>
                </w:p>
              </w:tc>
            </w:tr>
            <w:tr w14:paraId="0F0AC2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469" w:type="pct"/>
                  <w:vMerge w:val="continue"/>
                  <w:tcBorders>
                    <w:tl2br w:val="nil"/>
                    <w:tr2bl w:val="nil"/>
                  </w:tcBorders>
                  <w:noWrap w:val="0"/>
                  <w:vAlign w:val="center"/>
                </w:tcPr>
                <w:p w14:paraId="53B2165F">
                  <w:pPr>
                    <w:keepNext w:val="0"/>
                    <w:keepLines w:val="0"/>
                    <w:pageBreakBefore w:val="0"/>
                    <w:widowControl w:val="0"/>
                    <w:kinsoku/>
                    <w:wordWrap/>
                    <w:overflowPunct/>
                    <w:topLinePunct w:val="0"/>
                    <w:autoSpaceDE/>
                    <w:autoSpaceDN/>
                    <w:bidi w:val="0"/>
                    <w:adjustRightInd w:val="0"/>
                    <w:snapToGrid w:val="0"/>
                    <w:spacing w:line="320" w:lineRule="atLeas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p>
              </w:tc>
              <w:tc>
                <w:tcPr>
                  <w:tcW w:w="556" w:type="pct"/>
                  <w:tcBorders>
                    <w:tl2br w:val="nil"/>
                    <w:tr2bl w:val="nil"/>
                  </w:tcBorders>
                  <w:noWrap w:val="0"/>
                  <w:vAlign w:val="center"/>
                </w:tcPr>
                <w:p w14:paraId="750ADF73">
                  <w:pPr>
                    <w:keepNext w:val="0"/>
                    <w:keepLines w:val="0"/>
                    <w:pageBreakBefore w:val="0"/>
                    <w:widowControl w:val="0"/>
                    <w:kinsoku/>
                    <w:wordWrap/>
                    <w:overflowPunct/>
                    <w:topLinePunct w:val="0"/>
                    <w:autoSpaceDE/>
                    <w:autoSpaceDN/>
                    <w:bidi w:val="0"/>
                    <w:adjustRightInd w:val="0"/>
                    <w:snapToGrid w:val="0"/>
                    <w:spacing w:line="320" w:lineRule="atLeas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w:t>
                  </w:r>
                </w:p>
              </w:tc>
              <w:tc>
                <w:tcPr>
                  <w:tcW w:w="1199" w:type="pct"/>
                  <w:tcBorders>
                    <w:tl2br w:val="nil"/>
                    <w:tr2bl w:val="nil"/>
                  </w:tcBorders>
                  <w:noWrap w:val="0"/>
                  <w:vAlign w:val="center"/>
                </w:tcPr>
                <w:p w14:paraId="659F448D">
                  <w:pPr>
                    <w:keepNext w:val="0"/>
                    <w:keepLines w:val="0"/>
                    <w:pageBreakBefore w:val="0"/>
                    <w:widowControl w:val="0"/>
                    <w:kinsoku/>
                    <w:wordWrap/>
                    <w:overflowPunct/>
                    <w:topLinePunct w:val="0"/>
                    <w:autoSpaceDE/>
                    <w:autoSpaceDN/>
                    <w:bidi w:val="0"/>
                    <w:spacing w:line="320" w:lineRule="atLeas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2025年</w:t>
                  </w:r>
                  <w:r>
                    <w:rPr>
                      <w:rFonts w:hint="eastAsia" w:cs="Times New Roman"/>
                      <w:b w:val="0"/>
                      <w:bCs w:val="0"/>
                      <w:color w:val="auto"/>
                      <w:sz w:val="21"/>
                      <w:szCs w:val="21"/>
                      <w:lang w:val="en-US" w:eastAsia="zh-CN"/>
                    </w:rPr>
                    <w:t>12</w:t>
                  </w:r>
                  <w:r>
                    <w:rPr>
                      <w:rFonts w:hint="eastAsia" w:ascii="Times New Roman" w:hAnsi="Times New Roman" w:eastAsia="宋体" w:cs="Times New Roman"/>
                      <w:b w:val="0"/>
                      <w:bCs w:val="0"/>
                      <w:color w:val="auto"/>
                      <w:sz w:val="21"/>
                      <w:szCs w:val="21"/>
                      <w:lang w:val="en-US" w:eastAsia="zh-CN"/>
                    </w:rPr>
                    <w:t>月2</w:t>
                  </w:r>
                  <w:r>
                    <w:rPr>
                      <w:rFonts w:hint="eastAsia" w:cs="Times New Roman"/>
                      <w:b w:val="0"/>
                      <w:bCs w:val="0"/>
                      <w:color w:val="auto"/>
                      <w:sz w:val="21"/>
                      <w:szCs w:val="21"/>
                      <w:lang w:val="en-US" w:eastAsia="zh-CN"/>
                    </w:rPr>
                    <w:t>2</w:t>
                  </w:r>
                  <w:r>
                    <w:rPr>
                      <w:rFonts w:hint="eastAsia" w:ascii="Times New Roman" w:hAnsi="Times New Roman" w:eastAsia="宋体" w:cs="Times New Roman"/>
                      <w:b w:val="0"/>
                      <w:bCs w:val="0"/>
                      <w:color w:val="auto"/>
                      <w:sz w:val="21"/>
                      <w:szCs w:val="21"/>
                      <w:lang w:val="en-US" w:eastAsia="zh-CN"/>
                    </w:rPr>
                    <w:t>日</w:t>
                  </w:r>
                </w:p>
              </w:tc>
              <w:tc>
                <w:tcPr>
                  <w:tcW w:w="702" w:type="pct"/>
                  <w:tcBorders>
                    <w:tl2br w:val="nil"/>
                    <w:tr2bl w:val="nil"/>
                  </w:tcBorders>
                  <w:noWrap w:val="0"/>
                  <w:vAlign w:val="center"/>
                </w:tcPr>
                <w:p w14:paraId="32D865B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w:t>
                  </w:r>
                </w:p>
              </w:tc>
              <w:tc>
                <w:tcPr>
                  <w:tcW w:w="702" w:type="pct"/>
                  <w:tcBorders>
                    <w:tl2br w:val="nil"/>
                    <w:tr2bl w:val="nil"/>
                  </w:tcBorders>
                  <w:noWrap w:val="0"/>
                  <w:vAlign w:val="center"/>
                </w:tcPr>
                <w:p w14:paraId="513EA29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w:t>
                  </w:r>
                </w:p>
              </w:tc>
              <w:tc>
                <w:tcPr>
                  <w:tcW w:w="711" w:type="pct"/>
                  <w:tcBorders>
                    <w:tl2br w:val="nil"/>
                    <w:tr2bl w:val="nil"/>
                  </w:tcBorders>
                  <w:noWrap w:val="0"/>
                  <w:vAlign w:val="center"/>
                </w:tcPr>
                <w:p w14:paraId="08A5A03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w:t>
                  </w:r>
                </w:p>
              </w:tc>
              <w:tc>
                <w:tcPr>
                  <w:tcW w:w="657" w:type="pct"/>
                  <w:tcBorders>
                    <w:tl2br w:val="nil"/>
                    <w:tr2bl w:val="nil"/>
                  </w:tcBorders>
                  <w:noWrap w:val="0"/>
                  <w:vAlign w:val="center"/>
                </w:tcPr>
                <w:p w14:paraId="468AD8D2">
                  <w:pPr>
                    <w:adjustRightInd w:val="0"/>
                    <w:snapToGrid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olor w:val="auto"/>
                      <w:lang w:val="en-US" w:eastAsia="zh-CN"/>
                    </w:rPr>
                    <w:t>250</w:t>
                  </w:r>
                </w:p>
              </w:tc>
            </w:tr>
            <w:tr w14:paraId="6B5088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469" w:type="pct"/>
                  <w:vMerge w:val="continue"/>
                  <w:tcBorders>
                    <w:tl2br w:val="nil"/>
                    <w:tr2bl w:val="nil"/>
                  </w:tcBorders>
                  <w:noWrap w:val="0"/>
                  <w:vAlign w:val="center"/>
                </w:tcPr>
                <w:p w14:paraId="60335EDD">
                  <w:pPr>
                    <w:keepNext w:val="0"/>
                    <w:keepLines w:val="0"/>
                    <w:pageBreakBefore w:val="0"/>
                    <w:widowControl w:val="0"/>
                    <w:kinsoku/>
                    <w:wordWrap/>
                    <w:overflowPunct/>
                    <w:topLinePunct w:val="0"/>
                    <w:autoSpaceDE/>
                    <w:autoSpaceDN/>
                    <w:bidi w:val="0"/>
                    <w:adjustRightInd w:val="0"/>
                    <w:snapToGrid w:val="0"/>
                    <w:spacing w:line="320" w:lineRule="atLeas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p>
              </w:tc>
              <w:tc>
                <w:tcPr>
                  <w:tcW w:w="556" w:type="pct"/>
                  <w:tcBorders>
                    <w:tl2br w:val="nil"/>
                    <w:tr2bl w:val="nil"/>
                  </w:tcBorders>
                  <w:noWrap w:val="0"/>
                  <w:vAlign w:val="center"/>
                </w:tcPr>
                <w:p w14:paraId="1DDEC5F9">
                  <w:pPr>
                    <w:keepNext w:val="0"/>
                    <w:keepLines w:val="0"/>
                    <w:pageBreakBefore w:val="0"/>
                    <w:widowControl w:val="0"/>
                    <w:kinsoku/>
                    <w:wordWrap/>
                    <w:overflowPunct/>
                    <w:topLinePunct w:val="0"/>
                    <w:autoSpaceDE/>
                    <w:autoSpaceDN/>
                    <w:bidi w:val="0"/>
                    <w:adjustRightInd w:val="0"/>
                    <w:snapToGrid w:val="0"/>
                    <w:spacing w:line="320" w:lineRule="atLeas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氨氮</w:t>
                  </w:r>
                </w:p>
              </w:tc>
              <w:tc>
                <w:tcPr>
                  <w:tcW w:w="1199" w:type="pct"/>
                  <w:tcBorders>
                    <w:tl2br w:val="nil"/>
                    <w:tr2bl w:val="nil"/>
                  </w:tcBorders>
                  <w:noWrap w:val="0"/>
                  <w:vAlign w:val="center"/>
                </w:tcPr>
                <w:p w14:paraId="646AD6EF">
                  <w:pPr>
                    <w:keepNext w:val="0"/>
                    <w:keepLines w:val="0"/>
                    <w:pageBreakBefore w:val="0"/>
                    <w:widowControl w:val="0"/>
                    <w:kinsoku/>
                    <w:wordWrap/>
                    <w:overflowPunct/>
                    <w:topLinePunct w:val="0"/>
                    <w:autoSpaceDE/>
                    <w:autoSpaceDN/>
                    <w:bidi w:val="0"/>
                    <w:spacing w:line="320" w:lineRule="atLeas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2025年</w:t>
                  </w:r>
                  <w:r>
                    <w:rPr>
                      <w:rFonts w:hint="eastAsia" w:cs="Times New Roman"/>
                      <w:b w:val="0"/>
                      <w:bCs w:val="0"/>
                      <w:color w:val="auto"/>
                      <w:sz w:val="21"/>
                      <w:szCs w:val="21"/>
                      <w:lang w:val="en-US" w:eastAsia="zh-CN"/>
                    </w:rPr>
                    <w:t>12</w:t>
                  </w:r>
                  <w:r>
                    <w:rPr>
                      <w:rFonts w:hint="eastAsia" w:ascii="Times New Roman" w:hAnsi="Times New Roman" w:eastAsia="宋体" w:cs="Times New Roman"/>
                      <w:b w:val="0"/>
                      <w:bCs w:val="0"/>
                      <w:color w:val="auto"/>
                      <w:sz w:val="21"/>
                      <w:szCs w:val="21"/>
                      <w:lang w:val="en-US" w:eastAsia="zh-CN"/>
                    </w:rPr>
                    <w:t>月2</w:t>
                  </w:r>
                  <w:r>
                    <w:rPr>
                      <w:rFonts w:hint="eastAsia" w:cs="Times New Roman"/>
                      <w:b w:val="0"/>
                      <w:bCs w:val="0"/>
                      <w:color w:val="auto"/>
                      <w:sz w:val="21"/>
                      <w:szCs w:val="21"/>
                      <w:lang w:val="en-US" w:eastAsia="zh-CN"/>
                    </w:rPr>
                    <w:t>2</w:t>
                  </w:r>
                  <w:r>
                    <w:rPr>
                      <w:rFonts w:hint="eastAsia" w:ascii="Times New Roman" w:hAnsi="Times New Roman" w:eastAsia="宋体" w:cs="Times New Roman"/>
                      <w:b w:val="0"/>
                      <w:bCs w:val="0"/>
                      <w:color w:val="auto"/>
                      <w:sz w:val="21"/>
                      <w:szCs w:val="21"/>
                      <w:lang w:val="en-US" w:eastAsia="zh-CN"/>
                    </w:rPr>
                    <w:t>日</w:t>
                  </w:r>
                </w:p>
              </w:tc>
              <w:tc>
                <w:tcPr>
                  <w:tcW w:w="702" w:type="pct"/>
                  <w:tcBorders>
                    <w:tl2br w:val="nil"/>
                    <w:tr2bl w:val="nil"/>
                  </w:tcBorders>
                  <w:noWrap w:val="0"/>
                  <w:vAlign w:val="center"/>
                </w:tcPr>
                <w:p w14:paraId="11D7043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3.07</w:t>
                  </w:r>
                </w:p>
              </w:tc>
              <w:tc>
                <w:tcPr>
                  <w:tcW w:w="702" w:type="pct"/>
                  <w:tcBorders>
                    <w:tl2br w:val="nil"/>
                    <w:tr2bl w:val="nil"/>
                  </w:tcBorders>
                  <w:noWrap w:val="0"/>
                  <w:vAlign w:val="center"/>
                </w:tcPr>
                <w:p w14:paraId="5C60F9E5">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outlineLvl w:val="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3.75</w:t>
                  </w:r>
                </w:p>
              </w:tc>
              <w:tc>
                <w:tcPr>
                  <w:tcW w:w="711" w:type="pct"/>
                  <w:tcBorders>
                    <w:tl2br w:val="nil"/>
                    <w:tr2bl w:val="nil"/>
                  </w:tcBorders>
                  <w:noWrap w:val="0"/>
                  <w:vAlign w:val="center"/>
                </w:tcPr>
                <w:p w14:paraId="1AEC25C2">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outlineLvl w:val="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3.45</w:t>
                  </w:r>
                </w:p>
              </w:tc>
              <w:tc>
                <w:tcPr>
                  <w:tcW w:w="657" w:type="pct"/>
                  <w:tcBorders>
                    <w:tl2br w:val="nil"/>
                    <w:tr2bl w:val="nil"/>
                  </w:tcBorders>
                  <w:noWrap w:val="0"/>
                  <w:vAlign w:val="center"/>
                </w:tcPr>
                <w:p w14:paraId="696D7623">
                  <w:pPr>
                    <w:adjustRightInd w:val="0"/>
                    <w:snapToGrid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eastAsia="宋体"/>
                      <w:color w:val="auto"/>
                      <w:lang w:val="en-US" w:eastAsia="zh-CN"/>
                    </w:rPr>
                    <w:t>35</w:t>
                  </w:r>
                </w:p>
              </w:tc>
            </w:tr>
            <w:tr w14:paraId="7F980B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469" w:type="pct"/>
                  <w:vMerge w:val="continue"/>
                  <w:tcBorders>
                    <w:tl2br w:val="nil"/>
                    <w:tr2bl w:val="nil"/>
                  </w:tcBorders>
                  <w:noWrap w:val="0"/>
                  <w:vAlign w:val="center"/>
                </w:tcPr>
                <w:p w14:paraId="5D915ADA">
                  <w:pPr>
                    <w:pStyle w:val="9"/>
                    <w:keepNext w:val="0"/>
                    <w:keepLines w:val="0"/>
                    <w:pageBreakBefore w:val="0"/>
                    <w:widowControl w:val="0"/>
                    <w:kinsoku/>
                    <w:wordWrap/>
                    <w:overflowPunct/>
                    <w:topLinePunct w:val="0"/>
                    <w:autoSpaceDE/>
                    <w:autoSpaceDN/>
                    <w:bidi w:val="0"/>
                    <w:spacing w:line="320" w:lineRule="atLeast"/>
                    <w:ind w:left="0" w:leftChars="0" w:right="0" w:rightChars="0" w:firstLine="0" w:firstLineChars="0"/>
                    <w:jc w:val="center"/>
                    <w:textAlignment w:val="auto"/>
                    <w:outlineLvl w:val="9"/>
                    <w:rPr>
                      <w:rFonts w:hint="default" w:ascii="Times New Roman" w:hAnsi="Times New Roman" w:eastAsia="宋体" w:cs="Times New Roman"/>
                      <w:color w:val="auto"/>
                    </w:rPr>
                  </w:pPr>
                </w:p>
              </w:tc>
              <w:tc>
                <w:tcPr>
                  <w:tcW w:w="556" w:type="pct"/>
                  <w:tcBorders>
                    <w:tl2br w:val="nil"/>
                    <w:tr2bl w:val="nil"/>
                  </w:tcBorders>
                  <w:noWrap w:val="0"/>
                  <w:vAlign w:val="center"/>
                </w:tcPr>
                <w:p w14:paraId="4454CF6E">
                  <w:pPr>
                    <w:keepNext w:val="0"/>
                    <w:keepLines w:val="0"/>
                    <w:pageBreakBefore w:val="0"/>
                    <w:widowControl w:val="0"/>
                    <w:kinsoku/>
                    <w:wordWrap/>
                    <w:overflowPunct/>
                    <w:topLinePunct w:val="0"/>
                    <w:autoSpaceDE/>
                    <w:autoSpaceDN/>
                    <w:bidi w:val="0"/>
                    <w:adjustRightInd w:val="0"/>
                    <w:snapToGrid w:val="0"/>
                    <w:spacing w:line="320" w:lineRule="atLeast"/>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lang w:val="en-US" w:eastAsia="zh-CN"/>
                    </w:rPr>
                    <w:t>总磷</w:t>
                  </w:r>
                </w:p>
              </w:tc>
              <w:tc>
                <w:tcPr>
                  <w:tcW w:w="1199" w:type="pct"/>
                  <w:tcBorders>
                    <w:tl2br w:val="nil"/>
                    <w:tr2bl w:val="nil"/>
                  </w:tcBorders>
                  <w:noWrap w:val="0"/>
                  <w:vAlign w:val="center"/>
                </w:tcPr>
                <w:p w14:paraId="0852907D">
                  <w:pPr>
                    <w:keepNext w:val="0"/>
                    <w:keepLines w:val="0"/>
                    <w:pageBreakBefore w:val="0"/>
                    <w:widowControl w:val="0"/>
                    <w:kinsoku/>
                    <w:wordWrap/>
                    <w:overflowPunct/>
                    <w:topLinePunct w:val="0"/>
                    <w:autoSpaceDE/>
                    <w:autoSpaceDN/>
                    <w:bidi w:val="0"/>
                    <w:spacing w:line="320" w:lineRule="atLeas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2025年</w:t>
                  </w:r>
                  <w:r>
                    <w:rPr>
                      <w:rFonts w:hint="eastAsia" w:cs="Times New Roman"/>
                      <w:b w:val="0"/>
                      <w:bCs w:val="0"/>
                      <w:color w:val="auto"/>
                      <w:sz w:val="21"/>
                      <w:szCs w:val="21"/>
                      <w:lang w:val="en-US" w:eastAsia="zh-CN"/>
                    </w:rPr>
                    <w:t>12</w:t>
                  </w:r>
                  <w:r>
                    <w:rPr>
                      <w:rFonts w:hint="eastAsia" w:ascii="Times New Roman" w:hAnsi="Times New Roman" w:eastAsia="宋体" w:cs="Times New Roman"/>
                      <w:b w:val="0"/>
                      <w:bCs w:val="0"/>
                      <w:color w:val="auto"/>
                      <w:sz w:val="21"/>
                      <w:szCs w:val="21"/>
                      <w:lang w:val="en-US" w:eastAsia="zh-CN"/>
                    </w:rPr>
                    <w:t>月2</w:t>
                  </w:r>
                  <w:r>
                    <w:rPr>
                      <w:rFonts w:hint="eastAsia" w:cs="Times New Roman"/>
                      <w:b w:val="0"/>
                      <w:bCs w:val="0"/>
                      <w:color w:val="auto"/>
                      <w:sz w:val="21"/>
                      <w:szCs w:val="21"/>
                      <w:lang w:val="en-US" w:eastAsia="zh-CN"/>
                    </w:rPr>
                    <w:t>2</w:t>
                  </w:r>
                  <w:r>
                    <w:rPr>
                      <w:rFonts w:hint="eastAsia" w:ascii="Times New Roman" w:hAnsi="Times New Roman" w:eastAsia="宋体" w:cs="Times New Roman"/>
                      <w:b w:val="0"/>
                      <w:bCs w:val="0"/>
                      <w:color w:val="auto"/>
                      <w:sz w:val="21"/>
                      <w:szCs w:val="21"/>
                      <w:lang w:val="en-US" w:eastAsia="zh-CN"/>
                    </w:rPr>
                    <w:t>日</w:t>
                  </w:r>
                </w:p>
              </w:tc>
              <w:tc>
                <w:tcPr>
                  <w:tcW w:w="702" w:type="pct"/>
                  <w:tcBorders>
                    <w:tl2br w:val="nil"/>
                    <w:tr2bl w:val="nil"/>
                  </w:tcBorders>
                  <w:noWrap w:val="0"/>
                  <w:vAlign w:val="center"/>
                </w:tcPr>
                <w:p w14:paraId="5FAB7DD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0.48</w:t>
                  </w:r>
                </w:p>
              </w:tc>
              <w:tc>
                <w:tcPr>
                  <w:tcW w:w="702" w:type="pct"/>
                  <w:tcBorders>
                    <w:tl2br w:val="nil"/>
                    <w:tr2bl w:val="nil"/>
                  </w:tcBorders>
                  <w:noWrap w:val="0"/>
                  <w:vAlign w:val="center"/>
                </w:tcPr>
                <w:p w14:paraId="31C4583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0.47</w:t>
                  </w:r>
                </w:p>
              </w:tc>
              <w:tc>
                <w:tcPr>
                  <w:tcW w:w="711" w:type="pct"/>
                  <w:tcBorders>
                    <w:tl2br w:val="nil"/>
                    <w:tr2bl w:val="nil"/>
                  </w:tcBorders>
                  <w:noWrap w:val="0"/>
                  <w:vAlign w:val="center"/>
                </w:tcPr>
                <w:p w14:paraId="1DDF78B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0.48</w:t>
                  </w:r>
                </w:p>
              </w:tc>
              <w:tc>
                <w:tcPr>
                  <w:tcW w:w="657" w:type="pct"/>
                  <w:tcBorders>
                    <w:tl2br w:val="nil"/>
                    <w:tr2bl w:val="nil"/>
                  </w:tcBorders>
                  <w:noWrap w:val="0"/>
                  <w:vAlign w:val="center"/>
                </w:tcPr>
                <w:p w14:paraId="225638AC">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eastAsia="宋体"/>
                      <w:color w:val="auto"/>
                      <w:lang w:val="en-US" w:eastAsia="zh-CN"/>
                    </w:rPr>
                    <w:t>3</w:t>
                  </w:r>
                </w:p>
              </w:tc>
            </w:tr>
            <w:tr w14:paraId="29C3C7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469" w:type="pct"/>
                  <w:vMerge w:val="continue"/>
                  <w:tcBorders>
                    <w:tl2br w:val="nil"/>
                    <w:tr2bl w:val="nil"/>
                  </w:tcBorders>
                  <w:noWrap w:val="0"/>
                  <w:vAlign w:val="center"/>
                </w:tcPr>
                <w:p w14:paraId="01F3C870">
                  <w:pPr>
                    <w:pStyle w:val="9"/>
                    <w:keepNext w:val="0"/>
                    <w:keepLines w:val="0"/>
                    <w:pageBreakBefore w:val="0"/>
                    <w:widowControl w:val="0"/>
                    <w:kinsoku/>
                    <w:wordWrap/>
                    <w:overflowPunct/>
                    <w:topLinePunct w:val="0"/>
                    <w:autoSpaceDE/>
                    <w:autoSpaceDN/>
                    <w:bidi w:val="0"/>
                    <w:spacing w:line="320" w:lineRule="atLeast"/>
                    <w:ind w:left="0" w:leftChars="0" w:right="0" w:rightChars="0" w:firstLine="0" w:firstLineChars="0"/>
                    <w:jc w:val="center"/>
                    <w:textAlignment w:val="auto"/>
                    <w:outlineLvl w:val="9"/>
                    <w:rPr>
                      <w:rFonts w:hint="default" w:ascii="Times New Roman" w:hAnsi="Times New Roman" w:eastAsia="宋体" w:cs="Times New Roman"/>
                      <w:color w:val="auto"/>
                    </w:rPr>
                  </w:pPr>
                </w:p>
              </w:tc>
              <w:tc>
                <w:tcPr>
                  <w:tcW w:w="556" w:type="pct"/>
                  <w:tcBorders>
                    <w:tl2br w:val="nil"/>
                    <w:tr2bl w:val="nil"/>
                  </w:tcBorders>
                  <w:noWrap w:val="0"/>
                  <w:vAlign w:val="center"/>
                </w:tcPr>
                <w:p w14:paraId="4D97E3ED">
                  <w:pPr>
                    <w:keepNext w:val="0"/>
                    <w:keepLines w:val="0"/>
                    <w:pageBreakBefore w:val="0"/>
                    <w:widowControl w:val="0"/>
                    <w:kinsoku/>
                    <w:wordWrap/>
                    <w:overflowPunct/>
                    <w:topLinePunct w:val="0"/>
                    <w:autoSpaceDE/>
                    <w:autoSpaceDN/>
                    <w:bidi w:val="0"/>
                    <w:adjustRightInd w:val="0"/>
                    <w:snapToGrid w:val="0"/>
                    <w:spacing w:line="320" w:lineRule="atLeas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总氮</w:t>
                  </w:r>
                </w:p>
              </w:tc>
              <w:tc>
                <w:tcPr>
                  <w:tcW w:w="1199" w:type="pct"/>
                  <w:tcBorders>
                    <w:tl2br w:val="nil"/>
                    <w:tr2bl w:val="nil"/>
                  </w:tcBorders>
                  <w:noWrap w:val="0"/>
                  <w:vAlign w:val="center"/>
                </w:tcPr>
                <w:p w14:paraId="7FF48B50">
                  <w:pPr>
                    <w:keepNext w:val="0"/>
                    <w:keepLines w:val="0"/>
                    <w:pageBreakBefore w:val="0"/>
                    <w:widowControl w:val="0"/>
                    <w:kinsoku/>
                    <w:wordWrap/>
                    <w:overflowPunct/>
                    <w:topLinePunct w:val="0"/>
                    <w:autoSpaceDE/>
                    <w:autoSpaceDN/>
                    <w:bidi w:val="0"/>
                    <w:spacing w:line="320" w:lineRule="atLeast"/>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2025年</w:t>
                  </w:r>
                  <w:r>
                    <w:rPr>
                      <w:rFonts w:hint="eastAsia" w:cs="Times New Roman"/>
                      <w:b w:val="0"/>
                      <w:bCs w:val="0"/>
                      <w:color w:val="auto"/>
                      <w:sz w:val="21"/>
                      <w:szCs w:val="21"/>
                      <w:lang w:val="en-US" w:eastAsia="zh-CN"/>
                    </w:rPr>
                    <w:t>12</w:t>
                  </w:r>
                  <w:r>
                    <w:rPr>
                      <w:rFonts w:hint="eastAsia" w:ascii="Times New Roman" w:hAnsi="Times New Roman" w:eastAsia="宋体" w:cs="Times New Roman"/>
                      <w:b w:val="0"/>
                      <w:bCs w:val="0"/>
                      <w:color w:val="auto"/>
                      <w:sz w:val="21"/>
                      <w:szCs w:val="21"/>
                      <w:lang w:val="en-US" w:eastAsia="zh-CN"/>
                    </w:rPr>
                    <w:t>月2</w:t>
                  </w:r>
                  <w:r>
                    <w:rPr>
                      <w:rFonts w:hint="eastAsia" w:cs="Times New Roman"/>
                      <w:b w:val="0"/>
                      <w:bCs w:val="0"/>
                      <w:color w:val="auto"/>
                      <w:sz w:val="21"/>
                      <w:szCs w:val="21"/>
                      <w:lang w:val="en-US" w:eastAsia="zh-CN"/>
                    </w:rPr>
                    <w:t>2</w:t>
                  </w:r>
                  <w:r>
                    <w:rPr>
                      <w:rFonts w:hint="eastAsia" w:ascii="Times New Roman" w:hAnsi="Times New Roman" w:eastAsia="宋体" w:cs="Times New Roman"/>
                      <w:b w:val="0"/>
                      <w:bCs w:val="0"/>
                      <w:color w:val="auto"/>
                      <w:sz w:val="21"/>
                      <w:szCs w:val="21"/>
                      <w:lang w:val="en-US" w:eastAsia="zh-CN"/>
                    </w:rPr>
                    <w:t>日</w:t>
                  </w:r>
                </w:p>
              </w:tc>
              <w:tc>
                <w:tcPr>
                  <w:tcW w:w="702" w:type="pct"/>
                  <w:tcBorders>
                    <w:tl2br w:val="nil"/>
                    <w:tr2bl w:val="nil"/>
                  </w:tcBorders>
                  <w:noWrap w:val="0"/>
                  <w:vAlign w:val="center"/>
                </w:tcPr>
                <w:p w14:paraId="0C370F4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6.82</w:t>
                  </w:r>
                </w:p>
              </w:tc>
              <w:tc>
                <w:tcPr>
                  <w:tcW w:w="702" w:type="pct"/>
                  <w:tcBorders>
                    <w:tl2br w:val="nil"/>
                    <w:tr2bl w:val="nil"/>
                  </w:tcBorders>
                  <w:noWrap w:val="0"/>
                  <w:vAlign w:val="center"/>
                </w:tcPr>
                <w:p w14:paraId="2C4B6B4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8.72</w:t>
                  </w:r>
                </w:p>
              </w:tc>
              <w:tc>
                <w:tcPr>
                  <w:tcW w:w="711" w:type="pct"/>
                  <w:tcBorders>
                    <w:tl2br w:val="nil"/>
                    <w:tr2bl w:val="nil"/>
                  </w:tcBorders>
                  <w:noWrap w:val="0"/>
                  <w:vAlign w:val="center"/>
                </w:tcPr>
                <w:p w14:paraId="1E06056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7.85</w:t>
                  </w:r>
                </w:p>
              </w:tc>
              <w:tc>
                <w:tcPr>
                  <w:tcW w:w="657" w:type="pct"/>
                  <w:tcBorders>
                    <w:tl2br w:val="nil"/>
                    <w:tr2bl w:val="nil"/>
                  </w:tcBorders>
                  <w:noWrap w:val="0"/>
                  <w:vAlign w:val="center"/>
                </w:tcPr>
                <w:p w14:paraId="1881B48A">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eastAsia="宋体"/>
                      <w:color w:val="auto"/>
                      <w:lang w:val="en-US" w:eastAsia="zh-CN"/>
                    </w:rPr>
                    <w:t>50</w:t>
                  </w:r>
                </w:p>
              </w:tc>
            </w:tr>
          </w:tbl>
          <w:p w14:paraId="44D6FCBA">
            <w:pPr>
              <w:keepNext w:val="0"/>
              <w:keepLines w:val="0"/>
              <w:pageBreakBefore w:val="0"/>
              <w:widowControl w:val="0"/>
              <w:kinsoku/>
              <w:wordWrap/>
              <w:overflowPunct/>
              <w:topLinePunct w:val="0"/>
              <w:autoSpaceDE w:val="0"/>
              <w:autoSpaceDN w:val="0"/>
              <w:bidi w:val="0"/>
              <w:adjustRightInd w:val="0"/>
              <w:snapToGrid w:val="0"/>
              <w:spacing w:line="500" w:lineRule="exact"/>
              <w:ind w:firstLine="420" w:firstLineChars="200"/>
              <w:textAlignment w:val="auto"/>
              <w:rPr>
                <w:color w:val="auto"/>
                <w:sz w:val="21"/>
                <w:szCs w:val="21"/>
              </w:rPr>
            </w:pPr>
            <w:r>
              <w:rPr>
                <w:color w:val="auto"/>
                <w:sz w:val="21"/>
                <w:szCs w:val="21"/>
              </w:rPr>
              <w:t>上表中监测数据表明企业</w:t>
            </w:r>
            <w:r>
              <w:rPr>
                <w:rFonts w:hint="eastAsia"/>
                <w:color w:val="auto"/>
                <w:sz w:val="21"/>
                <w:szCs w:val="21"/>
                <w:lang w:val="en-US" w:eastAsia="zh-CN"/>
              </w:rPr>
              <w:t>生活污水</w:t>
            </w:r>
            <w:r>
              <w:rPr>
                <w:rFonts w:hint="eastAsia"/>
                <w:color w:val="auto"/>
                <w:sz w:val="21"/>
                <w:szCs w:val="21"/>
              </w:rPr>
              <w:t>各污染物水质</w:t>
            </w:r>
            <w:r>
              <w:rPr>
                <w:color w:val="auto"/>
                <w:sz w:val="21"/>
                <w:szCs w:val="21"/>
              </w:rPr>
              <w:t>在检测期间能够</w:t>
            </w:r>
            <w:r>
              <w:rPr>
                <w:rFonts w:hint="eastAsia"/>
                <w:color w:val="auto"/>
                <w:sz w:val="21"/>
                <w:szCs w:val="21"/>
              </w:rPr>
              <w:t>满足</w:t>
            </w:r>
            <w:r>
              <w:rPr>
                <w:color w:val="auto"/>
                <w:sz w:val="21"/>
                <w:szCs w:val="21"/>
              </w:rPr>
              <w:t>常州金坛区第二污水处理有限公司</w:t>
            </w:r>
            <w:r>
              <w:rPr>
                <w:rFonts w:hint="eastAsia"/>
                <w:color w:val="auto"/>
                <w:sz w:val="21"/>
                <w:szCs w:val="21"/>
              </w:rPr>
              <w:t>污水接管要求</w:t>
            </w:r>
            <w:r>
              <w:rPr>
                <w:color w:val="auto"/>
                <w:sz w:val="21"/>
                <w:szCs w:val="21"/>
              </w:rPr>
              <w:t>。</w:t>
            </w:r>
          </w:p>
          <w:p w14:paraId="6E260C3B">
            <w:pPr>
              <w:keepNext w:val="0"/>
              <w:keepLines w:val="0"/>
              <w:pageBreakBefore w:val="0"/>
              <w:widowControl w:val="0"/>
              <w:kinsoku/>
              <w:wordWrap/>
              <w:overflowPunct/>
              <w:topLinePunct w:val="0"/>
              <w:bidi w:val="0"/>
              <w:adjustRightInd w:val="0"/>
              <w:snapToGrid w:val="0"/>
              <w:spacing w:line="500" w:lineRule="exact"/>
              <w:ind w:firstLine="420" w:firstLineChars="200"/>
              <w:textAlignment w:val="auto"/>
              <w:rPr>
                <w:color w:val="auto"/>
                <w:sz w:val="21"/>
                <w:szCs w:val="21"/>
              </w:rPr>
            </w:pPr>
            <w:r>
              <w:rPr>
                <w:color w:val="auto"/>
                <w:sz w:val="21"/>
                <w:szCs w:val="21"/>
              </w:rPr>
              <w:t>②废气</w:t>
            </w:r>
          </w:p>
          <w:p w14:paraId="7774C55C">
            <w:pPr>
              <w:keepNext w:val="0"/>
              <w:keepLines w:val="0"/>
              <w:pageBreakBefore w:val="0"/>
              <w:widowControl w:val="0"/>
              <w:kinsoku/>
              <w:wordWrap/>
              <w:overflowPunct/>
              <w:topLinePunct w:val="0"/>
              <w:autoSpaceDE w:val="0"/>
              <w:autoSpaceDN w:val="0"/>
              <w:bidi w:val="0"/>
              <w:adjustRightInd w:val="0"/>
              <w:snapToGrid w:val="0"/>
              <w:spacing w:line="500" w:lineRule="exact"/>
              <w:ind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已建</w:t>
            </w:r>
            <w:r>
              <w:rPr>
                <w:rFonts w:ascii="Times New Roman" w:hAnsi="Times New Roman" w:eastAsia="宋体" w:cs="Times New Roman"/>
                <w:color w:val="auto"/>
                <w:sz w:val="21"/>
                <w:szCs w:val="21"/>
              </w:rPr>
              <w:t>项目</w:t>
            </w:r>
            <w:r>
              <w:rPr>
                <w:rFonts w:hint="eastAsia" w:ascii="Times New Roman" w:hAnsi="Times New Roman" w:eastAsia="宋体" w:cs="Times New Roman"/>
                <w:color w:val="auto"/>
                <w:sz w:val="21"/>
                <w:szCs w:val="21"/>
              </w:rPr>
              <w:t>厂房一</w:t>
            </w:r>
            <w:r>
              <w:rPr>
                <w:rFonts w:hint="eastAsia" w:ascii="Times New Roman" w:hAnsi="Times New Roman" w:eastAsia="宋体" w:cs="Times New Roman"/>
                <w:color w:val="auto"/>
                <w:sz w:val="21"/>
                <w:szCs w:val="21"/>
                <w:lang w:val="en-US" w:eastAsia="zh-CN"/>
              </w:rPr>
              <w:t>12条</w:t>
            </w:r>
            <w:r>
              <w:rPr>
                <w:rFonts w:hint="default" w:ascii="Times New Roman" w:hAnsi="Times New Roman" w:eastAsia="宋体" w:cs="Times New Roman"/>
                <w:color w:val="auto"/>
                <w:sz w:val="21"/>
                <w:szCs w:val="21"/>
                <w:lang w:val="en-US" w:eastAsia="zh-CN"/>
              </w:rPr>
              <w:t>EVA胶膜生产线</w:t>
            </w:r>
            <w:r>
              <w:rPr>
                <w:rFonts w:ascii="Times New Roman" w:hAnsi="Times New Roman" w:eastAsia="宋体" w:cs="Times New Roman"/>
                <w:color w:val="auto"/>
                <w:sz w:val="21"/>
                <w:szCs w:val="21"/>
              </w:rPr>
              <w:t>流延成膜废气经集气罩收集后，经二级活性炭吸附装置处理，尾气通过</w:t>
            </w:r>
            <w:r>
              <w:rPr>
                <w:rFonts w:hint="eastAsia" w:ascii="Times New Roman" w:hAnsi="Times New Roman" w:eastAsia="宋体" w:cs="Times New Roman"/>
                <w:color w:val="auto"/>
                <w:sz w:val="21"/>
                <w:szCs w:val="21"/>
              </w:rPr>
              <w:t>1</w:t>
            </w:r>
            <w:r>
              <w:rPr>
                <w:rFonts w:ascii="Times New Roman" w:hAnsi="Times New Roman" w:eastAsia="宋体" w:cs="Times New Roman"/>
                <w:color w:val="auto"/>
                <w:sz w:val="21"/>
                <w:szCs w:val="21"/>
              </w:rPr>
              <w:t>根15米高排气筒(P1)排放</w:t>
            </w:r>
            <w:r>
              <w:rPr>
                <w:rFonts w:hint="eastAsia" w:cs="Times New Roman"/>
                <w:color w:val="auto"/>
                <w:sz w:val="21"/>
                <w:szCs w:val="21"/>
                <w:lang w:eastAsia="zh-CN"/>
              </w:rPr>
              <w:t>；</w:t>
            </w:r>
            <w:r>
              <w:rPr>
                <w:rFonts w:hint="eastAsia" w:cs="Times New Roman"/>
                <w:color w:val="auto"/>
                <w:sz w:val="21"/>
                <w:szCs w:val="21"/>
                <w:lang w:val="en-US" w:eastAsia="zh-CN"/>
              </w:rPr>
              <w:t>车间三</w:t>
            </w:r>
            <w:r>
              <w:rPr>
                <w:rFonts w:hint="eastAsia"/>
                <w:color w:val="auto"/>
              </w:rPr>
              <w:t>5条</w:t>
            </w:r>
            <w:r>
              <w:rPr>
                <w:color w:val="auto"/>
              </w:rPr>
              <w:t>塑料粒子生产线</w:t>
            </w:r>
            <w:r>
              <w:rPr>
                <w:rFonts w:hint="eastAsia" w:ascii="Times New Roman" w:hAnsi="Times New Roman" w:eastAsia="宋体" w:cs="Times New Roman"/>
                <w:color w:val="auto"/>
                <w:sz w:val="21"/>
                <w:szCs w:val="21"/>
              </w:rPr>
              <w:t>挤出</w:t>
            </w:r>
            <w:r>
              <w:rPr>
                <w:rFonts w:ascii="Times New Roman" w:hAnsi="Times New Roman" w:eastAsia="宋体" w:cs="Times New Roman"/>
                <w:color w:val="auto"/>
                <w:sz w:val="21"/>
                <w:szCs w:val="21"/>
              </w:rPr>
              <w:t>废气经集气罩收集后，经二级活性炭吸附装置处理，尾气通过1根15m高排气筒（P2）排放</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厂房二</w:t>
            </w:r>
            <w:r>
              <w:rPr>
                <w:rFonts w:hint="eastAsia" w:cs="Times New Roman"/>
                <w:color w:val="auto"/>
                <w:sz w:val="21"/>
                <w:szCs w:val="21"/>
                <w:lang w:val="en-US" w:eastAsia="zh-CN"/>
              </w:rPr>
              <w:t>8</w:t>
            </w:r>
            <w:r>
              <w:rPr>
                <w:rFonts w:hint="eastAsia" w:ascii="Times New Roman" w:hAnsi="Times New Roman" w:eastAsia="宋体" w:cs="Times New Roman"/>
                <w:color w:val="auto"/>
                <w:sz w:val="21"/>
                <w:szCs w:val="21"/>
                <w:lang w:val="en-US" w:eastAsia="zh-CN"/>
              </w:rPr>
              <w:t>条</w:t>
            </w:r>
            <w:r>
              <w:rPr>
                <w:rFonts w:hint="default" w:ascii="Times New Roman" w:hAnsi="Times New Roman" w:eastAsia="宋体" w:cs="Times New Roman"/>
                <w:color w:val="auto"/>
                <w:sz w:val="21"/>
                <w:szCs w:val="21"/>
                <w:lang w:val="en-US" w:eastAsia="zh-CN"/>
              </w:rPr>
              <w:t>EVA胶膜生产线流延成膜废气经集气罩收集后，经二级活性炭吸附装置处理，尾气通过1根15米高排气筒(P</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）排放</w:t>
            </w:r>
            <w:r>
              <w:rPr>
                <w:rFonts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车间四</w:t>
            </w:r>
            <w:r>
              <w:rPr>
                <w:rFonts w:hint="eastAsia" w:cs="Times New Roman"/>
                <w:color w:val="auto"/>
                <w:sz w:val="21"/>
                <w:szCs w:val="21"/>
                <w:lang w:val="en-US" w:eastAsia="zh-CN"/>
              </w:rPr>
              <w:t>9</w:t>
            </w:r>
            <w:r>
              <w:rPr>
                <w:rFonts w:hint="eastAsia" w:ascii="Times New Roman" w:hAnsi="Times New Roman" w:eastAsia="宋体" w:cs="Times New Roman"/>
                <w:color w:val="auto"/>
                <w:sz w:val="21"/>
                <w:szCs w:val="21"/>
                <w:lang w:val="en-US" w:eastAsia="zh-CN"/>
              </w:rPr>
              <w:t>条</w:t>
            </w:r>
            <w:r>
              <w:rPr>
                <w:rFonts w:hint="default" w:ascii="Times New Roman" w:hAnsi="Times New Roman" w:eastAsia="宋体" w:cs="Times New Roman"/>
                <w:color w:val="auto"/>
                <w:sz w:val="21"/>
                <w:szCs w:val="21"/>
                <w:lang w:val="en-US" w:eastAsia="zh-CN"/>
              </w:rPr>
              <w:t>EVA胶膜生产线流延成膜废气经集气罩收集后，</w:t>
            </w:r>
            <w:r>
              <w:rPr>
                <w:rFonts w:hint="eastAsia" w:cs="Times New Roman"/>
                <w:color w:val="auto"/>
                <w:sz w:val="21"/>
                <w:szCs w:val="21"/>
                <w:lang w:val="en-US" w:eastAsia="zh-CN"/>
              </w:rPr>
              <w:t>分别</w:t>
            </w:r>
            <w:r>
              <w:rPr>
                <w:rFonts w:hint="default" w:ascii="Times New Roman" w:hAnsi="Times New Roman" w:eastAsia="宋体" w:cs="Times New Roman"/>
                <w:color w:val="auto"/>
                <w:sz w:val="21"/>
                <w:szCs w:val="21"/>
                <w:lang w:val="en-US" w:eastAsia="zh-CN"/>
              </w:rPr>
              <w:t>经</w:t>
            </w:r>
            <w:r>
              <w:rPr>
                <w:rFonts w:hint="eastAsia" w:cs="Times New Roman"/>
                <w:color w:val="auto"/>
                <w:sz w:val="21"/>
                <w:szCs w:val="21"/>
                <w:lang w:val="en-US" w:eastAsia="zh-CN"/>
              </w:rPr>
              <w:t>2套</w:t>
            </w:r>
            <w:r>
              <w:rPr>
                <w:rFonts w:hint="default" w:ascii="Times New Roman" w:hAnsi="Times New Roman" w:eastAsia="宋体" w:cs="Times New Roman"/>
                <w:color w:val="auto"/>
                <w:sz w:val="21"/>
                <w:szCs w:val="21"/>
                <w:lang w:val="en-US" w:eastAsia="zh-CN"/>
              </w:rPr>
              <w:t>二级活性炭吸附装置处理，尾气通过</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根</w:t>
            </w:r>
            <w:r>
              <w:rPr>
                <w:rFonts w:hint="eastAsia" w:cs="Times New Roman"/>
                <w:color w:val="auto"/>
                <w:sz w:val="21"/>
                <w:szCs w:val="21"/>
                <w:lang w:val="en-US" w:eastAsia="zh-CN"/>
              </w:rPr>
              <w:t>25</w:t>
            </w:r>
            <w:r>
              <w:rPr>
                <w:rFonts w:hint="default" w:ascii="Times New Roman" w:hAnsi="Times New Roman" w:eastAsia="宋体" w:cs="Times New Roman"/>
                <w:color w:val="auto"/>
                <w:sz w:val="21"/>
                <w:szCs w:val="21"/>
                <w:lang w:val="en-US" w:eastAsia="zh-CN"/>
              </w:rPr>
              <w:t>米高排气筒(P</w:t>
            </w:r>
            <w:r>
              <w:rPr>
                <w:rFonts w:hint="eastAsia" w:ascii="Times New Roman" w:hAnsi="Times New Roman" w:eastAsia="宋体" w:cs="Times New Roman"/>
                <w:color w:val="auto"/>
                <w:sz w:val="21"/>
                <w:szCs w:val="21"/>
                <w:lang w:val="en-US" w:eastAsia="zh-CN"/>
              </w:rPr>
              <w:t>4</w:t>
            </w:r>
            <w:r>
              <w:rPr>
                <w:rFonts w:hint="eastAsia" w:cs="Times New Roman"/>
                <w:color w:val="auto"/>
                <w:sz w:val="21"/>
                <w:szCs w:val="21"/>
                <w:lang w:val="en-US" w:eastAsia="zh-CN"/>
              </w:rPr>
              <w:t>、P5</w:t>
            </w:r>
            <w:r>
              <w:rPr>
                <w:rFonts w:hint="default" w:ascii="Times New Roman" w:hAnsi="Times New Roman" w:eastAsia="宋体" w:cs="Times New Roman"/>
                <w:color w:val="auto"/>
                <w:sz w:val="21"/>
                <w:szCs w:val="21"/>
                <w:lang w:val="en-US" w:eastAsia="zh-CN"/>
              </w:rPr>
              <w:t>）排放</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车间三2</w:t>
            </w:r>
            <w:r>
              <w:rPr>
                <w:rFonts w:hint="eastAsia" w:ascii="Times New Roman" w:hAnsi="Times New Roman" w:eastAsia="宋体" w:cs="Times New Roman"/>
                <w:color w:val="auto"/>
                <w:sz w:val="21"/>
                <w:szCs w:val="21"/>
                <w:lang w:val="en-US" w:eastAsia="zh-CN"/>
              </w:rPr>
              <w:t>条</w:t>
            </w:r>
            <w:r>
              <w:rPr>
                <w:rFonts w:hint="eastAsia"/>
                <w:color w:val="auto"/>
                <w:sz w:val="21"/>
                <w:szCs w:val="21"/>
              </w:rPr>
              <w:t>热熔胶</w:t>
            </w:r>
            <w:r>
              <w:rPr>
                <w:rFonts w:hint="default" w:ascii="Times New Roman" w:hAnsi="Times New Roman" w:eastAsia="宋体" w:cs="Times New Roman"/>
                <w:color w:val="auto"/>
                <w:sz w:val="21"/>
                <w:szCs w:val="21"/>
                <w:lang w:val="en-US" w:eastAsia="zh-CN"/>
              </w:rPr>
              <w:t>生产线</w:t>
            </w:r>
            <w:r>
              <w:rPr>
                <w:rFonts w:hint="eastAsia" w:cs="Times New Roman"/>
                <w:color w:val="auto"/>
                <w:sz w:val="21"/>
                <w:szCs w:val="21"/>
                <w:lang w:val="en-US" w:eastAsia="zh-CN"/>
              </w:rPr>
              <w:t>挤出</w:t>
            </w:r>
            <w:r>
              <w:rPr>
                <w:rFonts w:hint="default" w:ascii="Times New Roman" w:hAnsi="Times New Roman" w:eastAsia="宋体" w:cs="Times New Roman"/>
                <w:color w:val="auto"/>
                <w:sz w:val="21"/>
                <w:szCs w:val="21"/>
                <w:lang w:val="en-US" w:eastAsia="zh-CN"/>
              </w:rPr>
              <w:t>废气经集气罩收集后，经二级活性炭吸附装置处理，尾气通过1根15米高排气筒(P</w:t>
            </w:r>
            <w:r>
              <w:rPr>
                <w:rFonts w:hint="eastAsia"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）排放</w:t>
            </w:r>
            <w:r>
              <w:rPr>
                <w:rFonts w:hint="eastAsia" w:ascii="Times New Roman" w:hAnsi="Times New Roman" w:eastAsia="宋体" w:cs="Times New Roman"/>
                <w:color w:val="auto"/>
                <w:sz w:val="21"/>
                <w:szCs w:val="21"/>
                <w:lang w:eastAsia="zh-CN"/>
              </w:rPr>
              <w:t>。</w:t>
            </w:r>
          </w:p>
          <w:p w14:paraId="70A825AF">
            <w:pPr>
              <w:keepNext w:val="0"/>
              <w:keepLines w:val="0"/>
              <w:pageBreakBefore w:val="0"/>
              <w:widowControl w:val="0"/>
              <w:kinsoku/>
              <w:wordWrap/>
              <w:overflowPunct/>
              <w:topLinePunct w:val="0"/>
              <w:bidi w:val="0"/>
              <w:adjustRightInd w:val="0"/>
              <w:snapToGrid w:val="0"/>
              <w:spacing w:line="500" w:lineRule="exact"/>
              <w:ind w:firstLine="420" w:firstLineChars="200"/>
              <w:textAlignment w:val="auto"/>
              <w:rPr>
                <w:color w:val="auto"/>
                <w:sz w:val="21"/>
                <w:szCs w:val="21"/>
              </w:rPr>
            </w:pPr>
            <w:r>
              <w:rPr>
                <w:color w:val="auto"/>
                <w:sz w:val="21"/>
                <w:szCs w:val="21"/>
              </w:rPr>
              <w:t>未捕集的流延成膜有机废气于</w:t>
            </w:r>
            <w:r>
              <w:rPr>
                <w:rFonts w:hint="eastAsia"/>
                <w:color w:val="auto"/>
                <w:sz w:val="21"/>
                <w:szCs w:val="21"/>
              </w:rPr>
              <w:t>厂房一</w:t>
            </w:r>
            <w:r>
              <w:rPr>
                <w:rFonts w:hint="eastAsia"/>
                <w:color w:val="auto"/>
                <w:sz w:val="21"/>
                <w:szCs w:val="21"/>
                <w:lang w:eastAsia="zh-CN"/>
              </w:rPr>
              <w:t>、</w:t>
            </w:r>
            <w:r>
              <w:rPr>
                <w:rFonts w:hint="eastAsia"/>
                <w:color w:val="auto"/>
                <w:sz w:val="21"/>
                <w:szCs w:val="21"/>
              </w:rPr>
              <w:t>厂房</w:t>
            </w:r>
            <w:r>
              <w:rPr>
                <w:rFonts w:hint="eastAsia"/>
                <w:color w:val="auto"/>
                <w:sz w:val="21"/>
                <w:szCs w:val="21"/>
                <w:lang w:val="en-US" w:eastAsia="zh-CN"/>
              </w:rPr>
              <w:t>二、车间四</w:t>
            </w:r>
            <w:r>
              <w:rPr>
                <w:color w:val="auto"/>
                <w:sz w:val="21"/>
                <w:szCs w:val="21"/>
              </w:rPr>
              <w:t>无组织排放</w:t>
            </w:r>
            <w:r>
              <w:rPr>
                <w:rFonts w:hint="eastAsia"/>
                <w:color w:val="auto"/>
                <w:sz w:val="21"/>
                <w:szCs w:val="21"/>
              </w:rPr>
              <w:t>,</w:t>
            </w:r>
            <w:r>
              <w:rPr>
                <w:color w:val="auto"/>
                <w:sz w:val="21"/>
                <w:szCs w:val="21"/>
              </w:rPr>
              <w:t>未捕集的加热</w:t>
            </w:r>
            <w:r>
              <w:rPr>
                <w:rFonts w:hint="eastAsia"/>
                <w:color w:val="auto"/>
                <w:sz w:val="21"/>
                <w:szCs w:val="21"/>
              </w:rPr>
              <w:t>挤出</w:t>
            </w:r>
            <w:r>
              <w:rPr>
                <w:color w:val="auto"/>
                <w:sz w:val="21"/>
                <w:szCs w:val="21"/>
              </w:rPr>
              <w:t>有机废气于</w:t>
            </w:r>
            <w:r>
              <w:rPr>
                <w:rFonts w:hint="eastAsia"/>
                <w:color w:val="auto"/>
                <w:sz w:val="21"/>
                <w:szCs w:val="21"/>
                <w:lang w:val="en-US" w:eastAsia="zh-CN"/>
              </w:rPr>
              <w:t>车间三</w:t>
            </w:r>
            <w:r>
              <w:rPr>
                <w:color w:val="auto"/>
                <w:sz w:val="21"/>
                <w:szCs w:val="21"/>
              </w:rPr>
              <w:t>无组织排放。</w:t>
            </w:r>
          </w:p>
          <w:p w14:paraId="708B0879">
            <w:pPr>
              <w:keepNext w:val="0"/>
              <w:keepLines w:val="0"/>
              <w:pageBreakBefore w:val="0"/>
              <w:widowControl w:val="0"/>
              <w:kinsoku/>
              <w:wordWrap/>
              <w:overflowPunct/>
              <w:topLinePunct w:val="0"/>
              <w:bidi w:val="0"/>
              <w:adjustRightInd w:val="0"/>
              <w:snapToGrid w:val="0"/>
              <w:spacing w:line="500" w:lineRule="exact"/>
              <w:ind w:firstLine="420" w:firstLineChars="200"/>
              <w:textAlignment w:val="auto"/>
              <w:rPr>
                <w:color w:val="auto"/>
                <w:sz w:val="21"/>
                <w:szCs w:val="21"/>
              </w:rPr>
            </w:pPr>
            <w:r>
              <w:rPr>
                <w:color w:val="auto"/>
                <w:sz w:val="21"/>
                <w:szCs w:val="21"/>
              </w:rPr>
              <w:t>根据</w:t>
            </w:r>
            <w:r>
              <w:rPr>
                <w:rFonts w:hint="eastAsia"/>
                <w:color w:val="auto"/>
                <w:sz w:val="21"/>
                <w:szCs w:val="21"/>
              </w:rPr>
              <w:t>验收监测及</w:t>
            </w:r>
            <w:r>
              <w:rPr>
                <w:color w:val="auto"/>
                <w:sz w:val="21"/>
                <w:szCs w:val="21"/>
              </w:rPr>
              <w:t>例行监测报告，现有项目废气排放情况</w:t>
            </w:r>
            <w:r>
              <w:rPr>
                <w:rFonts w:hint="eastAsia"/>
                <w:color w:val="auto"/>
                <w:sz w:val="21"/>
                <w:szCs w:val="21"/>
                <w:lang w:eastAsia="zh-CN"/>
              </w:rPr>
              <w:t>如</w:t>
            </w:r>
            <w:r>
              <w:rPr>
                <w:color w:val="auto"/>
                <w:sz w:val="21"/>
                <w:szCs w:val="21"/>
              </w:rPr>
              <w:t>表2-</w:t>
            </w:r>
            <w:r>
              <w:rPr>
                <w:rFonts w:hint="eastAsia"/>
                <w:color w:val="auto"/>
                <w:sz w:val="21"/>
                <w:szCs w:val="21"/>
              </w:rPr>
              <w:t>1</w:t>
            </w:r>
            <w:r>
              <w:rPr>
                <w:rFonts w:hint="eastAsia"/>
                <w:color w:val="auto"/>
                <w:sz w:val="21"/>
                <w:szCs w:val="21"/>
                <w:lang w:val="en-US" w:eastAsia="zh-CN"/>
              </w:rPr>
              <w:t>3</w:t>
            </w:r>
            <w:r>
              <w:rPr>
                <w:color w:val="auto"/>
                <w:sz w:val="21"/>
                <w:szCs w:val="21"/>
              </w:rPr>
              <w:t>~2-</w:t>
            </w:r>
            <w:r>
              <w:rPr>
                <w:rFonts w:hint="eastAsia"/>
                <w:color w:val="auto"/>
                <w:sz w:val="21"/>
                <w:szCs w:val="21"/>
              </w:rPr>
              <w:t>1</w:t>
            </w:r>
            <w:r>
              <w:rPr>
                <w:rFonts w:hint="eastAsia"/>
                <w:color w:val="auto"/>
                <w:sz w:val="21"/>
                <w:szCs w:val="21"/>
                <w:lang w:val="en-US" w:eastAsia="zh-CN"/>
              </w:rPr>
              <w:t>4</w:t>
            </w:r>
            <w:r>
              <w:rPr>
                <w:color w:val="auto"/>
                <w:sz w:val="21"/>
                <w:szCs w:val="21"/>
              </w:rPr>
              <w:t>所示。</w:t>
            </w:r>
          </w:p>
          <w:p w14:paraId="6ED47D1A">
            <w:pPr>
              <w:pStyle w:val="9"/>
              <w:keepNext w:val="0"/>
              <w:keepLines w:val="0"/>
              <w:pageBreakBefore w:val="0"/>
              <w:widowControl/>
              <w:kinsoku/>
              <w:wordWrap/>
              <w:overflowPunct/>
              <w:topLinePunct w:val="0"/>
              <w:autoSpaceDE/>
              <w:autoSpaceDN/>
              <w:bidi w:val="0"/>
              <w:adjustRightInd/>
              <w:snapToGrid w:val="0"/>
              <w:spacing w:before="0" w:after="0" w:line="500" w:lineRule="exact"/>
              <w:ind w:right="0"/>
              <w:jc w:val="center"/>
              <w:textAlignment w:val="auto"/>
              <w:rPr>
                <w:b/>
                <w:bCs/>
                <w:color w:val="auto"/>
                <w:sz w:val="21"/>
                <w:szCs w:val="21"/>
                <w:lang w:val="en-US" w:eastAsia="zh-CN"/>
              </w:rPr>
            </w:pPr>
            <w:r>
              <w:rPr>
                <w:b/>
                <w:bCs/>
                <w:color w:val="auto"/>
                <w:sz w:val="21"/>
                <w:szCs w:val="21"/>
                <w:lang w:val="en-US" w:eastAsia="zh-CN"/>
              </w:rPr>
              <w:t>表2-</w:t>
            </w:r>
            <w:r>
              <w:rPr>
                <w:rFonts w:hint="eastAsia"/>
                <w:b/>
                <w:bCs/>
                <w:color w:val="auto"/>
                <w:sz w:val="21"/>
                <w:szCs w:val="21"/>
                <w:lang w:val="en-US" w:eastAsia="zh-CN"/>
              </w:rPr>
              <w:t>13</w:t>
            </w:r>
            <w:r>
              <w:rPr>
                <w:b/>
                <w:bCs/>
                <w:color w:val="auto"/>
                <w:sz w:val="21"/>
                <w:szCs w:val="21"/>
                <w:lang w:val="en-US" w:eastAsia="zh-CN"/>
              </w:rPr>
              <w:t xml:space="preserve"> 现有项目有组织废气污染物实际排放情况一览表</w:t>
            </w:r>
          </w:p>
          <w:tbl>
            <w:tblPr>
              <w:tblStyle w:val="3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5"/>
              <w:gridCol w:w="2210"/>
              <w:gridCol w:w="2210"/>
              <w:gridCol w:w="754"/>
              <w:gridCol w:w="736"/>
              <w:gridCol w:w="784"/>
              <w:gridCol w:w="505"/>
            </w:tblGrid>
            <w:tr w14:paraId="793502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7" w:type="pct"/>
                  <w:vMerge w:val="restart"/>
                  <w:noWrap w:val="0"/>
                  <w:tcMar>
                    <w:left w:w="28" w:type="dxa"/>
                    <w:right w:w="28" w:type="dxa"/>
                  </w:tcMar>
                  <w:vAlign w:val="center"/>
                </w:tcPr>
                <w:p w14:paraId="06EB4FFC">
                  <w:pPr>
                    <w:adjustRightInd w:val="0"/>
                    <w:snapToGrid w:val="0"/>
                    <w:jc w:val="center"/>
                    <w:rPr>
                      <w:b/>
                      <w:bCs/>
                      <w:color w:val="auto"/>
                      <w:sz w:val="21"/>
                      <w:szCs w:val="21"/>
                    </w:rPr>
                  </w:pPr>
                  <w:r>
                    <w:rPr>
                      <w:b/>
                      <w:bCs/>
                      <w:color w:val="auto"/>
                      <w:sz w:val="21"/>
                      <w:szCs w:val="21"/>
                    </w:rPr>
                    <w:t>监测日期</w:t>
                  </w:r>
                </w:p>
              </w:tc>
              <w:tc>
                <w:tcPr>
                  <w:tcW w:w="1348" w:type="pct"/>
                  <w:vMerge w:val="restart"/>
                  <w:noWrap w:val="0"/>
                  <w:tcMar>
                    <w:left w:w="28" w:type="dxa"/>
                    <w:right w:w="28" w:type="dxa"/>
                  </w:tcMar>
                  <w:vAlign w:val="center"/>
                </w:tcPr>
                <w:p w14:paraId="643B0098">
                  <w:pPr>
                    <w:adjustRightInd w:val="0"/>
                    <w:snapToGrid w:val="0"/>
                    <w:jc w:val="center"/>
                    <w:rPr>
                      <w:b/>
                      <w:bCs/>
                      <w:color w:val="auto"/>
                      <w:sz w:val="21"/>
                      <w:szCs w:val="21"/>
                    </w:rPr>
                  </w:pPr>
                  <w:r>
                    <w:rPr>
                      <w:b/>
                      <w:bCs/>
                      <w:color w:val="auto"/>
                      <w:sz w:val="21"/>
                      <w:szCs w:val="21"/>
                    </w:rPr>
                    <w:t>监测点位</w:t>
                  </w:r>
                </w:p>
              </w:tc>
              <w:tc>
                <w:tcPr>
                  <w:tcW w:w="1348" w:type="pct"/>
                  <w:vMerge w:val="restart"/>
                  <w:noWrap w:val="0"/>
                  <w:tcMar>
                    <w:left w:w="28" w:type="dxa"/>
                    <w:right w:w="28" w:type="dxa"/>
                  </w:tcMar>
                  <w:vAlign w:val="center"/>
                </w:tcPr>
                <w:p w14:paraId="4AB20700">
                  <w:pPr>
                    <w:adjustRightInd w:val="0"/>
                    <w:snapToGrid w:val="0"/>
                    <w:jc w:val="center"/>
                    <w:rPr>
                      <w:b/>
                      <w:bCs/>
                      <w:color w:val="auto"/>
                      <w:sz w:val="21"/>
                      <w:szCs w:val="21"/>
                    </w:rPr>
                  </w:pPr>
                  <w:r>
                    <w:rPr>
                      <w:b/>
                      <w:bCs/>
                      <w:color w:val="auto"/>
                      <w:sz w:val="21"/>
                      <w:szCs w:val="21"/>
                    </w:rPr>
                    <w:t>监测项目</w:t>
                  </w:r>
                </w:p>
              </w:tc>
              <w:tc>
                <w:tcPr>
                  <w:tcW w:w="1387" w:type="pct"/>
                  <w:gridSpan w:val="3"/>
                  <w:noWrap w:val="0"/>
                  <w:tcMar>
                    <w:left w:w="28" w:type="dxa"/>
                    <w:right w:w="28" w:type="dxa"/>
                  </w:tcMar>
                  <w:vAlign w:val="center"/>
                </w:tcPr>
                <w:p w14:paraId="448D5B10">
                  <w:pPr>
                    <w:adjustRightInd w:val="0"/>
                    <w:snapToGrid w:val="0"/>
                    <w:jc w:val="center"/>
                    <w:rPr>
                      <w:b/>
                      <w:bCs/>
                      <w:color w:val="auto"/>
                      <w:sz w:val="21"/>
                      <w:szCs w:val="21"/>
                    </w:rPr>
                  </w:pPr>
                  <w:r>
                    <w:rPr>
                      <w:b/>
                      <w:bCs/>
                      <w:color w:val="auto"/>
                      <w:sz w:val="21"/>
                      <w:szCs w:val="21"/>
                    </w:rPr>
                    <w:t>监测结果</w:t>
                  </w:r>
                </w:p>
              </w:tc>
              <w:tc>
                <w:tcPr>
                  <w:tcW w:w="308" w:type="pct"/>
                  <w:vMerge w:val="restart"/>
                  <w:noWrap w:val="0"/>
                  <w:tcMar>
                    <w:left w:w="28" w:type="dxa"/>
                    <w:right w:w="28" w:type="dxa"/>
                  </w:tcMar>
                  <w:vAlign w:val="center"/>
                </w:tcPr>
                <w:p w14:paraId="0E1E5581">
                  <w:pPr>
                    <w:adjustRightInd w:val="0"/>
                    <w:snapToGrid w:val="0"/>
                    <w:jc w:val="center"/>
                    <w:rPr>
                      <w:b/>
                      <w:bCs/>
                      <w:color w:val="auto"/>
                      <w:sz w:val="21"/>
                      <w:szCs w:val="21"/>
                    </w:rPr>
                  </w:pPr>
                  <w:r>
                    <w:rPr>
                      <w:b/>
                      <w:bCs/>
                      <w:color w:val="auto"/>
                      <w:sz w:val="21"/>
                      <w:szCs w:val="21"/>
                    </w:rPr>
                    <w:t>执行</w:t>
                  </w:r>
                </w:p>
                <w:p w14:paraId="768D0164">
                  <w:pPr>
                    <w:adjustRightInd w:val="0"/>
                    <w:snapToGrid w:val="0"/>
                    <w:jc w:val="center"/>
                    <w:rPr>
                      <w:b/>
                      <w:bCs/>
                      <w:color w:val="auto"/>
                      <w:sz w:val="21"/>
                      <w:szCs w:val="21"/>
                    </w:rPr>
                  </w:pPr>
                  <w:r>
                    <w:rPr>
                      <w:b/>
                      <w:bCs/>
                      <w:color w:val="auto"/>
                      <w:sz w:val="21"/>
                      <w:szCs w:val="21"/>
                    </w:rPr>
                    <w:t>标准值</w:t>
                  </w:r>
                </w:p>
              </w:tc>
            </w:tr>
            <w:tr w14:paraId="33E7D8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07" w:type="pct"/>
                  <w:vMerge w:val="continue"/>
                  <w:noWrap w:val="0"/>
                  <w:tcMar>
                    <w:left w:w="28" w:type="dxa"/>
                    <w:right w:w="28" w:type="dxa"/>
                  </w:tcMar>
                  <w:vAlign w:val="center"/>
                </w:tcPr>
                <w:p w14:paraId="1A294A83">
                  <w:pPr>
                    <w:adjustRightInd w:val="0"/>
                    <w:snapToGrid w:val="0"/>
                    <w:jc w:val="center"/>
                    <w:rPr>
                      <w:b/>
                      <w:bCs/>
                      <w:color w:val="auto"/>
                      <w:sz w:val="21"/>
                      <w:szCs w:val="21"/>
                    </w:rPr>
                  </w:pPr>
                </w:p>
              </w:tc>
              <w:tc>
                <w:tcPr>
                  <w:tcW w:w="1348" w:type="pct"/>
                  <w:vMerge w:val="continue"/>
                  <w:noWrap w:val="0"/>
                  <w:tcMar>
                    <w:left w:w="28" w:type="dxa"/>
                    <w:right w:w="28" w:type="dxa"/>
                  </w:tcMar>
                  <w:vAlign w:val="center"/>
                </w:tcPr>
                <w:p w14:paraId="6C1D5B42">
                  <w:pPr>
                    <w:adjustRightInd w:val="0"/>
                    <w:snapToGrid w:val="0"/>
                    <w:jc w:val="center"/>
                    <w:rPr>
                      <w:b/>
                      <w:bCs/>
                      <w:color w:val="auto"/>
                      <w:sz w:val="21"/>
                      <w:szCs w:val="21"/>
                    </w:rPr>
                  </w:pPr>
                </w:p>
              </w:tc>
              <w:tc>
                <w:tcPr>
                  <w:tcW w:w="1348" w:type="pct"/>
                  <w:vMerge w:val="continue"/>
                  <w:noWrap w:val="0"/>
                  <w:tcMar>
                    <w:left w:w="28" w:type="dxa"/>
                    <w:right w:w="28" w:type="dxa"/>
                  </w:tcMar>
                  <w:vAlign w:val="center"/>
                </w:tcPr>
                <w:p w14:paraId="717C77FB">
                  <w:pPr>
                    <w:adjustRightInd w:val="0"/>
                    <w:snapToGrid w:val="0"/>
                    <w:jc w:val="center"/>
                    <w:rPr>
                      <w:b/>
                      <w:bCs/>
                      <w:color w:val="auto"/>
                      <w:sz w:val="21"/>
                      <w:szCs w:val="21"/>
                    </w:rPr>
                  </w:pPr>
                </w:p>
              </w:tc>
              <w:tc>
                <w:tcPr>
                  <w:tcW w:w="460" w:type="pct"/>
                  <w:noWrap w:val="0"/>
                  <w:tcMar>
                    <w:left w:w="28" w:type="dxa"/>
                    <w:right w:w="28" w:type="dxa"/>
                  </w:tcMar>
                  <w:vAlign w:val="center"/>
                </w:tcPr>
                <w:p w14:paraId="734F7A89">
                  <w:pPr>
                    <w:adjustRightInd w:val="0"/>
                    <w:snapToGrid w:val="0"/>
                    <w:jc w:val="center"/>
                    <w:rPr>
                      <w:b/>
                      <w:bCs/>
                      <w:color w:val="auto"/>
                      <w:sz w:val="21"/>
                      <w:szCs w:val="21"/>
                    </w:rPr>
                  </w:pPr>
                  <w:r>
                    <w:rPr>
                      <w:b/>
                      <w:bCs/>
                      <w:color w:val="auto"/>
                      <w:sz w:val="21"/>
                      <w:szCs w:val="21"/>
                    </w:rPr>
                    <w:t>第一次</w:t>
                  </w:r>
                </w:p>
              </w:tc>
              <w:tc>
                <w:tcPr>
                  <w:tcW w:w="449" w:type="pct"/>
                  <w:noWrap w:val="0"/>
                  <w:tcMar>
                    <w:left w:w="28" w:type="dxa"/>
                    <w:right w:w="28" w:type="dxa"/>
                  </w:tcMar>
                  <w:vAlign w:val="center"/>
                </w:tcPr>
                <w:p w14:paraId="2642FB90">
                  <w:pPr>
                    <w:adjustRightInd w:val="0"/>
                    <w:snapToGrid w:val="0"/>
                    <w:jc w:val="center"/>
                    <w:rPr>
                      <w:b/>
                      <w:bCs/>
                      <w:color w:val="auto"/>
                      <w:sz w:val="21"/>
                      <w:szCs w:val="21"/>
                    </w:rPr>
                  </w:pPr>
                  <w:r>
                    <w:rPr>
                      <w:b/>
                      <w:bCs/>
                      <w:color w:val="auto"/>
                      <w:sz w:val="21"/>
                      <w:szCs w:val="21"/>
                    </w:rPr>
                    <w:t>第二次</w:t>
                  </w:r>
                </w:p>
              </w:tc>
              <w:tc>
                <w:tcPr>
                  <w:tcW w:w="477" w:type="pct"/>
                  <w:noWrap w:val="0"/>
                  <w:tcMar>
                    <w:left w:w="28" w:type="dxa"/>
                    <w:right w:w="28" w:type="dxa"/>
                  </w:tcMar>
                  <w:vAlign w:val="center"/>
                </w:tcPr>
                <w:p w14:paraId="0701F6BF">
                  <w:pPr>
                    <w:adjustRightInd w:val="0"/>
                    <w:snapToGrid w:val="0"/>
                    <w:jc w:val="center"/>
                    <w:rPr>
                      <w:b/>
                      <w:bCs/>
                      <w:color w:val="auto"/>
                      <w:sz w:val="21"/>
                      <w:szCs w:val="21"/>
                    </w:rPr>
                  </w:pPr>
                  <w:r>
                    <w:rPr>
                      <w:b/>
                      <w:bCs/>
                      <w:color w:val="auto"/>
                      <w:sz w:val="21"/>
                      <w:szCs w:val="21"/>
                    </w:rPr>
                    <w:t>第三次</w:t>
                  </w:r>
                </w:p>
              </w:tc>
              <w:tc>
                <w:tcPr>
                  <w:tcW w:w="308" w:type="pct"/>
                  <w:vMerge w:val="continue"/>
                  <w:noWrap w:val="0"/>
                  <w:tcMar>
                    <w:left w:w="28" w:type="dxa"/>
                    <w:right w:w="28" w:type="dxa"/>
                  </w:tcMar>
                  <w:vAlign w:val="center"/>
                </w:tcPr>
                <w:p w14:paraId="089FD31E">
                  <w:pPr>
                    <w:adjustRightInd w:val="0"/>
                    <w:snapToGrid w:val="0"/>
                    <w:jc w:val="center"/>
                    <w:rPr>
                      <w:b/>
                      <w:bCs/>
                      <w:color w:val="auto"/>
                      <w:sz w:val="21"/>
                      <w:szCs w:val="21"/>
                    </w:rPr>
                  </w:pPr>
                </w:p>
              </w:tc>
            </w:tr>
            <w:tr w14:paraId="7B180C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7" w:type="pct"/>
                  <w:vMerge w:val="restart"/>
                  <w:noWrap w:val="0"/>
                  <w:tcMar>
                    <w:left w:w="28" w:type="dxa"/>
                    <w:right w:w="28" w:type="dxa"/>
                  </w:tcMar>
                  <w:vAlign w:val="center"/>
                </w:tcPr>
                <w:p w14:paraId="582AFE7D">
                  <w:pPr>
                    <w:adjustRightInd w:val="0"/>
                    <w:snapToGrid w:val="0"/>
                    <w:jc w:val="center"/>
                    <w:rPr>
                      <w:rFonts w:hint="default" w:eastAsia="宋体"/>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2025年4月21日</w:t>
                  </w:r>
                </w:p>
              </w:tc>
              <w:tc>
                <w:tcPr>
                  <w:tcW w:w="1348" w:type="pct"/>
                  <w:noWrap w:val="0"/>
                  <w:tcMar>
                    <w:left w:w="28" w:type="dxa"/>
                    <w:right w:w="28" w:type="dxa"/>
                  </w:tcMar>
                  <w:vAlign w:val="center"/>
                </w:tcPr>
                <w:p w14:paraId="37526F33">
                  <w:pPr>
                    <w:adjustRightInd w:val="0"/>
                    <w:snapToGrid w:val="0"/>
                    <w:jc w:val="center"/>
                    <w:rPr>
                      <w:color w:val="auto"/>
                      <w:sz w:val="21"/>
                      <w:szCs w:val="21"/>
                    </w:rPr>
                  </w:pPr>
                  <w:r>
                    <w:rPr>
                      <w:color w:val="auto"/>
                      <w:sz w:val="21"/>
                      <w:szCs w:val="21"/>
                    </w:rPr>
                    <w:t>废气排气筒（</w:t>
                  </w:r>
                  <w:r>
                    <w:rPr>
                      <w:rFonts w:hint="eastAsia"/>
                      <w:bCs/>
                      <w:color w:val="auto"/>
                      <w:sz w:val="21"/>
                      <w:szCs w:val="21"/>
                    </w:rPr>
                    <w:t>P</w:t>
                  </w:r>
                  <w:r>
                    <w:rPr>
                      <w:rFonts w:hint="eastAsia"/>
                      <w:bCs/>
                      <w:color w:val="auto"/>
                      <w:sz w:val="21"/>
                      <w:szCs w:val="21"/>
                      <w:lang w:val="en-US" w:eastAsia="zh-CN"/>
                    </w:rPr>
                    <w:t>4</w:t>
                  </w:r>
                  <w:r>
                    <w:rPr>
                      <w:color w:val="auto"/>
                      <w:sz w:val="21"/>
                      <w:szCs w:val="21"/>
                    </w:rPr>
                    <w:t>）出口</w:t>
                  </w:r>
                </w:p>
              </w:tc>
              <w:tc>
                <w:tcPr>
                  <w:tcW w:w="1348" w:type="pct"/>
                  <w:noWrap w:val="0"/>
                  <w:tcMar>
                    <w:left w:w="28" w:type="dxa"/>
                    <w:right w:w="28" w:type="dxa"/>
                  </w:tcMar>
                  <w:vAlign w:val="center"/>
                </w:tcPr>
                <w:p w14:paraId="19FB8CD5">
                  <w:pPr>
                    <w:adjustRightInd w:val="0"/>
                    <w:snapToGrid w:val="0"/>
                    <w:jc w:val="center"/>
                    <w:rPr>
                      <w:rFonts w:hint="eastAsia"/>
                      <w:color w:val="auto"/>
                      <w:sz w:val="21"/>
                      <w:szCs w:val="21"/>
                    </w:rPr>
                  </w:pPr>
                  <w:r>
                    <w:rPr>
                      <w:rFonts w:hint="eastAsia"/>
                      <w:color w:val="auto"/>
                      <w:sz w:val="21"/>
                      <w:szCs w:val="21"/>
                    </w:rPr>
                    <w:t>非甲烷总烃</w:t>
                  </w:r>
                  <w:r>
                    <w:rPr>
                      <w:color w:val="auto"/>
                      <w:sz w:val="21"/>
                      <w:szCs w:val="21"/>
                    </w:rPr>
                    <w:t>排放浓度（mg/m</w:t>
                  </w:r>
                  <w:r>
                    <w:rPr>
                      <w:color w:val="auto"/>
                      <w:sz w:val="21"/>
                      <w:szCs w:val="21"/>
                      <w:vertAlign w:val="superscript"/>
                    </w:rPr>
                    <w:t>3</w:t>
                  </w:r>
                  <w:r>
                    <w:rPr>
                      <w:color w:val="auto"/>
                      <w:sz w:val="21"/>
                      <w:szCs w:val="21"/>
                    </w:rPr>
                    <w:t>）</w:t>
                  </w:r>
                </w:p>
              </w:tc>
              <w:tc>
                <w:tcPr>
                  <w:tcW w:w="460" w:type="pct"/>
                  <w:noWrap w:val="0"/>
                  <w:tcMar>
                    <w:left w:w="28" w:type="dxa"/>
                    <w:right w:w="28" w:type="dxa"/>
                  </w:tcMar>
                  <w:vAlign w:val="center"/>
                </w:tcPr>
                <w:p w14:paraId="7E919144">
                  <w:pPr>
                    <w:spacing w:line="320" w:lineRule="exact"/>
                    <w:jc w:val="center"/>
                    <w:rPr>
                      <w:rFonts w:hint="default" w:eastAsia="宋体"/>
                      <w:color w:val="auto"/>
                      <w:sz w:val="21"/>
                      <w:szCs w:val="21"/>
                      <w:lang w:val="en-US" w:eastAsia="zh-CN"/>
                    </w:rPr>
                  </w:pPr>
                  <w:r>
                    <w:rPr>
                      <w:rFonts w:hint="eastAsia"/>
                      <w:color w:val="auto"/>
                      <w:sz w:val="21"/>
                      <w:szCs w:val="21"/>
                      <w:lang w:val="en-US" w:eastAsia="zh-CN"/>
                    </w:rPr>
                    <w:t>1.04</w:t>
                  </w:r>
                </w:p>
              </w:tc>
              <w:tc>
                <w:tcPr>
                  <w:tcW w:w="449" w:type="pct"/>
                  <w:noWrap w:val="0"/>
                  <w:tcMar>
                    <w:left w:w="28" w:type="dxa"/>
                    <w:right w:w="28" w:type="dxa"/>
                  </w:tcMar>
                  <w:vAlign w:val="center"/>
                </w:tcPr>
                <w:p w14:paraId="3214598B">
                  <w:pPr>
                    <w:spacing w:line="320" w:lineRule="exact"/>
                    <w:jc w:val="center"/>
                    <w:rPr>
                      <w:rFonts w:hint="default" w:eastAsia="宋体"/>
                      <w:color w:val="auto"/>
                      <w:sz w:val="21"/>
                      <w:szCs w:val="21"/>
                      <w:lang w:val="en-US" w:eastAsia="zh-CN"/>
                    </w:rPr>
                  </w:pPr>
                  <w:r>
                    <w:rPr>
                      <w:rFonts w:hint="eastAsia"/>
                      <w:color w:val="auto"/>
                      <w:sz w:val="21"/>
                      <w:szCs w:val="21"/>
                      <w:lang w:val="en-US" w:eastAsia="zh-CN"/>
                    </w:rPr>
                    <w:t>1.12</w:t>
                  </w:r>
                </w:p>
              </w:tc>
              <w:tc>
                <w:tcPr>
                  <w:tcW w:w="477" w:type="pct"/>
                  <w:noWrap w:val="0"/>
                  <w:tcMar>
                    <w:left w:w="28" w:type="dxa"/>
                    <w:right w:w="28" w:type="dxa"/>
                  </w:tcMar>
                  <w:vAlign w:val="center"/>
                </w:tcPr>
                <w:p w14:paraId="1756ECA6">
                  <w:pPr>
                    <w:spacing w:line="320" w:lineRule="exact"/>
                    <w:jc w:val="center"/>
                    <w:rPr>
                      <w:rFonts w:hint="default" w:eastAsia="宋体"/>
                      <w:color w:val="auto"/>
                      <w:sz w:val="21"/>
                      <w:szCs w:val="21"/>
                      <w:lang w:val="en-US" w:eastAsia="zh-CN"/>
                    </w:rPr>
                  </w:pPr>
                  <w:r>
                    <w:rPr>
                      <w:rFonts w:hint="eastAsia"/>
                      <w:color w:val="auto"/>
                      <w:sz w:val="21"/>
                      <w:szCs w:val="21"/>
                      <w:lang w:val="en-US" w:eastAsia="zh-CN"/>
                    </w:rPr>
                    <w:t>1.08</w:t>
                  </w:r>
                </w:p>
              </w:tc>
              <w:tc>
                <w:tcPr>
                  <w:tcW w:w="308" w:type="pct"/>
                  <w:noWrap w:val="0"/>
                  <w:tcMar>
                    <w:left w:w="28" w:type="dxa"/>
                    <w:right w:w="28" w:type="dxa"/>
                  </w:tcMar>
                  <w:vAlign w:val="center"/>
                </w:tcPr>
                <w:p w14:paraId="3B4515A4">
                  <w:pPr>
                    <w:adjustRightInd w:val="0"/>
                    <w:snapToGrid w:val="0"/>
                    <w:jc w:val="center"/>
                    <w:rPr>
                      <w:color w:val="auto"/>
                      <w:sz w:val="21"/>
                      <w:szCs w:val="21"/>
                    </w:rPr>
                  </w:pPr>
                  <w:r>
                    <w:rPr>
                      <w:rFonts w:hint="eastAsia"/>
                      <w:color w:val="auto"/>
                      <w:sz w:val="21"/>
                      <w:szCs w:val="21"/>
                    </w:rPr>
                    <w:t>60</w:t>
                  </w:r>
                </w:p>
              </w:tc>
            </w:tr>
            <w:tr w14:paraId="323C9F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7" w:type="pct"/>
                  <w:vMerge w:val="continue"/>
                  <w:noWrap w:val="0"/>
                  <w:tcMar>
                    <w:left w:w="28" w:type="dxa"/>
                    <w:right w:w="28" w:type="dxa"/>
                  </w:tcMar>
                  <w:vAlign w:val="center"/>
                </w:tcPr>
                <w:p w14:paraId="3A6E929F">
                  <w:pPr>
                    <w:adjustRightInd w:val="0"/>
                    <w:snapToGrid w:val="0"/>
                    <w:jc w:val="center"/>
                    <w:rPr>
                      <w:color w:val="auto"/>
                      <w:sz w:val="21"/>
                      <w:szCs w:val="21"/>
                    </w:rPr>
                  </w:pPr>
                </w:p>
              </w:tc>
              <w:tc>
                <w:tcPr>
                  <w:tcW w:w="1348" w:type="pct"/>
                  <w:noWrap w:val="0"/>
                  <w:tcMar>
                    <w:left w:w="28" w:type="dxa"/>
                    <w:right w:w="28" w:type="dxa"/>
                  </w:tcMar>
                  <w:vAlign w:val="center"/>
                </w:tcPr>
                <w:p w14:paraId="738C0AF6">
                  <w:pPr>
                    <w:adjustRightInd w:val="0"/>
                    <w:snapToGrid w:val="0"/>
                    <w:jc w:val="center"/>
                    <w:rPr>
                      <w:color w:val="auto"/>
                      <w:sz w:val="21"/>
                      <w:szCs w:val="21"/>
                    </w:rPr>
                  </w:pPr>
                  <w:r>
                    <w:rPr>
                      <w:color w:val="auto"/>
                      <w:sz w:val="21"/>
                      <w:szCs w:val="21"/>
                    </w:rPr>
                    <w:t>废气排气筒（</w:t>
                  </w:r>
                  <w:r>
                    <w:rPr>
                      <w:rFonts w:hint="eastAsia"/>
                      <w:bCs/>
                      <w:color w:val="auto"/>
                      <w:sz w:val="21"/>
                      <w:szCs w:val="21"/>
                    </w:rPr>
                    <w:t>P</w:t>
                  </w:r>
                  <w:r>
                    <w:rPr>
                      <w:rFonts w:hint="eastAsia"/>
                      <w:bCs/>
                      <w:color w:val="auto"/>
                      <w:sz w:val="21"/>
                      <w:szCs w:val="21"/>
                      <w:lang w:val="en-US" w:eastAsia="zh-CN"/>
                    </w:rPr>
                    <w:t>5</w:t>
                  </w:r>
                  <w:r>
                    <w:rPr>
                      <w:color w:val="auto"/>
                      <w:sz w:val="21"/>
                      <w:szCs w:val="21"/>
                    </w:rPr>
                    <w:t>）出口</w:t>
                  </w:r>
                </w:p>
              </w:tc>
              <w:tc>
                <w:tcPr>
                  <w:tcW w:w="1348" w:type="pct"/>
                  <w:noWrap w:val="0"/>
                  <w:tcMar>
                    <w:left w:w="28" w:type="dxa"/>
                    <w:right w:w="28" w:type="dxa"/>
                  </w:tcMar>
                  <w:vAlign w:val="center"/>
                </w:tcPr>
                <w:p w14:paraId="28109246">
                  <w:pPr>
                    <w:adjustRightInd w:val="0"/>
                    <w:snapToGrid w:val="0"/>
                    <w:jc w:val="center"/>
                    <w:rPr>
                      <w:rFonts w:hint="eastAsia"/>
                      <w:color w:val="auto"/>
                      <w:sz w:val="21"/>
                      <w:szCs w:val="21"/>
                    </w:rPr>
                  </w:pPr>
                  <w:r>
                    <w:rPr>
                      <w:rFonts w:hint="eastAsia"/>
                      <w:color w:val="auto"/>
                      <w:sz w:val="21"/>
                      <w:szCs w:val="21"/>
                    </w:rPr>
                    <w:t>非甲烷总烃</w:t>
                  </w:r>
                  <w:r>
                    <w:rPr>
                      <w:color w:val="auto"/>
                      <w:sz w:val="21"/>
                      <w:szCs w:val="21"/>
                    </w:rPr>
                    <w:t>排放浓度（mg/m</w:t>
                  </w:r>
                  <w:r>
                    <w:rPr>
                      <w:color w:val="auto"/>
                      <w:sz w:val="21"/>
                      <w:szCs w:val="21"/>
                      <w:vertAlign w:val="superscript"/>
                    </w:rPr>
                    <w:t>3</w:t>
                  </w:r>
                  <w:r>
                    <w:rPr>
                      <w:color w:val="auto"/>
                      <w:sz w:val="21"/>
                      <w:szCs w:val="21"/>
                    </w:rPr>
                    <w:t>）</w:t>
                  </w:r>
                </w:p>
              </w:tc>
              <w:tc>
                <w:tcPr>
                  <w:tcW w:w="460" w:type="pct"/>
                  <w:noWrap w:val="0"/>
                  <w:tcMar>
                    <w:left w:w="28" w:type="dxa"/>
                    <w:right w:w="28" w:type="dxa"/>
                  </w:tcMar>
                  <w:vAlign w:val="center"/>
                </w:tcPr>
                <w:p w14:paraId="33CABD8E">
                  <w:pPr>
                    <w:spacing w:line="320" w:lineRule="exact"/>
                    <w:jc w:val="center"/>
                    <w:rPr>
                      <w:rFonts w:hint="default" w:eastAsia="宋体"/>
                      <w:color w:val="auto"/>
                      <w:sz w:val="21"/>
                      <w:szCs w:val="21"/>
                      <w:lang w:val="en-US" w:eastAsia="zh-CN"/>
                    </w:rPr>
                  </w:pPr>
                  <w:r>
                    <w:rPr>
                      <w:rFonts w:hint="eastAsia"/>
                      <w:color w:val="auto"/>
                      <w:sz w:val="21"/>
                      <w:szCs w:val="21"/>
                      <w:lang w:val="en-US" w:eastAsia="zh-CN"/>
                    </w:rPr>
                    <w:t>1.06</w:t>
                  </w:r>
                </w:p>
              </w:tc>
              <w:tc>
                <w:tcPr>
                  <w:tcW w:w="449" w:type="pct"/>
                  <w:noWrap w:val="0"/>
                  <w:tcMar>
                    <w:left w:w="28" w:type="dxa"/>
                    <w:right w:w="28" w:type="dxa"/>
                  </w:tcMar>
                  <w:vAlign w:val="center"/>
                </w:tcPr>
                <w:p w14:paraId="5D571436">
                  <w:pPr>
                    <w:spacing w:line="320" w:lineRule="exact"/>
                    <w:jc w:val="center"/>
                    <w:rPr>
                      <w:rFonts w:hint="default" w:eastAsia="宋体"/>
                      <w:color w:val="auto"/>
                      <w:sz w:val="21"/>
                      <w:szCs w:val="21"/>
                      <w:lang w:val="en-US" w:eastAsia="zh-CN"/>
                    </w:rPr>
                  </w:pPr>
                  <w:r>
                    <w:rPr>
                      <w:rFonts w:hint="eastAsia"/>
                      <w:color w:val="auto"/>
                      <w:sz w:val="21"/>
                      <w:szCs w:val="21"/>
                      <w:lang w:val="en-US" w:eastAsia="zh-CN"/>
                    </w:rPr>
                    <w:t>1.07</w:t>
                  </w:r>
                </w:p>
              </w:tc>
              <w:tc>
                <w:tcPr>
                  <w:tcW w:w="477" w:type="pct"/>
                  <w:noWrap w:val="0"/>
                  <w:tcMar>
                    <w:left w:w="28" w:type="dxa"/>
                    <w:right w:w="28" w:type="dxa"/>
                  </w:tcMar>
                  <w:vAlign w:val="center"/>
                </w:tcPr>
                <w:p w14:paraId="7B3F4252">
                  <w:pPr>
                    <w:spacing w:line="320" w:lineRule="exact"/>
                    <w:jc w:val="center"/>
                    <w:rPr>
                      <w:rFonts w:hint="default" w:eastAsia="宋体"/>
                      <w:color w:val="auto"/>
                      <w:sz w:val="21"/>
                      <w:szCs w:val="21"/>
                      <w:lang w:val="en-US" w:eastAsia="zh-CN"/>
                    </w:rPr>
                  </w:pPr>
                  <w:r>
                    <w:rPr>
                      <w:rFonts w:hint="eastAsia"/>
                      <w:color w:val="auto"/>
                      <w:sz w:val="21"/>
                      <w:szCs w:val="21"/>
                      <w:lang w:val="en-US" w:eastAsia="zh-CN"/>
                    </w:rPr>
                    <w:t>1.02</w:t>
                  </w:r>
                </w:p>
              </w:tc>
              <w:tc>
                <w:tcPr>
                  <w:tcW w:w="308" w:type="pct"/>
                  <w:noWrap w:val="0"/>
                  <w:tcMar>
                    <w:left w:w="28" w:type="dxa"/>
                    <w:right w:w="28" w:type="dxa"/>
                  </w:tcMar>
                  <w:vAlign w:val="center"/>
                </w:tcPr>
                <w:p w14:paraId="02D24F27">
                  <w:pPr>
                    <w:adjustRightInd w:val="0"/>
                    <w:snapToGrid w:val="0"/>
                    <w:jc w:val="center"/>
                    <w:rPr>
                      <w:color w:val="auto"/>
                      <w:sz w:val="21"/>
                      <w:szCs w:val="21"/>
                    </w:rPr>
                  </w:pPr>
                  <w:r>
                    <w:rPr>
                      <w:rFonts w:hint="eastAsia"/>
                      <w:color w:val="auto"/>
                      <w:sz w:val="21"/>
                      <w:szCs w:val="21"/>
                    </w:rPr>
                    <w:t>60</w:t>
                  </w:r>
                </w:p>
              </w:tc>
            </w:tr>
            <w:tr w14:paraId="1B321C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7" w:type="pct"/>
                  <w:noWrap w:val="0"/>
                  <w:tcMar>
                    <w:left w:w="28" w:type="dxa"/>
                    <w:right w:w="28" w:type="dxa"/>
                  </w:tcMar>
                  <w:vAlign w:val="center"/>
                </w:tcPr>
                <w:p w14:paraId="4AD4D2CE">
                  <w:pPr>
                    <w:rPr>
                      <w:rFonts w:hint="default"/>
                      <w:color w:val="auto"/>
                      <w:sz w:val="21"/>
                      <w:szCs w:val="21"/>
                      <w:lang w:val="en-US"/>
                    </w:rPr>
                  </w:pPr>
                  <w:r>
                    <w:rPr>
                      <w:color w:val="auto"/>
                      <w:sz w:val="21"/>
                      <w:szCs w:val="21"/>
                    </w:rPr>
                    <w:t>202</w:t>
                  </w:r>
                  <w:r>
                    <w:rPr>
                      <w:rFonts w:hint="eastAsia"/>
                      <w:color w:val="auto"/>
                      <w:sz w:val="21"/>
                      <w:szCs w:val="21"/>
                      <w:lang w:val="en-US" w:eastAsia="zh-CN"/>
                    </w:rPr>
                    <w:t>5.11.18</w:t>
                  </w:r>
                </w:p>
              </w:tc>
              <w:tc>
                <w:tcPr>
                  <w:tcW w:w="1348" w:type="pct"/>
                  <w:noWrap w:val="0"/>
                  <w:tcMar>
                    <w:left w:w="28" w:type="dxa"/>
                    <w:right w:w="28" w:type="dxa"/>
                  </w:tcMar>
                  <w:vAlign w:val="center"/>
                </w:tcPr>
                <w:p w14:paraId="025A16AA">
                  <w:pPr>
                    <w:adjustRightInd w:val="0"/>
                    <w:snapToGrid w:val="0"/>
                    <w:jc w:val="center"/>
                    <w:rPr>
                      <w:rFonts w:hint="eastAsia"/>
                      <w:color w:val="auto"/>
                      <w:sz w:val="21"/>
                      <w:szCs w:val="21"/>
                    </w:rPr>
                  </w:pPr>
                  <w:r>
                    <w:rPr>
                      <w:color w:val="auto"/>
                      <w:sz w:val="21"/>
                      <w:szCs w:val="21"/>
                    </w:rPr>
                    <w:t>废气排气筒（</w:t>
                  </w:r>
                  <w:r>
                    <w:rPr>
                      <w:rFonts w:hint="eastAsia"/>
                      <w:bCs/>
                      <w:color w:val="auto"/>
                      <w:sz w:val="21"/>
                      <w:szCs w:val="21"/>
                    </w:rPr>
                    <w:t>P</w:t>
                  </w:r>
                  <w:r>
                    <w:rPr>
                      <w:rFonts w:hint="eastAsia"/>
                      <w:bCs/>
                      <w:color w:val="auto"/>
                      <w:sz w:val="21"/>
                      <w:szCs w:val="21"/>
                      <w:lang w:val="en-US" w:eastAsia="zh-CN"/>
                    </w:rPr>
                    <w:t>6</w:t>
                  </w:r>
                  <w:r>
                    <w:rPr>
                      <w:color w:val="auto"/>
                      <w:sz w:val="21"/>
                      <w:szCs w:val="21"/>
                    </w:rPr>
                    <w:t>）出口</w:t>
                  </w:r>
                </w:p>
              </w:tc>
              <w:tc>
                <w:tcPr>
                  <w:tcW w:w="1348" w:type="pct"/>
                  <w:noWrap w:val="0"/>
                  <w:tcMar>
                    <w:left w:w="28" w:type="dxa"/>
                    <w:right w:w="28" w:type="dxa"/>
                  </w:tcMar>
                  <w:vAlign w:val="center"/>
                </w:tcPr>
                <w:p w14:paraId="53B18ABD">
                  <w:pPr>
                    <w:adjustRightInd w:val="0"/>
                    <w:snapToGrid w:val="0"/>
                    <w:jc w:val="center"/>
                    <w:rPr>
                      <w:rFonts w:hint="eastAsia"/>
                      <w:color w:val="auto"/>
                      <w:sz w:val="21"/>
                      <w:szCs w:val="21"/>
                    </w:rPr>
                  </w:pPr>
                  <w:r>
                    <w:rPr>
                      <w:rFonts w:hint="eastAsia"/>
                      <w:color w:val="auto"/>
                      <w:sz w:val="21"/>
                      <w:szCs w:val="21"/>
                    </w:rPr>
                    <w:t>非甲烷总烃</w:t>
                  </w:r>
                  <w:r>
                    <w:rPr>
                      <w:color w:val="auto"/>
                      <w:sz w:val="21"/>
                      <w:szCs w:val="21"/>
                    </w:rPr>
                    <w:t>排放浓度（mg/m</w:t>
                  </w:r>
                  <w:r>
                    <w:rPr>
                      <w:color w:val="auto"/>
                      <w:sz w:val="21"/>
                      <w:szCs w:val="21"/>
                      <w:vertAlign w:val="superscript"/>
                    </w:rPr>
                    <w:t>3</w:t>
                  </w:r>
                  <w:r>
                    <w:rPr>
                      <w:color w:val="auto"/>
                      <w:sz w:val="21"/>
                      <w:szCs w:val="21"/>
                    </w:rPr>
                    <w:t>）</w:t>
                  </w:r>
                </w:p>
              </w:tc>
              <w:tc>
                <w:tcPr>
                  <w:tcW w:w="460" w:type="pct"/>
                  <w:noWrap w:val="0"/>
                  <w:tcMar>
                    <w:left w:w="28" w:type="dxa"/>
                    <w:right w:w="28" w:type="dxa"/>
                  </w:tcMar>
                  <w:vAlign w:val="center"/>
                </w:tcPr>
                <w:p w14:paraId="68BE07EA">
                  <w:pPr>
                    <w:spacing w:line="320" w:lineRule="exact"/>
                    <w:jc w:val="center"/>
                    <w:rPr>
                      <w:rFonts w:hint="default" w:eastAsia="宋体"/>
                      <w:color w:val="auto"/>
                      <w:sz w:val="21"/>
                      <w:szCs w:val="21"/>
                      <w:lang w:val="en-US" w:eastAsia="zh-CN"/>
                    </w:rPr>
                  </w:pPr>
                  <w:r>
                    <w:rPr>
                      <w:rFonts w:hint="eastAsia"/>
                      <w:color w:val="auto"/>
                      <w:sz w:val="21"/>
                      <w:szCs w:val="21"/>
                      <w:lang w:val="en-US" w:eastAsia="zh-CN"/>
                    </w:rPr>
                    <w:t>1.77</w:t>
                  </w:r>
                </w:p>
              </w:tc>
              <w:tc>
                <w:tcPr>
                  <w:tcW w:w="449" w:type="pct"/>
                  <w:noWrap w:val="0"/>
                  <w:tcMar>
                    <w:left w:w="28" w:type="dxa"/>
                    <w:right w:w="28" w:type="dxa"/>
                  </w:tcMar>
                  <w:vAlign w:val="center"/>
                </w:tcPr>
                <w:p w14:paraId="7048A366">
                  <w:pPr>
                    <w:spacing w:line="320" w:lineRule="exact"/>
                    <w:jc w:val="center"/>
                    <w:rPr>
                      <w:rFonts w:hint="default" w:eastAsia="宋体"/>
                      <w:color w:val="auto"/>
                      <w:sz w:val="21"/>
                      <w:szCs w:val="21"/>
                      <w:lang w:val="en-US" w:eastAsia="zh-CN"/>
                    </w:rPr>
                  </w:pPr>
                  <w:r>
                    <w:rPr>
                      <w:rFonts w:hint="eastAsia"/>
                      <w:color w:val="auto"/>
                      <w:sz w:val="21"/>
                      <w:szCs w:val="21"/>
                      <w:lang w:val="en-US" w:eastAsia="zh-CN"/>
                    </w:rPr>
                    <w:t>1.73</w:t>
                  </w:r>
                </w:p>
              </w:tc>
              <w:tc>
                <w:tcPr>
                  <w:tcW w:w="477" w:type="pct"/>
                  <w:noWrap w:val="0"/>
                  <w:tcMar>
                    <w:left w:w="28" w:type="dxa"/>
                    <w:right w:w="28" w:type="dxa"/>
                  </w:tcMar>
                  <w:vAlign w:val="center"/>
                </w:tcPr>
                <w:p w14:paraId="74AE11B7">
                  <w:pPr>
                    <w:spacing w:line="320" w:lineRule="exact"/>
                    <w:jc w:val="center"/>
                    <w:rPr>
                      <w:rFonts w:hint="default" w:eastAsia="宋体"/>
                      <w:color w:val="auto"/>
                      <w:sz w:val="21"/>
                      <w:szCs w:val="21"/>
                      <w:lang w:val="en-US" w:eastAsia="zh-CN"/>
                    </w:rPr>
                  </w:pPr>
                  <w:r>
                    <w:rPr>
                      <w:rFonts w:hint="eastAsia"/>
                      <w:color w:val="auto"/>
                      <w:sz w:val="21"/>
                      <w:szCs w:val="21"/>
                      <w:lang w:val="en-US" w:eastAsia="zh-CN"/>
                    </w:rPr>
                    <w:t>1.78</w:t>
                  </w:r>
                </w:p>
              </w:tc>
              <w:tc>
                <w:tcPr>
                  <w:tcW w:w="308" w:type="pct"/>
                  <w:noWrap w:val="0"/>
                  <w:tcMar>
                    <w:left w:w="28" w:type="dxa"/>
                    <w:right w:w="28" w:type="dxa"/>
                  </w:tcMar>
                  <w:vAlign w:val="center"/>
                </w:tcPr>
                <w:p w14:paraId="0AE68E62">
                  <w:pPr>
                    <w:adjustRightInd w:val="0"/>
                    <w:snapToGrid w:val="0"/>
                    <w:jc w:val="center"/>
                    <w:rPr>
                      <w:color w:val="auto"/>
                      <w:sz w:val="21"/>
                      <w:szCs w:val="21"/>
                    </w:rPr>
                  </w:pPr>
                  <w:r>
                    <w:rPr>
                      <w:rFonts w:hint="eastAsia"/>
                      <w:color w:val="auto"/>
                      <w:sz w:val="21"/>
                      <w:szCs w:val="21"/>
                    </w:rPr>
                    <w:t>60</w:t>
                  </w:r>
                </w:p>
              </w:tc>
            </w:tr>
          </w:tbl>
          <w:p w14:paraId="6FE606D0">
            <w:pPr>
              <w:pStyle w:val="9"/>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default" w:eastAsia="宋体"/>
                <w:b w:val="0"/>
                <w:bCs w:val="0"/>
                <w:color w:val="auto"/>
                <w:sz w:val="21"/>
                <w:szCs w:val="21"/>
                <w:lang w:val="en-US" w:eastAsia="zh-CN"/>
              </w:rPr>
            </w:pPr>
            <w:r>
              <w:rPr>
                <w:rFonts w:hint="eastAsia"/>
                <w:b w:val="0"/>
                <w:bCs w:val="0"/>
                <w:color w:val="auto"/>
                <w:sz w:val="21"/>
                <w:szCs w:val="21"/>
                <w:lang w:val="en-US" w:eastAsia="zh-CN"/>
              </w:rPr>
              <w:t>注：</w:t>
            </w:r>
            <w:r>
              <w:rPr>
                <w:rFonts w:hint="eastAsia" w:ascii="Times New Roman" w:hAnsi="Times New Roman" w:eastAsia="宋体" w:cs="Times New Roman"/>
                <w:b w:val="0"/>
                <w:bCs w:val="0"/>
                <w:color w:val="auto"/>
                <w:sz w:val="21"/>
                <w:szCs w:val="21"/>
              </w:rPr>
              <w:t>已建</w:t>
            </w:r>
            <w:r>
              <w:rPr>
                <w:rFonts w:ascii="Times New Roman" w:hAnsi="Times New Roman" w:eastAsia="宋体" w:cs="Times New Roman"/>
                <w:b w:val="0"/>
                <w:bCs w:val="0"/>
                <w:color w:val="auto"/>
                <w:sz w:val="21"/>
                <w:szCs w:val="21"/>
              </w:rPr>
              <w:t>项目</w:t>
            </w:r>
            <w:r>
              <w:rPr>
                <w:rFonts w:hint="eastAsia" w:ascii="Times New Roman" w:hAnsi="Times New Roman" w:eastAsia="宋体" w:cs="Times New Roman"/>
                <w:b w:val="0"/>
                <w:bCs w:val="0"/>
                <w:color w:val="auto"/>
                <w:sz w:val="21"/>
                <w:szCs w:val="21"/>
              </w:rPr>
              <w:t>厂房一</w:t>
            </w:r>
            <w:r>
              <w:rPr>
                <w:rFonts w:hint="eastAsia" w:ascii="Times New Roman" w:hAnsi="Times New Roman" w:eastAsia="宋体" w:cs="Times New Roman"/>
                <w:b w:val="0"/>
                <w:bCs w:val="0"/>
                <w:color w:val="auto"/>
                <w:sz w:val="21"/>
                <w:szCs w:val="21"/>
                <w:lang w:val="en-US" w:eastAsia="zh-CN"/>
              </w:rPr>
              <w:t>12条</w:t>
            </w:r>
            <w:r>
              <w:rPr>
                <w:rFonts w:hint="default" w:ascii="Times New Roman" w:hAnsi="Times New Roman" w:eastAsia="宋体" w:cs="Times New Roman"/>
                <w:b w:val="0"/>
                <w:bCs w:val="0"/>
                <w:color w:val="auto"/>
                <w:sz w:val="21"/>
                <w:szCs w:val="21"/>
                <w:lang w:val="en-US" w:eastAsia="zh-CN"/>
              </w:rPr>
              <w:t>EVA胶膜生产线</w:t>
            </w:r>
            <w:r>
              <w:rPr>
                <w:rFonts w:hint="eastAsia" w:ascii="Times New Roman" w:hAnsi="Times New Roman" w:eastAsia="宋体" w:cs="Times New Roman"/>
                <w:b w:val="0"/>
                <w:bCs w:val="0"/>
                <w:color w:val="auto"/>
                <w:sz w:val="21"/>
                <w:szCs w:val="21"/>
                <w:lang w:val="en-US" w:eastAsia="zh-CN"/>
              </w:rPr>
              <w:t>、</w:t>
            </w:r>
            <w:r>
              <w:rPr>
                <w:rFonts w:hint="eastAsia" w:cs="Times New Roman"/>
                <w:b w:val="0"/>
                <w:bCs w:val="0"/>
                <w:color w:val="auto"/>
                <w:sz w:val="21"/>
                <w:szCs w:val="21"/>
                <w:lang w:val="en-US" w:eastAsia="zh-CN"/>
              </w:rPr>
              <w:t>车间三</w:t>
            </w:r>
            <w:r>
              <w:rPr>
                <w:rFonts w:hint="eastAsia"/>
                <w:b w:val="0"/>
                <w:bCs w:val="0"/>
                <w:color w:val="auto"/>
                <w:sz w:val="21"/>
                <w:szCs w:val="21"/>
              </w:rPr>
              <w:t>5条</w:t>
            </w:r>
            <w:r>
              <w:rPr>
                <w:b w:val="0"/>
                <w:bCs w:val="0"/>
                <w:color w:val="auto"/>
                <w:sz w:val="21"/>
                <w:szCs w:val="21"/>
              </w:rPr>
              <w:t>塑料粒子生产线</w:t>
            </w:r>
            <w:r>
              <w:rPr>
                <w:rFonts w:hint="eastAsia"/>
                <w:b w:val="0"/>
                <w:bCs w:val="0"/>
                <w:color w:val="auto"/>
                <w:sz w:val="21"/>
                <w:szCs w:val="21"/>
                <w:lang w:eastAsia="zh-CN"/>
              </w:rPr>
              <w:t>、</w:t>
            </w:r>
            <w:r>
              <w:rPr>
                <w:rFonts w:hint="eastAsia" w:ascii="Times New Roman" w:hAnsi="Times New Roman" w:eastAsia="宋体" w:cs="Times New Roman"/>
                <w:b w:val="0"/>
                <w:bCs w:val="0"/>
                <w:color w:val="auto"/>
                <w:sz w:val="21"/>
                <w:szCs w:val="21"/>
              </w:rPr>
              <w:t>厂房二</w:t>
            </w:r>
            <w:r>
              <w:rPr>
                <w:rFonts w:hint="eastAsia" w:cs="Times New Roman"/>
                <w:b w:val="0"/>
                <w:bCs w:val="0"/>
                <w:color w:val="auto"/>
                <w:sz w:val="21"/>
                <w:szCs w:val="21"/>
                <w:lang w:val="en-US" w:eastAsia="zh-CN"/>
              </w:rPr>
              <w:t>8</w:t>
            </w:r>
            <w:r>
              <w:rPr>
                <w:rFonts w:hint="eastAsia" w:ascii="Times New Roman" w:hAnsi="Times New Roman" w:eastAsia="宋体" w:cs="Times New Roman"/>
                <w:b w:val="0"/>
                <w:bCs w:val="0"/>
                <w:color w:val="auto"/>
                <w:sz w:val="21"/>
                <w:szCs w:val="21"/>
                <w:lang w:val="en-US" w:eastAsia="zh-CN"/>
              </w:rPr>
              <w:t>条</w:t>
            </w:r>
            <w:r>
              <w:rPr>
                <w:rFonts w:hint="default" w:ascii="Times New Roman" w:hAnsi="Times New Roman" w:eastAsia="宋体" w:cs="Times New Roman"/>
                <w:b w:val="0"/>
                <w:bCs w:val="0"/>
                <w:color w:val="auto"/>
                <w:sz w:val="21"/>
                <w:szCs w:val="21"/>
                <w:lang w:val="en-US" w:eastAsia="zh-CN"/>
              </w:rPr>
              <w:t>EVA胶膜生产线</w:t>
            </w:r>
            <w:r>
              <w:rPr>
                <w:rFonts w:hint="eastAsia" w:ascii="Times New Roman" w:hAnsi="Times New Roman" w:eastAsia="宋体" w:cs="Times New Roman"/>
                <w:b w:val="0"/>
                <w:bCs w:val="0"/>
                <w:color w:val="auto"/>
                <w:sz w:val="21"/>
                <w:szCs w:val="21"/>
                <w:lang w:val="en-US" w:eastAsia="zh-CN"/>
              </w:rPr>
              <w:t>目前均处于停产检修状态，故未对</w:t>
            </w:r>
            <w:r>
              <w:rPr>
                <w:rFonts w:ascii="Times New Roman" w:hAnsi="Times New Roman" w:eastAsia="宋体" w:cs="Times New Roman"/>
                <w:color w:val="auto"/>
                <w:sz w:val="21"/>
                <w:szCs w:val="21"/>
              </w:rPr>
              <w:t>排气筒(P1</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P2</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P3</w:t>
            </w:r>
            <w:r>
              <w:rPr>
                <w:rFonts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废气</w:t>
            </w:r>
            <w:r>
              <w:rPr>
                <w:rFonts w:hint="eastAsia" w:ascii="Times New Roman" w:hAnsi="Times New Roman" w:eastAsia="宋体" w:cs="Times New Roman"/>
                <w:b w:val="0"/>
                <w:bCs w:val="0"/>
                <w:color w:val="auto"/>
                <w:sz w:val="21"/>
                <w:szCs w:val="21"/>
                <w:lang w:val="en-US" w:eastAsia="zh-CN"/>
              </w:rPr>
              <w:t>开展例行监测。</w:t>
            </w:r>
          </w:p>
          <w:p w14:paraId="79DB739D">
            <w:pPr>
              <w:pStyle w:val="9"/>
              <w:keepNext w:val="0"/>
              <w:keepLines w:val="0"/>
              <w:pageBreakBefore w:val="0"/>
              <w:widowControl/>
              <w:kinsoku/>
              <w:wordWrap/>
              <w:overflowPunct/>
              <w:topLinePunct w:val="0"/>
              <w:autoSpaceDE/>
              <w:autoSpaceDN/>
              <w:bidi w:val="0"/>
              <w:adjustRightInd/>
              <w:snapToGrid w:val="0"/>
              <w:spacing w:before="0" w:after="0" w:line="500" w:lineRule="exact"/>
              <w:ind w:right="0"/>
              <w:jc w:val="center"/>
              <w:textAlignment w:val="auto"/>
              <w:rPr>
                <w:b/>
                <w:bCs/>
                <w:color w:val="auto"/>
                <w:sz w:val="21"/>
                <w:szCs w:val="21"/>
                <w:lang w:val="en-US" w:eastAsia="zh-CN"/>
              </w:rPr>
            </w:pPr>
            <w:r>
              <w:rPr>
                <w:b/>
                <w:bCs/>
                <w:color w:val="auto"/>
                <w:sz w:val="21"/>
                <w:szCs w:val="21"/>
                <w:lang w:val="en-US" w:eastAsia="zh-CN"/>
              </w:rPr>
              <w:t>表2-</w:t>
            </w:r>
            <w:r>
              <w:rPr>
                <w:rFonts w:hint="eastAsia"/>
                <w:b/>
                <w:bCs/>
                <w:color w:val="auto"/>
                <w:sz w:val="21"/>
                <w:szCs w:val="21"/>
                <w:lang w:val="en-US" w:eastAsia="zh-CN"/>
              </w:rPr>
              <w:t>14</w:t>
            </w:r>
            <w:r>
              <w:rPr>
                <w:b/>
                <w:bCs/>
                <w:color w:val="auto"/>
                <w:sz w:val="21"/>
                <w:szCs w:val="21"/>
                <w:lang w:val="en-US" w:eastAsia="zh-CN"/>
              </w:rPr>
              <w:t>现有项目</w:t>
            </w:r>
            <w:r>
              <w:rPr>
                <w:rFonts w:hint="eastAsia"/>
                <w:b/>
                <w:bCs/>
                <w:color w:val="auto"/>
                <w:sz w:val="21"/>
                <w:szCs w:val="21"/>
                <w:lang w:val="en-US" w:eastAsia="zh-CN"/>
              </w:rPr>
              <w:t>厂界</w:t>
            </w:r>
            <w:r>
              <w:rPr>
                <w:b/>
                <w:bCs/>
                <w:color w:val="auto"/>
                <w:sz w:val="21"/>
                <w:szCs w:val="21"/>
                <w:lang w:val="en-US" w:eastAsia="zh-CN"/>
              </w:rPr>
              <w:t>无组织废气污染物实际排放情况一览表</w:t>
            </w:r>
          </w:p>
          <w:tbl>
            <w:tblPr>
              <w:tblStyle w:val="31"/>
              <w:tblW w:w="5000" w:type="pct"/>
              <w:jc w:val="center"/>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autofit"/>
              <w:tblCellMar>
                <w:top w:w="15" w:type="dxa"/>
                <w:left w:w="15" w:type="dxa"/>
                <w:bottom w:w="15" w:type="dxa"/>
                <w:right w:w="15" w:type="dxa"/>
              </w:tblCellMar>
            </w:tblPr>
            <w:tblGrid>
              <w:gridCol w:w="933"/>
              <w:gridCol w:w="1165"/>
              <w:gridCol w:w="1375"/>
              <w:gridCol w:w="920"/>
              <w:gridCol w:w="921"/>
              <w:gridCol w:w="921"/>
              <w:gridCol w:w="928"/>
              <w:gridCol w:w="1034"/>
            </w:tblGrid>
            <w:tr w14:paraId="3D643F6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tblHeader/>
                <w:jc w:val="center"/>
              </w:trPr>
              <w:tc>
                <w:tcPr>
                  <w:tcW w:w="571" w:type="pct"/>
                  <w:vMerge w:val="restart"/>
                  <w:noWrap w:val="0"/>
                  <w:vAlign w:val="center"/>
                </w:tcPr>
                <w:p w14:paraId="7E908639">
                  <w:pPr>
                    <w:widowControl/>
                    <w:jc w:val="center"/>
                    <w:textAlignment w:val="center"/>
                    <w:rPr>
                      <w:b/>
                      <w:bCs/>
                      <w:color w:val="auto"/>
                      <w:sz w:val="21"/>
                      <w:szCs w:val="21"/>
                    </w:rPr>
                  </w:pPr>
                  <w:r>
                    <w:rPr>
                      <w:b/>
                      <w:bCs/>
                      <w:color w:val="auto"/>
                      <w:sz w:val="21"/>
                      <w:szCs w:val="21"/>
                    </w:rPr>
                    <w:t>采样日期</w:t>
                  </w:r>
                </w:p>
              </w:tc>
              <w:tc>
                <w:tcPr>
                  <w:tcW w:w="712" w:type="pct"/>
                  <w:vMerge w:val="restart"/>
                  <w:noWrap w:val="0"/>
                  <w:vAlign w:val="center"/>
                </w:tcPr>
                <w:p w14:paraId="5CBBE3F1">
                  <w:pPr>
                    <w:widowControl/>
                    <w:jc w:val="center"/>
                    <w:textAlignment w:val="center"/>
                    <w:rPr>
                      <w:b/>
                      <w:bCs/>
                      <w:color w:val="auto"/>
                      <w:sz w:val="21"/>
                      <w:szCs w:val="21"/>
                    </w:rPr>
                  </w:pPr>
                  <w:r>
                    <w:rPr>
                      <w:b/>
                      <w:bCs/>
                      <w:color w:val="auto"/>
                      <w:sz w:val="21"/>
                      <w:szCs w:val="21"/>
                    </w:rPr>
                    <w:t>监测项目</w:t>
                  </w:r>
                </w:p>
              </w:tc>
              <w:tc>
                <w:tcPr>
                  <w:tcW w:w="840" w:type="pct"/>
                  <w:vMerge w:val="restart"/>
                  <w:noWrap w:val="0"/>
                  <w:vAlign w:val="center"/>
                </w:tcPr>
                <w:p w14:paraId="012C9494">
                  <w:pPr>
                    <w:widowControl/>
                    <w:jc w:val="center"/>
                    <w:textAlignment w:val="center"/>
                    <w:rPr>
                      <w:b/>
                      <w:bCs/>
                      <w:color w:val="auto"/>
                      <w:sz w:val="21"/>
                      <w:szCs w:val="21"/>
                    </w:rPr>
                  </w:pPr>
                  <w:r>
                    <w:rPr>
                      <w:b/>
                      <w:bCs/>
                      <w:color w:val="auto"/>
                      <w:sz w:val="21"/>
                      <w:szCs w:val="21"/>
                    </w:rPr>
                    <w:t>监测点位</w:t>
                  </w:r>
                </w:p>
              </w:tc>
              <w:tc>
                <w:tcPr>
                  <w:tcW w:w="2256" w:type="pct"/>
                  <w:gridSpan w:val="4"/>
                  <w:noWrap w:val="0"/>
                  <w:vAlign w:val="center"/>
                </w:tcPr>
                <w:p w14:paraId="66F1557D">
                  <w:pPr>
                    <w:widowControl/>
                    <w:jc w:val="center"/>
                    <w:textAlignment w:val="center"/>
                    <w:rPr>
                      <w:b/>
                      <w:bCs/>
                      <w:color w:val="auto"/>
                      <w:sz w:val="21"/>
                      <w:szCs w:val="21"/>
                    </w:rPr>
                  </w:pPr>
                  <w:r>
                    <w:rPr>
                      <w:b/>
                      <w:bCs/>
                      <w:color w:val="auto"/>
                      <w:sz w:val="21"/>
                      <w:szCs w:val="21"/>
                    </w:rPr>
                    <w:t>监测结果（mg/m</w:t>
                  </w:r>
                  <w:r>
                    <w:rPr>
                      <w:b/>
                      <w:bCs/>
                      <w:color w:val="auto"/>
                      <w:sz w:val="21"/>
                      <w:szCs w:val="21"/>
                      <w:vertAlign w:val="superscript"/>
                    </w:rPr>
                    <w:t>3</w:t>
                  </w:r>
                  <w:r>
                    <w:rPr>
                      <w:b/>
                      <w:bCs/>
                      <w:color w:val="auto"/>
                      <w:sz w:val="21"/>
                      <w:szCs w:val="21"/>
                    </w:rPr>
                    <w:t>）</w:t>
                  </w:r>
                </w:p>
              </w:tc>
              <w:tc>
                <w:tcPr>
                  <w:tcW w:w="619" w:type="pct"/>
                  <w:vMerge w:val="restart"/>
                  <w:noWrap w:val="0"/>
                  <w:vAlign w:val="center"/>
                </w:tcPr>
                <w:p w14:paraId="0B46D904">
                  <w:pPr>
                    <w:widowControl/>
                    <w:jc w:val="center"/>
                    <w:textAlignment w:val="center"/>
                    <w:rPr>
                      <w:b/>
                      <w:bCs/>
                      <w:color w:val="auto"/>
                      <w:sz w:val="21"/>
                      <w:szCs w:val="21"/>
                    </w:rPr>
                  </w:pPr>
                  <w:r>
                    <w:rPr>
                      <w:b/>
                      <w:bCs/>
                      <w:color w:val="auto"/>
                      <w:sz w:val="21"/>
                      <w:szCs w:val="21"/>
                    </w:rPr>
                    <w:t>标准限值（mg/m</w:t>
                  </w:r>
                  <w:r>
                    <w:rPr>
                      <w:b/>
                      <w:bCs/>
                      <w:color w:val="auto"/>
                      <w:sz w:val="21"/>
                      <w:szCs w:val="21"/>
                      <w:vertAlign w:val="superscript"/>
                    </w:rPr>
                    <w:t>3</w:t>
                  </w:r>
                  <w:r>
                    <w:rPr>
                      <w:b/>
                      <w:bCs/>
                      <w:color w:val="auto"/>
                      <w:sz w:val="21"/>
                      <w:szCs w:val="21"/>
                    </w:rPr>
                    <w:t>）</w:t>
                  </w:r>
                </w:p>
              </w:tc>
            </w:tr>
            <w:tr w14:paraId="5AC7A28C">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tblHeader/>
                <w:jc w:val="center"/>
              </w:trPr>
              <w:tc>
                <w:tcPr>
                  <w:tcW w:w="571" w:type="pct"/>
                  <w:vMerge w:val="continue"/>
                  <w:noWrap w:val="0"/>
                  <w:vAlign w:val="center"/>
                </w:tcPr>
                <w:p w14:paraId="30090162">
                  <w:pPr>
                    <w:widowControl/>
                    <w:jc w:val="center"/>
                    <w:textAlignment w:val="center"/>
                    <w:rPr>
                      <w:color w:val="auto"/>
                      <w:sz w:val="21"/>
                      <w:szCs w:val="21"/>
                    </w:rPr>
                  </w:pPr>
                </w:p>
              </w:tc>
              <w:tc>
                <w:tcPr>
                  <w:tcW w:w="712" w:type="pct"/>
                  <w:vMerge w:val="continue"/>
                  <w:noWrap w:val="0"/>
                  <w:vAlign w:val="center"/>
                </w:tcPr>
                <w:p w14:paraId="7FF89AFA">
                  <w:pPr>
                    <w:widowControl/>
                    <w:jc w:val="center"/>
                    <w:textAlignment w:val="center"/>
                    <w:rPr>
                      <w:color w:val="auto"/>
                      <w:sz w:val="21"/>
                      <w:szCs w:val="21"/>
                    </w:rPr>
                  </w:pPr>
                </w:p>
              </w:tc>
              <w:tc>
                <w:tcPr>
                  <w:tcW w:w="840" w:type="pct"/>
                  <w:vMerge w:val="continue"/>
                  <w:noWrap w:val="0"/>
                  <w:vAlign w:val="center"/>
                </w:tcPr>
                <w:p w14:paraId="6E17365C">
                  <w:pPr>
                    <w:widowControl/>
                    <w:jc w:val="center"/>
                    <w:textAlignment w:val="center"/>
                    <w:rPr>
                      <w:color w:val="auto"/>
                      <w:sz w:val="21"/>
                      <w:szCs w:val="21"/>
                    </w:rPr>
                  </w:pPr>
                </w:p>
              </w:tc>
              <w:tc>
                <w:tcPr>
                  <w:tcW w:w="563" w:type="pct"/>
                  <w:noWrap w:val="0"/>
                  <w:vAlign w:val="center"/>
                </w:tcPr>
                <w:p w14:paraId="16AB5A3D">
                  <w:pPr>
                    <w:widowControl/>
                    <w:jc w:val="center"/>
                    <w:textAlignment w:val="center"/>
                    <w:rPr>
                      <w:b/>
                      <w:bCs/>
                      <w:color w:val="auto"/>
                      <w:sz w:val="21"/>
                      <w:szCs w:val="21"/>
                    </w:rPr>
                  </w:pPr>
                  <w:r>
                    <w:rPr>
                      <w:b/>
                      <w:bCs/>
                      <w:color w:val="auto"/>
                      <w:sz w:val="21"/>
                      <w:szCs w:val="21"/>
                    </w:rPr>
                    <w:t>第一次</w:t>
                  </w:r>
                </w:p>
              </w:tc>
              <w:tc>
                <w:tcPr>
                  <w:tcW w:w="563" w:type="pct"/>
                  <w:noWrap w:val="0"/>
                  <w:vAlign w:val="center"/>
                </w:tcPr>
                <w:p w14:paraId="3CB4A916">
                  <w:pPr>
                    <w:widowControl/>
                    <w:jc w:val="center"/>
                    <w:textAlignment w:val="center"/>
                    <w:rPr>
                      <w:b/>
                      <w:bCs/>
                      <w:color w:val="auto"/>
                      <w:sz w:val="21"/>
                      <w:szCs w:val="21"/>
                    </w:rPr>
                  </w:pPr>
                  <w:r>
                    <w:rPr>
                      <w:b/>
                      <w:bCs/>
                      <w:color w:val="auto"/>
                      <w:sz w:val="21"/>
                      <w:szCs w:val="21"/>
                    </w:rPr>
                    <w:t>第二次</w:t>
                  </w:r>
                </w:p>
              </w:tc>
              <w:tc>
                <w:tcPr>
                  <w:tcW w:w="563" w:type="pct"/>
                  <w:noWrap w:val="0"/>
                  <w:vAlign w:val="center"/>
                </w:tcPr>
                <w:p w14:paraId="37512979">
                  <w:pPr>
                    <w:widowControl/>
                    <w:jc w:val="center"/>
                    <w:textAlignment w:val="center"/>
                    <w:rPr>
                      <w:b/>
                      <w:bCs/>
                      <w:color w:val="auto"/>
                      <w:sz w:val="21"/>
                      <w:szCs w:val="21"/>
                    </w:rPr>
                  </w:pPr>
                  <w:r>
                    <w:rPr>
                      <w:b/>
                      <w:bCs/>
                      <w:color w:val="auto"/>
                      <w:sz w:val="21"/>
                      <w:szCs w:val="21"/>
                    </w:rPr>
                    <w:t>第三次</w:t>
                  </w:r>
                </w:p>
              </w:tc>
              <w:tc>
                <w:tcPr>
                  <w:tcW w:w="567" w:type="pct"/>
                  <w:noWrap w:val="0"/>
                  <w:vAlign w:val="center"/>
                </w:tcPr>
                <w:p w14:paraId="41127809">
                  <w:pPr>
                    <w:widowControl/>
                    <w:jc w:val="center"/>
                    <w:textAlignment w:val="center"/>
                    <w:rPr>
                      <w:b/>
                      <w:bCs/>
                      <w:color w:val="auto"/>
                      <w:sz w:val="21"/>
                      <w:szCs w:val="21"/>
                    </w:rPr>
                  </w:pPr>
                  <w:r>
                    <w:rPr>
                      <w:b/>
                      <w:bCs/>
                      <w:color w:val="auto"/>
                      <w:sz w:val="21"/>
                      <w:szCs w:val="21"/>
                    </w:rPr>
                    <w:t>第</w:t>
                  </w:r>
                  <w:r>
                    <w:rPr>
                      <w:rFonts w:hint="eastAsia"/>
                      <w:b/>
                      <w:bCs/>
                      <w:color w:val="auto"/>
                      <w:sz w:val="21"/>
                      <w:szCs w:val="21"/>
                      <w:lang w:val="en-US" w:eastAsia="zh-CN"/>
                    </w:rPr>
                    <w:t>四</w:t>
                  </w:r>
                  <w:r>
                    <w:rPr>
                      <w:b/>
                      <w:bCs/>
                      <w:color w:val="auto"/>
                      <w:sz w:val="21"/>
                      <w:szCs w:val="21"/>
                    </w:rPr>
                    <w:t>次</w:t>
                  </w:r>
                </w:p>
              </w:tc>
              <w:tc>
                <w:tcPr>
                  <w:tcW w:w="619" w:type="pct"/>
                  <w:vMerge w:val="continue"/>
                  <w:noWrap w:val="0"/>
                  <w:vAlign w:val="center"/>
                </w:tcPr>
                <w:p w14:paraId="74B84299">
                  <w:pPr>
                    <w:widowControl/>
                    <w:jc w:val="center"/>
                    <w:textAlignment w:val="center"/>
                    <w:rPr>
                      <w:color w:val="auto"/>
                      <w:sz w:val="21"/>
                      <w:szCs w:val="21"/>
                    </w:rPr>
                  </w:pPr>
                </w:p>
              </w:tc>
            </w:tr>
            <w:tr w14:paraId="46B8F52E">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571" w:type="pct"/>
                  <w:vMerge w:val="restart"/>
                  <w:noWrap w:val="0"/>
                  <w:vAlign w:val="center"/>
                </w:tcPr>
                <w:p w14:paraId="698B2B62">
                  <w:pPr>
                    <w:jc w:val="center"/>
                    <w:rPr>
                      <w:color w:val="auto"/>
                      <w:sz w:val="21"/>
                      <w:szCs w:val="21"/>
                    </w:rPr>
                  </w:pPr>
                  <w:r>
                    <w:rPr>
                      <w:rFonts w:hint="eastAsia" w:ascii="Times New Roman" w:hAnsi="Times New Roman" w:eastAsia="宋体" w:cs="Times New Roman"/>
                      <w:b w:val="0"/>
                      <w:bCs w:val="0"/>
                      <w:color w:val="auto"/>
                      <w:sz w:val="21"/>
                      <w:szCs w:val="21"/>
                      <w:lang w:val="en-US" w:eastAsia="zh-CN"/>
                    </w:rPr>
                    <w:t>2025年4月22日</w:t>
                  </w:r>
                </w:p>
              </w:tc>
              <w:tc>
                <w:tcPr>
                  <w:tcW w:w="712" w:type="pct"/>
                  <w:vMerge w:val="restart"/>
                  <w:noWrap w:val="0"/>
                  <w:vAlign w:val="center"/>
                </w:tcPr>
                <w:p w14:paraId="12CAE8DE">
                  <w:pPr>
                    <w:adjustRightInd w:val="0"/>
                    <w:snapToGrid w:val="0"/>
                    <w:jc w:val="center"/>
                    <w:textAlignment w:val="baseline"/>
                    <w:rPr>
                      <w:rFonts w:hint="eastAsia"/>
                      <w:color w:val="auto"/>
                      <w:sz w:val="21"/>
                      <w:szCs w:val="21"/>
                    </w:rPr>
                  </w:pPr>
                  <w:r>
                    <w:rPr>
                      <w:rFonts w:hint="eastAsia"/>
                      <w:color w:val="auto"/>
                      <w:sz w:val="21"/>
                      <w:szCs w:val="21"/>
                    </w:rPr>
                    <w:t>非甲烷总烃</w:t>
                  </w:r>
                </w:p>
              </w:tc>
              <w:tc>
                <w:tcPr>
                  <w:tcW w:w="840" w:type="pct"/>
                  <w:noWrap w:val="0"/>
                  <w:vAlign w:val="center"/>
                </w:tcPr>
                <w:p w14:paraId="452D0044">
                  <w:pPr>
                    <w:jc w:val="center"/>
                    <w:rPr>
                      <w:color w:val="auto"/>
                      <w:sz w:val="21"/>
                      <w:szCs w:val="21"/>
                    </w:rPr>
                  </w:pPr>
                  <w:r>
                    <w:rPr>
                      <w:color w:val="auto"/>
                      <w:sz w:val="21"/>
                      <w:szCs w:val="21"/>
                    </w:rPr>
                    <w:t>上风向〇</w:t>
                  </w:r>
                  <w:r>
                    <w:rPr>
                      <w:rFonts w:hint="eastAsia"/>
                      <w:color w:val="auto"/>
                      <w:sz w:val="21"/>
                      <w:szCs w:val="21"/>
                    </w:rPr>
                    <w:t>0</w:t>
                  </w:r>
                  <w:r>
                    <w:rPr>
                      <w:color w:val="auto"/>
                      <w:sz w:val="21"/>
                      <w:szCs w:val="21"/>
                    </w:rPr>
                    <w:t>1</w:t>
                  </w:r>
                </w:p>
              </w:tc>
              <w:tc>
                <w:tcPr>
                  <w:tcW w:w="563" w:type="pct"/>
                  <w:noWrap w:val="0"/>
                  <w:vAlign w:val="center"/>
                </w:tcPr>
                <w:p w14:paraId="2AF92DA3">
                  <w:pPr>
                    <w:spacing w:line="320" w:lineRule="exact"/>
                    <w:jc w:val="center"/>
                    <w:rPr>
                      <w:rFonts w:hint="default" w:eastAsia="宋体"/>
                      <w:color w:val="auto"/>
                      <w:spacing w:val="-6"/>
                      <w:sz w:val="21"/>
                      <w:szCs w:val="21"/>
                      <w:lang w:val="en-US" w:eastAsia="zh-CN"/>
                    </w:rPr>
                  </w:pPr>
                  <w:r>
                    <w:rPr>
                      <w:rFonts w:hint="eastAsia"/>
                      <w:color w:val="auto"/>
                      <w:spacing w:val="-6"/>
                      <w:sz w:val="21"/>
                      <w:szCs w:val="21"/>
                      <w:lang w:val="en-US" w:eastAsia="zh-CN"/>
                    </w:rPr>
                    <w:t>0.66</w:t>
                  </w:r>
                </w:p>
              </w:tc>
              <w:tc>
                <w:tcPr>
                  <w:tcW w:w="563" w:type="pct"/>
                  <w:noWrap w:val="0"/>
                  <w:vAlign w:val="center"/>
                </w:tcPr>
                <w:p w14:paraId="375FA873">
                  <w:pPr>
                    <w:spacing w:line="320" w:lineRule="exact"/>
                    <w:jc w:val="center"/>
                    <w:rPr>
                      <w:rFonts w:hint="default" w:eastAsia="宋体"/>
                      <w:color w:val="auto"/>
                      <w:spacing w:val="-6"/>
                      <w:sz w:val="21"/>
                      <w:szCs w:val="21"/>
                      <w:lang w:val="en-US" w:eastAsia="zh-CN"/>
                    </w:rPr>
                  </w:pPr>
                  <w:r>
                    <w:rPr>
                      <w:rFonts w:hint="eastAsia"/>
                      <w:color w:val="auto"/>
                      <w:spacing w:val="-6"/>
                      <w:sz w:val="21"/>
                      <w:szCs w:val="21"/>
                      <w:lang w:val="en-US" w:eastAsia="zh-CN"/>
                    </w:rPr>
                    <w:t>0.65</w:t>
                  </w:r>
                </w:p>
              </w:tc>
              <w:tc>
                <w:tcPr>
                  <w:tcW w:w="563" w:type="pct"/>
                  <w:noWrap w:val="0"/>
                  <w:vAlign w:val="center"/>
                </w:tcPr>
                <w:p w14:paraId="0E7A67DE">
                  <w:pPr>
                    <w:spacing w:line="320" w:lineRule="exact"/>
                    <w:jc w:val="center"/>
                    <w:rPr>
                      <w:rFonts w:hint="default" w:eastAsia="宋体"/>
                      <w:color w:val="auto"/>
                      <w:spacing w:val="-6"/>
                      <w:sz w:val="21"/>
                      <w:szCs w:val="21"/>
                      <w:lang w:val="en-US" w:eastAsia="zh-CN"/>
                    </w:rPr>
                  </w:pPr>
                  <w:r>
                    <w:rPr>
                      <w:rFonts w:hint="eastAsia"/>
                      <w:color w:val="auto"/>
                      <w:spacing w:val="-6"/>
                      <w:sz w:val="21"/>
                      <w:szCs w:val="21"/>
                      <w:lang w:val="en-US" w:eastAsia="zh-CN"/>
                    </w:rPr>
                    <w:t>0.7</w:t>
                  </w:r>
                </w:p>
              </w:tc>
              <w:tc>
                <w:tcPr>
                  <w:tcW w:w="567" w:type="pct"/>
                  <w:noWrap w:val="0"/>
                  <w:vAlign w:val="center"/>
                </w:tcPr>
                <w:p w14:paraId="6C2392B6">
                  <w:pPr>
                    <w:spacing w:line="320" w:lineRule="exact"/>
                    <w:jc w:val="center"/>
                    <w:rPr>
                      <w:rFonts w:hint="default" w:eastAsia="宋体"/>
                      <w:color w:val="auto"/>
                      <w:spacing w:val="-6"/>
                      <w:sz w:val="21"/>
                      <w:szCs w:val="21"/>
                      <w:lang w:val="en-US" w:eastAsia="zh-CN"/>
                    </w:rPr>
                  </w:pPr>
                  <w:r>
                    <w:rPr>
                      <w:rFonts w:hint="eastAsia"/>
                      <w:color w:val="auto"/>
                      <w:spacing w:val="-6"/>
                      <w:sz w:val="21"/>
                      <w:szCs w:val="21"/>
                      <w:lang w:val="en-US" w:eastAsia="zh-CN"/>
                    </w:rPr>
                    <w:t>0.7</w:t>
                  </w:r>
                </w:p>
              </w:tc>
              <w:tc>
                <w:tcPr>
                  <w:tcW w:w="619" w:type="pct"/>
                  <w:noWrap w:val="0"/>
                  <w:vAlign w:val="center"/>
                </w:tcPr>
                <w:p w14:paraId="109D195B">
                  <w:pPr>
                    <w:jc w:val="center"/>
                    <w:rPr>
                      <w:rFonts w:hint="eastAsia" w:eastAsia="宋体"/>
                      <w:color w:val="auto"/>
                      <w:kern w:val="0"/>
                      <w:sz w:val="21"/>
                      <w:szCs w:val="21"/>
                      <w:lang w:val="en-US" w:eastAsia="zh-CN" w:bidi="ar"/>
                    </w:rPr>
                  </w:pPr>
                  <w:r>
                    <w:rPr>
                      <w:rFonts w:hint="eastAsia"/>
                      <w:color w:val="auto"/>
                      <w:kern w:val="0"/>
                      <w:sz w:val="21"/>
                      <w:szCs w:val="21"/>
                      <w:lang w:val="en-US" w:eastAsia="zh-CN" w:bidi="ar"/>
                    </w:rPr>
                    <w:t>/</w:t>
                  </w:r>
                </w:p>
              </w:tc>
            </w:tr>
            <w:tr w14:paraId="698AEDD2">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571" w:type="pct"/>
                  <w:vMerge w:val="continue"/>
                  <w:noWrap w:val="0"/>
                  <w:vAlign w:val="center"/>
                </w:tcPr>
                <w:p w14:paraId="54E1E4DC">
                  <w:pPr>
                    <w:jc w:val="center"/>
                    <w:rPr>
                      <w:color w:val="auto"/>
                      <w:sz w:val="21"/>
                      <w:szCs w:val="21"/>
                    </w:rPr>
                  </w:pPr>
                </w:p>
              </w:tc>
              <w:tc>
                <w:tcPr>
                  <w:tcW w:w="712" w:type="pct"/>
                  <w:vMerge w:val="continue"/>
                  <w:noWrap w:val="0"/>
                  <w:vAlign w:val="center"/>
                </w:tcPr>
                <w:p w14:paraId="7FFF2C93">
                  <w:pPr>
                    <w:adjustRightInd w:val="0"/>
                    <w:snapToGrid w:val="0"/>
                    <w:jc w:val="center"/>
                    <w:textAlignment w:val="baseline"/>
                    <w:rPr>
                      <w:color w:val="auto"/>
                      <w:sz w:val="21"/>
                      <w:szCs w:val="21"/>
                    </w:rPr>
                  </w:pPr>
                </w:p>
              </w:tc>
              <w:tc>
                <w:tcPr>
                  <w:tcW w:w="840" w:type="pct"/>
                  <w:noWrap w:val="0"/>
                  <w:vAlign w:val="center"/>
                </w:tcPr>
                <w:p w14:paraId="30D88E36">
                  <w:pPr>
                    <w:jc w:val="center"/>
                    <w:rPr>
                      <w:color w:val="auto"/>
                      <w:sz w:val="21"/>
                      <w:szCs w:val="21"/>
                    </w:rPr>
                  </w:pPr>
                  <w:r>
                    <w:rPr>
                      <w:color w:val="auto"/>
                      <w:sz w:val="21"/>
                      <w:szCs w:val="21"/>
                    </w:rPr>
                    <w:t>下风向〇</w:t>
                  </w:r>
                  <w:r>
                    <w:rPr>
                      <w:rFonts w:hint="eastAsia"/>
                      <w:color w:val="auto"/>
                      <w:sz w:val="21"/>
                      <w:szCs w:val="21"/>
                    </w:rPr>
                    <w:t>0</w:t>
                  </w:r>
                  <w:r>
                    <w:rPr>
                      <w:color w:val="auto"/>
                      <w:sz w:val="21"/>
                      <w:szCs w:val="21"/>
                    </w:rPr>
                    <w:t>2</w:t>
                  </w:r>
                </w:p>
              </w:tc>
              <w:tc>
                <w:tcPr>
                  <w:tcW w:w="563" w:type="pct"/>
                  <w:noWrap w:val="0"/>
                  <w:vAlign w:val="center"/>
                </w:tcPr>
                <w:p w14:paraId="5888C93B">
                  <w:pPr>
                    <w:widowControl/>
                    <w:jc w:val="center"/>
                    <w:textAlignment w:val="center"/>
                    <w:rPr>
                      <w:rFonts w:hint="default" w:eastAsia="宋体"/>
                      <w:color w:val="auto"/>
                      <w:sz w:val="21"/>
                      <w:szCs w:val="21"/>
                      <w:lang w:val="en-US" w:eastAsia="zh-CN"/>
                    </w:rPr>
                  </w:pPr>
                  <w:r>
                    <w:rPr>
                      <w:rFonts w:hint="eastAsia"/>
                      <w:color w:val="auto"/>
                      <w:sz w:val="21"/>
                      <w:szCs w:val="21"/>
                      <w:lang w:val="en-US" w:eastAsia="zh-CN"/>
                    </w:rPr>
                    <w:t>0.8</w:t>
                  </w:r>
                </w:p>
              </w:tc>
              <w:tc>
                <w:tcPr>
                  <w:tcW w:w="563" w:type="pct"/>
                  <w:noWrap w:val="0"/>
                  <w:vAlign w:val="center"/>
                </w:tcPr>
                <w:p w14:paraId="3E25A38E">
                  <w:pPr>
                    <w:widowControl/>
                    <w:jc w:val="center"/>
                    <w:textAlignment w:val="center"/>
                    <w:rPr>
                      <w:rFonts w:hint="default" w:eastAsia="宋体"/>
                      <w:color w:val="auto"/>
                      <w:sz w:val="21"/>
                      <w:szCs w:val="21"/>
                      <w:lang w:val="en-US" w:eastAsia="zh-CN"/>
                    </w:rPr>
                  </w:pPr>
                  <w:r>
                    <w:rPr>
                      <w:rFonts w:hint="eastAsia"/>
                      <w:color w:val="auto"/>
                      <w:sz w:val="21"/>
                      <w:szCs w:val="21"/>
                      <w:lang w:val="en-US" w:eastAsia="zh-CN"/>
                    </w:rPr>
                    <w:t>0.84</w:t>
                  </w:r>
                </w:p>
              </w:tc>
              <w:tc>
                <w:tcPr>
                  <w:tcW w:w="563" w:type="pct"/>
                  <w:noWrap w:val="0"/>
                  <w:vAlign w:val="center"/>
                </w:tcPr>
                <w:p w14:paraId="7DA81A65">
                  <w:pPr>
                    <w:widowControl/>
                    <w:jc w:val="center"/>
                    <w:textAlignment w:val="center"/>
                    <w:rPr>
                      <w:rFonts w:hint="default" w:eastAsia="宋体"/>
                      <w:color w:val="auto"/>
                      <w:sz w:val="21"/>
                      <w:szCs w:val="21"/>
                      <w:lang w:val="en-US" w:eastAsia="zh-CN"/>
                    </w:rPr>
                  </w:pPr>
                  <w:r>
                    <w:rPr>
                      <w:rFonts w:hint="eastAsia"/>
                      <w:color w:val="auto"/>
                      <w:sz w:val="21"/>
                      <w:szCs w:val="21"/>
                      <w:lang w:val="en-US" w:eastAsia="zh-CN"/>
                    </w:rPr>
                    <w:t>0.84</w:t>
                  </w:r>
                </w:p>
              </w:tc>
              <w:tc>
                <w:tcPr>
                  <w:tcW w:w="567" w:type="pct"/>
                  <w:noWrap w:val="0"/>
                  <w:vAlign w:val="center"/>
                </w:tcPr>
                <w:p w14:paraId="18B99A04">
                  <w:pPr>
                    <w:widowControl/>
                    <w:jc w:val="center"/>
                    <w:textAlignment w:val="center"/>
                    <w:rPr>
                      <w:color w:val="auto"/>
                      <w:sz w:val="21"/>
                      <w:szCs w:val="21"/>
                    </w:rPr>
                  </w:pPr>
                  <w:r>
                    <w:rPr>
                      <w:rFonts w:hint="eastAsia"/>
                      <w:color w:val="auto"/>
                      <w:sz w:val="21"/>
                      <w:szCs w:val="21"/>
                      <w:lang w:val="en-US" w:eastAsia="zh-CN"/>
                    </w:rPr>
                    <w:t>0.84</w:t>
                  </w:r>
                </w:p>
              </w:tc>
              <w:tc>
                <w:tcPr>
                  <w:tcW w:w="619" w:type="pct"/>
                  <w:vMerge w:val="restart"/>
                  <w:noWrap w:val="0"/>
                  <w:vAlign w:val="center"/>
                </w:tcPr>
                <w:p w14:paraId="0AE73337">
                  <w:pPr>
                    <w:jc w:val="center"/>
                    <w:rPr>
                      <w:color w:val="auto"/>
                      <w:kern w:val="0"/>
                      <w:sz w:val="21"/>
                      <w:szCs w:val="21"/>
                      <w:lang w:bidi="ar"/>
                    </w:rPr>
                  </w:pPr>
                  <w:r>
                    <w:rPr>
                      <w:rFonts w:hint="eastAsia"/>
                      <w:color w:val="auto"/>
                      <w:kern w:val="0"/>
                      <w:sz w:val="21"/>
                      <w:szCs w:val="21"/>
                      <w:lang w:bidi="ar"/>
                    </w:rPr>
                    <w:t>4.0</w:t>
                  </w:r>
                </w:p>
              </w:tc>
            </w:tr>
            <w:tr w14:paraId="752F6A9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36" w:hRule="atLeast"/>
                <w:jc w:val="center"/>
              </w:trPr>
              <w:tc>
                <w:tcPr>
                  <w:tcW w:w="571" w:type="pct"/>
                  <w:vMerge w:val="continue"/>
                  <w:noWrap w:val="0"/>
                  <w:vAlign w:val="center"/>
                </w:tcPr>
                <w:p w14:paraId="2F3F790A">
                  <w:pPr>
                    <w:jc w:val="center"/>
                    <w:rPr>
                      <w:color w:val="auto"/>
                      <w:sz w:val="21"/>
                      <w:szCs w:val="21"/>
                    </w:rPr>
                  </w:pPr>
                </w:p>
              </w:tc>
              <w:tc>
                <w:tcPr>
                  <w:tcW w:w="712" w:type="pct"/>
                  <w:vMerge w:val="continue"/>
                  <w:noWrap w:val="0"/>
                  <w:vAlign w:val="center"/>
                </w:tcPr>
                <w:p w14:paraId="7DCA8B3B">
                  <w:pPr>
                    <w:adjustRightInd w:val="0"/>
                    <w:snapToGrid w:val="0"/>
                    <w:jc w:val="center"/>
                    <w:textAlignment w:val="baseline"/>
                    <w:rPr>
                      <w:color w:val="auto"/>
                      <w:sz w:val="21"/>
                      <w:szCs w:val="21"/>
                    </w:rPr>
                  </w:pPr>
                </w:p>
              </w:tc>
              <w:tc>
                <w:tcPr>
                  <w:tcW w:w="840" w:type="pct"/>
                  <w:noWrap w:val="0"/>
                  <w:vAlign w:val="center"/>
                </w:tcPr>
                <w:p w14:paraId="073EE7EF">
                  <w:pPr>
                    <w:jc w:val="center"/>
                    <w:rPr>
                      <w:color w:val="auto"/>
                      <w:sz w:val="21"/>
                      <w:szCs w:val="21"/>
                    </w:rPr>
                  </w:pPr>
                  <w:r>
                    <w:rPr>
                      <w:color w:val="auto"/>
                      <w:sz w:val="21"/>
                      <w:szCs w:val="21"/>
                    </w:rPr>
                    <w:t>下风向〇</w:t>
                  </w:r>
                  <w:r>
                    <w:rPr>
                      <w:rFonts w:hint="eastAsia"/>
                      <w:color w:val="auto"/>
                      <w:sz w:val="21"/>
                      <w:szCs w:val="21"/>
                    </w:rPr>
                    <w:t>0</w:t>
                  </w:r>
                  <w:r>
                    <w:rPr>
                      <w:color w:val="auto"/>
                      <w:sz w:val="21"/>
                      <w:szCs w:val="21"/>
                    </w:rPr>
                    <w:t>3</w:t>
                  </w:r>
                </w:p>
              </w:tc>
              <w:tc>
                <w:tcPr>
                  <w:tcW w:w="563" w:type="pct"/>
                  <w:noWrap w:val="0"/>
                  <w:vAlign w:val="center"/>
                </w:tcPr>
                <w:p w14:paraId="5B5604D7">
                  <w:pPr>
                    <w:widowControl/>
                    <w:jc w:val="center"/>
                    <w:textAlignment w:val="center"/>
                    <w:rPr>
                      <w:rFonts w:hint="default" w:eastAsia="宋体"/>
                      <w:color w:val="auto"/>
                      <w:sz w:val="21"/>
                      <w:szCs w:val="21"/>
                      <w:lang w:val="en-US" w:eastAsia="zh-CN"/>
                    </w:rPr>
                  </w:pPr>
                  <w:r>
                    <w:rPr>
                      <w:rFonts w:hint="eastAsia"/>
                      <w:color w:val="auto"/>
                      <w:sz w:val="21"/>
                      <w:szCs w:val="21"/>
                      <w:lang w:val="en-US" w:eastAsia="zh-CN"/>
                    </w:rPr>
                    <w:t>0.87</w:t>
                  </w:r>
                </w:p>
              </w:tc>
              <w:tc>
                <w:tcPr>
                  <w:tcW w:w="563" w:type="pct"/>
                  <w:noWrap w:val="0"/>
                  <w:vAlign w:val="center"/>
                </w:tcPr>
                <w:p w14:paraId="37558D88">
                  <w:pPr>
                    <w:widowControl/>
                    <w:jc w:val="center"/>
                    <w:textAlignment w:val="center"/>
                    <w:rPr>
                      <w:rFonts w:hint="default" w:eastAsia="宋体"/>
                      <w:color w:val="auto"/>
                      <w:sz w:val="21"/>
                      <w:szCs w:val="21"/>
                      <w:lang w:val="en-US" w:eastAsia="zh-CN"/>
                    </w:rPr>
                  </w:pPr>
                  <w:r>
                    <w:rPr>
                      <w:rFonts w:hint="eastAsia"/>
                      <w:color w:val="auto"/>
                      <w:sz w:val="21"/>
                      <w:szCs w:val="21"/>
                      <w:lang w:val="en-US" w:eastAsia="zh-CN"/>
                    </w:rPr>
                    <w:t>0.88</w:t>
                  </w:r>
                </w:p>
              </w:tc>
              <w:tc>
                <w:tcPr>
                  <w:tcW w:w="563" w:type="pct"/>
                  <w:noWrap w:val="0"/>
                  <w:vAlign w:val="center"/>
                </w:tcPr>
                <w:p w14:paraId="24F7A4C4">
                  <w:pPr>
                    <w:widowControl/>
                    <w:jc w:val="center"/>
                    <w:textAlignment w:val="center"/>
                    <w:rPr>
                      <w:rFonts w:hint="default" w:eastAsia="宋体"/>
                      <w:color w:val="auto"/>
                      <w:sz w:val="21"/>
                      <w:szCs w:val="21"/>
                      <w:lang w:val="en-US" w:eastAsia="zh-CN"/>
                    </w:rPr>
                  </w:pPr>
                  <w:r>
                    <w:rPr>
                      <w:rFonts w:hint="eastAsia"/>
                      <w:color w:val="auto"/>
                      <w:sz w:val="21"/>
                      <w:szCs w:val="21"/>
                      <w:lang w:val="en-US" w:eastAsia="zh-CN"/>
                    </w:rPr>
                    <w:t>0.84</w:t>
                  </w:r>
                </w:p>
              </w:tc>
              <w:tc>
                <w:tcPr>
                  <w:tcW w:w="567" w:type="pct"/>
                  <w:noWrap w:val="0"/>
                  <w:vAlign w:val="center"/>
                </w:tcPr>
                <w:p w14:paraId="7AC42E2A">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0.86</w:t>
                  </w:r>
                </w:p>
              </w:tc>
              <w:tc>
                <w:tcPr>
                  <w:tcW w:w="619" w:type="pct"/>
                  <w:vMerge w:val="continue"/>
                  <w:noWrap w:val="0"/>
                  <w:vAlign w:val="center"/>
                </w:tcPr>
                <w:p w14:paraId="46046967">
                  <w:pPr>
                    <w:jc w:val="center"/>
                    <w:rPr>
                      <w:color w:val="auto"/>
                      <w:kern w:val="0"/>
                      <w:sz w:val="21"/>
                      <w:szCs w:val="21"/>
                      <w:lang w:bidi="ar"/>
                    </w:rPr>
                  </w:pPr>
                </w:p>
              </w:tc>
            </w:tr>
            <w:tr w14:paraId="0225298F">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571" w:type="pct"/>
                  <w:vMerge w:val="continue"/>
                  <w:noWrap w:val="0"/>
                  <w:vAlign w:val="center"/>
                </w:tcPr>
                <w:p w14:paraId="1CD8D639">
                  <w:pPr>
                    <w:jc w:val="center"/>
                    <w:rPr>
                      <w:color w:val="auto"/>
                      <w:sz w:val="21"/>
                      <w:szCs w:val="21"/>
                    </w:rPr>
                  </w:pPr>
                </w:p>
              </w:tc>
              <w:tc>
                <w:tcPr>
                  <w:tcW w:w="712" w:type="pct"/>
                  <w:vMerge w:val="continue"/>
                  <w:noWrap w:val="0"/>
                  <w:vAlign w:val="center"/>
                </w:tcPr>
                <w:p w14:paraId="6333718E">
                  <w:pPr>
                    <w:adjustRightInd w:val="0"/>
                    <w:snapToGrid w:val="0"/>
                    <w:jc w:val="center"/>
                    <w:textAlignment w:val="baseline"/>
                    <w:rPr>
                      <w:color w:val="auto"/>
                      <w:sz w:val="21"/>
                      <w:szCs w:val="21"/>
                    </w:rPr>
                  </w:pPr>
                </w:p>
              </w:tc>
              <w:tc>
                <w:tcPr>
                  <w:tcW w:w="840" w:type="pct"/>
                  <w:noWrap w:val="0"/>
                  <w:vAlign w:val="center"/>
                </w:tcPr>
                <w:p w14:paraId="3254E3AD">
                  <w:pPr>
                    <w:jc w:val="center"/>
                    <w:rPr>
                      <w:color w:val="auto"/>
                      <w:sz w:val="21"/>
                      <w:szCs w:val="21"/>
                    </w:rPr>
                  </w:pPr>
                  <w:r>
                    <w:rPr>
                      <w:color w:val="auto"/>
                      <w:sz w:val="21"/>
                      <w:szCs w:val="21"/>
                    </w:rPr>
                    <w:t>下风向〇</w:t>
                  </w:r>
                  <w:r>
                    <w:rPr>
                      <w:rFonts w:hint="eastAsia"/>
                      <w:color w:val="auto"/>
                      <w:sz w:val="21"/>
                      <w:szCs w:val="21"/>
                    </w:rPr>
                    <w:t>0</w:t>
                  </w:r>
                  <w:r>
                    <w:rPr>
                      <w:color w:val="auto"/>
                      <w:sz w:val="21"/>
                      <w:szCs w:val="21"/>
                    </w:rPr>
                    <w:t>4</w:t>
                  </w:r>
                </w:p>
              </w:tc>
              <w:tc>
                <w:tcPr>
                  <w:tcW w:w="563" w:type="pct"/>
                  <w:noWrap w:val="0"/>
                  <w:vAlign w:val="center"/>
                </w:tcPr>
                <w:p w14:paraId="1C0CF576">
                  <w:pPr>
                    <w:widowControl/>
                    <w:jc w:val="center"/>
                    <w:textAlignment w:val="center"/>
                    <w:rPr>
                      <w:rFonts w:hint="default" w:eastAsia="宋体"/>
                      <w:color w:val="auto"/>
                      <w:sz w:val="21"/>
                      <w:szCs w:val="21"/>
                      <w:lang w:val="en-US" w:eastAsia="zh-CN"/>
                    </w:rPr>
                  </w:pPr>
                  <w:r>
                    <w:rPr>
                      <w:rFonts w:hint="eastAsia"/>
                      <w:color w:val="auto"/>
                      <w:sz w:val="21"/>
                      <w:szCs w:val="21"/>
                      <w:lang w:val="en-US" w:eastAsia="zh-CN"/>
                    </w:rPr>
                    <w:t>0.92</w:t>
                  </w:r>
                </w:p>
              </w:tc>
              <w:tc>
                <w:tcPr>
                  <w:tcW w:w="563" w:type="pct"/>
                  <w:noWrap w:val="0"/>
                  <w:vAlign w:val="center"/>
                </w:tcPr>
                <w:p w14:paraId="6CBF6B82">
                  <w:pPr>
                    <w:widowControl/>
                    <w:jc w:val="center"/>
                    <w:textAlignment w:val="center"/>
                    <w:rPr>
                      <w:rFonts w:hint="default" w:eastAsia="宋体"/>
                      <w:color w:val="auto"/>
                      <w:sz w:val="21"/>
                      <w:szCs w:val="21"/>
                      <w:lang w:val="en-US" w:eastAsia="zh-CN"/>
                    </w:rPr>
                  </w:pPr>
                  <w:r>
                    <w:rPr>
                      <w:rFonts w:hint="eastAsia"/>
                      <w:color w:val="auto"/>
                      <w:sz w:val="21"/>
                      <w:szCs w:val="21"/>
                      <w:lang w:val="en-US" w:eastAsia="zh-CN"/>
                    </w:rPr>
                    <w:t>0.86</w:t>
                  </w:r>
                </w:p>
              </w:tc>
              <w:tc>
                <w:tcPr>
                  <w:tcW w:w="563" w:type="pct"/>
                  <w:noWrap w:val="0"/>
                  <w:vAlign w:val="center"/>
                </w:tcPr>
                <w:p w14:paraId="63C4786F">
                  <w:pPr>
                    <w:widowControl/>
                    <w:jc w:val="center"/>
                    <w:textAlignment w:val="center"/>
                    <w:rPr>
                      <w:rFonts w:hint="default" w:eastAsia="宋体"/>
                      <w:color w:val="auto"/>
                      <w:sz w:val="21"/>
                      <w:szCs w:val="21"/>
                      <w:lang w:val="en-US" w:eastAsia="zh-CN"/>
                    </w:rPr>
                  </w:pPr>
                  <w:r>
                    <w:rPr>
                      <w:rFonts w:hint="eastAsia"/>
                      <w:color w:val="auto"/>
                      <w:sz w:val="21"/>
                      <w:szCs w:val="21"/>
                      <w:lang w:val="en-US" w:eastAsia="zh-CN"/>
                    </w:rPr>
                    <w:t>0.9</w:t>
                  </w:r>
                </w:p>
              </w:tc>
              <w:tc>
                <w:tcPr>
                  <w:tcW w:w="567" w:type="pct"/>
                  <w:noWrap w:val="0"/>
                  <w:vAlign w:val="center"/>
                </w:tcPr>
                <w:p w14:paraId="338AF749">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0.89</w:t>
                  </w:r>
                </w:p>
              </w:tc>
              <w:tc>
                <w:tcPr>
                  <w:tcW w:w="619" w:type="pct"/>
                  <w:vMerge w:val="continue"/>
                  <w:noWrap w:val="0"/>
                  <w:vAlign w:val="center"/>
                </w:tcPr>
                <w:p w14:paraId="42D78E4F">
                  <w:pPr>
                    <w:jc w:val="center"/>
                    <w:rPr>
                      <w:color w:val="auto"/>
                      <w:kern w:val="0"/>
                      <w:sz w:val="21"/>
                      <w:szCs w:val="21"/>
                      <w:lang w:bidi="ar"/>
                    </w:rPr>
                  </w:pPr>
                </w:p>
              </w:tc>
            </w:tr>
            <w:tr w14:paraId="3003191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571" w:type="pct"/>
                  <w:vMerge w:val="continue"/>
                  <w:noWrap w:val="0"/>
                  <w:vAlign w:val="center"/>
                </w:tcPr>
                <w:p w14:paraId="7242A0BC">
                  <w:pPr>
                    <w:jc w:val="center"/>
                    <w:rPr>
                      <w:color w:val="auto"/>
                      <w:sz w:val="21"/>
                      <w:szCs w:val="21"/>
                    </w:rPr>
                  </w:pPr>
                </w:p>
              </w:tc>
              <w:tc>
                <w:tcPr>
                  <w:tcW w:w="712" w:type="pct"/>
                  <w:vMerge w:val="continue"/>
                  <w:noWrap w:val="0"/>
                  <w:vAlign w:val="center"/>
                </w:tcPr>
                <w:p w14:paraId="2941C465">
                  <w:pPr>
                    <w:adjustRightInd w:val="0"/>
                    <w:snapToGrid w:val="0"/>
                    <w:jc w:val="center"/>
                    <w:textAlignment w:val="baseline"/>
                    <w:rPr>
                      <w:color w:val="auto"/>
                      <w:sz w:val="21"/>
                      <w:szCs w:val="21"/>
                    </w:rPr>
                  </w:pPr>
                </w:p>
              </w:tc>
              <w:tc>
                <w:tcPr>
                  <w:tcW w:w="840" w:type="pct"/>
                  <w:noWrap w:val="0"/>
                  <w:vAlign w:val="center"/>
                </w:tcPr>
                <w:p w14:paraId="589CB33A">
                  <w:pPr>
                    <w:jc w:val="center"/>
                    <w:rPr>
                      <w:color w:val="auto"/>
                      <w:sz w:val="21"/>
                      <w:szCs w:val="21"/>
                    </w:rPr>
                  </w:pPr>
                  <w:r>
                    <w:rPr>
                      <w:rFonts w:hint="eastAsia"/>
                      <w:color w:val="auto"/>
                      <w:sz w:val="21"/>
                      <w:szCs w:val="21"/>
                      <w:lang w:val="en-US" w:eastAsia="zh-CN"/>
                    </w:rPr>
                    <w:t>车间四南</w:t>
                  </w:r>
                  <w:r>
                    <w:rPr>
                      <w:rFonts w:hint="eastAsia"/>
                      <w:color w:val="auto"/>
                      <w:sz w:val="21"/>
                      <w:szCs w:val="21"/>
                    </w:rPr>
                    <w:t>侧窗外1m</w:t>
                  </w:r>
                  <w:r>
                    <w:rPr>
                      <w:color w:val="auto"/>
                      <w:sz w:val="21"/>
                      <w:szCs w:val="21"/>
                    </w:rPr>
                    <w:t>〇</w:t>
                  </w:r>
                  <w:r>
                    <w:rPr>
                      <w:rFonts w:hint="eastAsia"/>
                      <w:color w:val="auto"/>
                      <w:sz w:val="21"/>
                      <w:szCs w:val="21"/>
                    </w:rPr>
                    <w:t>05</w:t>
                  </w:r>
                </w:p>
              </w:tc>
              <w:tc>
                <w:tcPr>
                  <w:tcW w:w="563" w:type="pct"/>
                  <w:noWrap w:val="0"/>
                  <w:vAlign w:val="center"/>
                </w:tcPr>
                <w:p w14:paraId="1C45299F">
                  <w:pPr>
                    <w:widowControl/>
                    <w:jc w:val="center"/>
                    <w:textAlignment w:val="center"/>
                    <w:rPr>
                      <w:rFonts w:hint="default" w:eastAsia="宋体"/>
                      <w:color w:val="auto"/>
                      <w:sz w:val="21"/>
                      <w:szCs w:val="21"/>
                      <w:lang w:val="en-US" w:eastAsia="zh-CN"/>
                    </w:rPr>
                  </w:pPr>
                  <w:r>
                    <w:rPr>
                      <w:rFonts w:hint="eastAsia"/>
                      <w:color w:val="auto"/>
                      <w:sz w:val="21"/>
                      <w:szCs w:val="21"/>
                      <w:lang w:val="en-US" w:eastAsia="zh-CN"/>
                    </w:rPr>
                    <w:t>0.87</w:t>
                  </w:r>
                </w:p>
              </w:tc>
              <w:tc>
                <w:tcPr>
                  <w:tcW w:w="563" w:type="pct"/>
                  <w:noWrap w:val="0"/>
                  <w:vAlign w:val="center"/>
                </w:tcPr>
                <w:p w14:paraId="7D456786">
                  <w:pPr>
                    <w:widowControl/>
                    <w:jc w:val="center"/>
                    <w:textAlignment w:val="center"/>
                    <w:rPr>
                      <w:rFonts w:hint="default" w:eastAsia="宋体"/>
                      <w:color w:val="auto"/>
                      <w:sz w:val="21"/>
                      <w:szCs w:val="21"/>
                      <w:lang w:val="en-US" w:eastAsia="zh-CN"/>
                    </w:rPr>
                  </w:pPr>
                  <w:r>
                    <w:rPr>
                      <w:rFonts w:hint="eastAsia"/>
                      <w:color w:val="auto"/>
                      <w:sz w:val="21"/>
                      <w:szCs w:val="21"/>
                      <w:lang w:val="en-US" w:eastAsia="zh-CN"/>
                    </w:rPr>
                    <w:t>0.83</w:t>
                  </w:r>
                </w:p>
              </w:tc>
              <w:tc>
                <w:tcPr>
                  <w:tcW w:w="563" w:type="pct"/>
                  <w:noWrap w:val="0"/>
                  <w:vAlign w:val="center"/>
                </w:tcPr>
                <w:p w14:paraId="455289AE">
                  <w:pPr>
                    <w:widowControl/>
                    <w:jc w:val="center"/>
                    <w:textAlignment w:val="center"/>
                    <w:rPr>
                      <w:rFonts w:hint="default" w:eastAsia="宋体"/>
                      <w:color w:val="auto"/>
                      <w:sz w:val="21"/>
                      <w:szCs w:val="21"/>
                      <w:lang w:val="en-US" w:eastAsia="zh-CN"/>
                    </w:rPr>
                  </w:pPr>
                  <w:r>
                    <w:rPr>
                      <w:rFonts w:hint="eastAsia"/>
                      <w:color w:val="auto"/>
                      <w:sz w:val="21"/>
                      <w:szCs w:val="21"/>
                      <w:lang w:val="en-US" w:eastAsia="zh-CN"/>
                    </w:rPr>
                    <w:t>0.83</w:t>
                  </w:r>
                </w:p>
              </w:tc>
              <w:tc>
                <w:tcPr>
                  <w:tcW w:w="567" w:type="pct"/>
                  <w:noWrap w:val="0"/>
                  <w:vAlign w:val="center"/>
                </w:tcPr>
                <w:p w14:paraId="7FE10D20">
                  <w:pPr>
                    <w:widowControl/>
                    <w:jc w:val="center"/>
                    <w:textAlignment w:val="center"/>
                    <w:rPr>
                      <w:rFonts w:hint="default" w:eastAsia="宋体"/>
                      <w:color w:val="auto"/>
                      <w:sz w:val="21"/>
                      <w:szCs w:val="21"/>
                      <w:lang w:val="en-US" w:eastAsia="zh-CN"/>
                    </w:rPr>
                  </w:pPr>
                  <w:r>
                    <w:rPr>
                      <w:rFonts w:hint="eastAsia"/>
                      <w:color w:val="auto"/>
                      <w:sz w:val="21"/>
                      <w:szCs w:val="21"/>
                      <w:lang w:val="en-US" w:eastAsia="zh-CN"/>
                    </w:rPr>
                    <w:t>0.91</w:t>
                  </w:r>
                </w:p>
              </w:tc>
              <w:tc>
                <w:tcPr>
                  <w:tcW w:w="619" w:type="pct"/>
                  <w:noWrap w:val="0"/>
                  <w:vAlign w:val="center"/>
                </w:tcPr>
                <w:p w14:paraId="37F919E0">
                  <w:pPr>
                    <w:jc w:val="center"/>
                    <w:rPr>
                      <w:color w:val="auto"/>
                      <w:kern w:val="0"/>
                      <w:sz w:val="21"/>
                      <w:szCs w:val="21"/>
                      <w:lang w:bidi="ar"/>
                    </w:rPr>
                  </w:pPr>
                  <w:r>
                    <w:rPr>
                      <w:rFonts w:hint="eastAsia"/>
                      <w:color w:val="auto"/>
                      <w:kern w:val="0"/>
                      <w:sz w:val="21"/>
                      <w:szCs w:val="21"/>
                      <w:lang w:bidi="ar"/>
                    </w:rPr>
                    <w:t>6.0</w:t>
                  </w:r>
                </w:p>
              </w:tc>
            </w:tr>
          </w:tbl>
          <w:p w14:paraId="651B0527">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eastAsia" w:eastAsia="宋体"/>
                <w:color w:val="auto"/>
                <w:sz w:val="21"/>
                <w:szCs w:val="21"/>
                <w:lang w:val="en-US" w:eastAsia="zh-CN"/>
              </w:rPr>
            </w:pPr>
            <w:r>
              <w:rPr>
                <w:rFonts w:ascii="Times New Roman" w:hAnsi="Times New Roman" w:eastAsia="宋体" w:cs="Times New Roman"/>
                <w:color w:val="auto"/>
                <w:sz w:val="21"/>
                <w:szCs w:val="21"/>
              </w:rPr>
              <w:t>由表2-</w:t>
            </w:r>
            <w:r>
              <w:rPr>
                <w:rFonts w:hint="eastAsia" w:ascii="Times New Roman" w:hAnsi="Times New Roman" w:eastAsia="宋体" w:cs="Times New Roman"/>
                <w:color w:val="auto"/>
                <w:sz w:val="21"/>
                <w:szCs w:val="21"/>
              </w:rPr>
              <w:t>1</w:t>
            </w:r>
            <w:r>
              <w:rPr>
                <w:rFonts w:hint="eastAsia" w:cs="Times New Roman"/>
                <w:color w:val="auto"/>
                <w:sz w:val="21"/>
                <w:szCs w:val="21"/>
                <w:lang w:val="en-US" w:eastAsia="zh-CN"/>
              </w:rPr>
              <w:t>3</w:t>
            </w:r>
            <w:r>
              <w:rPr>
                <w:rFonts w:ascii="Times New Roman" w:hAnsi="Times New Roman" w:eastAsia="宋体" w:cs="Times New Roman"/>
                <w:color w:val="auto"/>
                <w:sz w:val="21"/>
                <w:szCs w:val="21"/>
              </w:rPr>
              <w:t>~2-</w:t>
            </w:r>
            <w:r>
              <w:rPr>
                <w:rFonts w:hint="eastAsia" w:ascii="Times New Roman" w:hAnsi="Times New Roman" w:eastAsia="宋体" w:cs="Times New Roman"/>
                <w:color w:val="auto"/>
                <w:sz w:val="21"/>
                <w:szCs w:val="21"/>
              </w:rPr>
              <w:t>1</w:t>
            </w:r>
            <w:r>
              <w:rPr>
                <w:rFonts w:hint="eastAsia" w:cs="Times New Roman"/>
                <w:color w:val="auto"/>
                <w:sz w:val="21"/>
                <w:szCs w:val="21"/>
                <w:lang w:val="en-US" w:eastAsia="zh-CN"/>
              </w:rPr>
              <w:t>4</w:t>
            </w:r>
            <w:r>
              <w:rPr>
                <w:rFonts w:ascii="Times New Roman" w:hAnsi="Times New Roman" w:eastAsia="宋体" w:cs="Times New Roman"/>
                <w:color w:val="auto"/>
                <w:sz w:val="21"/>
                <w:szCs w:val="21"/>
              </w:rPr>
              <w:t>可知，</w:t>
            </w:r>
            <w:r>
              <w:rPr>
                <w:rFonts w:hint="eastAsia" w:ascii="Times New Roman" w:hAnsi="Times New Roman" w:eastAsia="宋体" w:cs="Times New Roman"/>
                <w:color w:val="auto"/>
                <w:sz w:val="21"/>
                <w:szCs w:val="21"/>
              </w:rPr>
              <w:t>已建</w:t>
            </w:r>
            <w:r>
              <w:rPr>
                <w:rFonts w:ascii="Times New Roman" w:hAnsi="Times New Roman" w:eastAsia="宋体" w:cs="Times New Roman"/>
                <w:color w:val="auto"/>
                <w:sz w:val="21"/>
                <w:szCs w:val="21"/>
              </w:rPr>
              <w:t>项目</w:t>
            </w:r>
            <w:r>
              <w:rPr>
                <w:rFonts w:hint="eastAsia" w:ascii="Times New Roman" w:hAnsi="Times New Roman" w:eastAsia="宋体" w:cs="Times New Roman"/>
                <w:color w:val="auto"/>
                <w:sz w:val="21"/>
                <w:szCs w:val="21"/>
                <w:lang w:val="en-US" w:eastAsia="zh-CN"/>
              </w:rPr>
              <w:t>各废气排气筒</w:t>
            </w:r>
            <w:r>
              <w:rPr>
                <w:rFonts w:ascii="Times New Roman" w:hAnsi="Times New Roman" w:eastAsia="宋体" w:cs="Times New Roman"/>
                <w:color w:val="auto"/>
                <w:sz w:val="21"/>
                <w:szCs w:val="21"/>
              </w:rPr>
              <w:t>废气</w:t>
            </w:r>
            <w:r>
              <w:rPr>
                <w:rFonts w:hint="eastAsia" w:ascii="Times New Roman" w:hAnsi="Times New Roman" w:eastAsia="宋体" w:cs="Times New Roman"/>
                <w:color w:val="auto"/>
                <w:sz w:val="21"/>
                <w:szCs w:val="21"/>
                <w:lang w:val="en-US" w:eastAsia="zh-CN"/>
              </w:rPr>
              <w:t>非甲烷总烃</w:t>
            </w:r>
            <w:r>
              <w:rPr>
                <w:rFonts w:hint="eastAsia" w:ascii="Times New Roman" w:hAnsi="Times New Roman" w:eastAsia="宋体" w:cs="Times New Roman"/>
                <w:color w:val="auto"/>
                <w:sz w:val="21"/>
                <w:szCs w:val="21"/>
              </w:rPr>
              <w:t>排放浓度均满足《合成树脂工业污染物排放标准》（GB 31572-2015，含2024年修改单）表</w:t>
            </w:r>
            <w:r>
              <w:rPr>
                <w:rFonts w:hint="eastAsia" w:ascii="Times New Roman" w:hAnsi="Times New Roman" w:eastAsia="宋体" w:cs="Times New Roman"/>
                <w:color w:val="auto"/>
                <w:sz w:val="21"/>
                <w:szCs w:val="21"/>
                <w:lang w:val="en-US" w:eastAsia="zh-CN"/>
              </w:rPr>
              <w:t>5</w:t>
            </w:r>
            <w:r>
              <w:rPr>
                <w:rFonts w:hint="eastAsia" w:ascii="Times New Roman" w:hAnsi="Times New Roman" w:eastAsia="宋体" w:cs="Times New Roman"/>
                <w:color w:val="auto"/>
                <w:sz w:val="21"/>
                <w:szCs w:val="21"/>
              </w:rPr>
              <w:t>中标准，无组织废气厂界排放浓度满足《合成树脂工业污染物排放标准》（GB 31572-2015，含2024年修改单）表</w:t>
            </w:r>
            <w:r>
              <w:rPr>
                <w:rFonts w:hint="eastAsia" w:ascii="Times New Roman" w:hAnsi="Times New Roman" w:eastAsia="宋体" w:cs="Times New Roman"/>
                <w:color w:val="auto"/>
                <w:sz w:val="21"/>
                <w:szCs w:val="21"/>
                <w:lang w:val="en-US" w:eastAsia="zh-CN"/>
              </w:rPr>
              <w:t>9</w:t>
            </w:r>
            <w:r>
              <w:rPr>
                <w:rFonts w:hint="eastAsia" w:ascii="Times New Roman" w:hAnsi="Times New Roman" w:eastAsia="宋体" w:cs="Times New Roman"/>
                <w:color w:val="auto"/>
                <w:sz w:val="21"/>
                <w:szCs w:val="21"/>
              </w:rPr>
              <w:t>中标准，厂区内无组织废气排放浓度满足《大气污染物综合排放标准》(DB32/4041-2021)表2中标准</w:t>
            </w:r>
            <w:r>
              <w:rPr>
                <w:rFonts w:hint="eastAsia" w:ascii="Times New Roman" w:hAnsi="Times New Roman" w:eastAsia="宋体" w:cs="Times New Roman"/>
                <w:color w:val="auto"/>
                <w:sz w:val="21"/>
                <w:szCs w:val="21"/>
                <w:lang w:eastAsia="zh-CN"/>
              </w:rPr>
              <w:t>。</w:t>
            </w:r>
          </w:p>
          <w:p w14:paraId="06A4B5CA">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color w:val="auto"/>
                <w:sz w:val="21"/>
                <w:szCs w:val="21"/>
              </w:rPr>
            </w:pPr>
            <w:r>
              <w:rPr>
                <w:color w:val="auto"/>
                <w:sz w:val="21"/>
                <w:szCs w:val="21"/>
              </w:rPr>
              <w:t>③噪声</w:t>
            </w:r>
          </w:p>
          <w:p w14:paraId="0F1E0CF2">
            <w:pPr>
              <w:keepNext w:val="0"/>
              <w:keepLines w:val="0"/>
              <w:pageBreakBefore w:val="0"/>
              <w:widowControl w:val="0"/>
              <w:kinsoku/>
              <w:wordWrap/>
              <w:overflowPunct/>
              <w:topLinePunct w:val="0"/>
              <w:autoSpaceDE/>
              <w:autoSpaceDN/>
              <w:bidi w:val="0"/>
              <w:spacing w:line="500" w:lineRule="exact"/>
              <w:jc w:val="center"/>
              <w:textAlignment w:val="auto"/>
              <w:rPr>
                <w:b/>
                <w:color w:val="auto"/>
                <w:sz w:val="21"/>
                <w:szCs w:val="21"/>
              </w:rPr>
            </w:pPr>
            <w:r>
              <w:rPr>
                <w:b/>
                <w:bCs/>
                <w:color w:val="auto"/>
                <w:sz w:val="21"/>
                <w:szCs w:val="21"/>
                <w:lang w:val="en-US" w:eastAsia="zh-CN"/>
              </w:rPr>
              <w:t>表2-</w:t>
            </w:r>
            <w:r>
              <w:rPr>
                <w:rFonts w:hint="eastAsia"/>
                <w:b/>
                <w:bCs/>
                <w:color w:val="auto"/>
                <w:sz w:val="21"/>
                <w:szCs w:val="21"/>
                <w:lang w:val="en-US" w:eastAsia="zh-CN"/>
              </w:rPr>
              <w:t xml:space="preserve">15 </w:t>
            </w:r>
            <w:r>
              <w:rPr>
                <w:b/>
                <w:bCs/>
                <w:color w:val="auto"/>
                <w:sz w:val="21"/>
                <w:szCs w:val="21"/>
                <w:lang w:val="en-US" w:eastAsia="zh-CN"/>
              </w:rPr>
              <w:t>现有项目</w:t>
            </w:r>
            <w:r>
              <w:rPr>
                <w:rFonts w:hint="eastAsia"/>
                <w:b/>
                <w:bCs/>
                <w:color w:val="auto"/>
                <w:sz w:val="21"/>
                <w:szCs w:val="21"/>
                <w:lang w:val="en-US" w:eastAsia="zh-CN"/>
              </w:rPr>
              <w:t>厂界</w:t>
            </w:r>
            <w:r>
              <w:rPr>
                <w:b/>
                <w:color w:val="auto"/>
                <w:sz w:val="21"/>
                <w:szCs w:val="21"/>
              </w:rPr>
              <w:t>噪声检测结果   单位：dB（A）</w:t>
            </w:r>
          </w:p>
          <w:tbl>
            <w:tblPr>
              <w:tblStyle w:val="31"/>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2047"/>
              <w:gridCol w:w="1222"/>
              <w:gridCol w:w="1223"/>
              <w:gridCol w:w="1222"/>
              <w:gridCol w:w="1225"/>
            </w:tblGrid>
            <w:tr w14:paraId="014B10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66" w:type="pct"/>
                  <w:vMerge w:val="restart"/>
                  <w:tcBorders>
                    <w:tl2br w:val="nil"/>
                    <w:tr2bl w:val="nil"/>
                  </w:tcBorders>
                  <w:vAlign w:val="center"/>
                </w:tcPr>
                <w:p w14:paraId="56F76933">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检测日期</w:t>
                  </w:r>
                </w:p>
              </w:tc>
              <w:tc>
                <w:tcPr>
                  <w:tcW w:w="1248" w:type="pct"/>
                  <w:vMerge w:val="restart"/>
                  <w:tcBorders>
                    <w:tl2br w:val="nil"/>
                    <w:tr2bl w:val="nil"/>
                  </w:tcBorders>
                  <w:vAlign w:val="center"/>
                </w:tcPr>
                <w:p w14:paraId="6E291849">
                  <w:pPr>
                    <w:keepNext w:val="0"/>
                    <w:keepLines w:val="0"/>
                    <w:pageBreakBefore w:val="0"/>
                    <w:kinsoku/>
                    <w:wordWrap/>
                    <w:overflowPunct/>
                    <w:topLinePunct w:val="0"/>
                    <w:bidi w:val="0"/>
                    <w:adjustRightInd w:val="0"/>
                    <w:snapToGrid w:val="0"/>
                    <w:ind w:left="0" w:right="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检测点位</w:t>
                  </w:r>
                </w:p>
              </w:tc>
              <w:tc>
                <w:tcPr>
                  <w:tcW w:w="1491" w:type="pct"/>
                  <w:gridSpan w:val="2"/>
                  <w:tcBorders>
                    <w:tl2br w:val="nil"/>
                    <w:tr2bl w:val="nil"/>
                  </w:tcBorders>
                  <w:vAlign w:val="center"/>
                </w:tcPr>
                <w:p w14:paraId="1BC8711B">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val="en-US" w:eastAsia="zh-CN"/>
                    </w:rPr>
                    <w:t>监测结果dB</w:t>
                  </w:r>
                  <w:r>
                    <w:rPr>
                      <w:rFonts w:hint="default" w:ascii="Times New Roman" w:hAnsi="Times New Roman" w:cs="Times New Roman"/>
                      <w:b/>
                      <w:bCs/>
                      <w:color w:val="auto"/>
                      <w:sz w:val="21"/>
                      <w:szCs w:val="21"/>
                      <w:lang w:eastAsia="zh-CN"/>
                    </w:rPr>
                    <w:t>（</w:t>
                  </w:r>
                  <w:r>
                    <w:rPr>
                      <w:rFonts w:hint="default" w:ascii="Times New Roman" w:hAnsi="Times New Roman" w:cs="Times New Roman"/>
                      <w:b/>
                      <w:bCs/>
                      <w:color w:val="auto"/>
                      <w:sz w:val="21"/>
                      <w:szCs w:val="21"/>
                      <w:lang w:val="en-US" w:eastAsia="zh-CN"/>
                    </w:rPr>
                    <w:t>A</w:t>
                  </w:r>
                  <w:r>
                    <w:rPr>
                      <w:rFonts w:hint="default" w:ascii="Times New Roman" w:hAnsi="Times New Roman" w:cs="Times New Roman"/>
                      <w:b/>
                      <w:bCs/>
                      <w:color w:val="auto"/>
                      <w:sz w:val="21"/>
                      <w:szCs w:val="21"/>
                      <w:lang w:eastAsia="zh-CN"/>
                    </w:rPr>
                    <w:t>）</w:t>
                  </w:r>
                </w:p>
              </w:tc>
              <w:tc>
                <w:tcPr>
                  <w:tcW w:w="1492" w:type="pct"/>
                  <w:gridSpan w:val="2"/>
                  <w:tcBorders>
                    <w:tl2br w:val="nil"/>
                    <w:tr2bl w:val="nil"/>
                  </w:tcBorders>
                  <w:vAlign w:val="center"/>
                </w:tcPr>
                <w:p w14:paraId="1A6A30CC">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kern w:val="0"/>
                      <w:sz w:val="21"/>
                      <w:szCs w:val="21"/>
                      <w:lang w:val="en-US" w:eastAsia="zh-CN"/>
                    </w:rPr>
                    <w:t>标准值</w:t>
                  </w:r>
                  <w:r>
                    <w:rPr>
                      <w:rFonts w:hint="default" w:ascii="Times New Roman" w:hAnsi="Times New Roman" w:cs="Times New Roman"/>
                      <w:b/>
                      <w:bCs/>
                      <w:color w:val="auto"/>
                      <w:sz w:val="21"/>
                      <w:szCs w:val="21"/>
                      <w:lang w:val="en-US" w:eastAsia="zh-CN"/>
                    </w:rPr>
                    <w:t>dB</w:t>
                  </w:r>
                  <w:r>
                    <w:rPr>
                      <w:rFonts w:hint="default" w:ascii="Times New Roman" w:hAnsi="Times New Roman" w:cs="Times New Roman"/>
                      <w:b/>
                      <w:bCs/>
                      <w:color w:val="auto"/>
                      <w:sz w:val="21"/>
                      <w:szCs w:val="21"/>
                      <w:lang w:eastAsia="zh-CN"/>
                    </w:rPr>
                    <w:t>（</w:t>
                  </w:r>
                  <w:r>
                    <w:rPr>
                      <w:rFonts w:hint="default" w:ascii="Times New Roman" w:hAnsi="Times New Roman" w:cs="Times New Roman"/>
                      <w:b/>
                      <w:bCs/>
                      <w:color w:val="auto"/>
                      <w:sz w:val="21"/>
                      <w:szCs w:val="21"/>
                      <w:lang w:val="en-US" w:eastAsia="zh-CN"/>
                    </w:rPr>
                    <w:t>A</w:t>
                  </w:r>
                  <w:r>
                    <w:rPr>
                      <w:rFonts w:hint="default" w:ascii="Times New Roman" w:hAnsi="Times New Roman" w:cs="Times New Roman"/>
                      <w:b/>
                      <w:bCs/>
                      <w:color w:val="auto"/>
                      <w:sz w:val="21"/>
                      <w:szCs w:val="21"/>
                      <w:lang w:eastAsia="zh-CN"/>
                    </w:rPr>
                    <w:t>）</w:t>
                  </w:r>
                </w:p>
              </w:tc>
            </w:tr>
            <w:tr w14:paraId="0A1D4F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766" w:type="pct"/>
                  <w:vMerge w:val="continue"/>
                  <w:tcBorders>
                    <w:tl2br w:val="nil"/>
                    <w:tr2bl w:val="nil"/>
                  </w:tcBorders>
                  <w:vAlign w:val="center"/>
                </w:tcPr>
                <w:p w14:paraId="1B4C2367">
                  <w:pPr>
                    <w:keepNext w:val="0"/>
                    <w:keepLines w:val="0"/>
                    <w:pageBreakBefore w:val="0"/>
                    <w:kinsoku/>
                    <w:wordWrap/>
                    <w:overflowPunct/>
                    <w:topLinePunct w:val="0"/>
                    <w:bidi w:val="0"/>
                    <w:adjustRightInd w:val="0"/>
                    <w:snapToGrid w:val="0"/>
                    <w:ind w:left="0" w:right="0"/>
                    <w:jc w:val="center"/>
                    <w:rPr>
                      <w:rFonts w:hint="default" w:ascii="Times New Roman" w:hAnsi="Times New Roman" w:cs="Times New Roman"/>
                      <w:b/>
                      <w:bCs/>
                      <w:color w:val="auto"/>
                      <w:sz w:val="21"/>
                      <w:szCs w:val="21"/>
                      <w:lang w:val="en-US" w:eastAsia="zh-CN"/>
                    </w:rPr>
                  </w:pPr>
                </w:p>
              </w:tc>
              <w:tc>
                <w:tcPr>
                  <w:tcW w:w="1248" w:type="pct"/>
                  <w:vMerge w:val="continue"/>
                  <w:tcBorders>
                    <w:tl2br w:val="nil"/>
                    <w:tr2bl w:val="nil"/>
                  </w:tcBorders>
                  <w:vAlign w:val="center"/>
                </w:tcPr>
                <w:p w14:paraId="48905102">
                  <w:pPr>
                    <w:keepNext w:val="0"/>
                    <w:keepLines w:val="0"/>
                    <w:pageBreakBefore w:val="0"/>
                    <w:kinsoku/>
                    <w:wordWrap/>
                    <w:overflowPunct/>
                    <w:topLinePunct w:val="0"/>
                    <w:bidi w:val="0"/>
                    <w:adjustRightInd w:val="0"/>
                    <w:snapToGrid w:val="0"/>
                    <w:ind w:left="0" w:right="0"/>
                    <w:jc w:val="center"/>
                    <w:rPr>
                      <w:rFonts w:hint="default" w:ascii="Times New Roman" w:hAnsi="Times New Roman" w:cs="Times New Roman"/>
                      <w:b/>
                      <w:bCs/>
                      <w:color w:val="auto"/>
                      <w:sz w:val="21"/>
                      <w:szCs w:val="21"/>
                      <w:lang w:val="en-US" w:eastAsia="zh-CN"/>
                    </w:rPr>
                  </w:pPr>
                </w:p>
              </w:tc>
              <w:tc>
                <w:tcPr>
                  <w:tcW w:w="745" w:type="pct"/>
                  <w:tcBorders>
                    <w:tl2br w:val="nil"/>
                    <w:tr2bl w:val="nil"/>
                  </w:tcBorders>
                  <w:vAlign w:val="center"/>
                </w:tcPr>
                <w:p w14:paraId="41AB9D39">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b/>
                      <w:bCs/>
                      <w:color w:val="auto"/>
                      <w:kern w:val="0"/>
                      <w:sz w:val="21"/>
                      <w:szCs w:val="21"/>
                      <w:lang w:val="en-US" w:eastAsia="zh-CN"/>
                    </w:rPr>
                    <w:t>昼间</w:t>
                  </w:r>
                </w:p>
              </w:tc>
              <w:tc>
                <w:tcPr>
                  <w:tcW w:w="746" w:type="pct"/>
                  <w:tcBorders>
                    <w:tl2br w:val="nil"/>
                    <w:tr2bl w:val="nil"/>
                  </w:tcBorders>
                  <w:vAlign w:val="center"/>
                </w:tcPr>
                <w:p w14:paraId="5D624A7D">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b/>
                      <w:bCs/>
                      <w:color w:val="auto"/>
                      <w:kern w:val="0"/>
                      <w:sz w:val="21"/>
                      <w:szCs w:val="21"/>
                      <w:lang w:val="en-US" w:eastAsia="zh-CN"/>
                    </w:rPr>
                    <w:t>夜间</w:t>
                  </w:r>
                </w:p>
              </w:tc>
              <w:tc>
                <w:tcPr>
                  <w:tcW w:w="745" w:type="pct"/>
                  <w:tcBorders>
                    <w:tl2br w:val="nil"/>
                    <w:tr2bl w:val="nil"/>
                  </w:tcBorders>
                  <w:vAlign w:val="center"/>
                </w:tcPr>
                <w:p w14:paraId="7F6E1471">
                  <w:pPr>
                    <w:keepNext w:val="0"/>
                    <w:keepLines w:val="0"/>
                    <w:pageBreakBefore w:val="0"/>
                    <w:kinsoku/>
                    <w:wordWrap/>
                    <w:overflowPunct/>
                    <w:topLinePunct w:val="0"/>
                    <w:bidi w:val="0"/>
                    <w:adjustRightInd w:val="0"/>
                    <w:snapToGrid w:val="0"/>
                    <w:ind w:left="0" w:right="0"/>
                    <w:jc w:val="center"/>
                    <w:rPr>
                      <w:rFonts w:hint="default" w:ascii="Times New Roman" w:hAnsi="Times New Roman"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昼间</w:t>
                  </w:r>
                </w:p>
              </w:tc>
              <w:tc>
                <w:tcPr>
                  <w:tcW w:w="747" w:type="pct"/>
                  <w:tcBorders>
                    <w:tl2br w:val="nil"/>
                    <w:tr2bl w:val="nil"/>
                  </w:tcBorders>
                  <w:vAlign w:val="center"/>
                </w:tcPr>
                <w:p w14:paraId="593724FC">
                  <w:pPr>
                    <w:keepNext w:val="0"/>
                    <w:keepLines w:val="0"/>
                    <w:pageBreakBefore w:val="0"/>
                    <w:kinsoku/>
                    <w:wordWrap/>
                    <w:overflowPunct/>
                    <w:topLinePunct w:val="0"/>
                    <w:bidi w:val="0"/>
                    <w:adjustRightInd w:val="0"/>
                    <w:snapToGrid w:val="0"/>
                    <w:ind w:left="0" w:right="0"/>
                    <w:jc w:val="center"/>
                    <w:rPr>
                      <w:rFonts w:hint="default" w:ascii="Times New Roman" w:hAnsi="Times New Roman"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夜间</w:t>
                  </w:r>
                </w:p>
              </w:tc>
            </w:tr>
            <w:tr w14:paraId="17E735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6" w:type="pct"/>
                  <w:vMerge w:val="restart"/>
                  <w:tcBorders>
                    <w:tl2br w:val="nil"/>
                    <w:tr2bl w:val="nil"/>
                  </w:tcBorders>
                  <w:vAlign w:val="center"/>
                </w:tcPr>
                <w:p w14:paraId="1F096CA3">
                  <w:pPr>
                    <w:pStyle w:val="6"/>
                    <w:keepNext w:val="0"/>
                    <w:keepLines w:val="0"/>
                    <w:pageBreakBefore w:val="0"/>
                    <w:kinsoku/>
                    <w:wordWrap/>
                    <w:overflowPunct/>
                    <w:topLinePunct w:val="0"/>
                    <w:bidi w:val="0"/>
                    <w:adjustRightInd w:val="0"/>
                    <w:snapToGrid w:val="0"/>
                    <w:ind w:left="0" w:right="0" w:firstLine="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b w:val="0"/>
                      <w:bCs w:val="0"/>
                      <w:color w:val="auto"/>
                      <w:sz w:val="21"/>
                      <w:szCs w:val="21"/>
                      <w:lang w:val="en-US" w:eastAsia="zh-CN"/>
                    </w:rPr>
                    <w:t>2025年4月25日</w:t>
                  </w:r>
                </w:p>
              </w:tc>
              <w:tc>
                <w:tcPr>
                  <w:tcW w:w="1248" w:type="pct"/>
                  <w:tcBorders>
                    <w:tl2br w:val="nil"/>
                    <w:tr2bl w:val="nil"/>
                  </w:tcBorders>
                  <w:vAlign w:val="center"/>
                </w:tcPr>
                <w:p w14:paraId="39D814D7">
                  <w:pPr>
                    <w:pStyle w:val="6"/>
                    <w:keepNext w:val="0"/>
                    <w:keepLines w:val="0"/>
                    <w:pageBreakBefore w:val="0"/>
                    <w:kinsoku/>
                    <w:wordWrap/>
                    <w:overflowPunct/>
                    <w:topLinePunct w:val="0"/>
                    <w:bidi w:val="0"/>
                    <w:adjustRightInd w:val="0"/>
                    <w:snapToGrid w:val="0"/>
                    <w:ind w:left="0" w:right="0"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东厂界外1m</w:t>
                  </w:r>
                </w:p>
              </w:tc>
              <w:tc>
                <w:tcPr>
                  <w:tcW w:w="1278" w:type="dxa"/>
                  <w:tcBorders>
                    <w:tl2br w:val="nil"/>
                    <w:tr2bl w:val="nil"/>
                  </w:tcBorders>
                  <w:vAlign w:val="center"/>
                </w:tcPr>
                <w:p w14:paraId="4A72F1CC">
                  <w:pPr>
                    <w:jc w:val="center"/>
                    <w:rPr>
                      <w:rFonts w:hint="default" w:ascii="Times New Roman" w:hAnsi="Times New Roman" w:eastAsia="宋体" w:cs="Times New Roman"/>
                      <w:bCs w:val="0"/>
                      <w:color w:val="auto"/>
                      <w:sz w:val="21"/>
                      <w:szCs w:val="21"/>
                      <w:lang w:val="en-US" w:eastAsia="zh-CN"/>
                    </w:rPr>
                  </w:pPr>
                  <w:r>
                    <w:rPr>
                      <w:rFonts w:hint="eastAsia"/>
                      <w:color w:val="auto"/>
                      <w:sz w:val="21"/>
                      <w:szCs w:val="21"/>
                      <w:lang w:val="en-US" w:eastAsia="zh-CN"/>
                    </w:rPr>
                    <w:t>/</w:t>
                  </w:r>
                </w:p>
              </w:tc>
              <w:tc>
                <w:tcPr>
                  <w:tcW w:w="1280" w:type="dxa"/>
                  <w:tcBorders>
                    <w:tl2br w:val="nil"/>
                    <w:tr2bl w:val="nil"/>
                  </w:tcBorders>
                  <w:vAlign w:val="center"/>
                </w:tcPr>
                <w:p w14:paraId="13729F59">
                  <w:pPr>
                    <w:jc w:val="center"/>
                    <w:rPr>
                      <w:rFonts w:hint="default" w:ascii="Times New Roman" w:hAnsi="Times New Roman" w:eastAsia="宋体" w:cs="Times New Roman"/>
                      <w:color w:val="auto"/>
                      <w:sz w:val="21"/>
                      <w:szCs w:val="21"/>
                      <w:highlight w:val="none"/>
                      <w:lang w:val="en-US" w:eastAsia="zh-CN"/>
                    </w:rPr>
                  </w:pPr>
                  <w:r>
                    <w:rPr>
                      <w:rFonts w:hint="eastAsia"/>
                      <w:color w:val="auto"/>
                      <w:sz w:val="21"/>
                      <w:szCs w:val="21"/>
                      <w:lang w:val="en-US" w:eastAsia="zh-CN"/>
                    </w:rPr>
                    <w:t>/</w:t>
                  </w:r>
                </w:p>
              </w:tc>
              <w:tc>
                <w:tcPr>
                  <w:tcW w:w="745" w:type="pct"/>
                  <w:tcBorders>
                    <w:tl2br w:val="nil"/>
                    <w:tr2bl w:val="nil"/>
                  </w:tcBorders>
                  <w:vAlign w:val="center"/>
                </w:tcPr>
                <w:p w14:paraId="602D46F9">
                  <w:pPr>
                    <w:keepNext w:val="0"/>
                    <w:keepLines w:val="0"/>
                    <w:pageBreakBefore w:val="0"/>
                    <w:widowControl/>
                    <w:kinsoku/>
                    <w:wordWrap/>
                    <w:overflowPunct/>
                    <w:topLinePunct w:val="0"/>
                    <w:bidi w:val="0"/>
                    <w:adjustRightInd w:val="0"/>
                    <w:snapToGrid w:val="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65</w:t>
                  </w:r>
                </w:p>
              </w:tc>
              <w:tc>
                <w:tcPr>
                  <w:tcW w:w="747" w:type="pct"/>
                  <w:tcBorders>
                    <w:tl2br w:val="nil"/>
                    <w:tr2bl w:val="nil"/>
                  </w:tcBorders>
                  <w:vAlign w:val="center"/>
                </w:tcPr>
                <w:p w14:paraId="50137070">
                  <w:pPr>
                    <w:keepNext w:val="0"/>
                    <w:keepLines w:val="0"/>
                    <w:pageBreakBefore w:val="0"/>
                    <w:widowControl/>
                    <w:kinsoku/>
                    <w:wordWrap/>
                    <w:overflowPunct/>
                    <w:topLinePunct w:val="0"/>
                    <w:bidi w:val="0"/>
                    <w:adjustRightInd w:val="0"/>
                    <w:snapToGrid w:val="0"/>
                    <w:ind w:left="0" w:right="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55</w:t>
                  </w:r>
                </w:p>
              </w:tc>
            </w:tr>
            <w:tr w14:paraId="30DE58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6" w:type="pct"/>
                  <w:vMerge w:val="continue"/>
                  <w:tcBorders>
                    <w:tl2br w:val="nil"/>
                    <w:tr2bl w:val="nil"/>
                  </w:tcBorders>
                  <w:vAlign w:val="center"/>
                </w:tcPr>
                <w:p w14:paraId="19745CC1">
                  <w:pPr>
                    <w:pStyle w:val="6"/>
                    <w:keepNext w:val="0"/>
                    <w:keepLines w:val="0"/>
                    <w:pageBreakBefore w:val="0"/>
                    <w:kinsoku/>
                    <w:wordWrap/>
                    <w:overflowPunct/>
                    <w:topLinePunct w:val="0"/>
                    <w:bidi w:val="0"/>
                    <w:adjustRightInd w:val="0"/>
                    <w:snapToGrid w:val="0"/>
                    <w:ind w:left="0" w:right="0" w:firstLine="0"/>
                    <w:jc w:val="center"/>
                    <w:rPr>
                      <w:rFonts w:hint="default" w:ascii="Times New Roman" w:hAnsi="Times New Roman" w:eastAsia="宋体" w:cs="Times New Roman"/>
                      <w:color w:val="auto"/>
                      <w:sz w:val="21"/>
                      <w:szCs w:val="21"/>
                      <w:lang w:val="en-US" w:eastAsia="zh-CN"/>
                    </w:rPr>
                  </w:pPr>
                </w:p>
              </w:tc>
              <w:tc>
                <w:tcPr>
                  <w:tcW w:w="1248" w:type="pct"/>
                  <w:tcBorders>
                    <w:tl2br w:val="nil"/>
                    <w:tr2bl w:val="nil"/>
                  </w:tcBorders>
                  <w:vAlign w:val="center"/>
                </w:tcPr>
                <w:p w14:paraId="1579ECDC">
                  <w:pPr>
                    <w:pStyle w:val="6"/>
                    <w:keepNext w:val="0"/>
                    <w:keepLines w:val="0"/>
                    <w:pageBreakBefore w:val="0"/>
                    <w:kinsoku/>
                    <w:wordWrap/>
                    <w:overflowPunct/>
                    <w:topLinePunct w:val="0"/>
                    <w:bidi w:val="0"/>
                    <w:adjustRightInd w:val="0"/>
                    <w:snapToGrid w:val="0"/>
                    <w:ind w:left="0" w:right="0"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南厂界外1m</w:t>
                  </w:r>
                </w:p>
              </w:tc>
              <w:tc>
                <w:tcPr>
                  <w:tcW w:w="1278" w:type="dxa"/>
                  <w:tcBorders>
                    <w:tl2br w:val="nil"/>
                    <w:tr2bl w:val="nil"/>
                  </w:tcBorders>
                  <w:vAlign w:val="center"/>
                </w:tcPr>
                <w:p w14:paraId="42ECE1AC">
                  <w:pPr>
                    <w:jc w:val="center"/>
                    <w:rPr>
                      <w:rFonts w:hint="default" w:ascii="Times New Roman" w:hAnsi="Times New Roman" w:eastAsia="宋体" w:cs="Times New Roman"/>
                      <w:bCs w:val="0"/>
                      <w:color w:val="auto"/>
                      <w:sz w:val="21"/>
                      <w:szCs w:val="21"/>
                      <w:lang w:val="en-US" w:eastAsia="zh-CN"/>
                    </w:rPr>
                  </w:pPr>
                  <w:r>
                    <w:rPr>
                      <w:rFonts w:hint="eastAsia" w:cs="Times New Roman"/>
                      <w:bCs w:val="0"/>
                      <w:color w:val="auto"/>
                      <w:sz w:val="21"/>
                      <w:szCs w:val="21"/>
                      <w:lang w:val="en-US" w:eastAsia="zh-CN"/>
                    </w:rPr>
                    <w:t>57</w:t>
                  </w:r>
                </w:p>
              </w:tc>
              <w:tc>
                <w:tcPr>
                  <w:tcW w:w="1280" w:type="dxa"/>
                  <w:tcBorders>
                    <w:tl2br w:val="nil"/>
                    <w:tr2bl w:val="nil"/>
                  </w:tcBorders>
                  <w:vAlign w:val="center"/>
                </w:tcPr>
                <w:p w14:paraId="712D530F">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46</w:t>
                  </w:r>
                </w:p>
              </w:tc>
              <w:tc>
                <w:tcPr>
                  <w:tcW w:w="745" w:type="pct"/>
                  <w:tcBorders>
                    <w:tl2br w:val="nil"/>
                    <w:tr2bl w:val="nil"/>
                  </w:tcBorders>
                  <w:vAlign w:val="center"/>
                </w:tcPr>
                <w:p w14:paraId="565FA7FE">
                  <w:pPr>
                    <w:keepNext w:val="0"/>
                    <w:keepLines w:val="0"/>
                    <w:pageBreakBefore w:val="0"/>
                    <w:widowControl/>
                    <w:kinsoku/>
                    <w:wordWrap/>
                    <w:overflowPunct/>
                    <w:topLinePunct w:val="0"/>
                    <w:bidi w:val="0"/>
                    <w:adjustRightInd w:val="0"/>
                    <w:snapToGrid w:val="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65</w:t>
                  </w:r>
                </w:p>
              </w:tc>
              <w:tc>
                <w:tcPr>
                  <w:tcW w:w="747" w:type="pct"/>
                  <w:tcBorders>
                    <w:tl2br w:val="nil"/>
                    <w:tr2bl w:val="nil"/>
                  </w:tcBorders>
                  <w:vAlign w:val="center"/>
                </w:tcPr>
                <w:p w14:paraId="4CD33EB2">
                  <w:pPr>
                    <w:keepNext w:val="0"/>
                    <w:keepLines w:val="0"/>
                    <w:pageBreakBefore w:val="0"/>
                    <w:widowControl/>
                    <w:kinsoku/>
                    <w:wordWrap/>
                    <w:overflowPunct/>
                    <w:topLinePunct w:val="0"/>
                    <w:bidi w:val="0"/>
                    <w:adjustRightInd w:val="0"/>
                    <w:snapToGrid w:val="0"/>
                    <w:ind w:left="0" w:right="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55</w:t>
                  </w:r>
                </w:p>
              </w:tc>
            </w:tr>
            <w:tr w14:paraId="4679DC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6" w:type="pct"/>
                  <w:vMerge w:val="continue"/>
                  <w:tcBorders>
                    <w:tl2br w:val="nil"/>
                    <w:tr2bl w:val="nil"/>
                  </w:tcBorders>
                  <w:vAlign w:val="center"/>
                </w:tcPr>
                <w:p w14:paraId="73126AEA">
                  <w:pPr>
                    <w:pStyle w:val="6"/>
                    <w:keepNext w:val="0"/>
                    <w:keepLines w:val="0"/>
                    <w:pageBreakBefore w:val="0"/>
                    <w:kinsoku/>
                    <w:wordWrap/>
                    <w:overflowPunct/>
                    <w:topLinePunct w:val="0"/>
                    <w:bidi w:val="0"/>
                    <w:adjustRightInd w:val="0"/>
                    <w:snapToGrid w:val="0"/>
                    <w:ind w:left="0" w:right="0" w:firstLine="0"/>
                    <w:jc w:val="center"/>
                    <w:rPr>
                      <w:rFonts w:hint="default" w:ascii="Times New Roman" w:hAnsi="Times New Roman" w:eastAsia="宋体" w:cs="Times New Roman"/>
                      <w:color w:val="auto"/>
                      <w:sz w:val="21"/>
                      <w:szCs w:val="21"/>
                      <w:lang w:val="en-US" w:eastAsia="zh-CN"/>
                    </w:rPr>
                  </w:pPr>
                </w:p>
              </w:tc>
              <w:tc>
                <w:tcPr>
                  <w:tcW w:w="1248" w:type="pct"/>
                  <w:tcBorders>
                    <w:tl2br w:val="nil"/>
                    <w:tr2bl w:val="nil"/>
                  </w:tcBorders>
                  <w:vAlign w:val="center"/>
                </w:tcPr>
                <w:p w14:paraId="6314D890">
                  <w:pPr>
                    <w:pStyle w:val="6"/>
                    <w:keepNext w:val="0"/>
                    <w:keepLines w:val="0"/>
                    <w:pageBreakBefore w:val="0"/>
                    <w:kinsoku/>
                    <w:wordWrap/>
                    <w:overflowPunct/>
                    <w:topLinePunct w:val="0"/>
                    <w:bidi w:val="0"/>
                    <w:adjustRightInd w:val="0"/>
                    <w:snapToGrid w:val="0"/>
                    <w:ind w:left="0" w:right="0"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西厂界外1m</w:t>
                  </w:r>
                </w:p>
              </w:tc>
              <w:tc>
                <w:tcPr>
                  <w:tcW w:w="1278" w:type="dxa"/>
                  <w:tcBorders>
                    <w:tl2br w:val="nil"/>
                    <w:tr2bl w:val="nil"/>
                  </w:tcBorders>
                  <w:vAlign w:val="center"/>
                </w:tcPr>
                <w:p w14:paraId="63BC9459">
                  <w:pPr>
                    <w:jc w:val="center"/>
                    <w:rPr>
                      <w:rFonts w:hint="default" w:ascii="Times New Roman" w:hAnsi="Times New Roman" w:eastAsia="宋体" w:cs="Times New Roman"/>
                      <w:bCs w:val="0"/>
                      <w:color w:val="auto"/>
                      <w:sz w:val="21"/>
                      <w:szCs w:val="21"/>
                      <w:lang w:val="en-US" w:eastAsia="zh-CN"/>
                    </w:rPr>
                  </w:pPr>
                  <w:r>
                    <w:rPr>
                      <w:rFonts w:hint="eastAsia" w:cs="Times New Roman"/>
                      <w:bCs w:val="0"/>
                      <w:color w:val="auto"/>
                      <w:sz w:val="21"/>
                      <w:szCs w:val="21"/>
                      <w:lang w:val="en-US" w:eastAsia="zh-CN"/>
                    </w:rPr>
                    <w:t>59</w:t>
                  </w:r>
                </w:p>
              </w:tc>
              <w:tc>
                <w:tcPr>
                  <w:tcW w:w="1280" w:type="dxa"/>
                  <w:tcBorders>
                    <w:tl2br w:val="nil"/>
                    <w:tr2bl w:val="nil"/>
                  </w:tcBorders>
                  <w:vAlign w:val="center"/>
                </w:tcPr>
                <w:p w14:paraId="5E882A8E">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49</w:t>
                  </w:r>
                </w:p>
              </w:tc>
              <w:tc>
                <w:tcPr>
                  <w:tcW w:w="745" w:type="pct"/>
                  <w:tcBorders>
                    <w:tl2br w:val="nil"/>
                    <w:tr2bl w:val="nil"/>
                  </w:tcBorders>
                  <w:vAlign w:val="center"/>
                </w:tcPr>
                <w:p w14:paraId="5B85C5EA">
                  <w:pPr>
                    <w:keepNext w:val="0"/>
                    <w:keepLines w:val="0"/>
                    <w:pageBreakBefore w:val="0"/>
                    <w:widowControl/>
                    <w:kinsoku/>
                    <w:wordWrap/>
                    <w:overflowPunct/>
                    <w:topLinePunct w:val="0"/>
                    <w:bidi w:val="0"/>
                    <w:adjustRightInd w:val="0"/>
                    <w:snapToGrid w:val="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70</w:t>
                  </w:r>
                </w:p>
              </w:tc>
              <w:tc>
                <w:tcPr>
                  <w:tcW w:w="747" w:type="pct"/>
                  <w:tcBorders>
                    <w:tl2br w:val="nil"/>
                    <w:tr2bl w:val="nil"/>
                  </w:tcBorders>
                  <w:vAlign w:val="center"/>
                </w:tcPr>
                <w:p w14:paraId="45454FD7">
                  <w:pPr>
                    <w:keepNext w:val="0"/>
                    <w:keepLines w:val="0"/>
                    <w:pageBreakBefore w:val="0"/>
                    <w:widowControl/>
                    <w:kinsoku/>
                    <w:wordWrap/>
                    <w:overflowPunct/>
                    <w:topLinePunct w:val="0"/>
                    <w:bidi w:val="0"/>
                    <w:adjustRightInd w:val="0"/>
                    <w:snapToGrid w:val="0"/>
                    <w:ind w:left="0" w:right="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55</w:t>
                  </w:r>
                </w:p>
              </w:tc>
            </w:tr>
            <w:tr w14:paraId="4AAFB5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6" w:type="pct"/>
                  <w:vMerge w:val="continue"/>
                  <w:tcBorders>
                    <w:tl2br w:val="nil"/>
                    <w:tr2bl w:val="nil"/>
                  </w:tcBorders>
                  <w:vAlign w:val="center"/>
                </w:tcPr>
                <w:p w14:paraId="1CD2564A">
                  <w:pPr>
                    <w:pStyle w:val="6"/>
                    <w:keepNext w:val="0"/>
                    <w:keepLines w:val="0"/>
                    <w:pageBreakBefore w:val="0"/>
                    <w:kinsoku/>
                    <w:wordWrap/>
                    <w:overflowPunct/>
                    <w:topLinePunct w:val="0"/>
                    <w:bidi w:val="0"/>
                    <w:adjustRightInd w:val="0"/>
                    <w:snapToGrid w:val="0"/>
                    <w:ind w:left="0" w:right="0" w:firstLine="0"/>
                    <w:jc w:val="center"/>
                    <w:rPr>
                      <w:rFonts w:hint="default" w:ascii="Times New Roman" w:hAnsi="Times New Roman" w:eastAsia="宋体" w:cs="Times New Roman"/>
                      <w:color w:val="auto"/>
                      <w:sz w:val="21"/>
                      <w:szCs w:val="21"/>
                      <w:lang w:val="en-US" w:eastAsia="zh-CN"/>
                    </w:rPr>
                  </w:pPr>
                </w:p>
              </w:tc>
              <w:tc>
                <w:tcPr>
                  <w:tcW w:w="1248" w:type="pct"/>
                  <w:tcBorders>
                    <w:tl2br w:val="nil"/>
                    <w:tr2bl w:val="nil"/>
                  </w:tcBorders>
                  <w:vAlign w:val="center"/>
                </w:tcPr>
                <w:p w14:paraId="29BABBB5">
                  <w:pPr>
                    <w:pStyle w:val="6"/>
                    <w:keepNext w:val="0"/>
                    <w:keepLines w:val="0"/>
                    <w:pageBreakBefore w:val="0"/>
                    <w:kinsoku/>
                    <w:wordWrap/>
                    <w:overflowPunct/>
                    <w:topLinePunct w:val="0"/>
                    <w:bidi w:val="0"/>
                    <w:adjustRightInd w:val="0"/>
                    <w:snapToGrid w:val="0"/>
                    <w:ind w:left="0" w:right="0"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北厂界外1m</w:t>
                  </w:r>
                </w:p>
              </w:tc>
              <w:tc>
                <w:tcPr>
                  <w:tcW w:w="1278" w:type="dxa"/>
                  <w:tcBorders>
                    <w:tl2br w:val="nil"/>
                    <w:tr2bl w:val="nil"/>
                  </w:tcBorders>
                  <w:vAlign w:val="center"/>
                </w:tcPr>
                <w:p w14:paraId="0B28867C">
                  <w:pPr>
                    <w:jc w:val="center"/>
                    <w:rPr>
                      <w:rFonts w:hint="default" w:ascii="Times New Roman" w:hAnsi="Times New Roman" w:eastAsia="宋体" w:cs="Times New Roman"/>
                      <w:bCs w:val="0"/>
                      <w:color w:val="auto"/>
                      <w:sz w:val="21"/>
                      <w:szCs w:val="21"/>
                      <w:lang w:val="en-US" w:eastAsia="zh-CN"/>
                    </w:rPr>
                  </w:pPr>
                  <w:r>
                    <w:rPr>
                      <w:rFonts w:hint="eastAsia" w:cs="Times New Roman"/>
                      <w:bCs w:val="0"/>
                      <w:color w:val="auto"/>
                      <w:sz w:val="21"/>
                      <w:szCs w:val="21"/>
                      <w:lang w:val="en-US" w:eastAsia="zh-CN"/>
                    </w:rPr>
                    <w:t>57</w:t>
                  </w:r>
                </w:p>
              </w:tc>
              <w:tc>
                <w:tcPr>
                  <w:tcW w:w="1280" w:type="dxa"/>
                  <w:tcBorders>
                    <w:tl2br w:val="nil"/>
                    <w:tr2bl w:val="nil"/>
                  </w:tcBorders>
                  <w:vAlign w:val="center"/>
                </w:tcPr>
                <w:p w14:paraId="026FB97D">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48</w:t>
                  </w:r>
                </w:p>
              </w:tc>
              <w:tc>
                <w:tcPr>
                  <w:tcW w:w="745" w:type="pct"/>
                  <w:tcBorders>
                    <w:tl2br w:val="nil"/>
                    <w:tr2bl w:val="nil"/>
                  </w:tcBorders>
                  <w:vAlign w:val="center"/>
                </w:tcPr>
                <w:p w14:paraId="25DE1BBD">
                  <w:pPr>
                    <w:keepNext w:val="0"/>
                    <w:keepLines w:val="0"/>
                    <w:pageBreakBefore w:val="0"/>
                    <w:widowControl/>
                    <w:kinsoku/>
                    <w:wordWrap/>
                    <w:overflowPunct/>
                    <w:topLinePunct w:val="0"/>
                    <w:bidi w:val="0"/>
                    <w:adjustRightInd w:val="0"/>
                    <w:snapToGrid w:val="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70</w:t>
                  </w:r>
                </w:p>
              </w:tc>
              <w:tc>
                <w:tcPr>
                  <w:tcW w:w="747" w:type="pct"/>
                  <w:tcBorders>
                    <w:tl2br w:val="nil"/>
                    <w:tr2bl w:val="nil"/>
                  </w:tcBorders>
                  <w:vAlign w:val="center"/>
                </w:tcPr>
                <w:p w14:paraId="04D50D06">
                  <w:pPr>
                    <w:keepNext w:val="0"/>
                    <w:keepLines w:val="0"/>
                    <w:pageBreakBefore w:val="0"/>
                    <w:widowControl/>
                    <w:kinsoku/>
                    <w:wordWrap/>
                    <w:overflowPunct/>
                    <w:topLinePunct w:val="0"/>
                    <w:bidi w:val="0"/>
                    <w:adjustRightInd w:val="0"/>
                    <w:snapToGrid w:val="0"/>
                    <w:ind w:left="0" w:right="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55</w:t>
                  </w:r>
                </w:p>
              </w:tc>
            </w:tr>
          </w:tbl>
          <w:p w14:paraId="399CDE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eastAsia"/>
                <w:b w:val="0"/>
                <w:bCs w:val="0"/>
                <w:color w:val="auto"/>
                <w:sz w:val="21"/>
                <w:szCs w:val="21"/>
                <w:lang w:val="en-US" w:eastAsia="zh-CN"/>
              </w:rPr>
              <w:t>注：</w:t>
            </w:r>
            <w:r>
              <w:rPr>
                <w:rFonts w:hint="eastAsia" w:ascii="Times New Roman" w:hAnsi="Times New Roman" w:eastAsia="宋体" w:cs="Times New Roman"/>
                <w:b w:val="0"/>
                <w:bCs w:val="0"/>
                <w:color w:val="auto"/>
                <w:sz w:val="21"/>
                <w:szCs w:val="21"/>
                <w:lang w:val="en-US" w:eastAsia="zh-CN"/>
              </w:rPr>
              <w:t>东厂界紧靠邻厂，不具备检测条件。</w:t>
            </w:r>
          </w:p>
          <w:p w14:paraId="32CC24B2">
            <w:pPr>
              <w:keepNext w:val="0"/>
              <w:keepLines w:val="0"/>
              <w:pageBreakBefore w:val="0"/>
              <w:kinsoku/>
              <w:wordWrap/>
              <w:overflowPunct/>
              <w:topLinePunct w:val="0"/>
              <w:bidi w:val="0"/>
              <w:adjustRightInd w:val="0"/>
              <w:snapToGrid w:val="0"/>
              <w:spacing w:line="500" w:lineRule="exact"/>
              <w:ind w:firstLine="420" w:firstLineChars="200"/>
              <w:textAlignment w:val="auto"/>
              <w:rPr>
                <w:color w:val="auto"/>
                <w:sz w:val="21"/>
                <w:szCs w:val="21"/>
              </w:rPr>
            </w:pPr>
            <w:r>
              <w:rPr>
                <w:rFonts w:ascii="Times New Roman" w:hAnsi="Times New Roman" w:eastAsia="宋体" w:cs="Times New Roman"/>
                <w:color w:val="auto"/>
                <w:sz w:val="21"/>
                <w:szCs w:val="21"/>
              </w:rPr>
              <w:t>由表2-</w:t>
            </w:r>
            <w:r>
              <w:rPr>
                <w:rFonts w:hint="eastAsia" w:ascii="Times New Roman" w:hAnsi="Times New Roman" w:eastAsia="宋体" w:cs="Times New Roman"/>
                <w:color w:val="auto"/>
                <w:sz w:val="21"/>
                <w:szCs w:val="21"/>
              </w:rPr>
              <w:t>1</w:t>
            </w:r>
            <w:r>
              <w:rPr>
                <w:rFonts w:hint="eastAsia" w:ascii="Times New Roman" w:hAnsi="Times New Roman" w:cs="Times New Roman"/>
                <w:color w:val="auto"/>
                <w:sz w:val="21"/>
                <w:szCs w:val="21"/>
                <w:lang w:val="en-US" w:eastAsia="zh-CN"/>
              </w:rPr>
              <w:t>5</w:t>
            </w:r>
            <w:r>
              <w:rPr>
                <w:rFonts w:ascii="Times New Roman" w:hAnsi="Times New Roman" w:eastAsia="宋体" w:cs="Times New Roman"/>
                <w:color w:val="auto"/>
                <w:sz w:val="21"/>
                <w:szCs w:val="21"/>
              </w:rPr>
              <w:t>可知</w:t>
            </w:r>
            <w:r>
              <w:rPr>
                <w:color w:val="auto"/>
                <w:sz w:val="21"/>
                <w:szCs w:val="21"/>
              </w:rPr>
              <w:t>，</w:t>
            </w:r>
            <w:r>
              <w:rPr>
                <w:rFonts w:hint="eastAsia" w:ascii="Times New Roman" w:hAnsi="Times New Roman" w:eastAsia="宋体" w:cs="Times New Roman"/>
                <w:color w:val="auto"/>
                <w:sz w:val="21"/>
                <w:szCs w:val="21"/>
              </w:rPr>
              <w:t>已建</w:t>
            </w:r>
            <w:r>
              <w:rPr>
                <w:rFonts w:ascii="Times New Roman" w:hAnsi="Times New Roman" w:eastAsia="宋体" w:cs="Times New Roman"/>
                <w:color w:val="auto"/>
                <w:sz w:val="21"/>
                <w:szCs w:val="21"/>
              </w:rPr>
              <w:t>项目</w:t>
            </w:r>
            <w:r>
              <w:rPr>
                <w:rFonts w:hint="default" w:ascii="Times New Roman" w:hAnsi="Times New Roman" w:eastAsia="宋体" w:cs="Times New Roman"/>
                <w:color w:val="auto"/>
                <w:sz w:val="21"/>
                <w:szCs w:val="21"/>
                <w:lang w:val="en-US" w:eastAsia="zh-CN"/>
              </w:rPr>
              <w:t>南</w:t>
            </w:r>
            <w:r>
              <w:rPr>
                <w:color w:val="auto"/>
                <w:sz w:val="21"/>
                <w:szCs w:val="21"/>
              </w:rPr>
              <w:t>厂界昼</w:t>
            </w:r>
            <w:r>
              <w:rPr>
                <w:rFonts w:hint="eastAsia"/>
                <w:color w:val="auto"/>
                <w:sz w:val="21"/>
                <w:szCs w:val="21"/>
                <w:lang w:eastAsia="zh-CN"/>
              </w:rPr>
              <w:t>、</w:t>
            </w:r>
            <w:r>
              <w:rPr>
                <w:rFonts w:hint="eastAsia"/>
                <w:color w:val="auto"/>
                <w:sz w:val="21"/>
                <w:szCs w:val="21"/>
                <w:lang w:val="en-US" w:eastAsia="zh-CN"/>
              </w:rPr>
              <w:t>夜</w:t>
            </w:r>
            <w:r>
              <w:rPr>
                <w:color w:val="auto"/>
                <w:sz w:val="21"/>
                <w:szCs w:val="21"/>
              </w:rPr>
              <w:t>间噪声监测值符合</w:t>
            </w:r>
            <w:r>
              <w:rPr>
                <w:color w:val="auto"/>
                <w:kern w:val="0"/>
                <w:sz w:val="21"/>
                <w:szCs w:val="21"/>
                <w:lang w:bidi="ar"/>
              </w:rPr>
              <w:t>《</w:t>
            </w:r>
            <w:r>
              <w:rPr>
                <w:rFonts w:hint="eastAsia"/>
                <w:color w:val="auto"/>
                <w:kern w:val="0"/>
                <w:sz w:val="21"/>
                <w:szCs w:val="21"/>
                <w:lang w:eastAsia="zh-CN" w:bidi="ar"/>
              </w:rPr>
              <w:t>工业企业厂界环境噪声排放标准</w:t>
            </w:r>
            <w:r>
              <w:rPr>
                <w:color w:val="auto"/>
                <w:kern w:val="0"/>
                <w:sz w:val="21"/>
                <w:szCs w:val="21"/>
                <w:lang w:bidi="ar"/>
              </w:rPr>
              <w:t>》（GB12348-2008）</w:t>
            </w:r>
            <w:r>
              <w:rPr>
                <w:color w:val="auto"/>
                <w:sz w:val="21"/>
                <w:szCs w:val="21"/>
              </w:rPr>
              <w:t>中</w:t>
            </w:r>
            <w:r>
              <w:rPr>
                <w:rFonts w:hint="eastAsia"/>
                <w:color w:val="auto"/>
                <w:sz w:val="21"/>
                <w:szCs w:val="21"/>
                <w:lang w:val="en-US" w:eastAsia="zh-CN"/>
              </w:rPr>
              <w:t>3类</w:t>
            </w:r>
            <w:r>
              <w:rPr>
                <w:rFonts w:hint="default" w:ascii="Times New Roman" w:hAnsi="Times New Roman" w:cs="Times New Roman"/>
                <w:color w:val="auto"/>
                <w:sz w:val="21"/>
                <w:szCs w:val="21"/>
              </w:rPr>
              <w:t>标准</w:t>
            </w:r>
            <w:r>
              <w:rPr>
                <w:color w:val="auto"/>
                <w:sz w:val="21"/>
                <w:szCs w:val="21"/>
              </w:rPr>
              <w:t>限值要求</w:t>
            </w:r>
            <w:r>
              <w:rPr>
                <w:rFonts w:hint="eastAsia"/>
                <w:color w:val="auto"/>
                <w:sz w:val="21"/>
                <w:szCs w:val="21"/>
                <w:lang w:eastAsia="zh-CN"/>
              </w:rPr>
              <w:t>，</w:t>
            </w:r>
            <w:r>
              <w:rPr>
                <w:rFonts w:hint="eastAsia"/>
                <w:color w:val="auto"/>
                <w:sz w:val="21"/>
                <w:szCs w:val="21"/>
                <w:lang w:val="en-US" w:eastAsia="zh-CN"/>
              </w:rPr>
              <w:t>西、北</w:t>
            </w:r>
            <w:r>
              <w:rPr>
                <w:color w:val="auto"/>
                <w:sz w:val="21"/>
                <w:szCs w:val="21"/>
              </w:rPr>
              <w:t>厂界昼</w:t>
            </w:r>
            <w:r>
              <w:rPr>
                <w:rFonts w:hint="eastAsia"/>
                <w:color w:val="auto"/>
                <w:sz w:val="21"/>
                <w:szCs w:val="21"/>
                <w:lang w:eastAsia="zh-CN"/>
              </w:rPr>
              <w:t>、</w:t>
            </w:r>
            <w:r>
              <w:rPr>
                <w:rFonts w:hint="eastAsia"/>
                <w:color w:val="auto"/>
                <w:sz w:val="21"/>
                <w:szCs w:val="21"/>
                <w:lang w:val="en-US" w:eastAsia="zh-CN"/>
              </w:rPr>
              <w:t>夜</w:t>
            </w:r>
            <w:r>
              <w:rPr>
                <w:color w:val="auto"/>
                <w:sz w:val="21"/>
                <w:szCs w:val="21"/>
              </w:rPr>
              <w:t>间噪声监测值符合</w:t>
            </w:r>
            <w:r>
              <w:rPr>
                <w:color w:val="auto"/>
                <w:kern w:val="0"/>
                <w:sz w:val="21"/>
                <w:szCs w:val="21"/>
                <w:lang w:bidi="ar"/>
              </w:rPr>
              <w:t>《</w:t>
            </w:r>
            <w:r>
              <w:rPr>
                <w:rFonts w:hint="eastAsia"/>
                <w:color w:val="auto"/>
                <w:kern w:val="0"/>
                <w:sz w:val="21"/>
                <w:szCs w:val="21"/>
                <w:lang w:eastAsia="zh-CN" w:bidi="ar"/>
              </w:rPr>
              <w:t>工业企业厂界环境噪声排放标准</w:t>
            </w:r>
            <w:r>
              <w:rPr>
                <w:color w:val="auto"/>
                <w:kern w:val="0"/>
                <w:sz w:val="21"/>
                <w:szCs w:val="21"/>
                <w:lang w:bidi="ar"/>
              </w:rPr>
              <w:t>》（GB12348-2008）</w:t>
            </w:r>
            <w:r>
              <w:rPr>
                <w:color w:val="auto"/>
                <w:sz w:val="21"/>
                <w:szCs w:val="21"/>
              </w:rPr>
              <w:t>中</w:t>
            </w:r>
            <w:r>
              <w:rPr>
                <w:rFonts w:hint="eastAsia"/>
                <w:color w:val="auto"/>
                <w:sz w:val="21"/>
                <w:szCs w:val="21"/>
                <w:lang w:val="en-US" w:eastAsia="zh-CN"/>
              </w:rPr>
              <w:t>4类</w:t>
            </w:r>
            <w:r>
              <w:rPr>
                <w:rFonts w:hint="default" w:ascii="Times New Roman" w:hAnsi="Times New Roman" w:cs="Times New Roman"/>
                <w:color w:val="auto"/>
                <w:sz w:val="21"/>
                <w:szCs w:val="21"/>
              </w:rPr>
              <w:t>标准</w:t>
            </w:r>
            <w:r>
              <w:rPr>
                <w:color w:val="auto"/>
                <w:sz w:val="21"/>
                <w:szCs w:val="21"/>
              </w:rPr>
              <w:t>限值要求。</w:t>
            </w:r>
          </w:p>
          <w:p w14:paraId="5822A663">
            <w:pPr>
              <w:keepNext w:val="0"/>
              <w:keepLines w:val="0"/>
              <w:pageBreakBefore w:val="0"/>
              <w:kinsoku/>
              <w:wordWrap/>
              <w:overflowPunct/>
              <w:topLinePunct w:val="0"/>
              <w:bidi w:val="0"/>
              <w:adjustRightInd w:val="0"/>
              <w:snapToGrid w:val="0"/>
              <w:spacing w:line="500" w:lineRule="exact"/>
              <w:ind w:firstLine="420" w:firstLineChars="200"/>
              <w:textAlignment w:val="auto"/>
              <w:rPr>
                <w:color w:val="auto"/>
                <w:sz w:val="21"/>
                <w:szCs w:val="21"/>
              </w:rPr>
            </w:pPr>
            <w:r>
              <w:rPr>
                <w:color w:val="auto"/>
                <w:sz w:val="21"/>
                <w:szCs w:val="21"/>
              </w:rPr>
              <w:t>④固废</w:t>
            </w:r>
          </w:p>
          <w:p w14:paraId="3A166E83">
            <w:pPr>
              <w:pStyle w:val="25"/>
              <w:keepNext w:val="0"/>
              <w:keepLines w:val="0"/>
              <w:pageBreakBefore w:val="0"/>
              <w:kinsoku/>
              <w:wordWrap/>
              <w:overflowPunct/>
              <w:topLinePunct w:val="0"/>
              <w:bidi w:val="0"/>
              <w:adjustRightInd w:val="0"/>
              <w:snapToGrid w:val="0"/>
              <w:spacing w:before="0" w:beforeAutospacing="0" w:after="0" w:afterAutospacing="0" w:line="500" w:lineRule="exact"/>
              <w:ind w:firstLine="420" w:firstLineChars="200"/>
              <w:textAlignment w:val="auto"/>
              <w:rPr>
                <w:rFonts w:ascii="Times New Roman" w:hAnsi="Times New Roman"/>
                <w:color w:val="auto"/>
                <w:kern w:val="2"/>
                <w:sz w:val="21"/>
                <w:szCs w:val="21"/>
                <w:lang w:val="en-US" w:eastAsia="zh-CN"/>
              </w:rPr>
            </w:pPr>
            <w:r>
              <w:rPr>
                <w:rFonts w:ascii="Times New Roman" w:hAnsi="Times New Roman"/>
                <w:color w:val="auto"/>
                <w:kern w:val="2"/>
                <w:sz w:val="21"/>
                <w:szCs w:val="21"/>
                <w:lang w:val="en-US" w:eastAsia="zh-CN"/>
              </w:rPr>
              <w:t>厂区已设置1处一般固废堆场，占地面积</w:t>
            </w:r>
            <w:r>
              <w:rPr>
                <w:rFonts w:hint="eastAsia" w:ascii="Times New Roman" w:hAnsi="Times New Roman"/>
                <w:color w:val="auto"/>
                <w:kern w:val="2"/>
                <w:sz w:val="21"/>
                <w:szCs w:val="21"/>
                <w:lang w:val="en-US" w:eastAsia="zh-CN"/>
              </w:rPr>
              <w:t>120</w:t>
            </w:r>
            <w:r>
              <w:rPr>
                <w:rFonts w:ascii="Times New Roman" w:hAnsi="Times New Roman"/>
                <w:color w:val="auto"/>
                <w:kern w:val="2"/>
                <w:sz w:val="21"/>
                <w:szCs w:val="21"/>
                <w:lang w:val="en-US" w:eastAsia="zh-CN"/>
              </w:rPr>
              <w:t>m</w:t>
            </w:r>
            <w:r>
              <w:rPr>
                <w:rFonts w:ascii="Times New Roman" w:hAnsi="Times New Roman"/>
                <w:color w:val="auto"/>
                <w:kern w:val="2"/>
                <w:sz w:val="21"/>
                <w:szCs w:val="21"/>
                <w:vertAlign w:val="superscript"/>
                <w:lang w:val="en-US" w:eastAsia="zh-CN"/>
              </w:rPr>
              <w:t>2</w:t>
            </w:r>
            <w:r>
              <w:rPr>
                <w:rFonts w:ascii="Times New Roman" w:hAnsi="Times New Roman"/>
                <w:color w:val="auto"/>
                <w:kern w:val="2"/>
                <w:sz w:val="21"/>
                <w:szCs w:val="21"/>
                <w:lang w:val="en-US" w:eastAsia="zh-CN"/>
              </w:rPr>
              <w:t>；1处危废堆场，占地面积</w:t>
            </w:r>
            <w:r>
              <w:rPr>
                <w:rFonts w:hint="eastAsia" w:ascii="Times New Roman" w:hAnsi="Times New Roman"/>
                <w:color w:val="auto"/>
                <w:kern w:val="2"/>
                <w:sz w:val="21"/>
                <w:szCs w:val="21"/>
                <w:lang w:val="en-US" w:eastAsia="zh-CN"/>
              </w:rPr>
              <w:t>24</w:t>
            </w:r>
            <w:r>
              <w:rPr>
                <w:rFonts w:ascii="Times New Roman" w:hAnsi="Times New Roman"/>
                <w:color w:val="auto"/>
                <w:kern w:val="2"/>
                <w:sz w:val="21"/>
                <w:szCs w:val="21"/>
                <w:lang w:val="en-US" w:eastAsia="zh-CN"/>
              </w:rPr>
              <w:t>m</w:t>
            </w:r>
            <w:r>
              <w:rPr>
                <w:rFonts w:ascii="Times New Roman" w:hAnsi="Times New Roman"/>
                <w:color w:val="auto"/>
                <w:kern w:val="2"/>
                <w:sz w:val="21"/>
                <w:szCs w:val="21"/>
                <w:vertAlign w:val="superscript"/>
                <w:lang w:val="en-US" w:eastAsia="zh-CN"/>
              </w:rPr>
              <w:t>2</w:t>
            </w:r>
            <w:r>
              <w:rPr>
                <w:rFonts w:ascii="Times New Roman" w:hAnsi="Times New Roman"/>
                <w:color w:val="auto"/>
                <w:kern w:val="2"/>
                <w:sz w:val="21"/>
                <w:szCs w:val="21"/>
                <w:lang w:val="en-US" w:eastAsia="zh-CN"/>
              </w:rPr>
              <w:t>，仓库已做好防渗漏、防扬散、防流失措施。</w:t>
            </w:r>
          </w:p>
          <w:p w14:paraId="0CCD843D">
            <w:pPr>
              <w:keepNext w:val="0"/>
              <w:keepLines w:val="0"/>
              <w:pageBreakBefore w:val="0"/>
              <w:kinsoku/>
              <w:wordWrap/>
              <w:overflowPunct/>
              <w:topLinePunct w:val="0"/>
              <w:bidi w:val="0"/>
              <w:adjustRightInd w:val="0"/>
              <w:snapToGrid w:val="0"/>
              <w:spacing w:line="500" w:lineRule="exact"/>
              <w:ind w:firstLine="420" w:firstLineChars="200"/>
              <w:jc w:val="left"/>
              <w:textAlignment w:val="auto"/>
              <w:rPr>
                <w:color w:val="auto"/>
                <w:sz w:val="21"/>
                <w:szCs w:val="21"/>
              </w:rPr>
            </w:pPr>
            <w:r>
              <w:rPr>
                <w:color w:val="auto"/>
                <w:sz w:val="21"/>
                <w:szCs w:val="21"/>
              </w:rPr>
              <w:t>一般固废</w:t>
            </w:r>
            <w:r>
              <w:rPr>
                <w:rFonts w:hint="eastAsia"/>
                <w:color w:val="auto"/>
                <w:sz w:val="21"/>
                <w:szCs w:val="21"/>
              </w:rPr>
              <w:t>废包装材料</w:t>
            </w:r>
            <w:r>
              <w:rPr>
                <w:rFonts w:hint="eastAsia"/>
                <w:color w:val="auto"/>
                <w:sz w:val="21"/>
                <w:szCs w:val="21"/>
                <w:lang w:eastAsia="zh-CN"/>
              </w:rPr>
              <w:t>（</w:t>
            </w:r>
            <w:r>
              <w:rPr>
                <w:rFonts w:hint="eastAsia"/>
                <w:color w:val="auto"/>
                <w:sz w:val="21"/>
                <w:szCs w:val="21"/>
                <w:lang w:val="en-US" w:eastAsia="zh-CN"/>
              </w:rPr>
              <w:t>40t/a</w:t>
            </w:r>
            <w:r>
              <w:rPr>
                <w:rFonts w:hint="eastAsia"/>
                <w:color w:val="auto"/>
                <w:sz w:val="21"/>
                <w:szCs w:val="21"/>
                <w:lang w:eastAsia="zh-CN"/>
              </w:rPr>
              <w:t>）、</w:t>
            </w:r>
            <w:r>
              <w:rPr>
                <w:rFonts w:hint="eastAsia"/>
                <w:color w:val="auto"/>
                <w:sz w:val="21"/>
                <w:szCs w:val="21"/>
                <w:lang w:val="en-US" w:eastAsia="zh-CN"/>
              </w:rPr>
              <w:t>塑料边角料（0.5t/a）</w:t>
            </w:r>
            <w:r>
              <w:rPr>
                <w:color w:val="auto"/>
                <w:sz w:val="21"/>
                <w:szCs w:val="21"/>
              </w:rPr>
              <w:t>外售综合利用；生活垃圾</w:t>
            </w:r>
            <w:r>
              <w:rPr>
                <w:rFonts w:hint="eastAsia"/>
                <w:color w:val="auto"/>
                <w:sz w:val="21"/>
                <w:szCs w:val="21"/>
                <w:lang w:eastAsia="zh-CN"/>
              </w:rPr>
              <w:t>（</w:t>
            </w:r>
            <w:r>
              <w:rPr>
                <w:rFonts w:hint="eastAsia"/>
                <w:color w:val="auto"/>
                <w:sz w:val="21"/>
                <w:szCs w:val="21"/>
                <w:lang w:val="en-US" w:eastAsia="zh-CN"/>
              </w:rPr>
              <w:t>50.5t/a</w:t>
            </w:r>
            <w:r>
              <w:rPr>
                <w:rFonts w:hint="eastAsia"/>
                <w:color w:val="auto"/>
                <w:sz w:val="21"/>
                <w:szCs w:val="21"/>
                <w:lang w:eastAsia="zh-CN"/>
              </w:rPr>
              <w:t>）</w:t>
            </w:r>
            <w:r>
              <w:rPr>
                <w:color w:val="auto"/>
                <w:sz w:val="21"/>
                <w:szCs w:val="21"/>
              </w:rPr>
              <w:t>由环卫部门定期清运；危险废物</w:t>
            </w:r>
            <w:r>
              <w:rPr>
                <w:rFonts w:hint="eastAsia"/>
                <w:color w:val="auto"/>
                <w:sz w:val="21"/>
                <w:szCs w:val="21"/>
              </w:rPr>
              <w:t>废机油</w:t>
            </w:r>
            <w:r>
              <w:rPr>
                <w:rFonts w:hint="eastAsia"/>
                <w:color w:val="auto"/>
                <w:sz w:val="21"/>
                <w:szCs w:val="21"/>
                <w:lang w:eastAsia="zh-CN"/>
              </w:rPr>
              <w:t>（</w:t>
            </w:r>
            <w:r>
              <w:rPr>
                <w:rFonts w:hint="eastAsia"/>
                <w:color w:val="auto"/>
                <w:sz w:val="21"/>
                <w:szCs w:val="21"/>
                <w:lang w:val="en-US" w:eastAsia="zh-CN"/>
              </w:rPr>
              <w:t>2.4t/a</w:t>
            </w:r>
            <w:r>
              <w:rPr>
                <w:rFonts w:hint="eastAsia"/>
                <w:color w:val="auto"/>
                <w:sz w:val="21"/>
                <w:szCs w:val="21"/>
                <w:lang w:eastAsia="zh-CN"/>
              </w:rPr>
              <w:t>）</w:t>
            </w:r>
            <w:r>
              <w:rPr>
                <w:rFonts w:hint="eastAsia"/>
                <w:color w:val="auto"/>
                <w:sz w:val="21"/>
                <w:szCs w:val="21"/>
              </w:rPr>
              <w:t>、</w:t>
            </w:r>
            <w:r>
              <w:rPr>
                <w:rFonts w:hint="eastAsia"/>
                <w:color w:val="auto"/>
                <w:sz w:val="21"/>
                <w:szCs w:val="21"/>
                <w:lang w:eastAsia="zh-CN"/>
              </w:rPr>
              <w:t>废油桶（</w:t>
            </w:r>
            <w:r>
              <w:rPr>
                <w:rFonts w:hint="eastAsia"/>
                <w:color w:val="auto"/>
                <w:sz w:val="21"/>
                <w:szCs w:val="21"/>
                <w:lang w:val="en-US" w:eastAsia="zh-CN"/>
              </w:rPr>
              <w:t>0.06 t/a</w:t>
            </w:r>
            <w:r>
              <w:rPr>
                <w:rFonts w:hint="eastAsia"/>
                <w:color w:val="auto"/>
                <w:sz w:val="21"/>
                <w:szCs w:val="21"/>
                <w:lang w:eastAsia="zh-CN"/>
              </w:rPr>
              <w:t>）</w:t>
            </w:r>
            <w:r>
              <w:rPr>
                <w:color w:val="auto"/>
                <w:sz w:val="21"/>
                <w:szCs w:val="21"/>
              </w:rPr>
              <w:t>委托</w:t>
            </w:r>
            <w:r>
              <w:rPr>
                <w:rFonts w:hint="eastAsia"/>
                <w:color w:val="auto"/>
                <w:sz w:val="21"/>
                <w:szCs w:val="21"/>
                <w:lang w:val="en-US" w:eastAsia="zh-CN"/>
              </w:rPr>
              <w:t>常州坤坛环保有限公司</w:t>
            </w:r>
            <w:r>
              <w:rPr>
                <w:color w:val="auto"/>
                <w:sz w:val="21"/>
                <w:szCs w:val="21"/>
              </w:rPr>
              <w:t>处置</w:t>
            </w:r>
            <w:r>
              <w:rPr>
                <w:rFonts w:hint="eastAsia"/>
                <w:color w:val="auto"/>
                <w:sz w:val="21"/>
                <w:szCs w:val="21"/>
                <w:lang w:eastAsia="zh-CN"/>
              </w:rPr>
              <w:t>，</w:t>
            </w:r>
            <w:r>
              <w:rPr>
                <w:color w:val="auto"/>
                <w:sz w:val="21"/>
                <w:szCs w:val="21"/>
              </w:rPr>
              <w:t>废活性炭</w:t>
            </w:r>
            <w:r>
              <w:rPr>
                <w:rFonts w:hint="eastAsia"/>
                <w:color w:val="auto"/>
                <w:sz w:val="21"/>
                <w:szCs w:val="21"/>
                <w:lang w:eastAsia="zh-CN"/>
              </w:rPr>
              <w:t>（</w:t>
            </w:r>
            <w:r>
              <w:rPr>
                <w:rFonts w:hint="eastAsia"/>
                <w:color w:val="auto"/>
                <w:sz w:val="21"/>
                <w:szCs w:val="21"/>
                <w:lang w:val="en-US" w:eastAsia="zh-CN"/>
              </w:rPr>
              <w:t>29.295t/a</w:t>
            </w:r>
            <w:r>
              <w:rPr>
                <w:rFonts w:hint="eastAsia"/>
                <w:color w:val="auto"/>
                <w:sz w:val="21"/>
                <w:szCs w:val="21"/>
                <w:lang w:eastAsia="zh-CN"/>
              </w:rPr>
              <w:t>）</w:t>
            </w:r>
            <w:r>
              <w:rPr>
                <w:color w:val="auto"/>
                <w:sz w:val="21"/>
                <w:szCs w:val="21"/>
              </w:rPr>
              <w:t>委托</w:t>
            </w:r>
            <w:r>
              <w:rPr>
                <w:rFonts w:hint="eastAsia"/>
                <w:color w:val="auto"/>
                <w:sz w:val="21"/>
                <w:szCs w:val="21"/>
                <w:lang w:val="en-US" w:eastAsia="zh-CN"/>
              </w:rPr>
              <w:t>江苏恒源活性炭有限公司</w:t>
            </w:r>
            <w:r>
              <w:rPr>
                <w:color w:val="auto"/>
                <w:sz w:val="21"/>
                <w:szCs w:val="21"/>
              </w:rPr>
              <w:t>处置。固废均得到合理处理、处置或综合利用。</w:t>
            </w:r>
          </w:p>
          <w:p w14:paraId="008A467B">
            <w:pPr>
              <w:pStyle w:val="94"/>
              <w:keepNext w:val="0"/>
              <w:keepLines w:val="0"/>
              <w:pageBreakBefore w:val="0"/>
              <w:kinsoku/>
              <w:wordWrap/>
              <w:overflowPunct/>
              <w:topLinePunct w:val="0"/>
              <w:bidi w:val="0"/>
              <w:adjustRightInd w:val="0"/>
              <w:snapToGrid w:val="0"/>
              <w:spacing w:line="500" w:lineRule="exact"/>
              <w:ind w:firstLine="420"/>
              <w:textAlignment w:val="auto"/>
              <w:rPr>
                <w:rFonts w:eastAsia="宋体"/>
                <w:color w:val="auto"/>
                <w:sz w:val="21"/>
                <w:szCs w:val="21"/>
              </w:rPr>
            </w:pPr>
            <w:r>
              <w:rPr>
                <w:rFonts w:hint="eastAsia" w:eastAsia="宋体"/>
                <w:color w:val="auto"/>
                <w:sz w:val="21"/>
                <w:szCs w:val="21"/>
              </w:rPr>
              <w:t>（2）在建项目</w:t>
            </w:r>
          </w:p>
          <w:p w14:paraId="01D7B43C">
            <w:pPr>
              <w:keepNext w:val="0"/>
              <w:keepLines w:val="0"/>
              <w:pageBreakBefore w:val="0"/>
              <w:kinsoku/>
              <w:wordWrap/>
              <w:overflowPunct/>
              <w:topLinePunct w:val="0"/>
              <w:bidi w:val="0"/>
              <w:adjustRightInd w:val="0"/>
              <w:snapToGrid w:val="0"/>
              <w:spacing w:line="500" w:lineRule="exact"/>
              <w:ind w:firstLine="420" w:firstLineChars="200"/>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在建项目为</w:t>
            </w:r>
            <w:r>
              <w:rPr>
                <w:rFonts w:hint="eastAsia" w:ascii="Times New Roman" w:hAnsi="Times New Roman" w:eastAsia="宋体" w:cs="Times New Roman"/>
                <w:color w:val="auto"/>
                <w:sz w:val="21"/>
                <w:szCs w:val="21"/>
                <w:lang w:val="en-US" w:eastAsia="zh-CN"/>
              </w:rPr>
              <w:t>太阳能电池封装胶膜扩产项目</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lang w:val="en-US" w:eastAsia="zh-CN"/>
              </w:rPr>
              <w:t>年产</w:t>
            </w:r>
            <w:r>
              <w:rPr>
                <w:rFonts w:hint="eastAsia" w:ascii="Times New Roman" w:hAnsi="Times New Roman" w:eastAsia="宋体" w:cs="Times New Roman"/>
                <w:color w:val="auto"/>
                <w:sz w:val="21"/>
                <w:szCs w:val="21"/>
                <w:lang w:val="en-US" w:eastAsia="zh-CN"/>
              </w:rPr>
              <w:t>9000</w:t>
            </w:r>
            <w:r>
              <w:rPr>
                <w:rFonts w:ascii="Times New Roman" w:hAnsi="Times New Roman" w:eastAsia="宋体" w:cs="Times New Roman"/>
                <w:color w:val="auto"/>
                <w:sz w:val="21"/>
                <w:szCs w:val="21"/>
                <w:lang w:val="en-US" w:eastAsia="zh-CN"/>
              </w:rPr>
              <w:t>万</w:t>
            </w:r>
            <w:r>
              <w:rPr>
                <w:rFonts w:hint="eastAsia" w:ascii="Times New Roman" w:hAnsi="Times New Roman" w:eastAsia="宋体" w:cs="Times New Roman"/>
                <w:color w:val="auto"/>
                <w:sz w:val="21"/>
                <w:szCs w:val="21"/>
                <w:lang w:val="en-US" w:eastAsia="zh-CN"/>
              </w:rPr>
              <w:t>m</w:t>
            </w:r>
            <w:r>
              <w:rPr>
                <w:rFonts w:ascii="Times New Roman" w:hAnsi="Times New Roman" w:eastAsia="宋体" w:cs="Times New Roman"/>
                <w:color w:val="auto"/>
                <w:sz w:val="21"/>
                <w:szCs w:val="21"/>
                <w:vertAlign w:val="superscript"/>
                <w:lang w:val="en-US" w:eastAsia="zh-CN"/>
              </w:rPr>
              <w:t xml:space="preserve">2 </w:t>
            </w:r>
            <w:r>
              <w:rPr>
                <w:rFonts w:ascii="Times New Roman" w:hAnsi="Times New Roman" w:eastAsia="宋体" w:cs="Times New Roman"/>
                <w:color w:val="auto"/>
                <w:sz w:val="21"/>
                <w:szCs w:val="21"/>
                <w:lang w:val="en-US" w:eastAsia="zh-CN"/>
              </w:rPr>
              <w:t>POE</w:t>
            </w:r>
            <w:r>
              <w:rPr>
                <w:rFonts w:hint="eastAsia" w:ascii="Times New Roman" w:hAnsi="Times New Roman" w:eastAsia="宋体" w:cs="Times New Roman"/>
                <w:color w:val="auto"/>
                <w:sz w:val="21"/>
                <w:szCs w:val="21"/>
                <w:lang w:val="en-US" w:eastAsia="zh-CN"/>
              </w:rPr>
              <w:t>胶膜和</w:t>
            </w:r>
            <w:r>
              <w:rPr>
                <w:rFonts w:ascii="Times New Roman" w:hAnsi="Times New Roman" w:eastAsia="宋体" w:cs="Times New Roman"/>
                <w:color w:val="auto"/>
                <w:sz w:val="21"/>
                <w:szCs w:val="21"/>
                <w:lang w:val="en-US" w:eastAsia="zh-CN"/>
              </w:rPr>
              <w:t>9000万</w:t>
            </w:r>
            <w:r>
              <w:rPr>
                <w:rFonts w:hint="eastAsia" w:ascii="Times New Roman" w:hAnsi="Times New Roman" w:eastAsia="宋体" w:cs="Times New Roman"/>
                <w:color w:val="auto"/>
                <w:sz w:val="21"/>
                <w:szCs w:val="21"/>
                <w:lang w:val="en-US" w:eastAsia="zh-CN"/>
              </w:rPr>
              <w:t>m</w:t>
            </w:r>
            <w:r>
              <w:rPr>
                <w:rFonts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lang w:val="en-US" w:eastAsia="zh-CN"/>
              </w:rPr>
              <w:t>白色E</w:t>
            </w:r>
            <w:r>
              <w:rPr>
                <w:rFonts w:ascii="Times New Roman" w:hAnsi="Times New Roman" w:eastAsia="宋体" w:cs="Times New Roman"/>
                <w:color w:val="auto"/>
                <w:sz w:val="21"/>
                <w:szCs w:val="21"/>
                <w:lang w:val="en-US" w:eastAsia="zh-CN"/>
              </w:rPr>
              <w:t>VA胶膜</w:t>
            </w:r>
            <w:r>
              <w:rPr>
                <w:rFonts w:hint="eastAsia" w:ascii="Times New Roman" w:hAnsi="Times New Roman" w:eastAsia="宋体" w:cs="Times New Roman"/>
                <w:color w:val="auto"/>
                <w:sz w:val="21"/>
                <w:szCs w:val="21"/>
                <w:lang w:eastAsia="zh-CN"/>
              </w:rPr>
              <w:t>）</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rPr>
              <w:t>功能性聚烯烃热熔胶扩产</w:t>
            </w:r>
            <w:r>
              <w:rPr>
                <w:rFonts w:ascii="Times New Roman" w:hAnsi="Times New Roman" w:eastAsia="宋体" w:cs="Times New Roman"/>
                <w:color w:val="auto"/>
                <w:sz w:val="21"/>
                <w:szCs w:val="21"/>
              </w:rPr>
              <w:t>项目</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年产功能性聚烯烃热熔胶</w:t>
            </w:r>
            <w:r>
              <w:rPr>
                <w:rFonts w:hint="eastAsia" w:cs="Times New Roman"/>
                <w:color w:val="auto"/>
                <w:sz w:val="21"/>
                <w:szCs w:val="21"/>
                <w:lang w:val="en-US" w:eastAsia="zh-CN"/>
              </w:rPr>
              <w:t>3.5</w:t>
            </w:r>
            <w:r>
              <w:rPr>
                <w:rFonts w:hint="eastAsia" w:ascii="Times New Roman" w:hAnsi="Times New Roman" w:eastAsia="宋体" w:cs="Times New Roman"/>
                <w:color w:val="auto"/>
                <w:sz w:val="21"/>
                <w:szCs w:val="21"/>
              </w:rPr>
              <w:t>万吨</w:t>
            </w:r>
            <w:r>
              <w:rPr>
                <w:rFonts w:hint="eastAsia" w:ascii="Times New Roman" w:hAnsi="Times New Roman" w:eastAsia="宋体" w:cs="Times New Roman"/>
                <w:color w:val="auto"/>
                <w:sz w:val="21"/>
                <w:szCs w:val="21"/>
                <w:lang w:eastAsia="zh-CN"/>
              </w:rPr>
              <w:t>）</w:t>
            </w:r>
            <w:r>
              <w:rPr>
                <w:rFonts w:hint="eastAsia" w:cs="Times New Roman"/>
                <w:color w:val="auto"/>
                <w:sz w:val="21"/>
                <w:szCs w:val="21"/>
                <w:lang w:val="en-US" w:eastAsia="zh-CN"/>
              </w:rPr>
              <w:t>和</w:t>
            </w:r>
            <w:r>
              <w:rPr>
                <w:rFonts w:hint="eastAsia" w:cs="Times New Roman"/>
                <w:color w:val="auto"/>
                <w:sz w:val="21"/>
                <w:szCs w:val="21"/>
                <w:lang w:eastAsia="zh-CN"/>
              </w:rPr>
              <w:t>太阳能封装材料技改项目</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年产</w:t>
            </w:r>
            <w:r>
              <w:rPr>
                <w:rFonts w:hint="eastAsia" w:ascii="Times New Roman" w:hAnsi="Times New Roman" w:eastAsia="宋体" w:cs="Times New Roman"/>
                <w:color w:val="auto"/>
                <w:sz w:val="21"/>
                <w:szCs w:val="21"/>
                <w:lang w:val="en-US" w:eastAsia="zh-CN"/>
              </w:rPr>
              <w:t>高性能EVA胶膜</w:t>
            </w:r>
            <w:r>
              <w:rPr>
                <w:rFonts w:hint="eastAsia" w:cs="Times New Roman"/>
                <w:color w:val="auto"/>
                <w:sz w:val="21"/>
                <w:szCs w:val="21"/>
                <w:lang w:val="en-US" w:eastAsia="zh-CN"/>
              </w:rPr>
              <w:t>20</w:t>
            </w:r>
            <w:r>
              <w:rPr>
                <w:rFonts w:hint="eastAsia" w:ascii="Times New Roman" w:hAnsi="Times New Roman" w:eastAsia="宋体" w:cs="Times New Roman"/>
                <w:color w:val="auto"/>
                <w:sz w:val="21"/>
                <w:szCs w:val="21"/>
                <w:lang w:val="en-US" w:eastAsia="zh-CN"/>
              </w:rPr>
              <w:t>00万m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w:t>
            </w:r>
          </w:p>
          <w:p w14:paraId="649BF529">
            <w:pPr>
              <w:keepNext w:val="0"/>
              <w:keepLines w:val="0"/>
              <w:pageBreakBefore w:val="0"/>
              <w:kinsoku/>
              <w:wordWrap/>
              <w:overflowPunct/>
              <w:topLinePunct w:val="0"/>
              <w:bidi w:val="0"/>
              <w:adjustRightInd w:val="0"/>
              <w:snapToGrid w:val="0"/>
              <w:spacing w:line="500" w:lineRule="exact"/>
              <w:ind w:left="420" w:leftChars="200"/>
              <w:textAlignment w:val="auto"/>
              <w:rPr>
                <w:rFonts w:hint="eastAsia" w:eastAsia="宋体"/>
                <w:color w:val="auto"/>
                <w:sz w:val="21"/>
                <w:szCs w:val="21"/>
                <w:lang w:eastAsia="zh-CN"/>
              </w:rPr>
            </w:pPr>
            <w:r>
              <w:rPr>
                <w:rFonts w:hint="eastAsia"/>
                <w:color w:val="auto"/>
                <w:sz w:val="21"/>
                <w:szCs w:val="21"/>
                <w:lang w:val="en-US" w:eastAsia="zh-CN"/>
              </w:rPr>
              <w:t>a</w:t>
            </w:r>
            <w:r>
              <w:rPr>
                <w:rFonts w:hint="eastAsia"/>
                <w:color w:val="auto"/>
                <w:sz w:val="21"/>
                <w:szCs w:val="21"/>
                <w:lang w:eastAsia="zh-CN"/>
              </w:rPr>
              <w:t>、</w:t>
            </w:r>
            <w:r>
              <w:rPr>
                <w:rFonts w:hint="eastAsia" w:ascii="Times New Roman" w:hAnsi="Times New Roman" w:eastAsia="宋体" w:cs="Times New Roman"/>
                <w:color w:val="auto"/>
                <w:sz w:val="21"/>
                <w:szCs w:val="21"/>
                <w:lang w:val="en-US" w:eastAsia="zh-CN"/>
              </w:rPr>
              <w:t>太阳能电池封装胶膜扩产项目</w:t>
            </w:r>
            <w:r>
              <w:rPr>
                <w:rFonts w:hint="eastAsia"/>
                <w:color w:val="auto"/>
                <w:sz w:val="21"/>
                <w:szCs w:val="21"/>
                <w:lang w:eastAsia="zh-CN"/>
              </w:rPr>
              <w:t>：</w:t>
            </w:r>
          </w:p>
          <w:p w14:paraId="25C6C95F">
            <w:pPr>
              <w:keepNext w:val="0"/>
              <w:keepLines w:val="0"/>
              <w:pageBreakBefore w:val="0"/>
              <w:kinsoku/>
              <w:wordWrap/>
              <w:overflowPunct/>
              <w:topLinePunct w:val="0"/>
              <w:bidi w:val="0"/>
              <w:adjustRightInd w:val="0"/>
              <w:snapToGrid w:val="0"/>
              <w:spacing w:line="500" w:lineRule="exact"/>
              <w:ind w:left="420" w:leftChars="200"/>
              <w:textAlignment w:val="auto"/>
              <w:rPr>
                <w:color w:val="auto"/>
                <w:sz w:val="21"/>
                <w:szCs w:val="21"/>
              </w:rPr>
            </w:pPr>
            <w:r>
              <w:rPr>
                <w:color w:val="auto"/>
                <w:sz w:val="21"/>
                <w:szCs w:val="21"/>
              </w:rPr>
              <w:t>①废水</w:t>
            </w:r>
          </w:p>
          <w:p w14:paraId="257EF5B6">
            <w:pPr>
              <w:keepNext w:val="0"/>
              <w:keepLines w:val="0"/>
              <w:pageBreakBefore w:val="0"/>
              <w:kinsoku/>
              <w:wordWrap/>
              <w:overflowPunct/>
              <w:topLinePunct w:val="0"/>
              <w:bidi w:val="0"/>
              <w:adjustRightInd w:val="0"/>
              <w:snapToGrid w:val="0"/>
              <w:spacing w:line="500" w:lineRule="exact"/>
              <w:ind w:firstLine="420" w:firstLineChars="200"/>
              <w:textAlignment w:val="auto"/>
              <w:rPr>
                <w:color w:val="auto"/>
                <w:sz w:val="21"/>
                <w:szCs w:val="21"/>
              </w:rPr>
            </w:pPr>
            <w:r>
              <w:rPr>
                <w:rFonts w:hint="eastAsia"/>
                <w:color w:val="auto"/>
                <w:sz w:val="21"/>
                <w:szCs w:val="21"/>
              </w:rPr>
              <w:t>在建</w:t>
            </w:r>
            <w:r>
              <w:rPr>
                <w:color w:val="auto"/>
                <w:sz w:val="21"/>
                <w:szCs w:val="21"/>
              </w:rPr>
              <w:t>项目</w:t>
            </w:r>
            <w:r>
              <w:rPr>
                <w:rFonts w:hint="eastAsia"/>
                <w:color w:val="auto"/>
                <w:sz w:val="21"/>
                <w:szCs w:val="21"/>
              </w:rPr>
              <w:t>主要为</w:t>
            </w:r>
            <w:r>
              <w:rPr>
                <w:color w:val="auto"/>
                <w:sz w:val="21"/>
                <w:szCs w:val="21"/>
              </w:rPr>
              <w:t>生活污水</w:t>
            </w:r>
            <w:r>
              <w:rPr>
                <w:rFonts w:hint="eastAsia"/>
                <w:color w:val="auto"/>
                <w:sz w:val="21"/>
                <w:szCs w:val="21"/>
              </w:rPr>
              <w:t>（</w:t>
            </w:r>
            <w:r>
              <w:rPr>
                <w:rFonts w:hint="eastAsia"/>
                <w:color w:val="auto"/>
                <w:sz w:val="21"/>
                <w:szCs w:val="21"/>
                <w:lang w:val="en-US" w:eastAsia="zh-CN"/>
              </w:rPr>
              <w:t>4512</w:t>
            </w:r>
            <w:r>
              <w:rPr>
                <w:rFonts w:hint="eastAsia"/>
                <w:color w:val="auto"/>
                <w:sz w:val="21"/>
                <w:szCs w:val="21"/>
              </w:rPr>
              <w:t>t/a）</w:t>
            </w:r>
            <w:r>
              <w:rPr>
                <w:color w:val="auto"/>
                <w:sz w:val="21"/>
                <w:szCs w:val="21"/>
              </w:rPr>
              <w:t>，职工生活污水经化粪池预处理后排入常州金坛区第二污水处理有限公司集中处理。</w:t>
            </w:r>
          </w:p>
          <w:p w14:paraId="1430A0F5">
            <w:pPr>
              <w:keepNext w:val="0"/>
              <w:keepLines w:val="0"/>
              <w:pageBreakBefore w:val="0"/>
              <w:kinsoku/>
              <w:wordWrap/>
              <w:overflowPunct/>
              <w:topLinePunct w:val="0"/>
              <w:bidi w:val="0"/>
              <w:adjustRightInd w:val="0"/>
              <w:snapToGrid w:val="0"/>
              <w:spacing w:line="500" w:lineRule="exact"/>
              <w:ind w:firstLine="420" w:firstLineChars="200"/>
              <w:textAlignment w:val="auto"/>
              <w:rPr>
                <w:color w:val="auto"/>
                <w:sz w:val="21"/>
                <w:szCs w:val="21"/>
              </w:rPr>
            </w:pPr>
            <w:r>
              <w:rPr>
                <w:color w:val="auto"/>
                <w:sz w:val="21"/>
                <w:szCs w:val="21"/>
              </w:rPr>
              <w:t>②废气</w:t>
            </w:r>
          </w:p>
          <w:p w14:paraId="606ED73D">
            <w:pPr>
              <w:keepNext w:val="0"/>
              <w:keepLines w:val="0"/>
              <w:pageBreakBefore w:val="0"/>
              <w:kinsoku/>
              <w:wordWrap/>
              <w:overflowPunct/>
              <w:topLinePunct w:val="0"/>
              <w:bidi w:val="0"/>
              <w:adjustRightInd w:val="0"/>
              <w:snapToGrid w:val="0"/>
              <w:spacing w:line="500" w:lineRule="exact"/>
              <w:ind w:firstLine="420" w:firstLineChars="200"/>
              <w:textAlignment w:val="auto"/>
              <w:rPr>
                <w:rFonts w:ascii="Times New Roman" w:hAnsi="Times New Roman" w:eastAsia="宋体" w:cs="Times New Roman"/>
                <w:color w:val="auto"/>
                <w:sz w:val="21"/>
                <w:szCs w:val="21"/>
              </w:rPr>
            </w:pPr>
            <w:r>
              <w:rPr>
                <w:rFonts w:hint="eastAsia"/>
                <w:color w:val="auto"/>
                <w:sz w:val="21"/>
                <w:szCs w:val="21"/>
              </w:rPr>
              <w:t>在建</w:t>
            </w:r>
            <w:r>
              <w:rPr>
                <w:color w:val="auto"/>
                <w:sz w:val="21"/>
                <w:szCs w:val="21"/>
              </w:rPr>
              <w:t>项目</w:t>
            </w:r>
            <w:r>
              <w:rPr>
                <w:rFonts w:hint="eastAsia"/>
                <w:color w:val="auto"/>
                <w:sz w:val="21"/>
                <w:szCs w:val="21"/>
                <w:lang w:val="en-US" w:eastAsia="zh-CN"/>
              </w:rPr>
              <w:t>车间五</w:t>
            </w:r>
            <w:r>
              <w:rPr>
                <w:rFonts w:ascii="Times New Roman" w:hAnsi="Times New Roman" w:eastAsia="宋体" w:cs="Times New Roman"/>
                <w:color w:val="auto"/>
                <w:sz w:val="21"/>
                <w:szCs w:val="21"/>
              </w:rPr>
              <w:t>EVA胶膜流延成膜废气经集气罩收集后，经二级活性炭吸附装置处理，尾气通过</w:t>
            </w:r>
            <w:r>
              <w:rPr>
                <w:rFonts w:hint="eastAsia" w:ascii="Times New Roman" w:hAnsi="Times New Roman" w:eastAsia="宋体" w:cs="Times New Roman"/>
                <w:color w:val="auto"/>
                <w:sz w:val="21"/>
                <w:szCs w:val="21"/>
              </w:rPr>
              <w:t>1</w:t>
            </w:r>
            <w:r>
              <w:rPr>
                <w:rFonts w:ascii="Times New Roman" w:hAnsi="Times New Roman" w:eastAsia="宋体" w:cs="Times New Roman"/>
                <w:color w:val="auto"/>
                <w:sz w:val="21"/>
                <w:szCs w:val="21"/>
              </w:rPr>
              <w:t>根15米高排气筒(P</w:t>
            </w:r>
            <w:r>
              <w:rPr>
                <w:rFonts w:hint="eastAsia" w:ascii="Times New Roman" w:hAnsi="Times New Roman" w:eastAsia="宋体" w:cs="Times New Roman"/>
                <w:color w:val="auto"/>
                <w:sz w:val="21"/>
                <w:szCs w:val="21"/>
                <w:lang w:val="en-US" w:eastAsia="zh-CN"/>
              </w:rPr>
              <w:t>8</w:t>
            </w:r>
            <w:r>
              <w:rPr>
                <w:rFonts w:ascii="Times New Roman" w:hAnsi="Times New Roman" w:eastAsia="宋体" w:cs="Times New Roman"/>
                <w:color w:val="auto"/>
                <w:sz w:val="21"/>
                <w:szCs w:val="21"/>
              </w:rPr>
              <w:t>)排放</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lang w:val="en-US" w:eastAsia="zh-CN"/>
              </w:rPr>
              <w:t>POE胶膜</w:t>
            </w:r>
            <w:r>
              <w:rPr>
                <w:rFonts w:ascii="Times New Roman" w:hAnsi="Times New Roman" w:eastAsia="宋体" w:cs="Times New Roman"/>
                <w:color w:val="auto"/>
                <w:sz w:val="21"/>
                <w:szCs w:val="21"/>
              </w:rPr>
              <w:t>流延成膜废气经集气罩收集后，经二级活性炭吸附装置处理，尾气通过</w:t>
            </w:r>
            <w:r>
              <w:rPr>
                <w:rFonts w:hint="eastAsia" w:ascii="Times New Roman" w:hAnsi="Times New Roman" w:eastAsia="宋体" w:cs="Times New Roman"/>
                <w:color w:val="auto"/>
                <w:sz w:val="21"/>
                <w:szCs w:val="21"/>
              </w:rPr>
              <w:t>1</w:t>
            </w:r>
            <w:r>
              <w:rPr>
                <w:rFonts w:ascii="Times New Roman" w:hAnsi="Times New Roman" w:eastAsia="宋体" w:cs="Times New Roman"/>
                <w:color w:val="auto"/>
                <w:sz w:val="21"/>
                <w:szCs w:val="21"/>
              </w:rPr>
              <w:t>根15米高排气筒(P</w:t>
            </w:r>
            <w:r>
              <w:rPr>
                <w:rFonts w:hint="eastAsia" w:ascii="Times New Roman" w:hAnsi="Times New Roman" w:eastAsia="宋体" w:cs="Times New Roman"/>
                <w:color w:val="auto"/>
                <w:sz w:val="21"/>
                <w:szCs w:val="21"/>
                <w:lang w:val="en-US" w:eastAsia="zh-CN"/>
              </w:rPr>
              <w:t>9</w:t>
            </w:r>
            <w:r>
              <w:rPr>
                <w:rFonts w:ascii="Times New Roman" w:hAnsi="Times New Roman" w:eastAsia="宋体" w:cs="Times New Roman"/>
                <w:color w:val="auto"/>
                <w:sz w:val="21"/>
                <w:szCs w:val="21"/>
              </w:rPr>
              <w:t>)排放。未捕集的流延成膜有机废气于</w:t>
            </w:r>
            <w:r>
              <w:rPr>
                <w:rFonts w:hint="eastAsia" w:ascii="Times New Roman" w:hAnsi="Times New Roman" w:eastAsia="宋体" w:cs="Times New Roman"/>
                <w:color w:val="auto"/>
                <w:sz w:val="21"/>
                <w:szCs w:val="21"/>
                <w:lang w:val="en-US" w:eastAsia="zh-CN"/>
              </w:rPr>
              <w:t>车间五</w:t>
            </w:r>
            <w:r>
              <w:rPr>
                <w:rFonts w:ascii="Times New Roman" w:hAnsi="Times New Roman" w:eastAsia="宋体" w:cs="Times New Roman"/>
                <w:color w:val="auto"/>
                <w:sz w:val="21"/>
                <w:szCs w:val="21"/>
              </w:rPr>
              <w:t>无组织排放。</w:t>
            </w:r>
          </w:p>
          <w:p w14:paraId="16EA2F72">
            <w:pPr>
              <w:keepNext w:val="0"/>
              <w:keepLines w:val="0"/>
              <w:pageBreakBefore w:val="0"/>
              <w:kinsoku/>
              <w:wordWrap/>
              <w:overflowPunct/>
              <w:topLinePunct w:val="0"/>
              <w:bidi w:val="0"/>
              <w:adjustRightInd w:val="0"/>
              <w:snapToGrid w:val="0"/>
              <w:spacing w:line="500" w:lineRule="exact"/>
              <w:ind w:firstLine="420" w:firstLineChars="200"/>
              <w:textAlignment w:val="auto"/>
              <w:rPr>
                <w:color w:val="auto"/>
                <w:sz w:val="21"/>
                <w:szCs w:val="21"/>
              </w:rPr>
            </w:pPr>
            <w:r>
              <w:rPr>
                <w:color w:val="auto"/>
                <w:sz w:val="21"/>
                <w:szCs w:val="21"/>
              </w:rPr>
              <w:t>③噪声</w:t>
            </w:r>
          </w:p>
          <w:p w14:paraId="49ACCCAF">
            <w:pPr>
              <w:keepNext w:val="0"/>
              <w:keepLines w:val="0"/>
              <w:pageBreakBefore w:val="0"/>
              <w:kinsoku/>
              <w:wordWrap/>
              <w:overflowPunct/>
              <w:topLinePunct w:val="0"/>
              <w:bidi w:val="0"/>
              <w:adjustRightInd w:val="0"/>
              <w:snapToGrid w:val="0"/>
              <w:spacing w:line="500" w:lineRule="exact"/>
              <w:ind w:firstLine="420" w:firstLineChars="200"/>
              <w:textAlignment w:val="auto"/>
              <w:rPr>
                <w:color w:val="auto"/>
                <w:sz w:val="21"/>
                <w:szCs w:val="21"/>
              </w:rPr>
            </w:pPr>
            <w:r>
              <w:rPr>
                <w:rFonts w:hint="eastAsia"/>
                <w:color w:val="auto"/>
                <w:sz w:val="21"/>
                <w:szCs w:val="21"/>
              </w:rPr>
              <w:t>在建</w:t>
            </w:r>
            <w:r>
              <w:rPr>
                <w:color w:val="auto"/>
                <w:sz w:val="21"/>
                <w:szCs w:val="21"/>
              </w:rPr>
              <w:t>项目</w:t>
            </w:r>
            <w:r>
              <w:rPr>
                <w:rFonts w:hint="eastAsia"/>
                <w:color w:val="auto"/>
                <w:sz w:val="21"/>
                <w:szCs w:val="21"/>
              </w:rPr>
              <w:t>噪声主要为1</w:t>
            </w:r>
            <w:r>
              <w:rPr>
                <w:rFonts w:hint="eastAsia"/>
                <w:color w:val="auto"/>
                <w:sz w:val="21"/>
                <w:szCs w:val="21"/>
                <w:lang w:val="en-US" w:eastAsia="zh-CN"/>
              </w:rPr>
              <w:t>0</w:t>
            </w:r>
            <w:r>
              <w:rPr>
                <w:rFonts w:hint="eastAsia"/>
                <w:color w:val="auto"/>
                <w:sz w:val="21"/>
                <w:szCs w:val="21"/>
              </w:rPr>
              <w:t>条EVA胶膜生</w:t>
            </w:r>
            <w:r>
              <w:rPr>
                <w:rFonts w:hint="eastAsia" w:ascii="Times New Roman" w:hAnsi="Times New Roman" w:eastAsia="宋体" w:cs="Times New Roman"/>
                <w:color w:val="auto"/>
                <w:sz w:val="21"/>
                <w:szCs w:val="21"/>
              </w:rPr>
              <w:t>产机组</w:t>
            </w:r>
            <w:r>
              <w:rPr>
                <w:rFonts w:hint="eastAsia" w:ascii="Times New Roman" w:hAnsi="Times New Roman" w:eastAsia="宋体" w:cs="Times New Roman"/>
                <w:color w:val="auto"/>
                <w:sz w:val="21"/>
                <w:szCs w:val="21"/>
                <w:lang w:val="en-US" w:eastAsia="zh-CN"/>
              </w:rPr>
              <w:t>和10条</w:t>
            </w:r>
            <w:r>
              <w:rPr>
                <w:rFonts w:ascii="Times New Roman" w:hAnsi="Times New Roman" w:eastAsia="宋体" w:cs="Times New Roman"/>
                <w:color w:val="auto"/>
                <w:sz w:val="21"/>
                <w:szCs w:val="21"/>
                <w:lang w:val="en-US" w:eastAsia="zh-CN"/>
              </w:rPr>
              <w:t>POE</w:t>
            </w:r>
            <w:r>
              <w:rPr>
                <w:rFonts w:hint="eastAsia" w:ascii="Times New Roman" w:hAnsi="Times New Roman" w:eastAsia="宋体" w:cs="Times New Roman"/>
                <w:color w:val="auto"/>
                <w:sz w:val="21"/>
                <w:szCs w:val="21"/>
              </w:rPr>
              <w:t>胶膜生产机组运行噪声</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主要采取</w:t>
            </w:r>
            <w:r>
              <w:rPr>
                <w:rFonts w:hint="default" w:ascii="Times New Roman" w:hAnsi="Times New Roman" w:eastAsia="宋体" w:cs="Times New Roman"/>
                <w:color w:val="auto"/>
                <w:sz w:val="21"/>
                <w:szCs w:val="21"/>
              </w:rPr>
              <w:t>合理布局、减振、厂房隔声、距离衰减等措施</w:t>
            </w:r>
            <w:r>
              <w:rPr>
                <w:rFonts w:ascii="Times New Roman" w:hAnsi="Times New Roman" w:eastAsia="宋体" w:cs="Times New Roman"/>
                <w:color w:val="auto"/>
                <w:sz w:val="21"/>
                <w:szCs w:val="21"/>
              </w:rPr>
              <w:t>。</w:t>
            </w:r>
          </w:p>
          <w:p w14:paraId="3F900250">
            <w:pPr>
              <w:keepNext w:val="0"/>
              <w:keepLines w:val="0"/>
              <w:pageBreakBefore w:val="0"/>
              <w:kinsoku/>
              <w:wordWrap/>
              <w:overflowPunct/>
              <w:topLinePunct w:val="0"/>
              <w:bidi w:val="0"/>
              <w:adjustRightInd w:val="0"/>
              <w:snapToGrid w:val="0"/>
              <w:spacing w:line="500" w:lineRule="exact"/>
              <w:ind w:firstLine="420" w:firstLineChars="200"/>
              <w:textAlignment w:val="auto"/>
              <w:rPr>
                <w:color w:val="auto"/>
                <w:sz w:val="21"/>
                <w:szCs w:val="21"/>
              </w:rPr>
            </w:pPr>
            <w:r>
              <w:rPr>
                <w:color w:val="auto"/>
                <w:sz w:val="21"/>
                <w:szCs w:val="21"/>
              </w:rPr>
              <w:t>④固废</w:t>
            </w:r>
          </w:p>
          <w:p w14:paraId="4A2FD1F5">
            <w:pPr>
              <w:pStyle w:val="25"/>
              <w:keepNext w:val="0"/>
              <w:keepLines w:val="0"/>
              <w:pageBreakBefore w:val="0"/>
              <w:kinsoku/>
              <w:wordWrap/>
              <w:overflowPunct/>
              <w:topLinePunct w:val="0"/>
              <w:bidi w:val="0"/>
              <w:adjustRightInd w:val="0"/>
              <w:snapToGrid w:val="0"/>
              <w:spacing w:before="0" w:beforeAutospacing="0" w:after="0" w:afterAutospacing="0" w:line="500" w:lineRule="exact"/>
              <w:ind w:firstLine="420" w:firstLineChars="200"/>
              <w:textAlignment w:val="auto"/>
              <w:rPr>
                <w:rFonts w:ascii="Times New Roman" w:hAnsi="Times New Roman"/>
                <w:color w:val="auto"/>
                <w:kern w:val="2"/>
                <w:sz w:val="21"/>
                <w:szCs w:val="21"/>
                <w:lang w:val="en-US" w:eastAsia="zh-CN"/>
              </w:rPr>
            </w:pPr>
            <w:r>
              <w:rPr>
                <w:rFonts w:hint="eastAsia"/>
                <w:color w:val="auto"/>
                <w:sz w:val="21"/>
                <w:szCs w:val="21"/>
                <w:lang w:val="en-US" w:eastAsia="zh-CN"/>
              </w:rPr>
              <w:t>在建</w:t>
            </w:r>
            <w:r>
              <w:rPr>
                <w:rFonts w:hint="eastAsia" w:ascii="Times New Roman" w:hAnsi="Times New Roman"/>
                <w:color w:val="auto"/>
                <w:kern w:val="2"/>
                <w:sz w:val="21"/>
                <w:szCs w:val="21"/>
                <w:lang w:val="en-US" w:eastAsia="zh-CN"/>
              </w:rPr>
              <w:t>项目一般固废、危废暂存均依托已建的一般</w:t>
            </w:r>
            <w:r>
              <w:rPr>
                <w:rFonts w:ascii="Times New Roman" w:hAnsi="Times New Roman"/>
                <w:color w:val="auto"/>
                <w:kern w:val="2"/>
                <w:sz w:val="21"/>
                <w:szCs w:val="21"/>
                <w:lang w:val="en-US" w:eastAsia="zh-CN"/>
              </w:rPr>
              <w:t>固废堆场</w:t>
            </w:r>
            <w:r>
              <w:rPr>
                <w:rFonts w:hint="eastAsia" w:ascii="Times New Roman" w:hAnsi="Times New Roman"/>
                <w:color w:val="auto"/>
                <w:kern w:val="2"/>
                <w:sz w:val="21"/>
                <w:szCs w:val="21"/>
                <w:lang w:val="en-US" w:eastAsia="zh-CN"/>
              </w:rPr>
              <w:t>和危废暂存间</w:t>
            </w:r>
            <w:r>
              <w:rPr>
                <w:rFonts w:ascii="Times New Roman" w:hAnsi="Times New Roman"/>
                <w:color w:val="auto"/>
                <w:kern w:val="2"/>
                <w:sz w:val="21"/>
                <w:szCs w:val="21"/>
                <w:lang w:val="en-US" w:eastAsia="zh-CN"/>
              </w:rPr>
              <w:t>。</w:t>
            </w:r>
          </w:p>
          <w:p w14:paraId="5BDE6763">
            <w:pPr>
              <w:keepNext w:val="0"/>
              <w:keepLines w:val="0"/>
              <w:pageBreakBefore w:val="0"/>
              <w:kinsoku/>
              <w:wordWrap/>
              <w:overflowPunct/>
              <w:topLinePunct w:val="0"/>
              <w:bidi w:val="0"/>
              <w:adjustRightInd w:val="0"/>
              <w:snapToGrid w:val="0"/>
              <w:spacing w:line="500" w:lineRule="exact"/>
              <w:ind w:firstLine="420" w:firstLineChars="200"/>
              <w:jc w:val="left"/>
              <w:textAlignment w:val="auto"/>
              <w:rPr>
                <w:color w:val="auto"/>
                <w:sz w:val="21"/>
                <w:szCs w:val="21"/>
              </w:rPr>
            </w:pPr>
            <w:r>
              <w:rPr>
                <w:rFonts w:hint="eastAsia"/>
                <w:color w:val="auto"/>
                <w:sz w:val="21"/>
                <w:szCs w:val="21"/>
              </w:rPr>
              <w:t>在建</w:t>
            </w:r>
            <w:r>
              <w:rPr>
                <w:color w:val="auto"/>
                <w:sz w:val="21"/>
                <w:szCs w:val="21"/>
              </w:rPr>
              <w:t>项目一般固废</w:t>
            </w:r>
            <w:r>
              <w:rPr>
                <w:rFonts w:hint="eastAsia"/>
                <w:color w:val="auto"/>
                <w:sz w:val="21"/>
                <w:szCs w:val="21"/>
              </w:rPr>
              <w:t>废包装材料</w:t>
            </w:r>
            <w:r>
              <w:rPr>
                <w:rFonts w:hint="eastAsia"/>
                <w:color w:val="auto"/>
                <w:sz w:val="21"/>
                <w:szCs w:val="21"/>
                <w:lang w:eastAsia="zh-CN"/>
              </w:rPr>
              <w:t>（</w:t>
            </w:r>
            <w:r>
              <w:rPr>
                <w:rFonts w:hint="eastAsia"/>
                <w:color w:val="auto"/>
                <w:sz w:val="21"/>
                <w:szCs w:val="21"/>
                <w:lang w:val="en-US" w:eastAsia="zh-CN"/>
              </w:rPr>
              <w:t>40t/a</w:t>
            </w:r>
            <w:r>
              <w:rPr>
                <w:rFonts w:hint="eastAsia"/>
                <w:color w:val="auto"/>
                <w:sz w:val="21"/>
                <w:szCs w:val="21"/>
                <w:lang w:eastAsia="zh-CN"/>
              </w:rPr>
              <w:t>）</w:t>
            </w:r>
            <w:r>
              <w:rPr>
                <w:color w:val="auto"/>
                <w:sz w:val="21"/>
                <w:szCs w:val="21"/>
              </w:rPr>
              <w:t>外售综合利用；</w:t>
            </w:r>
            <w:r>
              <w:rPr>
                <w:rFonts w:hint="eastAsia"/>
                <w:color w:val="auto"/>
                <w:sz w:val="21"/>
                <w:szCs w:val="21"/>
                <w:lang w:val="en-US" w:eastAsia="zh-CN"/>
              </w:rPr>
              <w:t>废含油抹布手套（0.1t/a）、</w:t>
            </w:r>
            <w:r>
              <w:rPr>
                <w:color w:val="auto"/>
                <w:sz w:val="21"/>
                <w:szCs w:val="21"/>
              </w:rPr>
              <w:t>生活垃圾</w:t>
            </w:r>
            <w:r>
              <w:rPr>
                <w:rFonts w:hint="eastAsia"/>
                <w:color w:val="auto"/>
                <w:sz w:val="21"/>
                <w:szCs w:val="21"/>
                <w:lang w:eastAsia="zh-CN"/>
              </w:rPr>
              <w:t>（</w:t>
            </w:r>
            <w:r>
              <w:rPr>
                <w:rFonts w:hint="eastAsia"/>
                <w:color w:val="auto"/>
                <w:sz w:val="21"/>
                <w:szCs w:val="21"/>
                <w:lang w:val="en-US" w:eastAsia="zh-CN"/>
              </w:rPr>
              <w:t>28.2t/a</w:t>
            </w:r>
            <w:r>
              <w:rPr>
                <w:rFonts w:hint="eastAsia"/>
                <w:color w:val="auto"/>
                <w:sz w:val="21"/>
                <w:szCs w:val="21"/>
                <w:lang w:eastAsia="zh-CN"/>
              </w:rPr>
              <w:t>）</w:t>
            </w:r>
            <w:r>
              <w:rPr>
                <w:color w:val="auto"/>
                <w:sz w:val="21"/>
                <w:szCs w:val="21"/>
              </w:rPr>
              <w:t>由环卫部门定期清运；危险废物废活性炭</w:t>
            </w:r>
            <w:r>
              <w:rPr>
                <w:rFonts w:hint="eastAsia"/>
                <w:color w:val="auto"/>
                <w:sz w:val="21"/>
                <w:szCs w:val="21"/>
                <w:lang w:eastAsia="zh-CN"/>
              </w:rPr>
              <w:t>（30.937</w:t>
            </w:r>
            <w:r>
              <w:rPr>
                <w:rFonts w:hint="eastAsia"/>
                <w:color w:val="auto"/>
                <w:sz w:val="21"/>
                <w:szCs w:val="21"/>
                <w:lang w:val="en-US" w:eastAsia="zh-CN"/>
              </w:rPr>
              <w:t>t/a</w:t>
            </w:r>
            <w:r>
              <w:rPr>
                <w:rFonts w:hint="eastAsia"/>
                <w:color w:val="auto"/>
                <w:sz w:val="21"/>
                <w:szCs w:val="21"/>
                <w:lang w:eastAsia="zh-CN"/>
              </w:rPr>
              <w:t>）</w:t>
            </w:r>
            <w:r>
              <w:rPr>
                <w:rFonts w:hint="eastAsia"/>
                <w:color w:val="auto"/>
                <w:sz w:val="21"/>
                <w:szCs w:val="21"/>
              </w:rPr>
              <w:t>、废机油</w:t>
            </w:r>
            <w:r>
              <w:rPr>
                <w:rFonts w:hint="eastAsia"/>
                <w:color w:val="auto"/>
                <w:sz w:val="21"/>
                <w:szCs w:val="21"/>
                <w:lang w:eastAsia="zh-CN"/>
              </w:rPr>
              <w:t>（</w:t>
            </w:r>
            <w:r>
              <w:rPr>
                <w:rFonts w:hint="eastAsia"/>
                <w:color w:val="auto"/>
                <w:sz w:val="21"/>
                <w:szCs w:val="21"/>
              </w:rPr>
              <w:t>1.6</w:t>
            </w:r>
            <w:r>
              <w:rPr>
                <w:rFonts w:hint="eastAsia"/>
                <w:color w:val="auto"/>
                <w:sz w:val="21"/>
                <w:szCs w:val="21"/>
                <w:lang w:val="en-US" w:eastAsia="zh-CN"/>
              </w:rPr>
              <w:t>t/a</w:t>
            </w:r>
            <w:r>
              <w:rPr>
                <w:rFonts w:hint="eastAsia"/>
                <w:color w:val="auto"/>
                <w:sz w:val="21"/>
                <w:szCs w:val="21"/>
                <w:lang w:eastAsia="zh-CN"/>
              </w:rPr>
              <w:t>）</w:t>
            </w:r>
            <w:r>
              <w:rPr>
                <w:rFonts w:hint="eastAsia"/>
                <w:color w:val="auto"/>
                <w:sz w:val="21"/>
                <w:szCs w:val="21"/>
              </w:rPr>
              <w:t>、</w:t>
            </w:r>
            <w:r>
              <w:rPr>
                <w:rFonts w:hint="eastAsia"/>
                <w:color w:val="auto"/>
                <w:sz w:val="21"/>
                <w:szCs w:val="21"/>
                <w:lang w:eastAsia="zh-CN"/>
              </w:rPr>
              <w:t>废油桶（</w:t>
            </w:r>
            <w:r>
              <w:rPr>
                <w:rFonts w:hint="eastAsia"/>
                <w:color w:val="auto"/>
                <w:sz w:val="21"/>
                <w:szCs w:val="21"/>
              </w:rPr>
              <w:t>0.06</w:t>
            </w:r>
            <w:r>
              <w:rPr>
                <w:rFonts w:hint="eastAsia"/>
                <w:color w:val="auto"/>
                <w:sz w:val="21"/>
                <w:szCs w:val="21"/>
                <w:lang w:val="en-US" w:eastAsia="zh-CN"/>
              </w:rPr>
              <w:t>t/a</w:t>
            </w:r>
            <w:r>
              <w:rPr>
                <w:rFonts w:hint="eastAsia"/>
                <w:color w:val="auto"/>
                <w:sz w:val="21"/>
                <w:szCs w:val="21"/>
                <w:lang w:eastAsia="zh-CN"/>
              </w:rPr>
              <w:t>）</w:t>
            </w:r>
            <w:r>
              <w:rPr>
                <w:color w:val="auto"/>
                <w:sz w:val="21"/>
                <w:szCs w:val="21"/>
              </w:rPr>
              <w:t>委托资质单位处置。</w:t>
            </w:r>
          </w:p>
          <w:p w14:paraId="1CA0262C">
            <w:pPr>
              <w:pStyle w:val="94"/>
              <w:keepNext w:val="0"/>
              <w:keepLines w:val="0"/>
              <w:pageBreakBefore w:val="0"/>
              <w:kinsoku/>
              <w:wordWrap/>
              <w:overflowPunct/>
              <w:topLinePunct w:val="0"/>
              <w:bidi w:val="0"/>
              <w:adjustRightInd w:val="0"/>
              <w:snapToGrid w:val="0"/>
              <w:spacing w:line="500" w:lineRule="exact"/>
              <w:ind w:left="0" w:leftChars="0" w:firstLine="420" w:firstLineChars="200"/>
              <w:textAlignment w:val="auto"/>
              <w:rPr>
                <w:rFonts w:hint="eastAsia" w:eastAsia="仿宋_GB2312"/>
                <w:color w:val="auto"/>
                <w:sz w:val="21"/>
                <w:szCs w:val="21"/>
                <w:lang w:eastAsia="zh-CN"/>
              </w:rPr>
            </w:pPr>
            <w:r>
              <w:rPr>
                <w:rFonts w:hint="eastAsia"/>
                <w:color w:val="auto"/>
                <w:sz w:val="21"/>
                <w:szCs w:val="21"/>
                <w:lang w:val="en-US" w:eastAsia="zh-CN"/>
              </w:rPr>
              <w:t>b、</w:t>
            </w:r>
            <w:r>
              <w:rPr>
                <w:rFonts w:hint="eastAsia" w:ascii="Times New Roman" w:hAnsi="Times New Roman" w:eastAsia="宋体" w:cs="Times New Roman"/>
                <w:color w:val="auto"/>
                <w:kern w:val="2"/>
                <w:sz w:val="21"/>
                <w:szCs w:val="21"/>
                <w:lang w:val="en-US" w:eastAsia="zh-CN" w:bidi="ar-SA"/>
              </w:rPr>
              <w:t>功能性聚烯烃热熔胶扩产项目</w:t>
            </w:r>
            <w:r>
              <w:rPr>
                <w:rFonts w:hint="eastAsia"/>
                <w:color w:val="auto"/>
                <w:sz w:val="21"/>
                <w:szCs w:val="21"/>
                <w:lang w:eastAsia="zh-CN"/>
              </w:rPr>
              <w:t>：</w:t>
            </w:r>
          </w:p>
          <w:p w14:paraId="495DDDBF">
            <w:pPr>
              <w:keepNext w:val="0"/>
              <w:keepLines w:val="0"/>
              <w:pageBreakBefore w:val="0"/>
              <w:kinsoku/>
              <w:wordWrap/>
              <w:overflowPunct/>
              <w:topLinePunct w:val="0"/>
              <w:bidi w:val="0"/>
              <w:adjustRightInd w:val="0"/>
              <w:snapToGrid w:val="0"/>
              <w:spacing w:line="500" w:lineRule="exact"/>
              <w:ind w:left="420" w:leftChars="200"/>
              <w:textAlignment w:val="auto"/>
              <w:rPr>
                <w:color w:val="auto"/>
                <w:sz w:val="21"/>
                <w:szCs w:val="21"/>
              </w:rPr>
            </w:pPr>
            <w:r>
              <w:rPr>
                <w:color w:val="auto"/>
                <w:sz w:val="21"/>
                <w:szCs w:val="21"/>
              </w:rPr>
              <w:t>①废水</w:t>
            </w:r>
          </w:p>
          <w:p w14:paraId="6A6DEFA9">
            <w:pPr>
              <w:keepNext w:val="0"/>
              <w:keepLines w:val="0"/>
              <w:pageBreakBefore w:val="0"/>
              <w:kinsoku/>
              <w:wordWrap/>
              <w:overflowPunct/>
              <w:topLinePunct w:val="0"/>
              <w:bidi w:val="0"/>
              <w:adjustRightInd w:val="0"/>
              <w:snapToGrid w:val="0"/>
              <w:spacing w:line="500" w:lineRule="exact"/>
              <w:ind w:firstLine="420" w:firstLineChars="200"/>
              <w:textAlignment w:val="auto"/>
              <w:rPr>
                <w:color w:val="auto"/>
                <w:sz w:val="21"/>
                <w:szCs w:val="21"/>
              </w:rPr>
            </w:pPr>
            <w:r>
              <w:rPr>
                <w:color w:val="auto"/>
                <w:sz w:val="21"/>
                <w:szCs w:val="21"/>
              </w:rPr>
              <w:t>项目</w:t>
            </w:r>
            <w:r>
              <w:rPr>
                <w:rFonts w:hint="eastAsia"/>
                <w:color w:val="auto"/>
                <w:sz w:val="21"/>
                <w:szCs w:val="21"/>
              </w:rPr>
              <w:t>主要为</w:t>
            </w:r>
            <w:r>
              <w:rPr>
                <w:color w:val="auto"/>
                <w:sz w:val="21"/>
                <w:szCs w:val="21"/>
              </w:rPr>
              <w:t>生活污水</w:t>
            </w:r>
            <w:r>
              <w:rPr>
                <w:rFonts w:hint="eastAsia"/>
                <w:color w:val="auto"/>
                <w:sz w:val="21"/>
                <w:szCs w:val="21"/>
              </w:rPr>
              <w:t>（</w:t>
            </w:r>
            <w:r>
              <w:rPr>
                <w:rFonts w:hint="eastAsia"/>
                <w:color w:val="auto"/>
                <w:sz w:val="21"/>
                <w:szCs w:val="21"/>
                <w:lang w:val="en-US" w:eastAsia="zh-CN"/>
              </w:rPr>
              <w:t>2700</w:t>
            </w:r>
            <w:r>
              <w:rPr>
                <w:rFonts w:hint="eastAsia"/>
                <w:color w:val="auto"/>
                <w:sz w:val="21"/>
                <w:szCs w:val="21"/>
              </w:rPr>
              <w:t>t/a）</w:t>
            </w:r>
            <w:r>
              <w:rPr>
                <w:color w:val="auto"/>
                <w:sz w:val="21"/>
                <w:szCs w:val="21"/>
              </w:rPr>
              <w:t>，职工生活污水经化粪池预处理后排入常州金坛区第二污水处理有限公司集中处理。</w:t>
            </w:r>
          </w:p>
          <w:p w14:paraId="5159F57C">
            <w:pPr>
              <w:keepNext w:val="0"/>
              <w:keepLines w:val="0"/>
              <w:pageBreakBefore w:val="0"/>
              <w:kinsoku/>
              <w:wordWrap/>
              <w:overflowPunct/>
              <w:topLinePunct w:val="0"/>
              <w:bidi w:val="0"/>
              <w:adjustRightInd w:val="0"/>
              <w:snapToGrid w:val="0"/>
              <w:spacing w:line="500" w:lineRule="exact"/>
              <w:ind w:firstLine="420" w:firstLineChars="200"/>
              <w:textAlignment w:val="auto"/>
              <w:rPr>
                <w:color w:val="auto"/>
                <w:sz w:val="21"/>
                <w:szCs w:val="21"/>
              </w:rPr>
            </w:pPr>
            <w:r>
              <w:rPr>
                <w:color w:val="auto"/>
                <w:sz w:val="21"/>
                <w:szCs w:val="21"/>
              </w:rPr>
              <w:t>②废气</w:t>
            </w:r>
          </w:p>
          <w:p w14:paraId="6850B6B3">
            <w:pPr>
              <w:keepNext w:val="0"/>
              <w:keepLines w:val="0"/>
              <w:pageBreakBefore w:val="0"/>
              <w:kinsoku/>
              <w:wordWrap/>
              <w:overflowPunct/>
              <w:topLinePunct w:val="0"/>
              <w:bidi w:val="0"/>
              <w:adjustRightInd w:val="0"/>
              <w:snapToGrid w:val="0"/>
              <w:spacing w:line="500" w:lineRule="exact"/>
              <w:ind w:firstLine="420" w:firstLineChars="200"/>
              <w:textAlignment w:val="auto"/>
              <w:rPr>
                <w:color w:val="auto"/>
                <w:sz w:val="21"/>
                <w:szCs w:val="21"/>
              </w:rPr>
            </w:pPr>
            <w:r>
              <w:rPr>
                <w:color w:val="auto"/>
                <w:sz w:val="21"/>
                <w:szCs w:val="21"/>
              </w:rPr>
              <w:t>项目</w:t>
            </w:r>
            <w:r>
              <w:rPr>
                <w:rFonts w:hint="eastAsia"/>
                <w:color w:val="auto"/>
                <w:sz w:val="21"/>
                <w:szCs w:val="21"/>
                <w:lang w:val="en-US" w:eastAsia="zh-CN"/>
              </w:rPr>
              <w:t>车间三14</w:t>
            </w:r>
            <w:r>
              <w:rPr>
                <w:rFonts w:hint="eastAsia"/>
                <w:color w:val="auto"/>
                <w:sz w:val="21"/>
                <w:szCs w:val="21"/>
              </w:rPr>
              <w:t>条挤出机挤出</w:t>
            </w:r>
            <w:r>
              <w:rPr>
                <w:color w:val="auto"/>
                <w:sz w:val="21"/>
                <w:szCs w:val="21"/>
              </w:rPr>
              <w:t>废气经集气罩收集后，经二级活性炭吸附装置处理，尾气通过</w:t>
            </w:r>
            <w:r>
              <w:rPr>
                <w:rFonts w:hint="eastAsia"/>
                <w:color w:val="auto"/>
                <w:sz w:val="21"/>
                <w:szCs w:val="21"/>
              </w:rPr>
              <w:t>1</w:t>
            </w:r>
            <w:r>
              <w:rPr>
                <w:color w:val="auto"/>
                <w:sz w:val="21"/>
                <w:szCs w:val="21"/>
              </w:rPr>
              <w:t>根15米高排气筒(P</w:t>
            </w:r>
            <w:r>
              <w:rPr>
                <w:rFonts w:hint="eastAsia"/>
                <w:color w:val="auto"/>
                <w:sz w:val="21"/>
                <w:szCs w:val="21"/>
                <w:lang w:val="en-US" w:eastAsia="zh-CN"/>
              </w:rPr>
              <w:t>7</w:t>
            </w:r>
            <w:r>
              <w:rPr>
                <w:color w:val="auto"/>
                <w:sz w:val="21"/>
                <w:szCs w:val="21"/>
              </w:rPr>
              <w:t>)排放。未捕集的</w:t>
            </w:r>
            <w:r>
              <w:rPr>
                <w:rFonts w:hint="eastAsia"/>
                <w:color w:val="auto"/>
                <w:sz w:val="21"/>
                <w:szCs w:val="21"/>
              </w:rPr>
              <w:t>挤出</w:t>
            </w:r>
            <w:r>
              <w:rPr>
                <w:color w:val="auto"/>
                <w:sz w:val="21"/>
                <w:szCs w:val="21"/>
              </w:rPr>
              <w:t>有机废气于</w:t>
            </w:r>
            <w:r>
              <w:rPr>
                <w:rFonts w:hint="eastAsia"/>
                <w:color w:val="auto"/>
                <w:sz w:val="21"/>
                <w:szCs w:val="21"/>
                <w:lang w:val="en-US" w:eastAsia="zh-CN"/>
              </w:rPr>
              <w:t>车间三</w:t>
            </w:r>
            <w:r>
              <w:rPr>
                <w:color w:val="auto"/>
                <w:sz w:val="21"/>
                <w:szCs w:val="21"/>
              </w:rPr>
              <w:t>无组织排放。</w:t>
            </w:r>
          </w:p>
          <w:p w14:paraId="00F41EEB">
            <w:pPr>
              <w:keepNext w:val="0"/>
              <w:keepLines w:val="0"/>
              <w:pageBreakBefore w:val="0"/>
              <w:kinsoku/>
              <w:wordWrap/>
              <w:overflowPunct/>
              <w:topLinePunct w:val="0"/>
              <w:bidi w:val="0"/>
              <w:adjustRightInd w:val="0"/>
              <w:snapToGrid w:val="0"/>
              <w:spacing w:line="500" w:lineRule="exact"/>
              <w:ind w:firstLine="420" w:firstLineChars="200"/>
              <w:textAlignment w:val="auto"/>
              <w:rPr>
                <w:color w:val="auto"/>
                <w:sz w:val="21"/>
                <w:szCs w:val="21"/>
              </w:rPr>
            </w:pPr>
            <w:r>
              <w:rPr>
                <w:color w:val="auto"/>
                <w:sz w:val="21"/>
                <w:szCs w:val="21"/>
              </w:rPr>
              <w:t>③噪声</w:t>
            </w:r>
          </w:p>
          <w:p w14:paraId="73773933">
            <w:pPr>
              <w:keepNext w:val="0"/>
              <w:keepLines w:val="0"/>
              <w:pageBreakBefore w:val="0"/>
              <w:kinsoku/>
              <w:wordWrap/>
              <w:overflowPunct/>
              <w:topLinePunct w:val="0"/>
              <w:bidi w:val="0"/>
              <w:adjustRightInd w:val="0"/>
              <w:snapToGrid w:val="0"/>
              <w:spacing w:line="500" w:lineRule="exact"/>
              <w:ind w:firstLine="420" w:firstLineChars="200"/>
              <w:textAlignment w:val="auto"/>
              <w:rPr>
                <w:color w:val="auto"/>
                <w:sz w:val="21"/>
                <w:szCs w:val="21"/>
              </w:rPr>
            </w:pPr>
            <w:r>
              <w:rPr>
                <w:color w:val="auto"/>
                <w:sz w:val="21"/>
                <w:szCs w:val="21"/>
              </w:rPr>
              <w:t>项目</w:t>
            </w:r>
            <w:r>
              <w:rPr>
                <w:rFonts w:hint="eastAsia"/>
                <w:color w:val="auto"/>
                <w:sz w:val="21"/>
                <w:szCs w:val="21"/>
              </w:rPr>
              <w:t>噪声主要为1</w:t>
            </w:r>
            <w:r>
              <w:rPr>
                <w:rFonts w:hint="eastAsia"/>
                <w:color w:val="auto"/>
                <w:sz w:val="21"/>
                <w:szCs w:val="21"/>
                <w:lang w:val="en-US" w:eastAsia="zh-CN"/>
              </w:rPr>
              <w:t>4</w:t>
            </w:r>
            <w:r>
              <w:rPr>
                <w:rFonts w:hint="eastAsia"/>
                <w:color w:val="auto"/>
                <w:sz w:val="21"/>
                <w:szCs w:val="21"/>
              </w:rPr>
              <w:t>条功能性聚烯烃热熔胶生产线运行噪声，</w:t>
            </w:r>
            <w:r>
              <w:rPr>
                <w:rFonts w:hint="eastAsia" w:ascii="Times New Roman" w:hAnsi="Times New Roman" w:eastAsia="宋体" w:cs="Times New Roman"/>
                <w:color w:val="auto"/>
                <w:sz w:val="21"/>
                <w:szCs w:val="21"/>
                <w:lang w:val="en-US" w:eastAsia="zh-CN"/>
              </w:rPr>
              <w:t>主要采取</w:t>
            </w:r>
            <w:r>
              <w:rPr>
                <w:rFonts w:hint="default" w:ascii="Times New Roman" w:hAnsi="Times New Roman" w:eastAsia="宋体" w:cs="Times New Roman"/>
                <w:color w:val="auto"/>
                <w:sz w:val="21"/>
                <w:szCs w:val="21"/>
              </w:rPr>
              <w:t>合理布局、减振、厂房隔声、距离衰减等措施</w:t>
            </w:r>
            <w:r>
              <w:rPr>
                <w:color w:val="auto"/>
                <w:sz w:val="21"/>
                <w:szCs w:val="21"/>
              </w:rPr>
              <w:t>。</w:t>
            </w:r>
          </w:p>
          <w:p w14:paraId="54A96FA1">
            <w:pPr>
              <w:keepNext w:val="0"/>
              <w:keepLines w:val="0"/>
              <w:pageBreakBefore w:val="0"/>
              <w:kinsoku/>
              <w:wordWrap/>
              <w:overflowPunct/>
              <w:topLinePunct w:val="0"/>
              <w:bidi w:val="0"/>
              <w:adjustRightInd w:val="0"/>
              <w:snapToGrid w:val="0"/>
              <w:spacing w:line="500" w:lineRule="exact"/>
              <w:ind w:firstLine="420" w:firstLineChars="200"/>
              <w:textAlignment w:val="auto"/>
              <w:rPr>
                <w:color w:val="auto"/>
                <w:sz w:val="21"/>
                <w:szCs w:val="21"/>
              </w:rPr>
            </w:pPr>
            <w:r>
              <w:rPr>
                <w:color w:val="auto"/>
                <w:sz w:val="21"/>
                <w:szCs w:val="21"/>
              </w:rPr>
              <w:t>④固废</w:t>
            </w:r>
          </w:p>
          <w:p w14:paraId="1F570B1E">
            <w:pPr>
              <w:pStyle w:val="25"/>
              <w:keepNext w:val="0"/>
              <w:keepLines w:val="0"/>
              <w:pageBreakBefore w:val="0"/>
              <w:kinsoku/>
              <w:wordWrap/>
              <w:overflowPunct/>
              <w:topLinePunct w:val="0"/>
              <w:bidi w:val="0"/>
              <w:adjustRightInd w:val="0"/>
              <w:snapToGrid w:val="0"/>
              <w:spacing w:before="0" w:beforeAutospacing="0" w:after="0" w:afterAutospacing="0" w:line="500" w:lineRule="exact"/>
              <w:ind w:firstLine="420" w:firstLineChars="200"/>
              <w:textAlignment w:val="auto"/>
              <w:rPr>
                <w:rFonts w:hint="default" w:ascii="Times New Roman" w:hAnsi="Times New Roman" w:cs="Times New Roman"/>
                <w:color w:val="auto"/>
                <w:sz w:val="21"/>
                <w:szCs w:val="21"/>
              </w:rPr>
            </w:pPr>
            <w:r>
              <w:rPr>
                <w:rFonts w:hint="eastAsia" w:ascii="Times New Roman" w:hAnsi="Times New Roman"/>
                <w:color w:val="auto"/>
                <w:kern w:val="2"/>
                <w:sz w:val="21"/>
                <w:szCs w:val="21"/>
                <w:lang w:val="en-US" w:eastAsia="zh-CN"/>
              </w:rPr>
              <w:t>项目一般固废、危废暂存均依托已建的一般</w:t>
            </w:r>
            <w:r>
              <w:rPr>
                <w:rFonts w:ascii="Times New Roman" w:hAnsi="Times New Roman"/>
                <w:color w:val="auto"/>
                <w:kern w:val="2"/>
                <w:sz w:val="21"/>
                <w:szCs w:val="21"/>
                <w:lang w:val="en-US" w:eastAsia="zh-CN"/>
              </w:rPr>
              <w:t>固</w:t>
            </w:r>
            <w:r>
              <w:rPr>
                <w:rFonts w:hint="default" w:ascii="Times New Roman" w:hAnsi="Times New Roman" w:cs="Times New Roman"/>
                <w:color w:val="auto"/>
                <w:kern w:val="2"/>
                <w:sz w:val="21"/>
                <w:szCs w:val="21"/>
                <w:lang w:val="en-US" w:eastAsia="zh-CN"/>
              </w:rPr>
              <w:t>废堆场和危废暂存间。</w:t>
            </w:r>
            <w:r>
              <w:rPr>
                <w:rFonts w:hint="default" w:ascii="Times New Roman" w:hAnsi="Times New Roman" w:cs="Times New Roman"/>
                <w:color w:val="auto"/>
                <w:sz w:val="21"/>
                <w:szCs w:val="21"/>
              </w:rPr>
              <w:t>项目一般固</w:t>
            </w:r>
            <w:r>
              <w:rPr>
                <w:rFonts w:hint="default" w:ascii="Times New Roman" w:hAnsi="Times New Roman" w:cs="Times New Roman"/>
                <w:color w:val="auto"/>
                <w:sz w:val="21"/>
                <w:szCs w:val="21"/>
                <w:lang w:val="en-US" w:eastAsia="zh-CN"/>
              </w:rPr>
              <w:t>塑料边角料（3.5t/a）</w:t>
            </w:r>
            <w:r>
              <w:rPr>
                <w:rFonts w:hint="default" w:ascii="Times New Roman" w:hAnsi="Times New Roman" w:cs="Times New Roman"/>
                <w:color w:val="auto"/>
                <w:sz w:val="21"/>
                <w:szCs w:val="21"/>
              </w:rPr>
              <w:t>外售综合利用；生活垃圾</w:t>
            </w:r>
            <w:r>
              <w:rPr>
                <w:rFonts w:hint="default" w:ascii="Times New Roman" w:hAnsi="Times New Roman" w:cs="Times New Roman"/>
                <w:color w:val="auto"/>
                <w:sz w:val="21"/>
                <w:szCs w:val="21"/>
                <w:lang w:val="en-US" w:eastAsia="zh-CN"/>
              </w:rPr>
              <w:t>（15.5t/a）</w:t>
            </w:r>
            <w:r>
              <w:rPr>
                <w:rFonts w:hint="default" w:ascii="Times New Roman" w:hAnsi="Times New Roman" w:cs="Times New Roman"/>
                <w:color w:val="auto"/>
                <w:sz w:val="21"/>
                <w:szCs w:val="21"/>
              </w:rPr>
              <w:t>由环卫部门定期清运；危险废物废活性炭</w:t>
            </w:r>
            <w:r>
              <w:rPr>
                <w:rFonts w:hint="default" w:ascii="Times New Roman" w:hAnsi="Times New Roman" w:cs="Times New Roman"/>
                <w:color w:val="auto"/>
                <w:sz w:val="21"/>
                <w:szCs w:val="21"/>
                <w:lang w:val="en-US" w:eastAsia="zh-CN"/>
              </w:rPr>
              <w:t>（12.075t/a）</w:t>
            </w:r>
            <w:r>
              <w:rPr>
                <w:rFonts w:hint="default" w:ascii="Times New Roman" w:hAnsi="Times New Roman" w:cs="Times New Roman"/>
                <w:color w:val="auto"/>
                <w:sz w:val="21"/>
                <w:szCs w:val="21"/>
              </w:rPr>
              <w:t>委托资质单位处置。</w:t>
            </w:r>
          </w:p>
          <w:p w14:paraId="6E202B73">
            <w:pPr>
              <w:pStyle w:val="94"/>
              <w:keepNext w:val="0"/>
              <w:keepLines w:val="0"/>
              <w:pageBreakBefore w:val="0"/>
              <w:kinsoku/>
              <w:wordWrap/>
              <w:overflowPunct/>
              <w:topLinePunct w:val="0"/>
              <w:bidi w:val="0"/>
              <w:adjustRightInd w:val="0"/>
              <w:snapToGrid w:val="0"/>
              <w:spacing w:line="500" w:lineRule="exact"/>
              <w:ind w:left="0" w:leftChars="0" w:firstLine="420" w:firstLineChars="200"/>
              <w:textAlignment w:val="auto"/>
              <w:rPr>
                <w:rFonts w:hint="eastAsia" w:eastAsia="仿宋_GB2312"/>
                <w:color w:val="auto"/>
                <w:sz w:val="21"/>
                <w:szCs w:val="21"/>
                <w:lang w:eastAsia="zh-CN"/>
              </w:rPr>
            </w:pPr>
            <w:r>
              <w:rPr>
                <w:rFonts w:hint="eastAsia"/>
                <w:color w:val="auto"/>
                <w:sz w:val="21"/>
                <w:szCs w:val="21"/>
                <w:lang w:val="en-US" w:eastAsia="zh-CN"/>
              </w:rPr>
              <w:t>c、</w:t>
            </w:r>
            <w:r>
              <w:rPr>
                <w:rFonts w:hint="eastAsia" w:ascii="Times New Roman" w:hAnsi="Times New Roman" w:eastAsia="宋体" w:cs="Times New Roman"/>
                <w:color w:val="auto"/>
                <w:kern w:val="0"/>
                <w:sz w:val="21"/>
                <w:szCs w:val="21"/>
                <w:lang w:val="en-US" w:eastAsia="zh-CN" w:bidi="ar-SA"/>
              </w:rPr>
              <w:t>太阳能封装材料技改项目</w:t>
            </w:r>
            <w:r>
              <w:rPr>
                <w:rFonts w:hint="eastAsia"/>
                <w:color w:val="auto"/>
                <w:sz w:val="21"/>
                <w:szCs w:val="21"/>
                <w:lang w:eastAsia="zh-CN"/>
              </w:rPr>
              <w:t>：</w:t>
            </w:r>
          </w:p>
          <w:p w14:paraId="6189AB22">
            <w:pPr>
              <w:keepNext w:val="0"/>
              <w:keepLines w:val="0"/>
              <w:pageBreakBefore w:val="0"/>
              <w:kinsoku/>
              <w:wordWrap/>
              <w:overflowPunct/>
              <w:topLinePunct w:val="0"/>
              <w:bidi w:val="0"/>
              <w:adjustRightInd w:val="0"/>
              <w:snapToGrid w:val="0"/>
              <w:spacing w:line="500" w:lineRule="exact"/>
              <w:ind w:left="420" w:leftChars="200"/>
              <w:textAlignment w:val="auto"/>
              <w:rPr>
                <w:color w:val="auto"/>
                <w:sz w:val="21"/>
                <w:szCs w:val="21"/>
              </w:rPr>
            </w:pPr>
            <w:r>
              <w:rPr>
                <w:color w:val="auto"/>
                <w:sz w:val="21"/>
                <w:szCs w:val="21"/>
              </w:rPr>
              <w:t>①废水</w:t>
            </w:r>
          </w:p>
          <w:p w14:paraId="31D1648B">
            <w:pPr>
              <w:keepNext w:val="0"/>
              <w:keepLines w:val="0"/>
              <w:pageBreakBefore w:val="0"/>
              <w:kinsoku/>
              <w:wordWrap/>
              <w:overflowPunct/>
              <w:topLinePunct w:val="0"/>
              <w:bidi w:val="0"/>
              <w:adjustRightInd w:val="0"/>
              <w:snapToGrid w:val="0"/>
              <w:spacing w:line="500" w:lineRule="exact"/>
              <w:ind w:firstLine="420" w:firstLineChars="200"/>
              <w:textAlignment w:val="auto"/>
              <w:rPr>
                <w:color w:val="auto"/>
                <w:sz w:val="21"/>
                <w:szCs w:val="21"/>
              </w:rPr>
            </w:pPr>
            <w:r>
              <w:rPr>
                <w:color w:val="auto"/>
                <w:sz w:val="21"/>
                <w:szCs w:val="21"/>
              </w:rPr>
              <w:t>项目</w:t>
            </w:r>
            <w:r>
              <w:rPr>
                <w:rFonts w:hint="eastAsia"/>
                <w:color w:val="auto"/>
                <w:sz w:val="21"/>
                <w:szCs w:val="21"/>
                <w:lang w:val="en-US" w:eastAsia="zh-CN"/>
              </w:rPr>
              <w:t>不新增废水排放</w:t>
            </w:r>
            <w:r>
              <w:rPr>
                <w:color w:val="auto"/>
                <w:sz w:val="21"/>
                <w:szCs w:val="21"/>
              </w:rPr>
              <w:t>。</w:t>
            </w:r>
          </w:p>
          <w:p w14:paraId="291606FB">
            <w:pPr>
              <w:keepNext w:val="0"/>
              <w:keepLines w:val="0"/>
              <w:pageBreakBefore w:val="0"/>
              <w:kinsoku/>
              <w:wordWrap/>
              <w:overflowPunct/>
              <w:topLinePunct w:val="0"/>
              <w:bidi w:val="0"/>
              <w:adjustRightInd w:val="0"/>
              <w:snapToGrid w:val="0"/>
              <w:spacing w:line="500" w:lineRule="exact"/>
              <w:ind w:firstLine="420" w:firstLineChars="200"/>
              <w:textAlignment w:val="auto"/>
              <w:rPr>
                <w:color w:val="auto"/>
                <w:sz w:val="21"/>
                <w:szCs w:val="21"/>
              </w:rPr>
            </w:pPr>
            <w:r>
              <w:rPr>
                <w:color w:val="auto"/>
                <w:sz w:val="21"/>
                <w:szCs w:val="21"/>
              </w:rPr>
              <w:t>②废气</w:t>
            </w:r>
          </w:p>
          <w:p w14:paraId="47E5BD60">
            <w:pPr>
              <w:keepNext w:val="0"/>
              <w:keepLines w:val="0"/>
              <w:pageBreakBefore w:val="0"/>
              <w:kinsoku/>
              <w:wordWrap/>
              <w:overflowPunct/>
              <w:topLinePunct w:val="0"/>
              <w:bidi w:val="0"/>
              <w:adjustRightInd w:val="0"/>
              <w:snapToGrid w:val="0"/>
              <w:spacing w:line="500" w:lineRule="exact"/>
              <w:ind w:firstLine="420" w:firstLineChars="200"/>
              <w:textAlignment w:val="auto"/>
              <w:rPr>
                <w:color w:val="auto"/>
                <w:sz w:val="21"/>
                <w:szCs w:val="21"/>
              </w:rPr>
            </w:pPr>
            <w:r>
              <w:rPr>
                <w:color w:val="auto"/>
                <w:sz w:val="21"/>
                <w:szCs w:val="21"/>
              </w:rPr>
              <w:t>项目</w:t>
            </w:r>
            <w:r>
              <w:rPr>
                <w:rFonts w:hint="eastAsia"/>
                <w:color w:val="auto"/>
              </w:rPr>
              <w:t>厂房一</w:t>
            </w:r>
            <w:r>
              <w:rPr>
                <w:rFonts w:hint="eastAsia"/>
                <w:color w:val="auto"/>
                <w:sz w:val="21"/>
                <w:szCs w:val="21"/>
                <w:lang w:val="en-US" w:eastAsia="zh-CN"/>
              </w:rPr>
              <w:t>12</w:t>
            </w:r>
            <w:r>
              <w:rPr>
                <w:rFonts w:hint="eastAsia"/>
                <w:color w:val="auto"/>
                <w:sz w:val="21"/>
                <w:szCs w:val="21"/>
              </w:rPr>
              <w:t>条EVA胶膜生</w:t>
            </w:r>
            <w:r>
              <w:rPr>
                <w:rFonts w:hint="eastAsia" w:ascii="Times New Roman" w:hAnsi="Times New Roman" w:eastAsia="宋体" w:cs="Times New Roman"/>
                <w:color w:val="auto"/>
                <w:sz w:val="21"/>
                <w:szCs w:val="21"/>
              </w:rPr>
              <w:t>产机组</w:t>
            </w:r>
            <w:r>
              <w:rPr>
                <w:rFonts w:hint="eastAsia"/>
                <w:color w:val="auto"/>
                <w:sz w:val="21"/>
                <w:szCs w:val="21"/>
                <w:lang w:eastAsia="zh-CN"/>
              </w:rPr>
              <w:t>（</w:t>
            </w:r>
            <w:r>
              <w:rPr>
                <w:rFonts w:hint="eastAsia"/>
                <w:color w:val="auto"/>
                <w:sz w:val="21"/>
                <w:szCs w:val="21"/>
                <w:lang w:val="en-US" w:eastAsia="zh-CN"/>
              </w:rPr>
              <w:t>10条技改、2条保留</w:t>
            </w:r>
            <w:r>
              <w:rPr>
                <w:rFonts w:hint="eastAsia"/>
                <w:color w:val="auto"/>
                <w:sz w:val="21"/>
                <w:szCs w:val="21"/>
                <w:lang w:eastAsia="zh-CN"/>
              </w:rPr>
              <w:t>）</w:t>
            </w:r>
            <w:r>
              <w:rPr>
                <w:color w:val="auto"/>
              </w:rPr>
              <w:t>流延成膜</w:t>
            </w:r>
            <w:r>
              <w:rPr>
                <w:color w:val="auto"/>
                <w:sz w:val="21"/>
                <w:szCs w:val="21"/>
              </w:rPr>
              <w:t>废气经集气罩收集后，经二级活性炭吸附装置</w:t>
            </w:r>
            <w:r>
              <w:rPr>
                <w:rFonts w:hint="eastAsia"/>
                <w:color w:val="auto"/>
                <w:sz w:val="21"/>
                <w:szCs w:val="21"/>
                <w:lang w:eastAsia="zh-CN"/>
              </w:rPr>
              <w:t>（</w:t>
            </w:r>
            <w:r>
              <w:rPr>
                <w:rFonts w:hint="eastAsia"/>
                <w:color w:val="auto"/>
                <w:sz w:val="21"/>
                <w:szCs w:val="21"/>
                <w:lang w:val="en-US" w:eastAsia="zh-CN"/>
              </w:rPr>
              <w:t>改造现有</w:t>
            </w:r>
            <w:r>
              <w:rPr>
                <w:color w:val="auto"/>
                <w:sz w:val="21"/>
                <w:szCs w:val="21"/>
              </w:rPr>
              <w:t>活性炭吸附装置</w:t>
            </w:r>
            <w:r>
              <w:rPr>
                <w:rFonts w:hint="eastAsia"/>
                <w:color w:val="auto"/>
                <w:sz w:val="21"/>
                <w:szCs w:val="21"/>
                <w:lang w:eastAsia="zh-CN"/>
              </w:rPr>
              <w:t>）</w:t>
            </w:r>
            <w:r>
              <w:rPr>
                <w:color w:val="auto"/>
                <w:sz w:val="21"/>
                <w:szCs w:val="21"/>
              </w:rPr>
              <w:t>处理，尾气通过</w:t>
            </w:r>
            <w:r>
              <w:rPr>
                <w:rFonts w:hint="eastAsia"/>
                <w:color w:val="auto"/>
                <w:sz w:val="21"/>
                <w:szCs w:val="21"/>
              </w:rPr>
              <w:t>1</w:t>
            </w:r>
            <w:r>
              <w:rPr>
                <w:color w:val="auto"/>
                <w:sz w:val="21"/>
                <w:szCs w:val="21"/>
              </w:rPr>
              <w:t>根15米高排气筒(P</w:t>
            </w:r>
            <w:r>
              <w:rPr>
                <w:rFonts w:hint="eastAsia"/>
                <w:color w:val="auto"/>
                <w:sz w:val="21"/>
                <w:szCs w:val="21"/>
                <w:lang w:val="en-US" w:eastAsia="zh-CN"/>
              </w:rPr>
              <w:t>1</w:t>
            </w:r>
            <w:r>
              <w:rPr>
                <w:color w:val="auto"/>
                <w:sz w:val="21"/>
                <w:szCs w:val="21"/>
              </w:rPr>
              <w:t>)排放。未捕集的</w:t>
            </w:r>
            <w:r>
              <w:rPr>
                <w:color w:val="auto"/>
              </w:rPr>
              <w:t>流延成膜</w:t>
            </w:r>
            <w:r>
              <w:rPr>
                <w:color w:val="auto"/>
                <w:sz w:val="21"/>
                <w:szCs w:val="21"/>
              </w:rPr>
              <w:t>废气于</w:t>
            </w:r>
            <w:r>
              <w:rPr>
                <w:rFonts w:hint="eastAsia"/>
                <w:color w:val="auto"/>
              </w:rPr>
              <w:t>厂房一</w:t>
            </w:r>
            <w:r>
              <w:rPr>
                <w:color w:val="auto"/>
                <w:sz w:val="21"/>
                <w:szCs w:val="21"/>
              </w:rPr>
              <w:t>无组织排放。</w:t>
            </w:r>
          </w:p>
          <w:p w14:paraId="370603D8">
            <w:pPr>
              <w:keepNext w:val="0"/>
              <w:keepLines w:val="0"/>
              <w:pageBreakBefore w:val="0"/>
              <w:kinsoku/>
              <w:wordWrap/>
              <w:overflowPunct/>
              <w:topLinePunct w:val="0"/>
              <w:bidi w:val="0"/>
              <w:adjustRightInd w:val="0"/>
              <w:snapToGrid w:val="0"/>
              <w:spacing w:line="500" w:lineRule="exact"/>
              <w:ind w:firstLine="420" w:firstLineChars="200"/>
              <w:textAlignment w:val="auto"/>
              <w:rPr>
                <w:color w:val="auto"/>
                <w:sz w:val="21"/>
                <w:szCs w:val="21"/>
              </w:rPr>
            </w:pPr>
            <w:r>
              <w:rPr>
                <w:color w:val="auto"/>
                <w:sz w:val="21"/>
                <w:szCs w:val="21"/>
              </w:rPr>
              <w:t>③噪声</w:t>
            </w:r>
          </w:p>
          <w:p w14:paraId="7F781C63">
            <w:pPr>
              <w:keepNext w:val="0"/>
              <w:keepLines w:val="0"/>
              <w:pageBreakBefore w:val="0"/>
              <w:kinsoku/>
              <w:wordWrap/>
              <w:overflowPunct/>
              <w:topLinePunct w:val="0"/>
              <w:bidi w:val="0"/>
              <w:adjustRightInd w:val="0"/>
              <w:snapToGrid w:val="0"/>
              <w:spacing w:line="500" w:lineRule="exact"/>
              <w:ind w:firstLine="420" w:firstLineChars="200"/>
              <w:textAlignment w:val="auto"/>
              <w:rPr>
                <w:color w:val="auto"/>
                <w:sz w:val="21"/>
                <w:szCs w:val="21"/>
              </w:rPr>
            </w:pPr>
            <w:r>
              <w:rPr>
                <w:color w:val="auto"/>
                <w:sz w:val="21"/>
                <w:szCs w:val="21"/>
              </w:rPr>
              <w:t>项目</w:t>
            </w:r>
            <w:r>
              <w:rPr>
                <w:rFonts w:hint="eastAsia"/>
                <w:color w:val="auto"/>
                <w:sz w:val="21"/>
                <w:szCs w:val="21"/>
              </w:rPr>
              <w:t>噪声主要为1</w:t>
            </w:r>
            <w:r>
              <w:rPr>
                <w:rFonts w:hint="eastAsia"/>
                <w:color w:val="auto"/>
                <w:sz w:val="21"/>
                <w:szCs w:val="21"/>
                <w:lang w:val="en-US" w:eastAsia="zh-CN"/>
              </w:rPr>
              <w:t>2</w:t>
            </w:r>
            <w:r>
              <w:rPr>
                <w:rFonts w:hint="eastAsia"/>
                <w:color w:val="auto"/>
                <w:sz w:val="21"/>
                <w:szCs w:val="21"/>
              </w:rPr>
              <w:t>条EVA胶膜生</w:t>
            </w:r>
            <w:r>
              <w:rPr>
                <w:rFonts w:hint="eastAsia" w:ascii="Times New Roman" w:hAnsi="Times New Roman" w:eastAsia="宋体" w:cs="Times New Roman"/>
                <w:color w:val="auto"/>
                <w:sz w:val="21"/>
                <w:szCs w:val="21"/>
              </w:rPr>
              <w:t>产机组</w:t>
            </w:r>
            <w:r>
              <w:rPr>
                <w:rFonts w:hint="eastAsia"/>
                <w:color w:val="auto"/>
                <w:sz w:val="21"/>
                <w:szCs w:val="21"/>
              </w:rPr>
              <w:t>运行噪声，</w:t>
            </w:r>
            <w:r>
              <w:rPr>
                <w:rFonts w:hint="eastAsia" w:ascii="Times New Roman" w:hAnsi="Times New Roman" w:eastAsia="宋体" w:cs="Times New Roman"/>
                <w:color w:val="auto"/>
                <w:sz w:val="21"/>
                <w:szCs w:val="21"/>
                <w:lang w:val="en-US" w:eastAsia="zh-CN"/>
              </w:rPr>
              <w:t>主要采取</w:t>
            </w:r>
            <w:r>
              <w:rPr>
                <w:rFonts w:hint="default" w:ascii="Times New Roman" w:hAnsi="Times New Roman" w:eastAsia="宋体" w:cs="Times New Roman"/>
                <w:color w:val="auto"/>
                <w:sz w:val="21"/>
                <w:szCs w:val="21"/>
              </w:rPr>
              <w:t>合理布局、减振、厂房隔声、距离衰减等措施</w:t>
            </w:r>
            <w:r>
              <w:rPr>
                <w:color w:val="auto"/>
                <w:sz w:val="21"/>
                <w:szCs w:val="21"/>
              </w:rPr>
              <w:t>。</w:t>
            </w:r>
          </w:p>
          <w:p w14:paraId="09FD54D8">
            <w:pPr>
              <w:keepNext w:val="0"/>
              <w:keepLines w:val="0"/>
              <w:pageBreakBefore w:val="0"/>
              <w:kinsoku/>
              <w:wordWrap/>
              <w:overflowPunct/>
              <w:topLinePunct w:val="0"/>
              <w:bidi w:val="0"/>
              <w:adjustRightInd w:val="0"/>
              <w:snapToGrid w:val="0"/>
              <w:spacing w:line="500" w:lineRule="exact"/>
              <w:ind w:firstLine="420" w:firstLineChars="200"/>
              <w:textAlignment w:val="auto"/>
              <w:rPr>
                <w:color w:val="auto"/>
                <w:sz w:val="21"/>
                <w:szCs w:val="21"/>
              </w:rPr>
            </w:pPr>
            <w:r>
              <w:rPr>
                <w:color w:val="auto"/>
                <w:sz w:val="21"/>
                <w:szCs w:val="21"/>
              </w:rPr>
              <w:t>④固废</w:t>
            </w:r>
          </w:p>
          <w:p w14:paraId="0C1EC9E5">
            <w:pPr>
              <w:pStyle w:val="25"/>
              <w:keepNext w:val="0"/>
              <w:keepLines w:val="0"/>
              <w:pageBreakBefore w:val="0"/>
              <w:kinsoku/>
              <w:wordWrap/>
              <w:overflowPunct/>
              <w:topLinePunct w:val="0"/>
              <w:bidi w:val="0"/>
              <w:adjustRightInd w:val="0"/>
              <w:snapToGrid w:val="0"/>
              <w:spacing w:before="0" w:beforeAutospacing="0" w:after="0" w:afterAutospacing="0" w:line="500" w:lineRule="exact"/>
              <w:ind w:firstLine="420" w:firstLineChars="200"/>
              <w:textAlignment w:val="auto"/>
              <w:rPr>
                <w:rFonts w:hint="default" w:ascii="Times New Roman" w:hAnsi="Times New Roman" w:cs="Times New Roman"/>
                <w:color w:val="auto"/>
                <w:sz w:val="21"/>
                <w:szCs w:val="21"/>
              </w:rPr>
            </w:pPr>
            <w:r>
              <w:rPr>
                <w:rFonts w:hint="eastAsia" w:ascii="Times New Roman" w:hAnsi="Times New Roman"/>
                <w:color w:val="auto"/>
                <w:kern w:val="2"/>
                <w:sz w:val="21"/>
                <w:szCs w:val="21"/>
                <w:lang w:val="en-US" w:eastAsia="zh-CN"/>
              </w:rPr>
              <w:t>项目一般固废、危废暂存均依托已建的一般</w:t>
            </w:r>
            <w:r>
              <w:rPr>
                <w:rFonts w:ascii="Times New Roman" w:hAnsi="Times New Roman"/>
                <w:color w:val="auto"/>
                <w:kern w:val="2"/>
                <w:sz w:val="21"/>
                <w:szCs w:val="21"/>
                <w:lang w:val="en-US" w:eastAsia="zh-CN"/>
              </w:rPr>
              <w:t>固</w:t>
            </w:r>
            <w:r>
              <w:rPr>
                <w:rFonts w:hint="default" w:ascii="Times New Roman" w:hAnsi="Times New Roman" w:cs="Times New Roman"/>
                <w:color w:val="auto"/>
                <w:kern w:val="2"/>
                <w:sz w:val="21"/>
                <w:szCs w:val="21"/>
                <w:lang w:val="en-US" w:eastAsia="zh-CN"/>
              </w:rPr>
              <w:t>废堆场和危废暂存间。</w:t>
            </w:r>
            <w:r>
              <w:rPr>
                <w:rFonts w:hint="default" w:ascii="Times New Roman" w:hAnsi="Times New Roman" w:cs="Times New Roman"/>
                <w:color w:val="auto"/>
                <w:sz w:val="21"/>
                <w:szCs w:val="21"/>
              </w:rPr>
              <w:t>项目一般固</w:t>
            </w:r>
            <w:r>
              <w:rPr>
                <w:rFonts w:hint="eastAsia" w:ascii="Times New Roman" w:hAnsi="Times New Roman" w:cs="Times New Roman"/>
                <w:color w:val="auto"/>
                <w:sz w:val="21"/>
                <w:szCs w:val="21"/>
                <w:lang w:val="en-US" w:eastAsia="zh-CN"/>
              </w:rPr>
              <w:t>废废包装材料</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20</w:t>
            </w:r>
            <w:r>
              <w:rPr>
                <w:rFonts w:hint="default" w:ascii="Times New Roman" w:hAnsi="Times New Roman" w:cs="Times New Roman"/>
                <w:color w:val="auto"/>
                <w:sz w:val="21"/>
                <w:szCs w:val="21"/>
                <w:lang w:val="en-US" w:eastAsia="zh-CN"/>
              </w:rPr>
              <w:t>t/a）</w:t>
            </w:r>
            <w:r>
              <w:rPr>
                <w:rFonts w:hint="default" w:ascii="Times New Roman" w:hAnsi="Times New Roman" w:cs="Times New Roman"/>
                <w:color w:val="auto"/>
                <w:sz w:val="21"/>
                <w:szCs w:val="21"/>
              </w:rPr>
              <w:t>外售综合利用；危险废物废活性炭</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27.89</w:t>
            </w:r>
            <w:r>
              <w:rPr>
                <w:rFonts w:hint="default" w:ascii="Times New Roman" w:hAnsi="Times New Roman" w:cs="Times New Roman"/>
                <w:color w:val="auto"/>
                <w:sz w:val="21"/>
                <w:szCs w:val="21"/>
                <w:lang w:val="en-US" w:eastAsia="zh-CN"/>
              </w:rPr>
              <w:t>t/a）</w:t>
            </w:r>
            <w:r>
              <w:rPr>
                <w:rFonts w:hint="default" w:ascii="Times New Roman" w:hAnsi="Times New Roman" w:cs="Times New Roman"/>
                <w:color w:val="auto"/>
                <w:sz w:val="21"/>
                <w:szCs w:val="21"/>
              </w:rPr>
              <w:t>委托资质单位处置。</w:t>
            </w:r>
          </w:p>
          <w:p w14:paraId="10CCCA2B">
            <w:pPr>
              <w:keepNext w:val="0"/>
              <w:keepLines w:val="0"/>
              <w:pageBreakBefore w:val="0"/>
              <w:kinsoku/>
              <w:wordWrap/>
              <w:overflowPunct/>
              <w:topLinePunct w:val="0"/>
              <w:autoSpaceDE w:val="0"/>
              <w:autoSpaceDN w:val="0"/>
              <w:bidi w:val="0"/>
              <w:adjustRightInd w:val="0"/>
              <w:snapToGrid w:val="0"/>
              <w:spacing w:line="500" w:lineRule="exact"/>
              <w:ind w:firstLine="422" w:firstLineChars="200"/>
              <w:textAlignment w:val="auto"/>
              <w:rPr>
                <w:b/>
                <w:bCs/>
                <w:color w:val="auto"/>
                <w:kern w:val="0"/>
                <w:sz w:val="21"/>
                <w:szCs w:val="21"/>
              </w:rPr>
            </w:pPr>
            <w:r>
              <w:rPr>
                <w:b/>
                <w:bCs/>
                <w:color w:val="auto"/>
                <w:kern w:val="0"/>
                <w:sz w:val="21"/>
                <w:szCs w:val="21"/>
              </w:rPr>
              <w:t>3.现有工程污染物实际排放总量核算汇总</w:t>
            </w:r>
          </w:p>
          <w:p w14:paraId="753F1E98">
            <w:pPr>
              <w:keepNext w:val="0"/>
              <w:keepLines w:val="0"/>
              <w:pageBreakBefore w:val="0"/>
              <w:kinsoku/>
              <w:wordWrap/>
              <w:overflowPunct/>
              <w:topLinePunct w:val="0"/>
              <w:autoSpaceDE w:val="0"/>
              <w:autoSpaceDN w:val="0"/>
              <w:bidi w:val="0"/>
              <w:adjustRightInd w:val="0"/>
              <w:snapToGrid w:val="0"/>
              <w:spacing w:line="500" w:lineRule="exact"/>
              <w:ind w:firstLine="420" w:firstLineChars="200"/>
              <w:textAlignment w:val="auto"/>
              <w:rPr>
                <w:color w:val="auto"/>
                <w:sz w:val="21"/>
                <w:szCs w:val="21"/>
              </w:rPr>
            </w:pPr>
            <w:r>
              <w:rPr>
                <w:color w:val="auto"/>
                <w:sz w:val="21"/>
                <w:szCs w:val="21"/>
              </w:rPr>
              <w:t>根据现有项目环评及批复、环保竣工验收报告检测数据进行分析汇总，现有项目污染物排放情况见下表。</w:t>
            </w:r>
          </w:p>
          <w:p w14:paraId="5DA41636">
            <w:pPr>
              <w:keepNext w:val="0"/>
              <w:keepLines w:val="0"/>
              <w:pageBreakBefore w:val="0"/>
              <w:kinsoku/>
              <w:wordWrap/>
              <w:overflowPunct/>
              <w:topLinePunct w:val="0"/>
              <w:autoSpaceDE w:val="0"/>
              <w:autoSpaceDN w:val="0"/>
              <w:bidi w:val="0"/>
              <w:adjustRightInd w:val="0"/>
              <w:snapToGrid w:val="0"/>
              <w:spacing w:line="500" w:lineRule="exact"/>
              <w:ind w:firstLine="422" w:firstLineChars="200"/>
              <w:jc w:val="center"/>
              <w:textAlignment w:val="auto"/>
              <w:rPr>
                <w:b/>
                <w:bCs/>
                <w:color w:val="auto"/>
                <w:sz w:val="21"/>
                <w:szCs w:val="21"/>
              </w:rPr>
            </w:pPr>
            <w:r>
              <w:rPr>
                <w:b/>
                <w:bCs/>
                <w:color w:val="auto"/>
                <w:sz w:val="21"/>
                <w:szCs w:val="21"/>
              </w:rPr>
              <w:t>表2-1</w:t>
            </w:r>
            <w:r>
              <w:rPr>
                <w:rFonts w:hint="eastAsia"/>
                <w:b/>
                <w:bCs/>
                <w:color w:val="auto"/>
                <w:sz w:val="21"/>
                <w:szCs w:val="21"/>
                <w:lang w:val="en-US" w:eastAsia="zh-CN"/>
              </w:rPr>
              <w:t>6</w:t>
            </w:r>
            <w:r>
              <w:rPr>
                <w:b/>
                <w:bCs/>
                <w:color w:val="auto"/>
                <w:sz w:val="21"/>
                <w:szCs w:val="21"/>
              </w:rPr>
              <w:t xml:space="preserve"> 现有项目污染物排放量一览表</w:t>
            </w:r>
          </w:p>
          <w:tbl>
            <w:tblPr>
              <w:tblStyle w:val="3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62"/>
              <w:gridCol w:w="867"/>
              <w:gridCol w:w="900"/>
              <w:gridCol w:w="1561"/>
              <w:gridCol w:w="1951"/>
              <w:gridCol w:w="1953"/>
            </w:tblGrid>
            <w:tr w14:paraId="4B87C0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587" w:type="pct"/>
                  <w:vMerge w:val="restart"/>
                  <w:noWrap w:val="0"/>
                  <w:vAlign w:val="center"/>
                </w:tcPr>
                <w:p w14:paraId="6189CC90">
                  <w:pPr>
                    <w:jc w:val="center"/>
                    <w:rPr>
                      <w:color w:val="auto"/>
                      <w:sz w:val="21"/>
                      <w:szCs w:val="21"/>
                    </w:rPr>
                  </w:pPr>
                  <w:r>
                    <w:rPr>
                      <w:color w:val="auto"/>
                      <w:sz w:val="21"/>
                      <w:szCs w:val="21"/>
                    </w:rPr>
                    <w:t>类别</w:t>
                  </w:r>
                </w:p>
              </w:tc>
              <w:tc>
                <w:tcPr>
                  <w:tcW w:w="1077" w:type="pct"/>
                  <w:gridSpan w:val="2"/>
                  <w:vMerge w:val="restart"/>
                  <w:noWrap w:val="0"/>
                  <w:vAlign w:val="center"/>
                </w:tcPr>
                <w:p w14:paraId="09E3AB5D">
                  <w:pPr>
                    <w:jc w:val="center"/>
                    <w:rPr>
                      <w:color w:val="auto"/>
                      <w:sz w:val="21"/>
                      <w:szCs w:val="21"/>
                    </w:rPr>
                  </w:pPr>
                  <w:r>
                    <w:rPr>
                      <w:color w:val="auto"/>
                      <w:sz w:val="21"/>
                      <w:szCs w:val="21"/>
                    </w:rPr>
                    <w:t>污染物名称</w:t>
                  </w:r>
                </w:p>
              </w:tc>
              <w:tc>
                <w:tcPr>
                  <w:tcW w:w="2142" w:type="pct"/>
                  <w:gridSpan w:val="2"/>
                  <w:noWrap w:val="0"/>
                  <w:vAlign w:val="center"/>
                </w:tcPr>
                <w:p w14:paraId="2E587327">
                  <w:pPr>
                    <w:jc w:val="center"/>
                    <w:rPr>
                      <w:color w:val="auto"/>
                      <w:sz w:val="21"/>
                      <w:szCs w:val="21"/>
                    </w:rPr>
                  </w:pPr>
                  <w:r>
                    <w:rPr>
                      <w:color w:val="auto"/>
                      <w:sz w:val="21"/>
                      <w:szCs w:val="21"/>
                    </w:rPr>
                    <w:t>批复排放量</w:t>
                  </w:r>
                  <w:r>
                    <w:rPr>
                      <w:bCs/>
                      <w:color w:val="auto"/>
                      <w:sz w:val="21"/>
                      <w:szCs w:val="21"/>
                    </w:rPr>
                    <w:t>（t/a）</w:t>
                  </w:r>
                </w:p>
              </w:tc>
              <w:tc>
                <w:tcPr>
                  <w:tcW w:w="1191" w:type="pct"/>
                  <w:noWrap w:val="0"/>
                  <w:vAlign w:val="center"/>
                </w:tcPr>
                <w:p w14:paraId="128D629F">
                  <w:pPr>
                    <w:jc w:val="center"/>
                    <w:rPr>
                      <w:color w:val="auto"/>
                      <w:sz w:val="21"/>
                      <w:szCs w:val="21"/>
                    </w:rPr>
                  </w:pPr>
                  <w:r>
                    <w:rPr>
                      <w:color w:val="auto"/>
                      <w:sz w:val="21"/>
                      <w:szCs w:val="21"/>
                    </w:rPr>
                    <w:t>环保竣工验收核算的实际排放(接管)量</w:t>
                  </w:r>
                  <w:r>
                    <w:rPr>
                      <w:bCs/>
                      <w:color w:val="auto"/>
                      <w:sz w:val="21"/>
                      <w:szCs w:val="21"/>
                    </w:rPr>
                    <w:t>（t/a）</w:t>
                  </w:r>
                </w:p>
              </w:tc>
            </w:tr>
            <w:tr w14:paraId="19C825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587" w:type="pct"/>
                  <w:vMerge w:val="continue"/>
                  <w:noWrap w:val="0"/>
                  <w:vAlign w:val="center"/>
                </w:tcPr>
                <w:p w14:paraId="01DC6E78">
                  <w:pPr>
                    <w:jc w:val="center"/>
                    <w:rPr>
                      <w:color w:val="auto"/>
                      <w:sz w:val="21"/>
                      <w:szCs w:val="21"/>
                    </w:rPr>
                  </w:pPr>
                </w:p>
              </w:tc>
              <w:tc>
                <w:tcPr>
                  <w:tcW w:w="1077" w:type="pct"/>
                  <w:gridSpan w:val="2"/>
                  <w:vMerge w:val="continue"/>
                  <w:noWrap w:val="0"/>
                  <w:vAlign w:val="center"/>
                </w:tcPr>
                <w:p w14:paraId="67AB3E62">
                  <w:pPr>
                    <w:jc w:val="center"/>
                    <w:rPr>
                      <w:color w:val="auto"/>
                      <w:sz w:val="21"/>
                      <w:szCs w:val="21"/>
                    </w:rPr>
                  </w:pPr>
                </w:p>
              </w:tc>
              <w:tc>
                <w:tcPr>
                  <w:tcW w:w="952" w:type="pct"/>
                  <w:noWrap w:val="0"/>
                  <w:vAlign w:val="center"/>
                </w:tcPr>
                <w:p w14:paraId="7298EB2B">
                  <w:pPr>
                    <w:jc w:val="center"/>
                    <w:rPr>
                      <w:color w:val="auto"/>
                      <w:sz w:val="21"/>
                      <w:szCs w:val="21"/>
                    </w:rPr>
                  </w:pPr>
                  <w:r>
                    <w:rPr>
                      <w:rFonts w:hint="eastAsia"/>
                      <w:color w:val="auto"/>
                      <w:sz w:val="21"/>
                      <w:szCs w:val="21"/>
                    </w:rPr>
                    <w:t>已建项目</w:t>
                  </w:r>
                </w:p>
              </w:tc>
              <w:tc>
                <w:tcPr>
                  <w:tcW w:w="1190" w:type="pct"/>
                  <w:noWrap w:val="0"/>
                  <w:vAlign w:val="center"/>
                </w:tcPr>
                <w:p w14:paraId="1E4E8063">
                  <w:pPr>
                    <w:jc w:val="center"/>
                    <w:rPr>
                      <w:color w:val="FF0000"/>
                      <w:sz w:val="21"/>
                      <w:szCs w:val="21"/>
                    </w:rPr>
                  </w:pPr>
                  <w:r>
                    <w:rPr>
                      <w:rFonts w:hint="eastAsia"/>
                      <w:color w:val="auto"/>
                      <w:sz w:val="21"/>
                      <w:szCs w:val="21"/>
                    </w:rPr>
                    <w:t>在建项目</w:t>
                  </w:r>
                </w:p>
              </w:tc>
              <w:tc>
                <w:tcPr>
                  <w:tcW w:w="1191" w:type="pct"/>
                  <w:noWrap w:val="0"/>
                  <w:vAlign w:val="center"/>
                </w:tcPr>
                <w:p w14:paraId="5B2BA7F5">
                  <w:pPr>
                    <w:jc w:val="center"/>
                    <w:rPr>
                      <w:color w:val="auto"/>
                      <w:sz w:val="21"/>
                      <w:szCs w:val="21"/>
                    </w:rPr>
                  </w:pPr>
                  <w:r>
                    <w:rPr>
                      <w:rFonts w:hint="eastAsia"/>
                      <w:color w:val="auto"/>
                      <w:sz w:val="21"/>
                      <w:szCs w:val="21"/>
                    </w:rPr>
                    <w:t>已建项目</w:t>
                  </w:r>
                </w:p>
              </w:tc>
            </w:tr>
            <w:tr w14:paraId="324DFB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7" w:type="pct"/>
                  <w:vMerge w:val="restart"/>
                  <w:noWrap w:val="0"/>
                  <w:vAlign w:val="center"/>
                </w:tcPr>
                <w:p w14:paraId="30CC7FC9">
                  <w:pPr>
                    <w:jc w:val="center"/>
                    <w:rPr>
                      <w:color w:val="auto"/>
                      <w:sz w:val="21"/>
                      <w:szCs w:val="21"/>
                    </w:rPr>
                  </w:pPr>
                  <w:r>
                    <w:rPr>
                      <w:color w:val="auto"/>
                      <w:sz w:val="21"/>
                      <w:szCs w:val="21"/>
                    </w:rPr>
                    <w:t>大气污染物</w:t>
                  </w:r>
                </w:p>
              </w:tc>
              <w:tc>
                <w:tcPr>
                  <w:tcW w:w="529" w:type="pct"/>
                  <w:vMerge w:val="restart"/>
                  <w:noWrap w:val="0"/>
                  <w:vAlign w:val="center"/>
                </w:tcPr>
                <w:p w14:paraId="1204F35F">
                  <w:pPr>
                    <w:pStyle w:val="10"/>
                    <w:adjustRightInd w:val="0"/>
                    <w:snapToGrid w:val="0"/>
                    <w:spacing w:after="0"/>
                    <w:ind w:left="0" w:leftChars="0"/>
                    <w:jc w:val="center"/>
                    <w:rPr>
                      <w:color w:val="auto"/>
                      <w:sz w:val="21"/>
                      <w:szCs w:val="21"/>
                      <w:lang w:val="en-US" w:eastAsia="zh-CN"/>
                    </w:rPr>
                  </w:pPr>
                  <w:r>
                    <w:rPr>
                      <w:rFonts w:hint="eastAsia"/>
                      <w:color w:val="auto"/>
                      <w:sz w:val="21"/>
                      <w:szCs w:val="21"/>
                      <w:lang w:val="en-US" w:eastAsia="zh-CN"/>
                    </w:rPr>
                    <w:t>非甲烷总烃</w:t>
                  </w:r>
                </w:p>
              </w:tc>
              <w:tc>
                <w:tcPr>
                  <w:tcW w:w="547" w:type="pct"/>
                  <w:noWrap w:val="0"/>
                  <w:vAlign w:val="center"/>
                </w:tcPr>
                <w:p w14:paraId="753C885C">
                  <w:pPr>
                    <w:jc w:val="center"/>
                    <w:rPr>
                      <w:color w:val="auto"/>
                      <w:sz w:val="21"/>
                      <w:szCs w:val="21"/>
                    </w:rPr>
                  </w:pPr>
                  <w:r>
                    <w:rPr>
                      <w:color w:val="auto"/>
                      <w:sz w:val="21"/>
                      <w:szCs w:val="21"/>
                    </w:rPr>
                    <w:t>有组织</w:t>
                  </w:r>
                </w:p>
              </w:tc>
              <w:tc>
                <w:tcPr>
                  <w:tcW w:w="952" w:type="pct"/>
                  <w:noWrap w:val="0"/>
                  <w:vAlign w:val="center"/>
                </w:tcPr>
                <w:p w14:paraId="28035689">
                  <w:pPr>
                    <w:jc w:val="center"/>
                    <w:rPr>
                      <w:rFonts w:hint="default" w:eastAsia="宋体"/>
                      <w:color w:val="auto"/>
                      <w:sz w:val="21"/>
                      <w:szCs w:val="21"/>
                      <w:lang w:val="en-US" w:eastAsia="zh-CN"/>
                    </w:rPr>
                  </w:pPr>
                  <w:r>
                    <w:rPr>
                      <w:rFonts w:hint="eastAsia"/>
                      <w:color w:val="auto"/>
                      <w:kern w:val="0"/>
                      <w:sz w:val="21"/>
                      <w:szCs w:val="21"/>
                      <w:lang w:val="en-US" w:eastAsia="zh-CN"/>
                    </w:rPr>
                    <w:t>0.9495</w:t>
                  </w:r>
                </w:p>
              </w:tc>
              <w:tc>
                <w:tcPr>
                  <w:tcW w:w="1948" w:type="dxa"/>
                  <w:noWrap w:val="0"/>
                  <w:vAlign w:val="center"/>
                </w:tcPr>
                <w:p w14:paraId="6FAB32FF">
                  <w:pPr>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1.7335</w:t>
                  </w:r>
                </w:p>
              </w:tc>
              <w:tc>
                <w:tcPr>
                  <w:tcW w:w="1191" w:type="pct"/>
                  <w:noWrap w:val="0"/>
                  <w:vAlign w:val="center"/>
                </w:tcPr>
                <w:p w14:paraId="1356492D">
                  <w:pPr>
                    <w:jc w:val="center"/>
                    <w:rPr>
                      <w:rFonts w:hint="default" w:eastAsia="宋体"/>
                      <w:color w:val="auto"/>
                      <w:sz w:val="21"/>
                      <w:szCs w:val="21"/>
                      <w:lang w:val="en-US" w:eastAsia="zh-CN"/>
                    </w:rPr>
                  </w:pPr>
                  <w:r>
                    <w:rPr>
                      <w:rFonts w:hint="eastAsia"/>
                      <w:color w:val="auto"/>
                      <w:sz w:val="21"/>
                      <w:szCs w:val="21"/>
                    </w:rPr>
                    <w:t>0.</w:t>
                  </w:r>
                  <w:r>
                    <w:rPr>
                      <w:rFonts w:hint="eastAsia"/>
                      <w:color w:val="auto"/>
                      <w:sz w:val="21"/>
                      <w:szCs w:val="21"/>
                      <w:lang w:val="en-US" w:eastAsia="zh-CN"/>
                    </w:rPr>
                    <w:t>4398</w:t>
                  </w:r>
                </w:p>
              </w:tc>
            </w:tr>
            <w:tr w14:paraId="5B0C61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7" w:type="pct"/>
                  <w:vMerge w:val="continue"/>
                  <w:noWrap w:val="0"/>
                  <w:vAlign w:val="center"/>
                </w:tcPr>
                <w:p w14:paraId="12DF2411">
                  <w:pPr>
                    <w:jc w:val="center"/>
                    <w:rPr>
                      <w:color w:val="auto"/>
                      <w:sz w:val="21"/>
                      <w:szCs w:val="21"/>
                    </w:rPr>
                  </w:pPr>
                </w:p>
              </w:tc>
              <w:tc>
                <w:tcPr>
                  <w:tcW w:w="529" w:type="pct"/>
                  <w:vMerge w:val="continue"/>
                  <w:noWrap w:val="0"/>
                  <w:vAlign w:val="center"/>
                </w:tcPr>
                <w:p w14:paraId="4FFD1B30">
                  <w:pPr>
                    <w:pStyle w:val="10"/>
                    <w:adjustRightInd w:val="0"/>
                    <w:snapToGrid w:val="0"/>
                    <w:spacing w:after="0"/>
                    <w:ind w:left="0" w:leftChars="0"/>
                    <w:jc w:val="center"/>
                    <w:rPr>
                      <w:color w:val="auto"/>
                      <w:sz w:val="21"/>
                      <w:szCs w:val="21"/>
                      <w:lang w:val="en-US" w:eastAsia="zh-CN"/>
                    </w:rPr>
                  </w:pPr>
                </w:p>
              </w:tc>
              <w:tc>
                <w:tcPr>
                  <w:tcW w:w="547" w:type="pct"/>
                  <w:noWrap w:val="0"/>
                  <w:vAlign w:val="center"/>
                </w:tcPr>
                <w:p w14:paraId="0E72532F">
                  <w:pPr>
                    <w:jc w:val="center"/>
                    <w:rPr>
                      <w:rFonts w:hint="eastAsia"/>
                      <w:color w:val="auto"/>
                      <w:sz w:val="21"/>
                      <w:szCs w:val="21"/>
                    </w:rPr>
                  </w:pPr>
                  <w:r>
                    <w:rPr>
                      <w:rFonts w:hint="eastAsia"/>
                      <w:color w:val="auto"/>
                      <w:sz w:val="21"/>
                      <w:szCs w:val="21"/>
                    </w:rPr>
                    <w:t>无组织</w:t>
                  </w:r>
                </w:p>
              </w:tc>
              <w:tc>
                <w:tcPr>
                  <w:tcW w:w="952" w:type="pct"/>
                  <w:noWrap w:val="0"/>
                  <w:vAlign w:val="center"/>
                </w:tcPr>
                <w:p w14:paraId="03C801DD">
                  <w:pPr>
                    <w:jc w:val="center"/>
                    <w:rPr>
                      <w:rFonts w:hint="default" w:eastAsia="宋体"/>
                      <w:color w:val="auto"/>
                      <w:kern w:val="0"/>
                      <w:sz w:val="21"/>
                      <w:szCs w:val="21"/>
                      <w:lang w:val="en-US" w:eastAsia="zh-CN"/>
                    </w:rPr>
                  </w:pPr>
                  <w:r>
                    <w:rPr>
                      <w:rFonts w:hint="eastAsia"/>
                      <w:color w:val="auto"/>
                      <w:kern w:val="0"/>
                      <w:sz w:val="21"/>
                      <w:szCs w:val="21"/>
                      <w:lang w:val="en-US" w:eastAsia="zh-CN"/>
                    </w:rPr>
                    <w:t>0.965</w:t>
                  </w:r>
                </w:p>
              </w:tc>
              <w:tc>
                <w:tcPr>
                  <w:tcW w:w="1948" w:type="dxa"/>
                  <w:noWrap w:val="0"/>
                  <w:vAlign w:val="center"/>
                </w:tcPr>
                <w:p w14:paraId="0AC27D36">
                  <w:pPr>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1.926</w:t>
                  </w:r>
                </w:p>
              </w:tc>
              <w:tc>
                <w:tcPr>
                  <w:tcW w:w="1191" w:type="pct"/>
                  <w:noWrap w:val="0"/>
                  <w:vAlign w:val="center"/>
                </w:tcPr>
                <w:p w14:paraId="031E7713">
                  <w:pPr>
                    <w:jc w:val="center"/>
                    <w:rPr>
                      <w:rFonts w:hint="eastAsia"/>
                      <w:color w:val="auto"/>
                      <w:sz w:val="21"/>
                      <w:szCs w:val="21"/>
                    </w:rPr>
                  </w:pPr>
                  <w:r>
                    <w:rPr>
                      <w:rFonts w:hint="eastAsia"/>
                      <w:color w:val="auto"/>
                      <w:sz w:val="21"/>
                      <w:szCs w:val="21"/>
                    </w:rPr>
                    <w:t>/</w:t>
                  </w:r>
                </w:p>
              </w:tc>
            </w:tr>
            <w:tr w14:paraId="1F85E0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7" w:type="pct"/>
                  <w:vMerge w:val="restart"/>
                  <w:noWrap w:val="0"/>
                  <w:vAlign w:val="center"/>
                </w:tcPr>
                <w:p w14:paraId="34A055E7">
                  <w:pPr>
                    <w:jc w:val="center"/>
                    <w:rPr>
                      <w:color w:val="auto"/>
                      <w:sz w:val="21"/>
                      <w:szCs w:val="21"/>
                    </w:rPr>
                  </w:pPr>
                  <w:r>
                    <w:rPr>
                      <w:color w:val="auto"/>
                      <w:sz w:val="21"/>
                      <w:szCs w:val="21"/>
                    </w:rPr>
                    <w:t>水污染物</w:t>
                  </w:r>
                </w:p>
              </w:tc>
              <w:tc>
                <w:tcPr>
                  <w:tcW w:w="1077" w:type="pct"/>
                  <w:gridSpan w:val="2"/>
                  <w:noWrap w:val="0"/>
                  <w:vAlign w:val="center"/>
                </w:tcPr>
                <w:p w14:paraId="17BB7609">
                  <w:pPr>
                    <w:jc w:val="center"/>
                    <w:rPr>
                      <w:color w:val="auto"/>
                      <w:sz w:val="21"/>
                      <w:szCs w:val="21"/>
                    </w:rPr>
                  </w:pPr>
                  <w:r>
                    <w:rPr>
                      <w:color w:val="auto"/>
                      <w:sz w:val="21"/>
                      <w:szCs w:val="21"/>
                    </w:rPr>
                    <w:t>水量</w:t>
                  </w:r>
                </w:p>
              </w:tc>
              <w:tc>
                <w:tcPr>
                  <w:tcW w:w="952" w:type="pct"/>
                  <w:noWrap w:val="0"/>
                  <w:vAlign w:val="center"/>
                </w:tcPr>
                <w:p w14:paraId="35CD9E68">
                  <w:pPr>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10470</w:t>
                  </w:r>
                </w:p>
              </w:tc>
              <w:tc>
                <w:tcPr>
                  <w:tcW w:w="2041" w:type="dxa"/>
                  <w:noWrap w:val="0"/>
                  <w:vAlign w:val="center"/>
                </w:tcPr>
                <w:p w14:paraId="004E0606">
                  <w:pPr>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7212</w:t>
                  </w:r>
                </w:p>
              </w:tc>
              <w:tc>
                <w:tcPr>
                  <w:tcW w:w="1191" w:type="pct"/>
                  <w:noWrap w:val="0"/>
                  <w:vAlign w:val="center"/>
                </w:tcPr>
                <w:p w14:paraId="63C89C69">
                  <w:pPr>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10470</w:t>
                  </w:r>
                </w:p>
              </w:tc>
            </w:tr>
            <w:tr w14:paraId="23D9CB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7" w:type="pct"/>
                  <w:vMerge w:val="continue"/>
                  <w:noWrap w:val="0"/>
                  <w:vAlign w:val="center"/>
                </w:tcPr>
                <w:p w14:paraId="6862D169">
                  <w:pPr>
                    <w:jc w:val="center"/>
                    <w:rPr>
                      <w:color w:val="auto"/>
                      <w:sz w:val="21"/>
                      <w:szCs w:val="21"/>
                    </w:rPr>
                  </w:pPr>
                </w:p>
              </w:tc>
              <w:tc>
                <w:tcPr>
                  <w:tcW w:w="1077" w:type="pct"/>
                  <w:gridSpan w:val="2"/>
                  <w:noWrap w:val="0"/>
                  <w:vAlign w:val="center"/>
                </w:tcPr>
                <w:p w14:paraId="2CE9606A">
                  <w:pPr>
                    <w:widowControl/>
                    <w:jc w:val="center"/>
                    <w:rPr>
                      <w:color w:val="auto"/>
                      <w:sz w:val="21"/>
                      <w:szCs w:val="21"/>
                    </w:rPr>
                  </w:pPr>
                  <w:r>
                    <w:rPr>
                      <w:bCs/>
                      <w:color w:val="auto"/>
                      <w:kern w:val="0"/>
                      <w:sz w:val="21"/>
                      <w:szCs w:val="21"/>
                    </w:rPr>
                    <w:t>COD</w:t>
                  </w:r>
                </w:p>
              </w:tc>
              <w:tc>
                <w:tcPr>
                  <w:tcW w:w="952" w:type="pct"/>
                  <w:noWrap w:val="0"/>
                  <w:vAlign w:val="center"/>
                </w:tcPr>
                <w:p w14:paraId="12E529EA">
                  <w:pPr>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4.188</w:t>
                  </w:r>
                </w:p>
              </w:tc>
              <w:tc>
                <w:tcPr>
                  <w:tcW w:w="2041" w:type="dxa"/>
                  <w:noWrap w:val="0"/>
                  <w:vAlign w:val="center"/>
                </w:tcPr>
                <w:p w14:paraId="3D18BC45">
                  <w:pPr>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2.6848</w:t>
                  </w:r>
                </w:p>
              </w:tc>
              <w:tc>
                <w:tcPr>
                  <w:tcW w:w="1191" w:type="pct"/>
                  <w:noWrap w:val="0"/>
                  <w:vAlign w:val="center"/>
                </w:tcPr>
                <w:p w14:paraId="3D6048D4">
                  <w:pPr>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1.223</w:t>
                  </w:r>
                </w:p>
              </w:tc>
            </w:tr>
            <w:tr w14:paraId="6621C4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7" w:type="pct"/>
                  <w:vMerge w:val="continue"/>
                  <w:noWrap w:val="0"/>
                  <w:vAlign w:val="center"/>
                </w:tcPr>
                <w:p w14:paraId="680F7065">
                  <w:pPr>
                    <w:jc w:val="center"/>
                    <w:rPr>
                      <w:color w:val="auto"/>
                      <w:sz w:val="21"/>
                      <w:szCs w:val="21"/>
                    </w:rPr>
                  </w:pPr>
                </w:p>
              </w:tc>
              <w:tc>
                <w:tcPr>
                  <w:tcW w:w="1077" w:type="pct"/>
                  <w:gridSpan w:val="2"/>
                  <w:noWrap w:val="0"/>
                  <w:vAlign w:val="center"/>
                </w:tcPr>
                <w:p w14:paraId="18948540">
                  <w:pPr>
                    <w:widowControl/>
                    <w:jc w:val="center"/>
                    <w:rPr>
                      <w:color w:val="auto"/>
                      <w:sz w:val="21"/>
                      <w:szCs w:val="21"/>
                    </w:rPr>
                  </w:pPr>
                  <w:r>
                    <w:rPr>
                      <w:bCs/>
                      <w:color w:val="auto"/>
                      <w:sz w:val="21"/>
                      <w:szCs w:val="21"/>
                    </w:rPr>
                    <w:t>SS</w:t>
                  </w:r>
                </w:p>
              </w:tc>
              <w:tc>
                <w:tcPr>
                  <w:tcW w:w="952" w:type="pct"/>
                  <w:noWrap w:val="0"/>
                  <w:vAlign w:val="center"/>
                </w:tcPr>
                <w:p w14:paraId="446F8B3B">
                  <w:pPr>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2.618</w:t>
                  </w:r>
                </w:p>
              </w:tc>
              <w:tc>
                <w:tcPr>
                  <w:tcW w:w="2041" w:type="dxa"/>
                  <w:noWrap w:val="0"/>
                  <w:vAlign w:val="center"/>
                </w:tcPr>
                <w:p w14:paraId="24F56285">
                  <w:pPr>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1.8</w:t>
                  </w:r>
                </w:p>
              </w:tc>
              <w:tc>
                <w:tcPr>
                  <w:tcW w:w="1191" w:type="pct"/>
                  <w:noWrap w:val="0"/>
                  <w:vAlign w:val="center"/>
                </w:tcPr>
                <w:p w14:paraId="6D96A623">
                  <w:pPr>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0.8217</w:t>
                  </w:r>
                </w:p>
              </w:tc>
            </w:tr>
            <w:tr w14:paraId="7D7383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7" w:type="pct"/>
                  <w:vMerge w:val="continue"/>
                  <w:noWrap w:val="0"/>
                  <w:vAlign w:val="center"/>
                </w:tcPr>
                <w:p w14:paraId="6E2B7BFE">
                  <w:pPr>
                    <w:jc w:val="center"/>
                    <w:rPr>
                      <w:color w:val="auto"/>
                      <w:sz w:val="21"/>
                      <w:szCs w:val="21"/>
                    </w:rPr>
                  </w:pPr>
                </w:p>
              </w:tc>
              <w:tc>
                <w:tcPr>
                  <w:tcW w:w="1077" w:type="pct"/>
                  <w:gridSpan w:val="2"/>
                  <w:noWrap w:val="0"/>
                  <w:vAlign w:val="center"/>
                </w:tcPr>
                <w:p w14:paraId="77F486DC">
                  <w:pPr>
                    <w:widowControl/>
                    <w:jc w:val="center"/>
                    <w:rPr>
                      <w:color w:val="auto"/>
                      <w:sz w:val="21"/>
                      <w:szCs w:val="21"/>
                    </w:rPr>
                  </w:pPr>
                  <w:r>
                    <w:rPr>
                      <w:bCs/>
                      <w:color w:val="auto"/>
                      <w:sz w:val="21"/>
                      <w:szCs w:val="21"/>
                    </w:rPr>
                    <w:t>NH</w:t>
                  </w:r>
                  <w:r>
                    <w:rPr>
                      <w:bCs/>
                      <w:color w:val="auto"/>
                      <w:sz w:val="21"/>
                      <w:szCs w:val="21"/>
                      <w:vertAlign w:val="subscript"/>
                    </w:rPr>
                    <w:t>3</w:t>
                  </w:r>
                  <w:r>
                    <w:rPr>
                      <w:bCs/>
                      <w:color w:val="auto"/>
                      <w:sz w:val="21"/>
                      <w:szCs w:val="21"/>
                    </w:rPr>
                    <w:t>-N</w:t>
                  </w:r>
                </w:p>
              </w:tc>
              <w:tc>
                <w:tcPr>
                  <w:tcW w:w="952" w:type="pct"/>
                  <w:noWrap w:val="0"/>
                  <w:vAlign w:val="center"/>
                </w:tcPr>
                <w:p w14:paraId="42E07A48">
                  <w:pPr>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0.3141</w:t>
                  </w:r>
                </w:p>
              </w:tc>
              <w:tc>
                <w:tcPr>
                  <w:tcW w:w="2041" w:type="dxa"/>
                  <w:noWrap w:val="0"/>
                  <w:vAlign w:val="center"/>
                </w:tcPr>
                <w:p w14:paraId="619B22DA">
                  <w:pPr>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0.2189</w:t>
                  </w:r>
                </w:p>
              </w:tc>
              <w:tc>
                <w:tcPr>
                  <w:tcW w:w="1191" w:type="pct"/>
                  <w:noWrap w:val="0"/>
                  <w:vAlign w:val="center"/>
                </w:tcPr>
                <w:p w14:paraId="560A49F7">
                  <w:pPr>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0.0709</w:t>
                  </w:r>
                </w:p>
              </w:tc>
            </w:tr>
            <w:tr w14:paraId="7ABFB9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7" w:type="pct"/>
                  <w:vMerge w:val="continue"/>
                  <w:noWrap w:val="0"/>
                  <w:vAlign w:val="center"/>
                </w:tcPr>
                <w:p w14:paraId="16C4AD2B">
                  <w:pPr>
                    <w:jc w:val="center"/>
                    <w:rPr>
                      <w:color w:val="auto"/>
                      <w:sz w:val="21"/>
                      <w:szCs w:val="21"/>
                    </w:rPr>
                  </w:pPr>
                </w:p>
              </w:tc>
              <w:tc>
                <w:tcPr>
                  <w:tcW w:w="1077" w:type="pct"/>
                  <w:gridSpan w:val="2"/>
                  <w:noWrap w:val="0"/>
                  <w:vAlign w:val="center"/>
                </w:tcPr>
                <w:p w14:paraId="4E51704D">
                  <w:pPr>
                    <w:widowControl/>
                    <w:jc w:val="center"/>
                    <w:rPr>
                      <w:color w:val="auto"/>
                      <w:sz w:val="21"/>
                      <w:szCs w:val="21"/>
                    </w:rPr>
                  </w:pPr>
                  <w:r>
                    <w:rPr>
                      <w:bCs/>
                      <w:color w:val="auto"/>
                      <w:sz w:val="21"/>
                      <w:szCs w:val="21"/>
                    </w:rPr>
                    <w:t>TN</w:t>
                  </w:r>
                </w:p>
              </w:tc>
              <w:tc>
                <w:tcPr>
                  <w:tcW w:w="952" w:type="pct"/>
                  <w:noWrap w:val="0"/>
                  <w:vAlign w:val="center"/>
                </w:tcPr>
                <w:p w14:paraId="07AFBEE3">
                  <w:pPr>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0.4188</w:t>
                  </w:r>
                </w:p>
              </w:tc>
              <w:tc>
                <w:tcPr>
                  <w:tcW w:w="2041" w:type="dxa"/>
                  <w:noWrap w:val="0"/>
                  <w:vAlign w:val="center"/>
                </w:tcPr>
                <w:p w14:paraId="48E65139">
                  <w:pPr>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0.2885</w:t>
                  </w:r>
                </w:p>
              </w:tc>
              <w:tc>
                <w:tcPr>
                  <w:tcW w:w="1191" w:type="pct"/>
                  <w:noWrap w:val="0"/>
                  <w:vAlign w:val="center"/>
                </w:tcPr>
                <w:p w14:paraId="7B384034">
                  <w:pPr>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0.0614</w:t>
                  </w:r>
                </w:p>
              </w:tc>
            </w:tr>
            <w:tr w14:paraId="2BECD3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7" w:type="pct"/>
                  <w:vMerge w:val="continue"/>
                  <w:noWrap w:val="0"/>
                  <w:vAlign w:val="center"/>
                </w:tcPr>
                <w:p w14:paraId="6E7F9D76">
                  <w:pPr>
                    <w:jc w:val="center"/>
                    <w:rPr>
                      <w:color w:val="auto"/>
                      <w:sz w:val="21"/>
                      <w:szCs w:val="21"/>
                    </w:rPr>
                  </w:pPr>
                </w:p>
              </w:tc>
              <w:tc>
                <w:tcPr>
                  <w:tcW w:w="1077" w:type="pct"/>
                  <w:gridSpan w:val="2"/>
                  <w:noWrap w:val="0"/>
                  <w:vAlign w:val="center"/>
                </w:tcPr>
                <w:p w14:paraId="68941B1F">
                  <w:pPr>
                    <w:widowControl/>
                    <w:jc w:val="center"/>
                    <w:rPr>
                      <w:color w:val="auto"/>
                      <w:sz w:val="21"/>
                      <w:szCs w:val="21"/>
                    </w:rPr>
                  </w:pPr>
                  <w:r>
                    <w:rPr>
                      <w:bCs/>
                      <w:color w:val="auto"/>
                      <w:sz w:val="21"/>
                      <w:szCs w:val="21"/>
                    </w:rPr>
                    <w:t>TP</w:t>
                  </w:r>
                </w:p>
              </w:tc>
              <w:tc>
                <w:tcPr>
                  <w:tcW w:w="952" w:type="pct"/>
                  <w:noWrap w:val="0"/>
                  <w:vAlign w:val="center"/>
                </w:tcPr>
                <w:p w14:paraId="1F82F0B5">
                  <w:pPr>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0.0314</w:t>
                  </w:r>
                </w:p>
              </w:tc>
              <w:tc>
                <w:tcPr>
                  <w:tcW w:w="2041" w:type="dxa"/>
                  <w:noWrap w:val="0"/>
                  <w:vAlign w:val="center"/>
                </w:tcPr>
                <w:p w14:paraId="5D883B0C">
                  <w:pPr>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0.0199</w:t>
                  </w:r>
                </w:p>
              </w:tc>
              <w:tc>
                <w:tcPr>
                  <w:tcW w:w="1191" w:type="pct"/>
                  <w:noWrap w:val="0"/>
                  <w:vAlign w:val="center"/>
                </w:tcPr>
                <w:p w14:paraId="302C92FB">
                  <w:pPr>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0.0077</w:t>
                  </w:r>
                </w:p>
              </w:tc>
            </w:tr>
            <w:tr w14:paraId="78D4F6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7" w:type="pct"/>
                  <w:vMerge w:val="continue"/>
                  <w:noWrap w:val="0"/>
                  <w:vAlign w:val="center"/>
                </w:tcPr>
                <w:p w14:paraId="365B751A">
                  <w:pPr>
                    <w:jc w:val="center"/>
                    <w:rPr>
                      <w:color w:val="auto"/>
                      <w:sz w:val="21"/>
                      <w:szCs w:val="21"/>
                    </w:rPr>
                  </w:pPr>
                </w:p>
              </w:tc>
              <w:tc>
                <w:tcPr>
                  <w:tcW w:w="1077" w:type="pct"/>
                  <w:gridSpan w:val="2"/>
                  <w:noWrap w:val="0"/>
                  <w:vAlign w:val="center"/>
                </w:tcPr>
                <w:p w14:paraId="23DC56B2">
                  <w:pPr>
                    <w:widowControl/>
                    <w:jc w:val="center"/>
                    <w:rPr>
                      <w:color w:val="auto"/>
                      <w:sz w:val="21"/>
                      <w:szCs w:val="21"/>
                    </w:rPr>
                  </w:pPr>
                  <w:r>
                    <w:rPr>
                      <w:color w:val="auto"/>
                      <w:sz w:val="21"/>
                      <w:szCs w:val="21"/>
                    </w:rPr>
                    <w:t>动植物油</w:t>
                  </w:r>
                </w:p>
              </w:tc>
              <w:tc>
                <w:tcPr>
                  <w:tcW w:w="952" w:type="pct"/>
                  <w:noWrap w:val="0"/>
                  <w:vAlign w:val="center"/>
                </w:tcPr>
                <w:p w14:paraId="509A0224">
                  <w:pPr>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0.6701</w:t>
                  </w:r>
                </w:p>
              </w:tc>
              <w:tc>
                <w:tcPr>
                  <w:tcW w:w="2041" w:type="dxa"/>
                  <w:noWrap w:val="0"/>
                  <w:vAlign w:val="center"/>
                </w:tcPr>
                <w:p w14:paraId="45D2C1DF">
                  <w:pPr>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0.4616</w:t>
                  </w:r>
                </w:p>
              </w:tc>
              <w:tc>
                <w:tcPr>
                  <w:tcW w:w="1191" w:type="pct"/>
                  <w:noWrap w:val="0"/>
                  <w:vAlign w:val="center"/>
                </w:tcPr>
                <w:p w14:paraId="3E56879E">
                  <w:pPr>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0.0116</w:t>
                  </w:r>
                </w:p>
              </w:tc>
            </w:tr>
            <w:tr w14:paraId="526A72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65" w:type="pct"/>
                  <w:gridSpan w:val="3"/>
                  <w:noWrap w:val="0"/>
                  <w:vAlign w:val="center"/>
                </w:tcPr>
                <w:p w14:paraId="022B792C">
                  <w:pPr>
                    <w:adjustRightInd w:val="0"/>
                    <w:snapToGrid w:val="0"/>
                    <w:jc w:val="center"/>
                    <w:rPr>
                      <w:color w:val="auto"/>
                      <w:sz w:val="21"/>
                      <w:szCs w:val="21"/>
                    </w:rPr>
                  </w:pPr>
                  <w:r>
                    <w:rPr>
                      <w:color w:val="auto"/>
                      <w:sz w:val="21"/>
                      <w:szCs w:val="21"/>
                    </w:rPr>
                    <w:t>固废</w:t>
                  </w:r>
                </w:p>
              </w:tc>
              <w:tc>
                <w:tcPr>
                  <w:tcW w:w="952" w:type="pct"/>
                  <w:noWrap w:val="0"/>
                  <w:vAlign w:val="center"/>
                </w:tcPr>
                <w:p w14:paraId="35215D17">
                  <w:pPr>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w:t>
                  </w:r>
                </w:p>
              </w:tc>
              <w:tc>
                <w:tcPr>
                  <w:tcW w:w="1190" w:type="pct"/>
                  <w:noWrap w:val="0"/>
                  <w:vAlign w:val="center"/>
                </w:tcPr>
                <w:p w14:paraId="6B7550C8">
                  <w:pPr>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w:t>
                  </w:r>
                </w:p>
              </w:tc>
              <w:tc>
                <w:tcPr>
                  <w:tcW w:w="1191" w:type="pct"/>
                  <w:noWrap w:val="0"/>
                  <w:vAlign w:val="center"/>
                </w:tcPr>
                <w:p w14:paraId="52A72F24">
                  <w:pPr>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w:t>
                  </w:r>
                </w:p>
              </w:tc>
            </w:tr>
          </w:tbl>
          <w:p w14:paraId="390BC301">
            <w:pPr>
              <w:autoSpaceDE w:val="0"/>
              <w:autoSpaceDN w:val="0"/>
              <w:adjustRightInd w:val="0"/>
              <w:snapToGrid w:val="0"/>
              <w:ind w:firstLine="420" w:firstLineChars="200"/>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rPr>
              <w:t>注：</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 1 \* GB3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①</w:t>
            </w:r>
            <w:r>
              <w:rPr>
                <w:rFonts w:hint="default" w:ascii="Times New Roman" w:hAnsi="Times New Roman" w:cs="Times New Roman"/>
                <w:color w:val="auto"/>
                <w:sz w:val="21"/>
                <w:szCs w:val="21"/>
              </w:rPr>
              <w:fldChar w:fldCharType="end"/>
            </w:r>
            <w:r>
              <w:rPr>
                <w:rFonts w:hint="default" w:ascii="Times New Roman" w:hAnsi="Times New Roman" w:cs="Times New Roman"/>
                <w:color w:val="auto"/>
                <w:kern w:val="0"/>
                <w:sz w:val="21"/>
                <w:szCs w:val="21"/>
              </w:rPr>
              <w:t>根据《</w:t>
            </w:r>
            <w:r>
              <w:rPr>
                <w:rFonts w:hint="default" w:ascii="Times New Roman" w:hAnsi="Times New Roman" w:cs="Times New Roman"/>
                <w:color w:val="auto"/>
                <w:sz w:val="21"/>
                <w:szCs w:val="21"/>
              </w:rPr>
              <w:t>新建年产光伏组件用高性能EVA胶膜、功能性塑料项目环境影响报告表</w:t>
            </w:r>
            <w:r>
              <w:rPr>
                <w:rFonts w:hint="default" w:ascii="Times New Roman" w:hAnsi="Times New Roman" w:cs="Times New Roman"/>
                <w:color w:val="auto"/>
                <w:kern w:val="0"/>
                <w:sz w:val="21"/>
                <w:szCs w:val="21"/>
              </w:rPr>
              <w:t>》、《有机废气整治项目环境影响登记表》（备案号20193204000200000177）和该项目验收意见，新建年产光伏组件用高性能EVA胶膜、功能性塑料项目流延成膜、加热挤出废气（非甲烷总烃排放量0.9t/a）由无组织排放调整为有组织排放，调整后的流延成膜、加热挤出废气非甲烷总烃排放量为0.252t/a（其中有组织非甲烷总烃0.162t/a，无组织非甲烷总烃0.09t/a）。</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 2 \* GB3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②</w:t>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根据</w:t>
            </w:r>
            <w:r>
              <w:rPr>
                <w:rFonts w:hint="default" w:ascii="Times New Roman" w:hAnsi="Times New Roman" w:cs="Times New Roman"/>
                <w:color w:val="auto"/>
                <w:kern w:val="0"/>
                <w:sz w:val="21"/>
                <w:szCs w:val="21"/>
              </w:rPr>
              <w:t>《</w:t>
            </w:r>
            <w:r>
              <w:rPr>
                <w:rFonts w:hint="default" w:ascii="Times New Roman" w:hAnsi="Times New Roman" w:cs="Times New Roman"/>
                <w:color w:val="auto"/>
                <w:sz w:val="21"/>
                <w:szCs w:val="21"/>
              </w:rPr>
              <w:t>新型太阳能封装材料扩产项目环境影响报告表</w:t>
            </w:r>
            <w:r>
              <w:rPr>
                <w:rFonts w:hint="default" w:ascii="Times New Roman" w:hAnsi="Times New Roman" w:cs="Times New Roman"/>
                <w:color w:val="auto"/>
                <w:kern w:val="0"/>
                <w:sz w:val="21"/>
                <w:szCs w:val="21"/>
              </w:rPr>
              <w:t>》及其验收意见</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项目</w:t>
            </w:r>
            <w:r>
              <w:rPr>
                <w:rFonts w:hint="default" w:ascii="Times New Roman" w:hAnsi="Times New Roman" w:cs="Times New Roman"/>
                <w:color w:val="auto"/>
                <w:sz w:val="21"/>
                <w:szCs w:val="21"/>
              </w:rPr>
              <w:t>废气</w:t>
            </w:r>
            <w:r>
              <w:rPr>
                <w:rFonts w:hint="default" w:ascii="Times New Roman" w:hAnsi="Times New Roman" w:cs="Times New Roman"/>
                <w:color w:val="auto"/>
                <w:kern w:val="0"/>
                <w:sz w:val="21"/>
                <w:szCs w:val="21"/>
              </w:rPr>
              <w:t>非甲烷总烃</w:t>
            </w:r>
            <w:r>
              <w:rPr>
                <w:rFonts w:hint="default" w:ascii="Times New Roman" w:hAnsi="Times New Roman" w:cs="Times New Roman"/>
                <w:color w:val="auto"/>
                <w:sz w:val="21"/>
                <w:szCs w:val="21"/>
              </w:rPr>
              <w:t>有组织排放量为0.63t/a，无组织排放量为0.7t/a。③根据</w:t>
            </w:r>
            <w:r>
              <w:rPr>
                <w:rFonts w:hint="default" w:ascii="Times New Roman" w:hAnsi="Times New Roman" w:cs="Times New Roman"/>
                <w:color w:val="auto"/>
                <w:kern w:val="0"/>
                <w:sz w:val="21"/>
                <w:szCs w:val="21"/>
              </w:rPr>
              <w:t>《</w:t>
            </w:r>
            <w:r>
              <w:rPr>
                <w:rFonts w:hint="default" w:ascii="Times New Roman" w:hAnsi="Times New Roman" w:cs="Times New Roman"/>
                <w:color w:val="auto"/>
                <w:sz w:val="21"/>
                <w:szCs w:val="21"/>
              </w:rPr>
              <w:t>功能性聚烯烃热熔胶扩产项目环境影响报告表</w:t>
            </w:r>
            <w:r>
              <w:rPr>
                <w:rFonts w:hint="default" w:ascii="Times New Roman" w:hAnsi="Times New Roman" w:cs="Times New Roman"/>
                <w:color w:val="auto"/>
                <w:kern w:val="0"/>
                <w:sz w:val="21"/>
                <w:szCs w:val="21"/>
              </w:rPr>
              <w:t>》及其</w:t>
            </w:r>
            <w:r>
              <w:rPr>
                <w:rFonts w:hint="default" w:ascii="Times New Roman" w:hAnsi="Times New Roman" w:cs="Times New Roman"/>
                <w:color w:val="auto"/>
                <w:kern w:val="0"/>
                <w:sz w:val="21"/>
                <w:szCs w:val="21"/>
                <w:lang w:val="en-US" w:eastAsia="zh-CN"/>
              </w:rPr>
              <w:t>环评批复，</w:t>
            </w:r>
            <w:r>
              <w:rPr>
                <w:rFonts w:hint="default" w:ascii="Times New Roman" w:hAnsi="Times New Roman" w:cs="Times New Roman"/>
                <w:color w:val="auto"/>
                <w:sz w:val="21"/>
                <w:szCs w:val="21"/>
                <w:lang w:val="en-US" w:eastAsia="zh-CN"/>
              </w:rPr>
              <w:t>项目</w:t>
            </w:r>
            <w:r>
              <w:rPr>
                <w:rFonts w:hint="default" w:ascii="Times New Roman" w:hAnsi="Times New Roman" w:cs="Times New Roman"/>
                <w:color w:val="auto"/>
                <w:sz w:val="21"/>
                <w:szCs w:val="21"/>
              </w:rPr>
              <w:t>废气</w:t>
            </w:r>
            <w:r>
              <w:rPr>
                <w:rFonts w:hint="default" w:ascii="Times New Roman" w:hAnsi="Times New Roman" w:cs="Times New Roman"/>
                <w:color w:val="auto"/>
                <w:kern w:val="0"/>
                <w:sz w:val="21"/>
                <w:szCs w:val="21"/>
              </w:rPr>
              <w:t>非甲烷总烃</w:t>
            </w:r>
            <w:r>
              <w:rPr>
                <w:rFonts w:hint="default" w:ascii="Times New Roman" w:hAnsi="Times New Roman" w:cs="Times New Roman"/>
                <w:color w:val="auto"/>
                <w:sz w:val="21"/>
                <w:szCs w:val="21"/>
              </w:rPr>
              <w:t>有组织排放量为</w:t>
            </w:r>
            <w:r>
              <w:rPr>
                <w:rFonts w:hint="default" w:ascii="Times New Roman" w:hAnsi="Times New Roman" w:cs="Times New Roman"/>
                <w:color w:val="auto"/>
                <w:sz w:val="21"/>
                <w:szCs w:val="21"/>
                <w:lang w:val="en-US" w:eastAsia="zh-CN"/>
              </w:rPr>
              <w:t>1.26</w:t>
            </w:r>
            <w:r>
              <w:rPr>
                <w:rFonts w:hint="default" w:ascii="Times New Roman" w:hAnsi="Times New Roman" w:cs="Times New Roman"/>
                <w:color w:val="auto"/>
                <w:sz w:val="21"/>
                <w:szCs w:val="21"/>
              </w:rPr>
              <w:t>t/a，无组织排放量为</w:t>
            </w:r>
            <w:r>
              <w:rPr>
                <w:rFonts w:hint="default" w:ascii="Times New Roman" w:hAnsi="Times New Roman" w:cs="Times New Roman"/>
                <w:color w:val="auto"/>
                <w:sz w:val="21"/>
                <w:szCs w:val="21"/>
                <w:lang w:val="en-US" w:eastAsia="zh-CN"/>
              </w:rPr>
              <w:t>1.4</w:t>
            </w:r>
            <w:r>
              <w:rPr>
                <w:rFonts w:hint="default" w:ascii="Times New Roman" w:hAnsi="Times New Roman" w:cs="Times New Roman"/>
                <w:color w:val="auto"/>
                <w:sz w:val="21"/>
                <w:szCs w:val="21"/>
              </w:rPr>
              <w:t>t/a</w:t>
            </w:r>
            <w:r>
              <w:rPr>
                <w:rFonts w:hint="eastAsia"/>
                <w:color w:val="auto"/>
                <w:sz w:val="21"/>
                <w:szCs w:val="21"/>
              </w:rPr>
              <w:t>（其中已建项目</w:t>
            </w:r>
            <w:r>
              <w:rPr>
                <w:rFonts w:hint="eastAsia"/>
                <w:color w:val="auto"/>
                <w:kern w:val="0"/>
                <w:sz w:val="21"/>
                <w:szCs w:val="21"/>
              </w:rPr>
              <w:t>非甲烷总烃</w:t>
            </w:r>
            <w:r>
              <w:rPr>
                <w:rFonts w:hint="eastAsia"/>
                <w:color w:val="auto"/>
                <w:sz w:val="21"/>
                <w:szCs w:val="21"/>
              </w:rPr>
              <w:t>有组织排放量为0</w:t>
            </w:r>
            <w:r>
              <w:rPr>
                <w:rFonts w:hint="eastAsia"/>
                <w:color w:val="auto"/>
                <w:sz w:val="21"/>
                <w:szCs w:val="21"/>
                <w:lang w:val="en-US" w:eastAsia="zh-CN"/>
              </w:rPr>
              <w:t>.1575</w:t>
            </w:r>
            <w:r>
              <w:rPr>
                <w:rFonts w:hint="eastAsia"/>
                <w:color w:val="auto"/>
                <w:sz w:val="21"/>
                <w:szCs w:val="21"/>
              </w:rPr>
              <w:t>t/a，无组织排放量为</w:t>
            </w:r>
            <w:r>
              <w:rPr>
                <w:rFonts w:hint="eastAsia"/>
                <w:color w:val="auto"/>
                <w:sz w:val="21"/>
                <w:szCs w:val="21"/>
                <w:lang w:val="en-US" w:eastAsia="zh-CN"/>
              </w:rPr>
              <w:t>0.175</w:t>
            </w:r>
            <w:r>
              <w:rPr>
                <w:rFonts w:hint="eastAsia"/>
                <w:color w:val="auto"/>
                <w:sz w:val="21"/>
                <w:szCs w:val="21"/>
              </w:rPr>
              <w:t>t/a；</w:t>
            </w:r>
            <w:r>
              <w:rPr>
                <w:rFonts w:hint="eastAsia"/>
                <w:color w:val="auto"/>
                <w:sz w:val="21"/>
                <w:szCs w:val="21"/>
                <w:lang w:val="en-US" w:eastAsia="zh-CN"/>
              </w:rPr>
              <w:t>在</w:t>
            </w:r>
            <w:r>
              <w:rPr>
                <w:rFonts w:hint="eastAsia"/>
                <w:color w:val="auto"/>
                <w:sz w:val="21"/>
                <w:szCs w:val="21"/>
              </w:rPr>
              <w:t>建项目</w:t>
            </w:r>
            <w:r>
              <w:rPr>
                <w:rFonts w:hint="eastAsia"/>
                <w:color w:val="auto"/>
                <w:kern w:val="0"/>
                <w:sz w:val="21"/>
                <w:szCs w:val="21"/>
              </w:rPr>
              <w:t>非甲烷总烃</w:t>
            </w:r>
            <w:r>
              <w:rPr>
                <w:rFonts w:hint="eastAsia"/>
                <w:color w:val="auto"/>
                <w:sz w:val="21"/>
                <w:szCs w:val="21"/>
              </w:rPr>
              <w:t>有组织排放量为</w:t>
            </w:r>
            <w:r>
              <w:rPr>
                <w:rFonts w:hint="eastAsia"/>
                <w:color w:val="auto"/>
                <w:sz w:val="21"/>
                <w:szCs w:val="21"/>
                <w:lang w:val="en-US" w:eastAsia="zh-CN"/>
              </w:rPr>
              <w:t>1.1025</w:t>
            </w:r>
            <w:r>
              <w:rPr>
                <w:rFonts w:hint="eastAsia"/>
                <w:color w:val="auto"/>
                <w:sz w:val="21"/>
                <w:szCs w:val="21"/>
              </w:rPr>
              <w:t>t/a，无组织排放量为</w:t>
            </w:r>
            <w:r>
              <w:rPr>
                <w:rFonts w:hint="eastAsia"/>
                <w:color w:val="auto"/>
                <w:sz w:val="21"/>
                <w:szCs w:val="21"/>
                <w:lang w:val="en-US" w:eastAsia="zh-CN"/>
              </w:rPr>
              <w:t>0.875</w:t>
            </w:r>
            <w:r>
              <w:rPr>
                <w:rFonts w:hint="eastAsia"/>
                <w:color w:val="auto"/>
                <w:sz w:val="21"/>
                <w:szCs w:val="21"/>
              </w:rPr>
              <w:t>t/a）</w:t>
            </w:r>
            <w:r>
              <w:rPr>
                <w:rFonts w:hint="default" w:ascii="Times New Roman" w:hAnsi="Times New Roman" w:cs="Times New Roman"/>
                <w:color w:val="auto"/>
                <w:sz w:val="21"/>
                <w:szCs w:val="21"/>
              </w:rPr>
              <w:t>。</w:t>
            </w:r>
            <w:r>
              <w:rPr>
                <w:rFonts w:hint="default" w:ascii="Times New Roman" w:hAnsi="Times New Roman" w:eastAsia="微软雅黑" w:cs="Times New Roman"/>
                <w:color w:val="auto"/>
                <w:sz w:val="21"/>
                <w:szCs w:val="21"/>
              </w:rPr>
              <w:t>④</w:t>
            </w:r>
            <w:r>
              <w:rPr>
                <w:rFonts w:hint="default" w:ascii="Times New Roman" w:hAnsi="Times New Roman" w:cs="Times New Roman"/>
                <w:color w:val="auto"/>
                <w:sz w:val="21"/>
                <w:szCs w:val="21"/>
              </w:rPr>
              <w:t>根据</w:t>
            </w:r>
            <w:r>
              <w:rPr>
                <w:rFonts w:hint="default" w:ascii="Times New Roman" w:hAnsi="Times New Roman" w:cs="Times New Roman"/>
                <w:color w:val="auto"/>
                <w:kern w:val="0"/>
                <w:sz w:val="21"/>
                <w:szCs w:val="21"/>
              </w:rPr>
              <w:t>《</w:t>
            </w:r>
            <w:r>
              <w:rPr>
                <w:rFonts w:hint="default" w:ascii="Times New Roman" w:hAnsi="Times New Roman" w:eastAsia="宋体" w:cs="Times New Roman"/>
                <w:color w:val="auto"/>
                <w:sz w:val="21"/>
                <w:szCs w:val="21"/>
                <w:lang w:val="en-US" w:eastAsia="zh-CN"/>
              </w:rPr>
              <w:t>太阳能电池封装胶膜扩产项目</w:t>
            </w:r>
            <w:r>
              <w:rPr>
                <w:rFonts w:hint="default" w:ascii="Times New Roman" w:hAnsi="Times New Roman" w:cs="Times New Roman"/>
                <w:color w:val="auto"/>
                <w:sz w:val="21"/>
                <w:szCs w:val="21"/>
              </w:rPr>
              <w:t>环境影响报告表</w:t>
            </w:r>
            <w:r>
              <w:rPr>
                <w:rFonts w:hint="default" w:ascii="Times New Roman" w:hAnsi="Times New Roman" w:cs="Times New Roman"/>
                <w:color w:val="auto"/>
                <w:kern w:val="0"/>
                <w:sz w:val="21"/>
                <w:szCs w:val="21"/>
              </w:rPr>
              <w:t>》及其</w:t>
            </w:r>
            <w:r>
              <w:rPr>
                <w:rFonts w:hint="default" w:ascii="Times New Roman" w:hAnsi="Times New Roman" w:cs="Times New Roman"/>
                <w:color w:val="auto"/>
                <w:kern w:val="0"/>
                <w:sz w:val="21"/>
                <w:szCs w:val="21"/>
                <w:lang w:val="en-US" w:eastAsia="zh-CN"/>
              </w:rPr>
              <w:t>环评批复，</w:t>
            </w:r>
            <w:r>
              <w:rPr>
                <w:rFonts w:hint="default" w:ascii="Times New Roman" w:hAnsi="Times New Roman" w:cs="Times New Roman"/>
                <w:color w:val="auto"/>
                <w:sz w:val="21"/>
                <w:szCs w:val="21"/>
                <w:lang w:val="en-US" w:eastAsia="zh-CN"/>
              </w:rPr>
              <w:t>项目</w:t>
            </w:r>
            <w:r>
              <w:rPr>
                <w:rFonts w:hint="default" w:ascii="Times New Roman" w:hAnsi="Times New Roman" w:cs="Times New Roman"/>
                <w:color w:val="auto"/>
                <w:sz w:val="21"/>
                <w:szCs w:val="21"/>
              </w:rPr>
              <w:t>废气</w:t>
            </w:r>
            <w:r>
              <w:rPr>
                <w:rFonts w:hint="default" w:ascii="Times New Roman" w:hAnsi="Times New Roman" w:cs="Times New Roman"/>
                <w:color w:val="auto"/>
                <w:kern w:val="0"/>
                <w:sz w:val="21"/>
                <w:szCs w:val="21"/>
              </w:rPr>
              <w:t>非甲烷总烃</w:t>
            </w:r>
            <w:r>
              <w:rPr>
                <w:rFonts w:hint="default" w:ascii="Times New Roman" w:hAnsi="Times New Roman" w:cs="Times New Roman"/>
                <w:color w:val="auto"/>
                <w:sz w:val="21"/>
                <w:szCs w:val="21"/>
              </w:rPr>
              <w:t>有组织排放量为</w:t>
            </w:r>
            <w:r>
              <w:rPr>
                <w:rFonts w:hint="default" w:ascii="Times New Roman" w:hAnsi="Times New Roman" w:eastAsia="等线" w:cs="Times New Roman"/>
                <w:color w:val="auto"/>
                <w:sz w:val="21"/>
                <w:szCs w:val="21"/>
                <w:lang w:val="en-US" w:eastAsia="zh-CN"/>
              </w:rPr>
              <w:t>0.491</w:t>
            </w:r>
            <w:r>
              <w:rPr>
                <w:rFonts w:hint="default" w:ascii="Times New Roman" w:hAnsi="Times New Roman" w:cs="Times New Roman"/>
                <w:color w:val="auto"/>
                <w:sz w:val="21"/>
                <w:szCs w:val="21"/>
              </w:rPr>
              <w:t>t/a，无组织排放量为</w:t>
            </w:r>
            <w:r>
              <w:rPr>
                <w:rFonts w:hint="default" w:ascii="Times New Roman" w:hAnsi="Times New Roman" w:eastAsia="等线" w:cs="Times New Roman"/>
                <w:color w:val="auto"/>
                <w:sz w:val="21"/>
                <w:szCs w:val="21"/>
              </w:rPr>
              <w:t>0.</w:t>
            </w:r>
            <w:r>
              <w:rPr>
                <w:rFonts w:hint="default" w:ascii="Times New Roman" w:hAnsi="Times New Roman" w:eastAsia="等线" w:cs="Times New Roman"/>
                <w:color w:val="auto"/>
                <w:sz w:val="21"/>
                <w:szCs w:val="21"/>
                <w:lang w:val="en-US" w:eastAsia="zh-CN"/>
              </w:rPr>
              <w:t>545</w:t>
            </w:r>
            <w:r>
              <w:rPr>
                <w:rFonts w:hint="default" w:ascii="Times New Roman" w:hAnsi="Times New Roman" w:cs="Times New Roman"/>
                <w:color w:val="auto"/>
                <w:sz w:val="21"/>
                <w:szCs w:val="21"/>
              </w:rPr>
              <w:t>t/a。</w:t>
            </w:r>
            <w:r>
              <w:rPr>
                <w:rFonts w:hint="default" w:ascii="Times New Roman" w:hAnsi="Times New Roman" w:eastAsia="微软雅黑" w:cs="Times New Roman"/>
                <w:color w:val="auto"/>
                <w:sz w:val="21"/>
                <w:szCs w:val="21"/>
              </w:rPr>
              <w:fldChar w:fldCharType="begin"/>
            </w:r>
            <w:r>
              <w:rPr>
                <w:rFonts w:hint="default" w:ascii="Times New Roman" w:hAnsi="Times New Roman" w:eastAsia="微软雅黑" w:cs="Times New Roman"/>
                <w:color w:val="auto"/>
                <w:sz w:val="21"/>
                <w:szCs w:val="21"/>
              </w:rPr>
              <w:instrText xml:space="preserve"> = 5 \* GB3 \* MERGEFORMAT </w:instrText>
            </w:r>
            <w:r>
              <w:rPr>
                <w:rFonts w:hint="default" w:ascii="Times New Roman" w:hAnsi="Times New Roman" w:eastAsia="微软雅黑" w:cs="Times New Roman"/>
                <w:color w:val="auto"/>
                <w:sz w:val="21"/>
                <w:szCs w:val="21"/>
              </w:rPr>
              <w:fldChar w:fldCharType="separate"/>
            </w:r>
            <w:r>
              <w:rPr>
                <w:color w:val="auto"/>
                <w:sz w:val="21"/>
                <w:szCs w:val="21"/>
              </w:rPr>
              <w:t>⑤</w:t>
            </w:r>
            <w:r>
              <w:rPr>
                <w:rFonts w:hint="default" w:ascii="Times New Roman" w:hAnsi="Times New Roman" w:eastAsia="微软雅黑" w:cs="Times New Roman"/>
                <w:color w:val="auto"/>
                <w:sz w:val="21"/>
                <w:szCs w:val="21"/>
              </w:rPr>
              <w:fldChar w:fldCharType="end"/>
            </w:r>
            <w:r>
              <w:rPr>
                <w:rFonts w:hint="default" w:ascii="Times New Roman" w:hAnsi="Times New Roman" w:cs="Times New Roman"/>
                <w:color w:val="auto"/>
                <w:sz w:val="21"/>
                <w:szCs w:val="21"/>
              </w:rPr>
              <w:t>根据</w:t>
            </w:r>
            <w:r>
              <w:rPr>
                <w:rFonts w:hint="default" w:ascii="Times New Roman" w:hAnsi="Times New Roman" w:cs="Times New Roman"/>
                <w:color w:val="auto"/>
                <w:kern w:val="0"/>
                <w:sz w:val="21"/>
                <w:szCs w:val="21"/>
              </w:rPr>
              <w:t>《</w:t>
            </w:r>
            <w:r>
              <w:rPr>
                <w:rFonts w:hint="eastAsia" w:cs="Times New Roman"/>
                <w:color w:val="auto"/>
                <w:sz w:val="21"/>
                <w:szCs w:val="21"/>
                <w:lang w:eastAsia="zh-CN"/>
              </w:rPr>
              <w:t>太阳能封装材料技改项目</w:t>
            </w:r>
            <w:r>
              <w:rPr>
                <w:rFonts w:hint="default" w:ascii="Times New Roman" w:hAnsi="Times New Roman" w:cs="Times New Roman"/>
                <w:color w:val="auto"/>
                <w:sz w:val="21"/>
                <w:szCs w:val="21"/>
              </w:rPr>
              <w:t>环境影响报告表</w:t>
            </w:r>
            <w:r>
              <w:rPr>
                <w:rFonts w:hint="default" w:ascii="Times New Roman" w:hAnsi="Times New Roman" w:cs="Times New Roman"/>
                <w:color w:val="auto"/>
                <w:kern w:val="0"/>
                <w:sz w:val="21"/>
                <w:szCs w:val="21"/>
              </w:rPr>
              <w:t>》及其</w:t>
            </w:r>
            <w:r>
              <w:rPr>
                <w:rFonts w:hint="default" w:ascii="Times New Roman" w:hAnsi="Times New Roman" w:cs="Times New Roman"/>
                <w:color w:val="auto"/>
                <w:kern w:val="0"/>
                <w:sz w:val="21"/>
                <w:szCs w:val="21"/>
                <w:lang w:val="en-US" w:eastAsia="zh-CN"/>
              </w:rPr>
              <w:t>环评批复，</w:t>
            </w:r>
            <w:r>
              <w:rPr>
                <w:rFonts w:hint="default" w:ascii="Times New Roman" w:hAnsi="Times New Roman" w:cs="Times New Roman"/>
                <w:color w:val="auto"/>
                <w:sz w:val="21"/>
                <w:szCs w:val="21"/>
                <w:lang w:val="en-US" w:eastAsia="zh-CN"/>
              </w:rPr>
              <w:t>项目</w:t>
            </w:r>
            <w:r>
              <w:rPr>
                <w:rFonts w:hint="eastAsia" w:cs="Times New Roman"/>
                <w:color w:val="auto"/>
                <w:sz w:val="21"/>
                <w:szCs w:val="21"/>
                <w:lang w:val="en-US" w:eastAsia="zh-CN"/>
              </w:rPr>
              <w:t>新增</w:t>
            </w:r>
            <w:r>
              <w:rPr>
                <w:rFonts w:hint="default" w:ascii="Times New Roman" w:hAnsi="Times New Roman" w:cs="Times New Roman"/>
                <w:color w:val="auto"/>
                <w:sz w:val="21"/>
                <w:szCs w:val="21"/>
              </w:rPr>
              <w:t>废气</w:t>
            </w:r>
            <w:r>
              <w:rPr>
                <w:rFonts w:hint="default" w:ascii="Times New Roman" w:hAnsi="Times New Roman" w:cs="Times New Roman"/>
                <w:color w:val="auto"/>
                <w:kern w:val="0"/>
                <w:sz w:val="21"/>
                <w:szCs w:val="21"/>
              </w:rPr>
              <w:t>非甲烷总烃</w:t>
            </w:r>
            <w:r>
              <w:rPr>
                <w:rFonts w:hint="default" w:ascii="Times New Roman" w:hAnsi="Times New Roman" w:cs="Times New Roman"/>
                <w:color w:val="auto"/>
                <w:sz w:val="21"/>
                <w:szCs w:val="21"/>
              </w:rPr>
              <w:t>有组织排放量为</w:t>
            </w:r>
            <w:r>
              <w:rPr>
                <w:rFonts w:hint="eastAsia" w:eastAsia="等线"/>
                <w:color w:val="auto"/>
                <w:sz w:val="21"/>
                <w:szCs w:val="21"/>
                <w:lang w:val="en-US" w:eastAsia="zh-CN"/>
              </w:rPr>
              <w:t>0.14</w:t>
            </w:r>
            <w:r>
              <w:rPr>
                <w:rFonts w:hint="default" w:ascii="Times New Roman" w:hAnsi="Times New Roman" w:cs="Times New Roman"/>
                <w:color w:val="auto"/>
                <w:sz w:val="21"/>
                <w:szCs w:val="21"/>
              </w:rPr>
              <w:t>t/a，无组织排放量为</w:t>
            </w:r>
            <w:r>
              <w:rPr>
                <w:rFonts w:hint="eastAsia" w:cs="Times New Roman"/>
                <w:color w:val="auto"/>
                <w:kern w:val="44"/>
                <w:sz w:val="21"/>
                <w:szCs w:val="21"/>
                <w:lang w:val="en-US" w:eastAsia="zh-CN"/>
              </w:rPr>
              <w:t>0.156</w:t>
            </w:r>
            <w:r>
              <w:rPr>
                <w:rFonts w:hint="default" w:ascii="Times New Roman" w:hAnsi="Times New Roman" w:cs="Times New Roman"/>
                <w:color w:val="auto"/>
                <w:sz w:val="21"/>
                <w:szCs w:val="21"/>
              </w:rPr>
              <w:t>t/a。</w:t>
            </w:r>
          </w:p>
          <w:p w14:paraId="586E696D">
            <w:pPr>
              <w:keepNext w:val="0"/>
              <w:keepLines w:val="0"/>
              <w:pageBreakBefore w:val="0"/>
              <w:widowControl w:val="0"/>
              <w:kinsoku/>
              <w:wordWrap/>
              <w:overflowPunct/>
              <w:topLinePunct w:val="0"/>
              <w:autoSpaceDE w:val="0"/>
              <w:autoSpaceDN w:val="0"/>
              <w:bidi w:val="0"/>
              <w:adjustRightInd w:val="0"/>
              <w:snapToGrid w:val="0"/>
              <w:spacing w:line="500" w:lineRule="exact"/>
              <w:ind w:firstLine="422" w:firstLineChars="200"/>
              <w:textAlignment w:val="auto"/>
              <w:rPr>
                <w:b/>
                <w:bCs/>
                <w:color w:val="auto"/>
                <w:kern w:val="0"/>
                <w:sz w:val="21"/>
                <w:szCs w:val="21"/>
              </w:rPr>
            </w:pPr>
            <w:r>
              <w:rPr>
                <w:b/>
                <w:bCs/>
                <w:color w:val="auto"/>
                <w:kern w:val="0"/>
                <w:sz w:val="21"/>
                <w:szCs w:val="21"/>
              </w:rPr>
              <w:t>4.原有项目存在的问题和“以新带老”措施</w:t>
            </w:r>
          </w:p>
          <w:p w14:paraId="7F53DD07">
            <w:pPr>
              <w:pStyle w:val="6"/>
              <w:keepNext w:val="0"/>
              <w:keepLines w:val="0"/>
              <w:pageBreakBefore w:val="0"/>
              <w:widowControl w:val="0"/>
              <w:kinsoku/>
              <w:wordWrap/>
              <w:overflowPunct/>
              <w:topLinePunct w:val="0"/>
              <w:autoSpaceDE/>
              <w:autoSpaceDN/>
              <w:bidi w:val="0"/>
              <w:adjustRightInd w:val="0"/>
              <w:snapToGrid w:val="0"/>
              <w:spacing w:line="500" w:lineRule="exact"/>
              <w:ind w:firstLine="420"/>
              <w:textAlignment w:val="auto"/>
              <w:rPr>
                <w:rFonts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r>
              <w:rPr>
                <w:rFonts w:eastAsia="宋体" w:cs="Times New Roman"/>
                <w:color w:val="auto"/>
                <w:sz w:val="21"/>
                <w:szCs w:val="21"/>
                <w:highlight w:val="none"/>
                <w:lang w:val="en-US" w:eastAsia="zh-CN"/>
              </w:rPr>
              <w:t>现有项目环境问题</w:t>
            </w:r>
          </w:p>
          <w:p w14:paraId="0A61C24A">
            <w:pPr>
              <w:pStyle w:val="6"/>
              <w:keepNext w:val="0"/>
              <w:keepLines w:val="0"/>
              <w:pageBreakBefore w:val="0"/>
              <w:widowControl w:val="0"/>
              <w:kinsoku/>
              <w:wordWrap/>
              <w:overflowPunct/>
              <w:topLinePunct w:val="0"/>
              <w:autoSpaceDE/>
              <w:autoSpaceDN/>
              <w:bidi w:val="0"/>
              <w:adjustRightInd w:val="0"/>
              <w:snapToGrid w:val="0"/>
              <w:spacing w:line="500" w:lineRule="exact"/>
              <w:ind w:firstLine="420"/>
              <w:textAlignment w:val="auto"/>
              <w:rPr>
                <w:rFonts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现有项目应急池尚未设置液位计</w:t>
            </w:r>
            <w:r>
              <w:rPr>
                <w:rFonts w:hint="eastAsia" w:eastAsia="宋体" w:cs="Times New Roman"/>
                <w:color w:val="auto"/>
                <w:sz w:val="21"/>
                <w:szCs w:val="21"/>
                <w:highlight w:val="none"/>
                <w:lang w:val="en-US" w:eastAsia="zh-CN"/>
              </w:rPr>
              <w:t>。</w:t>
            </w:r>
          </w:p>
          <w:p w14:paraId="21EDBB2E">
            <w:pPr>
              <w:pStyle w:val="6"/>
              <w:keepNext w:val="0"/>
              <w:keepLines w:val="0"/>
              <w:pageBreakBefore w:val="0"/>
              <w:widowControl w:val="0"/>
              <w:kinsoku/>
              <w:wordWrap/>
              <w:overflowPunct/>
              <w:topLinePunct w:val="0"/>
              <w:autoSpaceDE/>
              <w:autoSpaceDN/>
              <w:bidi w:val="0"/>
              <w:adjustRightInd w:val="0"/>
              <w:snapToGrid w:val="0"/>
              <w:spacing w:line="500" w:lineRule="exact"/>
              <w:ind w:firstLine="420"/>
              <w:textAlignment w:val="auto"/>
              <w:rPr>
                <w:rFonts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r>
              <w:rPr>
                <w:rFonts w:hint="eastAsia" w:eastAsia="宋体" w:cs="Times New Roman"/>
                <w:color w:val="auto"/>
                <w:sz w:val="21"/>
                <w:szCs w:val="21"/>
                <w:highlight w:val="none"/>
                <w:lang w:val="en-US" w:eastAsia="zh-CN"/>
              </w:rPr>
              <w:t>“以新带老”措施</w:t>
            </w:r>
          </w:p>
          <w:p w14:paraId="0BD1DC48">
            <w:pPr>
              <w:pStyle w:val="6"/>
              <w:keepNext w:val="0"/>
              <w:keepLines w:val="0"/>
              <w:pageBreakBefore w:val="0"/>
              <w:widowControl w:val="0"/>
              <w:kinsoku/>
              <w:wordWrap/>
              <w:overflowPunct/>
              <w:topLinePunct w:val="0"/>
              <w:autoSpaceDE/>
              <w:autoSpaceDN/>
              <w:bidi w:val="0"/>
              <w:adjustRightInd w:val="0"/>
              <w:snapToGrid w:val="0"/>
              <w:spacing w:line="500" w:lineRule="exact"/>
              <w:ind w:firstLine="42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①现有项目应急池设置液位计。</w:t>
            </w:r>
          </w:p>
          <w:p w14:paraId="56B19E41">
            <w:pPr>
              <w:pStyle w:val="6"/>
              <w:keepNext w:val="0"/>
              <w:keepLines w:val="0"/>
              <w:pageBreakBefore w:val="0"/>
              <w:widowControl w:val="0"/>
              <w:kinsoku/>
              <w:wordWrap/>
              <w:overflowPunct/>
              <w:topLinePunct w:val="0"/>
              <w:autoSpaceDE/>
              <w:autoSpaceDN/>
              <w:bidi w:val="0"/>
              <w:adjustRightInd w:val="0"/>
              <w:snapToGrid w:val="0"/>
              <w:spacing w:line="500" w:lineRule="exact"/>
              <w:ind w:firstLine="42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②本次技改后现有项目车间四4条EVA胶膜线</w:t>
            </w:r>
            <w:r>
              <w:rPr>
                <w:rFonts w:hint="eastAsia" w:ascii="Times New Roman" w:hAnsi="Times New Roman" w:cs="Times New Roman"/>
                <w:color w:val="auto"/>
                <w:sz w:val="21"/>
                <w:szCs w:val="21"/>
                <w:highlight w:val="none"/>
                <w:lang w:val="en-US" w:eastAsia="zh-CN"/>
              </w:rPr>
              <w:t>（1#-4#）</w:t>
            </w:r>
            <w:r>
              <w:rPr>
                <w:rFonts w:hint="default" w:ascii="Times New Roman" w:hAnsi="Times New Roman" w:eastAsia="宋体" w:cs="Times New Roman"/>
                <w:color w:val="auto"/>
                <w:sz w:val="21"/>
                <w:szCs w:val="21"/>
                <w:highlight w:val="none"/>
                <w:lang w:val="en-US" w:eastAsia="zh-CN"/>
              </w:rPr>
              <w:t>流延成型废气非甲烷总烃排放量为</w:t>
            </w:r>
            <w:r>
              <w:rPr>
                <w:rFonts w:hint="eastAsia" w:ascii="Times New Roman" w:hAnsi="Times New Roman" w:cs="Times New Roman"/>
                <w:color w:val="auto"/>
                <w:sz w:val="21"/>
                <w:szCs w:val="21"/>
                <w:highlight w:val="none"/>
                <w:lang w:val="en-US" w:eastAsia="zh-CN"/>
              </w:rPr>
              <w:t>0.373</w:t>
            </w:r>
            <w:r>
              <w:rPr>
                <w:rFonts w:hint="default" w:ascii="Times New Roman" w:hAnsi="Times New Roman" w:eastAsia="宋体" w:cs="Times New Roman"/>
                <w:color w:val="auto"/>
                <w:sz w:val="21"/>
                <w:szCs w:val="21"/>
                <w:highlight w:val="none"/>
                <w:lang w:val="en-US" w:eastAsia="zh-CN"/>
              </w:rPr>
              <w:t>t/a（其中有组织0.</w:t>
            </w:r>
            <w:r>
              <w:rPr>
                <w:rFonts w:hint="eastAsia" w:ascii="Times New Roman" w:hAnsi="Times New Roman" w:cs="Times New Roman"/>
                <w:color w:val="auto"/>
                <w:sz w:val="21"/>
                <w:szCs w:val="21"/>
                <w:highlight w:val="none"/>
                <w:lang w:val="en-US" w:eastAsia="zh-CN"/>
              </w:rPr>
              <w:t>177</w:t>
            </w:r>
            <w:r>
              <w:rPr>
                <w:rFonts w:hint="default" w:ascii="Times New Roman" w:hAnsi="Times New Roman" w:eastAsia="宋体" w:cs="Times New Roman"/>
                <w:color w:val="auto"/>
                <w:sz w:val="21"/>
                <w:szCs w:val="21"/>
                <w:highlight w:val="none"/>
                <w:lang w:val="en-US" w:eastAsia="zh-CN"/>
              </w:rPr>
              <w:t>t/a，无组织0.</w:t>
            </w:r>
            <w:r>
              <w:rPr>
                <w:rFonts w:hint="eastAsia" w:ascii="Times New Roman" w:hAnsi="Times New Roman" w:cs="Times New Roman"/>
                <w:color w:val="auto"/>
                <w:sz w:val="21"/>
                <w:szCs w:val="21"/>
                <w:highlight w:val="none"/>
                <w:lang w:val="en-US" w:eastAsia="zh-CN"/>
              </w:rPr>
              <w:t>196</w:t>
            </w:r>
            <w:r>
              <w:rPr>
                <w:rFonts w:hint="default" w:ascii="Times New Roman" w:hAnsi="Times New Roman" w:eastAsia="宋体" w:cs="Times New Roman"/>
                <w:color w:val="auto"/>
                <w:sz w:val="21"/>
                <w:szCs w:val="21"/>
                <w:highlight w:val="none"/>
                <w:lang w:val="en-US" w:eastAsia="zh-CN"/>
              </w:rPr>
              <w:t>t/a）</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纳入“以新带老”削减量。</w:t>
            </w:r>
          </w:p>
          <w:p w14:paraId="2408710C">
            <w:pPr>
              <w:pStyle w:val="6"/>
              <w:keepNext w:val="0"/>
              <w:keepLines w:val="0"/>
              <w:pageBreakBefore w:val="0"/>
              <w:widowControl w:val="0"/>
              <w:kinsoku/>
              <w:wordWrap/>
              <w:overflowPunct/>
              <w:topLinePunct w:val="0"/>
              <w:autoSpaceDE/>
              <w:autoSpaceDN/>
              <w:bidi w:val="0"/>
              <w:adjustRightInd w:val="0"/>
              <w:snapToGrid w:val="0"/>
              <w:spacing w:line="500" w:lineRule="exact"/>
              <w:ind w:firstLine="42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③现有项目车间四4条EVA胶膜线</w:t>
            </w:r>
            <w:r>
              <w:rPr>
                <w:rFonts w:hint="eastAsia" w:ascii="Times New Roman" w:hAnsi="Times New Roman" w:cs="Times New Roman"/>
                <w:color w:val="auto"/>
                <w:sz w:val="21"/>
                <w:szCs w:val="21"/>
                <w:highlight w:val="none"/>
                <w:lang w:val="en-US" w:eastAsia="zh-CN"/>
              </w:rPr>
              <w:t>（1#-4#）年产</w:t>
            </w:r>
            <w:r>
              <w:rPr>
                <w:rFonts w:hint="default" w:ascii="Times New Roman" w:hAnsi="Times New Roman" w:eastAsia="宋体" w:cs="Times New Roman"/>
                <w:color w:val="auto"/>
                <w:sz w:val="21"/>
                <w:szCs w:val="21"/>
                <w:highlight w:val="none"/>
                <w:lang w:val="en-US" w:eastAsia="zh-CN"/>
              </w:rPr>
              <w:t>EVA胶膜</w:t>
            </w:r>
            <w:r>
              <w:rPr>
                <w:rFonts w:hint="eastAsia" w:ascii="Times New Roman" w:hAnsi="Times New Roman" w:eastAsia="宋体" w:cs="Times New Roman"/>
                <w:color w:val="auto"/>
                <w:sz w:val="21"/>
                <w:szCs w:val="21"/>
                <w:highlight w:val="none"/>
                <w:lang w:val="en-US" w:eastAsia="zh-CN"/>
              </w:rPr>
              <w:t>2</w:t>
            </w:r>
            <w:r>
              <w:rPr>
                <w:rFonts w:hint="eastAsia" w:ascii="Times New Roman" w:hAnsi="Times New Roman"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lang w:val="en-US" w:eastAsia="zh-CN"/>
              </w:rPr>
              <w:t>00万m</w:t>
            </w:r>
            <w:r>
              <w:rPr>
                <w:rFonts w:hint="eastAsia"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lang w:val="en-US" w:eastAsia="zh-CN"/>
              </w:rPr>
              <w:t>，消耗各类原料约</w:t>
            </w:r>
            <w:r>
              <w:rPr>
                <w:rFonts w:hint="eastAsia" w:ascii="Times New Roman" w:hAnsi="Times New Roman" w:cs="Times New Roman"/>
                <w:color w:val="auto"/>
                <w:sz w:val="21"/>
                <w:szCs w:val="21"/>
                <w:highlight w:val="none"/>
                <w:lang w:val="en-US" w:eastAsia="zh-CN"/>
              </w:rPr>
              <w:t>5605</w:t>
            </w:r>
            <w:r>
              <w:rPr>
                <w:rFonts w:hint="eastAsia" w:ascii="Times New Roman" w:hAnsi="Times New Roman" w:eastAsia="宋体" w:cs="Times New Roman"/>
                <w:color w:val="auto"/>
                <w:sz w:val="21"/>
                <w:szCs w:val="21"/>
                <w:highlight w:val="none"/>
                <w:lang w:val="en-US" w:eastAsia="zh-CN"/>
              </w:rPr>
              <w:t>t/a，</w:t>
            </w:r>
            <w:r>
              <w:rPr>
                <w:rFonts w:hint="default" w:ascii="Times New Roman" w:hAnsi="Times New Roman" w:eastAsia="宋体" w:cs="Times New Roman"/>
                <w:color w:val="auto"/>
                <w:sz w:val="21"/>
                <w:szCs w:val="21"/>
                <w:highlight w:val="none"/>
                <w:lang w:val="en-US" w:eastAsia="zh-CN"/>
              </w:rPr>
              <w:t>产生</w:t>
            </w:r>
            <w:r>
              <w:rPr>
                <w:rFonts w:hint="default" w:ascii="Times New Roman" w:hAnsi="Times New Roman" w:cs="Times New Roman" w:eastAsiaTheme="minorEastAsia"/>
                <w:color w:val="auto"/>
                <w:sz w:val="21"/>
                <w:szCs w:val="21"/>
              </w:rPr>
              <w:t>废包装材料</w:t>
            </w:r>
            <w:r>
              <w:rPr>
                <w:rFonts w:hint="eastAsia" w:ascii="Times New Roman" w:hAnsi="Times New Roman"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6t/a，纳入“以新带老”削减量；现有项目4条EVA胶膜线废气采用二级活性炭吸附装置处理，产生的废活性炭</w:t>
            </w:r>
            <w:r>
              <w:rPr>
                <w:rFonts w:hint="eastAsia" w:ascii="Times New Roman" w:hAnsi="Times New Roman" w:cs="Times New Roman"/>
                <w:color w:val="auto"/>
                <w:sz w:val="21"/>
                <w:szCs w:val="21"/>
                <w:highlight w:val="none"/>
                <w:lang w:val="en-US" w:eastAsia="zh-CN"/>
              </w:rPr>
              <w:t>9.53</w:t>
            </w:r>
            <w:r>
              <w:rPr>
                <w:rFonts w:hint="default" w:ascii="Times New Roman" w:hAnsi="Times New Roman" w:eastAsia="宋体" w:cs="Times New Roman"/>
                <w:color w:val="auto"/>
                <w:sz w:val="21"/>
                <w:szCs w:val="21"/>
                <w:highlight w:val="none"/>
                <w:lang w:val="en-US" w:eastAsia="zh-CN"/>
              </w:rPr>
              <w:t>t/a纳入“以新带老”削减量。</w:t>
            </w:r>
            <w:r>
              <w:rPr>
                <w:rFonts w:hint="default" w:ascii="Times New Roman" w:hAnsi="Times New Roman" w:eastAsia="宋体" w:cs="Times New Roman"/>
                <w:color w:val="auto"/>
                <w:sz w:val="21"/>
                <w:szCs w:val="21"/>
                <w:highlight w:val="none"/>
                <w:lang w:val="en-US" w:eastAsia="zh-CN"/>
              </w:rPr>
              <w:br w:type="textWrapping"/>
            </w:r>
          </w:p>
          <w:p w14:paraId="5C03760D">
            <w:pPr>
              <w:pStyle w:val="25"/>
              <w:spacing w:before="0" w:beforeAutospacing="0" w:after="0" w:afterAutospacing="0"/>
              <w:jc w:val="center"/>
              <w:outlineLvl w:val="0"/>
              <w:rPr>
                <w:rFonts w:hint="default" w:ascii="Times New Roman" w:hAnsi="Times New Roman" w:eastAsia="黑体" w:cs="Times New Roman"/>
                <w:snapToGrid w:val="0"/>
                <w:color w:val="auto"/>
                <w:sz w:val="30"/>
                <w:szCs w:val="30"/>
                <w:vertAlign w:val="baseline"/>
              </w:rPr>
            </w:pPr>
          </w:p>
        </w:tc>
      </w:tr>
    </w:tbl>
    <w:p w14:paraId="4B413EAB">
      <w:pPr>
        <w:pStyle w:val="25"/>
        <w:spacing w:before="0" w:beforeAutospacing="0" w:after="0" w:afterAutospacing="0"/>
        <w:jc w:val="center"/>
        <w:outlineLvl w:val="0"/>
        <w:rPr>
          <w:rFonts w:hint="default" w:ascii="Times New Roman" w:hAnsi="Times New Roman" w:eastAsia="黑体" w:cs="Times New Roman"/>
          <w:snapToGrid w:val="0"/>
          <w:color w:val="auto"/>
          <w:sz w:val="30"/>
          <w:szCs w:val="30"/>
        </w:rPr>
      </w:pPr>
    </w:p>
    <w:p w14:paraId="16C7B1C0">
      <w:pPr>
        <w:pStyle w:val="25"/>
        <w:spacing w:before="0" w:beforeAutospacing="0" w:after="0" w:afterAutospacing="0"/>
        <w:jc w:val="center"/>
        <w:outlineLvl w:val="0"/>
        <w:rPr>
          <w:rFonts w:hint="default" w:ascii="Times New Roman" w:hAnsi="Times New Roman" w:eastAsia="黑体" w:cs="Times New Roman"/>
          <w:snapToGrid w:val="0"/>
          <w:color w:val="auto"/>
          <w:sz w:val="30"/>
          <w:szCs w:val="30"/>
        </w:rPr>
      </w:pPr>
    </w:p>
    <w:p w14:paraId="4A3BDB03">
      <w:pPr>
        <w:pStyle w:val="25"/>
        <w:keepNext w:val="0"/>
        <w:keepLines w:val="0"/>
        <w:pageBreakBefore/>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三、区域环境质量现状、环境保护目标及评价标准</w:t>
      </w:r>
      <w:bookmarkEnd w:id="5"/>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8228"/>
      </w:tblGrid>
      <w:tr w14:paraId="63075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2" w:type="dxa"/>
            <w:vAlign w:val="center"/>
          </w:tcPr>
          <w:p w14:paraId="0E122A1E">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区域</w:t>
            </w:r>
          </w:p>
          <w:p w14:paraId="183D58F3">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环境</w:t>
            </w:r>
          </w:p>
          <w:p w14:paraId="6DDBAC30">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质量</w:t>
            </w:r>
          </w:p>
          <w:p w14:paraId="536EE390">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现状</w:t>
            </w:r>
          </w:p>
        </w:tc>
        <w:tc>
          <w:tcPr>
            <w:tcW w:w="8228" w:type="dxa"/>
            <w:vAlign w:val="center"/>
          </w:tcPr>
          <w:p w14:paraId="0D429D0C">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1、环境空气质量现状</w:t>
            </w:r>
          </w:p>
          <w:p w14:paraId="2C1DF77C">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w:t>
            </w:r>
            <w:r>
              <w:rPr>
                <w:rFonts w:hint="default" w:ascii="Times New Roman" w:hAnsi="Times New Roman" w:eastAsia="宋体" w:cs="Times New Roman"/>
                <w:color w:val="auto"/>
                <w:kern w:val="0"/>
                <w:sz w:val="21"/>
                <w:szCs w:val="21"/>
              </w:rPr>
              <w:t>基本污染物环境质量现状</w:t>
            </w:r>
          </w:p>
          <w:p w14:paraId="33BA620B">
            <w:pPr>
              <w:keepNext w:val="0"/>
              <w:keepLines w:val="0"/>
              <w:pageBreakBefore w:val="0"/>
              <w:widowControl w:val="0"/>
              <w:kinsoku/>
              <w:wordWrap/>
              <w:overflowPunct/>
              <w:topLinePunct w:val="0"/>
              <w:autoSpaceDE/>
              <w:autoSpaceDN/>
              <w:bidi w:val="0"/>
              <w:adjustRightInd w:val="0"/>
              <w:snapToGrid w:val="0"/>
              <w:spacing w:line="500" w:lineRule="exact"/>
              <w:ind w:left="0" w:right="0" w:firstLine="48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根据《常州市环境空气质量功能区划分规定（2017）》，项目所在地空气质量功能区为二类区。S</w:t>
            </w:r>
            <w:r>
              <w:rPr>
                <w:rFonts w:hint="default" w:ascii="Times New Roman" w:hAnsi="Times New Roman" w:eastAsia="宋体" w:cs="Times New Roman"/>
                <w:color w:val="auto"/>
                <w:sz w:val="21"/>
                <w:szCs w:val="21"/>
                <w:highlight w:val="none"/>
              </w:rPr>
              <w:t>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rPr>
              <w:t>、N</w:t>
            </w:r>
            <w:r>
              <w:rPr>
                <w:rFonts w:hint="default" w:ascii="Times New Roman" w:hAnsi="Times New Roman" w:eastAsia="宋体" w:cs="Times New Roman"/>
                <w:color w:val="auto"/>
                <w:sz w:val="21"/>
                <w:szCs w:val="21"/>
                <w:highlight w:val="none"/>
              </w:rPr>
              <w:t>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rPr>
              <w:t>、CO、</w:t>
            </w: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10</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2.5</w:t>
            </w:r>
            <w:r>
              <w:rPr>
                <w:rFonts w:hint="default" w:ascii="Times New Roman" w:hAnsi="Times New Roman" w:eastAsia="宋体" w:cs="Times New Roman"/>
                <w:color w:val="auto"/>
                <w:sz w:val="21"/>
                <w:szCs w:val="21"/>
              </w:rPr>
              <w:t>、O</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执行《环境空气质量标准》</w:t>
            </w:r>
            <w:r>
              <w:rPr>
                <w:rFonts w:hint="default" w:ascii="Times New Roman" w:hAnsi="Times New Roman" w:eastAsia="宋体" w:cs="Times New Roman"/>
                <w:color w:val="auto"/>
                <w:sz w:val="21"/>
                <w:szCs w:val="21"/>
                <w:highlight w:val="none"/>
              </w:rPr>
              <w:t>（</w:t>
            </w:r>
            <w:r>
              <w:rPr>
                <w:rFonts w:hint="eastAsia" w:cs="Times New Roman"/>
                <w:color w:val="auto"/>
                <w:sz w:val="21"/>
                <w:szCs w:val="21"/>
                <w:lang w:eastAsia="zh-CN"/>
              </w:rPr>
              <w:t>GB 3095—2026</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表1</w:t>
            </w:r>
            <w:r>
              <w:rPr>
                <w:rFonts w:hint="eastAsia" w:cs="Times New Roman"/>
                <w:color w:val="auto"/>
                <w:sz w:val="21"/>
                <w:szCs w:val="21"/>
                <w:lang w:val="en-US" w:eastAsia="zh-CN"/>
              </w:rPr>
              <w:t>过渡阶段浓度限值</w:t>
            </w:r>
            <w:r>
              <w:rPr>
                <w:rFonts w:hint="default" w:ascii="Times New Roman" w:hAnsi="Times New Roman" w:eastAsia="宋体" w:cs="Times New Roman"/>
                <w:color w:val="auto"/>
                <w:sz w:val="21"/>
                <w:szCs w:val="21"/>
              </w:rPr>
              <w:t>中二级标准</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根据《环境影响评价技术导则大气环境》</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rPr>
              <w:t>HJ2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rPr>
              <w:t>2-2018</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rPr>
              <w:t>，项目所在区域达标情况判定优先采用</w:t>
            </w:r>
            <w:r>
              <w:rPr>
                <w:rFonts w:hint="default" w:ascii="Times New Roman" w:hAnsi="Times New Roman" w:eastAsia="宋体" w:cs="Times New Roman"/>
                <w:color w:val="auto"/>
                <w:sz w:val="21"/>
                <w:szCs w:val="21"/>
                <w:shd w:val="clear" w:fill="auto"/>
              </w:rPr>
              <w:t>国家</w:t>
            </w:r>
            <w:r>
              <w:rPr>
                <w:rFonts w:hint="default" w:ascii="Times New Roman" w:hAnsi="Times New Roman" w:eastAsia="宋体" w:cs="Times New Roman"/>
                <w:color w:val="auto"/>
                <w:sz w:val="21"/>
                <w:szCs w:val="21"/>
              </w:rPr>
              <w:t>或地方生态环境主管部门公开发布的环境质量报告或环境质量报告书中的数据或结论。本次评价选取202</w:t>
            </w:r>
            <w:r>
              <w:rPr>
                <w:rFonts w:hint="eastAsia" w:cs="Times New Roman"/>
                <w:color w:val="auto"/>
                <w:sz w:val="21"/>
                <w:szCs w:val="21"/>
                <w:lang w:val="en-US" w:eastAsia="zh-CN"/>
              </w:rPr>
              <w:t>4</w:t>
            </w:r>
            <w:r>
              <w:rPr>
                <w:rFonts w:hint="default" w:ascii="Times New Roman" w:hAnsi="Times New Roman" w:eastAsia="宋体" w:cs="Times New Roman"/>
                <w:color w:val="auto"/>
                <w:sz w:val="21"/>
                <w:szCs w:val="21"/>
              </w:rPr>
              <w:t>年作为评价基准年，根据《</w:t>
            </w:r>
            <w:r>
              <w:rPr>
                <w:rFonts w:hint="eastAsia" w:cs="Times New Roman"/>
                <w:color w:val="auto"/>
                <w:sz w:val="21"/>
                <w:szCs w:val="21"/>
                <w:lang w:eastAsia="zh-CN"/>
              </w:rPr>
              <w:t>202</w:t>
            </w:r>
            <w:r>
              <w:rPr>
                <w:rFonts w:hint="eastAsia" w:cs="Times New Roman"/>
                <w:color w:val="auto"/>
                <w:sz w:val="21"/>
                <w:szCs w:val="21"/>
                <w:lang w:val="en-US" w:eastAsia="zh-CN"/>
              </w:rPr>
              <w:t>4</w:t>
            </w:r>
            <w:r>
              <w:rPr>
                <w:rFonts w:hint="eastAsia" w:cs="Times New Roman"/>
                <w:color w:val="auto"/>
                <w:sz w:val="21"/>
                <w:szCs w:val="21"/>
                <w:lang w:eastAsia="zh-CN"/>
              </w:rPr>
              <w:t>年常州市生态环境状况公报</w:t>
            </w:r>
            <w:r>
              <w:rPr>
                <w:rFonts w:hint="default" w:ascii="Times New Roman" w:hAnsi="Times New Roman" w:eastAsia="宋体" w:cs="Times New Roman"/>
                <w:color w:val="auto"/>
                <w:sz w:val="21"/>
                <w:szCs w:val="21"/>
              </w:rPr>
              <w:t>》</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项目所在区域环境空气质量汇总见下表。</w:t>
            </w:r>
          </w:p>
          <w:p w14:paraId="095E11E0">
            <w:pPr>
              <w:pStyle w:val="107"/>
              <w:keepNext w:val="0"/>
              <w:keepLines w:val="0"/>
              <w:pageBreakBefore w:val="0"/>
              <w:widowControl w:val="0"/>
              <w:kinsoku/>
              <w:wordWrap/>
              <w:overflowPunct/>
              <w:topLinePunct w:val="0"/>
              <w:autoSpaceDE/>
              <w:autoSpaceDN/>
              <w:bidi w:val="0"/>
              <w:adjustRightInd w:val="0"/>
              <w:snapToGrid w:val="0"/>
              <w:spacing w:line="500" w:lineRule="exact"/>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表3-1</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区域空气质量现状评价表</w:t>
            </w:r>
          </w:p>
          <w:tbl>
            <w:tblPr>
              <w:tblStyle w:val="31"/>
              <w:tblW w:w="4998" w:type="pct"/>
              <w:jc w:val="center"/>
              <w:tblBorders>
                <w:top w:val="single" w:color="auto" w:sz="4" w:space="0"/>
                <w:left w:val="none" w:color="auto" w:sz="0" w:space="0"/>
                <w:bottom w:val="single" w:color="auto" w:sz="4"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947"/>
              <w:gridCol w:w="3469"/>
              <w:gridCol w:w="1930"/>
              <w:gridCol w:w="1663"/>
            </w:tblGrid>
            <w:tr w14:paraId="2DFB04F3">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91" w:type="pct"/>
                  <w:tcBorders>
                    <w:tl2br w:val="nil"/>
                    <w:tr2bl w:val="nil"/>
                  </w:tcBorders>
                  <w:vAlign w:val="center"/>
                </w:tcPr>
                <w:p w14:paraId="6E1B7583">
                  <w:pPr>
                    <w:pStyle w:val="122"/>
                    <w:keepNext w:val="0"/>
                    <w:keepLines w:val="0"/>
                    <w:suppressLineNumbers w:val="0"/>
                    <w:adjustRightInd w:val="0"/>
                    <w:spacing w:before="0" w:beforeAutospacing="0" w:after="0" w:afterAutospacing="0" w:line="240" w:lineRule="auto"/>
                    <w:ind w:left="0" w:right="0" w:firstLine="0" w:firstLineChars="0"/>
                    <w:jc w:val="center"/>
                    <w:rPr>
                      <w:rFonts w:hint="default" w:eastAsia="宋体"/>
                      <w:b/>
                      <w:bCs/>
                      <w:color w:val="000000" w:themeColor="text1"/>
                      <w:sz w:val="21"/>
                      <w:szCs w:val="21"/>
                      <w:highlight w:val="none"/>
                      <w14:textFill>
                        <w14:solidFill>
                          <w14:schemeClr w14:val="tx1"/>
                        </w14:solidFill>
                      </w14:textFill>
                    </w:rPr>
                  </w:pPr>
                  <w:r>
                    <w:rPr>
                      <w:rFonts w:hint="default" w:eastAsia="宋体"/>
                      <w:b/>
                      <w:bCs/>
                      <w:color w:val="000000" w:themeColor="text1"/>
                      <w:sz w:val="21"/>
                      <w:szCs w:val="21"/>
                      <w:highlight w:val="none"/>
                      <w14:textFill>
                        <w14:solidFill>
                          <w14:schemeClr w14:val="tx1"/>
                        </w14:solidFill>
                      </w14:textFill>
                    </w:rPr>
                    <w:t>污染物</w:t>
                  </w:r>
                </w:p>
              </w:tc>
              <w:tc>
                <w:tcPr>
                  <w:tcW w:w="2166" w:type="pct"/>
                  <w:tcBorders>
                    <w:tl2br w:val="nil"/>
                    <w:tr2bl w:val="nil"/>
                  </w:tcBorders>
                  <w:vAlign w:val="center"/>
                </w:tcPr>
                <w:p w14:paraId="41D385C6">
                  <w:pPr>
                    <w:pStyle w:val="122"/>
                    <w:keepNext w:val="0"/>
                    <w:keepLines w:val="0"/>
                    <w:suppressLineNumbers w:val="0"/>
                    <w:adjustRightInd w:val="0"/>
                    <w:spacing w:before="0" w:beforeAutospacing="0" w:after="0" w:afterAutospacing="0" w:line="240" w:lineRule="auto"/>
                    <w:ind w:left="0" w:right="0" w:firstLine="0" w:firstLineChars="0"/>
                    <w:jc w:val="center"/>
                    <w:rPr>
                      <w:rFonts w:hint="default" w:eastAsia="宋体"/>
                      <w:b/>
                      <w:bCs/>
                      <w:color w:val="000000" w:themeColor="text1"/>
                      <w:sz w:val="21"/>
                      <w:szCs w:val="21"/>
                      <w:highlight w:val="none"/>
                      <w14:textFill>
                        <w14:solidFill>
                          <w14:schemeClr w14:val="tx1"/>
                        </w14:solidFill>
                      </w14:textFill>
                    </w:rPr>
                  </w:pPr>
                  <w:r>
                    <w:rPr>
                      <w:rFonts w:hint="default" w:eastAsia="宋体"/>
                      <w:b/>
                      <w:bCs/>
                      <w:color w:val="000000" w:themeColor="text1"/>
                      <w:sz w:val="21"/>
                      <w:szCs w:val="21"/>
                      <w:highlight w:val="none"/>
                      <w14:textFill>
                        <w14:solidFill>
                          <w14:schemeClr w14:val="tx1"/>
                        </w14:solidFill>
                      </w14:textFill>
                    </w:rPr>
                    <w:t>评价指标</w:t>
                  </w:r>
                </w:p>
              </w:tc>
              <w:tc>
                <w:tcPr>
                  <w:tcW w:w="1205" w:type="pct"/>
                  <w:tcBorders>
                    <w:tl2br w:val="nil"/>
                    <w:tr2bl w:val="nil"/>
                  </w:tcBorders>
                  <w:vAlign w:val="center"/>
                </w:tcPr>
                <w:p w14:paraId="77FCD0DD">
                  <w:pPr>
                    <w:pStyle w:val="122"/>
                    <w:keepNext w:val="0"/>
                    <w:keepLines w:val="0"/>
                    <w:suppressLineNumbers w:val="0"/>
                    <w:adjustRightInd w:val="0"/>
                    <w:spacing w:before="0" w:beforeAutospacing="0" w:after="0" w:afterAutospacing="0" w:line="240" w:lineRule="auto"/>
                    <w:ind w:left="0" w:right="0" w:firstLine="0" w:firstLineChars="0"/>
                    <w:jc w:val="center"/>
                    <w:rPr>
                      <w:rFonts w:hint="default" w:eastAsia="宋体"/>
                      <w:b/>
                      <w:bCs/>
                      <w:color w:val="000000" w:themeColor="text1"/>
                      <w:sz w:val="21"/>
                      <w:szCs w:val="21"/>
                      <w:highlight w:val="none"/>
                      <w14:textFill>
                        <w14:solidFill>
                          <w14:schemeClr w14:val="tx1"/>
                        </w14:solidFill>
                      </w14:textFill>
                    </w:rPr>
                  </w:pPr>
                  <w:r>
                    <w:rPr>
                      <w:rFonts w:hint="default" w:eastAsia="宋体"/>
                      <w:b/>
                      <w:bCs/>
                      <w:color w:val="000000" w:themeColor="text1"/>
                      <w:sz w:val="21"/>
                      <w:szCs w:val="21"/>
                      <w:highlight w:val="none"/>
                      <w14:textFill>
                        <w14:solidFill>
                          <w14:schemeClr w14:val="tx1"/>
                        </w14:solidFill>
                      </w14:textFill>
                    </w:rPr>
                    <w:t>现状浓度/μg/m</w:t>
                  </w:r>
                  <w:r>
                    <w:rPr>
                      <w:rFonts w:hint="default" w:eastAsia="宋体"/>
                      <w:b/>
                      <w:bCs/>
                      <w:color w:val="000000" w:themeColor="text1"/>
                      <w:sz w:val="21"/>
                      <w:szCs w:val="21"/>
                      <w:highlight w:val="none"/>
                      <w:vertAlign w:val="superscript"/>
                      <w14:textFill>
                        <w14:solidFill>
                          <w14:schemeClr w14:val="tx1"/>
                        </w14:solidFill>
                      </w14:textFill>
                    </w:rPr>
                    <w:t>3</w:t>
                  </w:r>
                </w:p>
              </w:tc>
              <w:tc>
                <w:tcPr>
                  <w:tcW w:w="1036" w:type="pct"/>
                  <w:tcBorders>
                    <w:tl2br w:val="nil"/>
                    <w:tr2bl w:val="nil"/>
                  </w:tcBorders>
                  <w:vAlign w:val="center"/>
                </w:tcPr>
                <w:p w14:paraId="0A95B5AB">
                  <w:pPr>
                    <w:pStyle w:val="122"/>
                    <w:keepNext w:val="0"/>
                    <w:keepLines w:val="0"/>
                    <w:suppressLineNumbers w:val="0"/>
                    <w:adjustRightInd w:val="0"/>
                    <w:spacing w:before="0" w:beforeAutospacing="0" w:after="0" w:afterAutospacing="0" w:line="240" w:lineRule="auto"/>
                    <w:ind w:left="0" w:right="0" w:firstLine="0" w:firstLineChars="0"/>
                    <w:jc w:val="center"/>
                    <w:rPr>
                      <w:rFonts w:hint="default" w:eastAsia="宋体"/>
                      <w:b/>
                      <w:bCs/>
                      <w:color w:val="000000" w:themeColor="text1"/>
                      <w:sz w:val="21"/>
                      <w:szCs w:val="21"/>
                      <w:highlight w:val="none"/>
                      <w14:textFill>
                        <w14:solidFill>
                          <w14:schemeClr w14:val="tx1"/>
                        </w14:solidFill>
                      </w14:textFill>
                    </w:rPr>
                  </w:pPr>
                  <w:r>
                    <w:rPr>
                      <w:rFonts w:hint="eastAsia" w:eastAsia="宋体"/>
                      <w:b/>
                      <w:bCs/>
                      <w:color w:val="FF0000"/>
                      <w:sz w:val="21"/>
                      <w:szCs w:val="21"/>
                      <w:highlight w:val="none"/>
                      <w:lang w:val="en-US" w:eastAsia="zh-CN"/>
                    </w:rPr>
                    <w:t>过渡阶段浓度限</w:t>
                  </w:r>
                  <w:r>
                    <w:rPr>
                      <w:rFonts w:hint="default" w:eastAsia="宋体"/>
                      <w:b/>
                      <w:bCs/>
                      <w:color w:val="FF0000"/>
                      <w:sz w:val="21"/>
                      <w:szCs w:val="21"/>
                      <w:highlight w:val="none"/>
                    </w:rPr>
                    <w:t>值/μg/m</w:t>
                  </w:r>
                  <w:r>
                    <w:rPr>
                      <w:rFonts w:hint="default" w:eastAsia="宋体"/>
                      <w:b/>
                      <w:bCs/>
                      <w:color w:val="FF0000"/>
                      <w:sz w:val="21"/>
                      <w:szCs w:val="21"/>
                      <w:highlight w:val="none"/>
                      <w:vertAlign w:val="superscript"/>
                    </w:rPr>
                    <w:t>3</w:t>
                  </w:r>
                </w:p>
              </w:tc>
            </w:tr>
            <w:tr w14:paraId="25D795A5">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91" w:type="pct"/>
                  <w:vMerge w:val="restart"/>
                  <w:tcBorders>
                    <w:tl2br w:val="nil"/>
                    <w:tr2bl w:val="nil"/>
                  </w:tcBorders>
                  <w:vAlign w:val="center"/>
                </w:tcPr>
                <w:p w14:paraId="7BD586CD">
                  <w:pPr>
                    <w:pStyle w:val="122"/>
                    <w:keepNext w:val="0"/>
                    <w:keepLines w:val="0"/>
                    <w:suppressLineNumbers w:val="0"/>
                    <w:adjustRightInd w:val="0"/>
                    <w:spacing w:before="0" w:beforeAutospacing="0" w:after="0" w:afterAutospacing="0" w:line="240" w:lineRule="auto"/>
                    <w:ind w:left="0" w:right="0" w:firstLine="0" w:firstLineChars="0"/>
                    <w:jc w:val="center"/>
                    <w:rPr>
                      <w:rFonts w:hint="default" w:eastAsia="宋体"/>
                      <w:color w:val="000000" w:themeColor="text1"/>
                      <w:sz w:val="21"/>
                      <w:szCs w:val="21"/>
                      <w:highlight w:val="none"/>
                      <w14:textFill>
                        <w14:solidFill>
                          <w14:schemeClr w14:val="tx1"/>
                        </w14:solidFill>
                      </w14:textFill>
                    </w:rPr>
                  </w:pPr>
                  <w:r>
                    <w:rPr>
                      <w:rFonts w:hint="default" w:eastAsia="宋体"/>
                      <w:color w:val="000000" w:themeColor="text1"/>
                      <w:sz w:val="21"/>
                      <w:szCs w:val="21"/>
                      <w:highlight w:val="none"/>
                      <w14:textFill>
                        <w14:solidFill>
                          <w14:schemeClr w14:val="tx1"/>
                        </w14:solidFill>
                      </w14:textFill>
                    </w:rPr>
                    <w:t>SO</w:t>
                  </w:r>
                  <w:r>
                    <w:rPr>
                      <w:rFonts w:hint="default" w:eastAsia="宋体"/>
                      <w:color w:val="000000" w:themeColor="text1"/>
                      <w:sz w:val="21"/>
                      <w:szCs w:val="21"/>
                      <w:highlight w:val="none"/>
                      <w:vertAlign w:val="subscript"/>
                      <w14:textFill>
                        <w14:solidFill>
                          <w14:schemeClr w14:val="tx1"/>
                        </w14:solidFill>
                      </w14:textFill>
                    </w:rPr>
                    <w:t>2</w:t>
                  </w:r>
                </w:p>
              </w:tc>
              <w:tc>
                <w:tcPr>
                  <w:tcW w:w="2166" w:type="pct"/>
                  <w:tcBorders>
                    <w:tl2br w:val="nil"/>
                    <w:tr2bl w:val="nil"/>
                  </w:tcBorders>
                  <w:shd w:val="clear" w:color="auto" w:fill="auto"/>
                  <w:vAlign w:val="center"/>
                </w:tcPr>
                <w:p w14:paraId="1FE2F6A2">
                  <w:pPr>
                    <w:keepNext w:val="0"/>
                    <w:keepLines w:val="0"/>
                    <w:widowControl w:val="0"/>
                    <w:suppressLineNumbers w:val="0"/>
                    <w:autoSpaceDE w:val="0"/>
                    <w:autoSpaceDN/>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Cs/>
                      <w:color w:val="000000" w:themeColor="text1"/>
                      <w:kern w:val="2"/>
                      <w:sz w:val="21"/>
                      <w:szCs w:val="21"/>
                      <w:lang w:val="en-US" w:eastAsia="zh-CN" w:bidi="ar"/>
                      <w14:textFill>
                        <w14:solidFill>
                          <w14:schemeClr w14:val="tx1"/>
                        </w14:solidFill>
                      </w14:textFill>
                    </w:rPr>
                    <w:t>年平均质量浓度</w:t>
                  </w:r>
                </w:p>
              </w:tc>
              <w:tc>
                <w:tcPr>
                  <w:tcW w:w="1205" w:type="pct"/>
                  <w:tcBorders>
                    <w:tl2br w:val="nil"/>
                    <w:tr2bl w:val="nil"/>
                  </w:tcBorders>
                  <w:shd w:val="clear" w:color="auto" w:fill="auto"/>
                  <w:vAlign w:val="center"/>
                </w:tcPr>
                <w:p w14:paraId="09609B85">
                  <w:pPr>
                    <w:keepNext w:val="0"/>
                    <w:keepLines w:val="0"/>
                    <w:widowControl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8</w:t>
                  </w:r>
                </w:p>
              </w:tc>
              <w:tc>
                <w:tcPr>
                  <w:tcW w:w="1036" w:type="pct"/>
                  <w:tcBorders>
                    <w:tl2br w:val="nil"/>
                    <w:tr2bl w:val="nil"/>
                  </w:tcBorders>
                  <w:shd w:val="clear" w:color="auto" w:fill="auto"/>
                  <w:vAlign w:val="center"/>
                </w:tcPr>
                <w:p w14:paraId="4F7747B2">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60</w:t>
                  </w:r>
                </w:p>
              </w:tc>
            </w:tr>
            <w:tr w14:paraId="58676DB5">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91" w:type="pct"/>
                  <w:vMerge w:val="continue"/>
                  <w:tcBorders>
                    <w:tl2br w:val="nil"/>
                    <w:tr2bl w:val="nil"/>
                  </w:tcBorders>
                  <w:vAlign w:val="center"/>
                </w:tcPr>
                <w:p w14:paraId="4EDA8458">
                  <w:pPr>
                    <w:pStyle w:val="122"/>
                    <w:keepNext w:val="0"/>
                    <w:keepLines w:val="0"/>
                    <w:suppressLineNumbers w:val="0"/>
                    <w:adjustRightInd w:val="0"/>
                    <w:spacing w:before="0" w:beforeAutospacing="0" w:after="0" w:afterAutospacing="0" w:line="240" w:lineRule="auto"/>
                    <w:ind w:left="0" w:right="0" w:firstLine="0" w:firstLineChars="0"/>
                    <w:jc w:val="center"/>
                    <w:rPr>
                      <w:rFonts w:hint="default" w:eastAsia="宋体"/>
                      <w:color w:val="000000" w:themeColor="text1"/>
                      <w:sz w:val="21"/>
                      <w:szCs w:val="21"/>
                      <w:highlight w:val="none"/>
                      <w14:textFill>
                        <w14:solidFill>
                          <w14:schemeClr w14:val="tx1"/>
                        </w14:solidFill>
                      </w14:textFill>
                    </w:rPr>
                  </w:pPr>
                </w:p>
              </w:tc>
              <w:tc>
                <w:tcPr>
                  <w:tcW w:w="2166" w:type="pct"/>
                  <w:tcBorders>
                    <w:tl2br w:val="nil"/>
                    <w:tr2bl w:val="nil"/>
                  </w:tcBorders>
                  <w:shd w:val="clear" w:color="auto" w:fill="auto"/>
                  <w:vAlign w:val="center"/>
                </w:tcPr>
                <w:p w14:paraId="1B546014">
                  <w:pPr>
                    <w:keepNext w:val="0"/>
                    <w:keepLines w:val="0"/>
                    <w:widowControl w:val="0"/>
                    <w:suppressLineNumbers w:val="0"/>
                    <w:autoSpaceDE w:val="0"/>
                    <w:autoSpaceDN/>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Cs/>
                      <w:color w:val="000000" w:themeColor="text1"/>
                      <w:kern w:val="2"/>
                      <w:sz w:val="21"/>
                      <w:szCs w:val="21"/>
                      <w:lang w:val="en-US" w:eastAsia="zh-CN" w:bidi="ar"/>
                      <w14:textFill>
                        <w14:solidFill>
                          <w14:schemeClr w14:val="tx1"/>
                        </w14:solidFill>
                      </w14:textFill>
                    </w:rPr>
                    <w:t>日平均质量浓度</w:t>
                  </w:r>
                </w:p>
              </w:tc>
              <w:tc>
                <w:tcPr>
                  <w:tcW w:w="1205" w:type="pct"/>
                  <w:tcBorders>
                    <w:tl2br w:val="nil"/>
                    <w:tr2bl w:val="nil"/>
                  </w:tcBorders>
                  <w:shd w:val="clear" w:color="auto" w:fill="auto"/>
                  <w:vAlign w:val="center"/>
                </w:tcPr>
                <w:p w14:paraId="6497FB54">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5~15</w:t>
                  </w:r>
                </w:p>
              </w:tc>
              <w:tc>
                <w:tcPr>
                  <w:tcW w:w="1036" w:type="pct"/>
                  <w:tcBorders>
                    <w:tl2br w:val="nil"/>
                    <w:tr2bl w:val="nil"/>
                  </w:tcBorders>
                  <w:shd w:val="clear" w:color="auto" w:fill="auto"/>
                  <w:vAlign w:val="center"/>
                </w:tcPr>
                <w:p w14:paraId="5FDA0143">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150</w:t>
                  </w:r>
                </w:p>
              </w:tc>
            </w:tr>
            <w:tr w14:paraId="302B6F55">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91" w:type="pct"/>
                  <w:vMerge w:val="restart"/>
                  <w:tcBorders>
                    <w:tl2br w:val="nil"/>
                    <w:tr2bl w:val="nil"/>
                  </w:tcBorders>
                  <w:vAlign w:val="center"/>
                </w:tcPr>
                <w:p w14:paraId="5F7498BB">
                  <w:pPr>
                    <w:pStyle w:val="122"/>
                    <w:keepNext w:val="0"/>
                    <w:keepLines w:val="0"/>
                    <w:suppressLineNumbers w:val="0"/>
                    <w:adjustRightInd w:val="0"/>
                    <w:spacing w:before="0" w:beforeAutospacing="0" w:after="0" w:afterAutospacing="0" w:line="240" w:lineRule="auto"/>
                    <w:ind w:left="0" w:right="0" w:firstLine="0" w:firstLineChars="0"/>
                    <w:jc w:val="center"/>
                    <w:rPr>
                      <w:rFonts w:hint="default" w:eastAsia="宋体"/>
                      <w:color w:val="000000" w:themeColor="text1"/>
                      <w:sz w:val="21"/>
                      <w:szCs w:val="21"/>
                      <w:highlight w:val="none"/>
                      <w14:textFill>
                        <w14:solidFill>
                          <w14:schemeClr w14:val="tx1"/>
                        </w14:solidFill>
                      </w14:textFill>
                    </w:rPr>
                  </w:pPr>
                  <w:r>
                    <w:rPr>
                      <w:rFonts w:hint="default" w:eastAsia="宋体"/>
                      <w:color w:val="000000" w:themeColor="text1"/>
                      <w:sz w:val="21"/>
                      <w:szCs w:val="21"/>
                      <w:highlight w:val="none"/>
                      <w14:textFill>
                        <w14:solidFill>
                          <w14:schemeClr w14:val="tx1"/>
                        </w14:solidFill>
                      </w14:textFill>
                    </w:rPr>
                    <w:t>NO</w:t>
                  </w:r>
                  <w:r>
                    <w:rPr>
                      <w:rFonts w:hint="default" w:eastAsia="宋体"/>
                      <w:color w:val="000000" w:themeColor="text1"/>
                      <w:sz w:val="21"/>
                      <w:szCs w:val="21"/>
                      <w:highlight w:val="none"/>
                      <w:vertAlign w:val="subscript"/>
                      <w14:textFill>
                        <w14:solidFill>
                          <w14:schemeClr w14:val="tx1"/>
                        </w14:solidFill>
                      </w14:textFill>
                    </w:rPr>
                    <w:t>2</w:t>
                  </w:r>
                </w:p>
              </w:tc>
              <w:tc>
                <w:tcPr>
                  <w:tcW w:w="2166" w:type="pct"/>
                  <w:tcBorders>
                    <w:tl2br w:val="nil"/>
                    <w:tr2bl w:val="nil"/>
                  </w:tcBorders>
                  <w:shd w:val="clear" w:color="auto" w:fill="auto"/>
                  <w:vAlign w:val="center"/>
                </w:tcPr>
                <w:p w14:paraId="0A991D7C">
                  <w:pPr>
                    <w:keepNext w:val="0"/>
                    <w:keepLines w:val="0"/>
                    <w:widowControl w:val="0"/>
                    <w:suppressLineNumbers w:val="0"/>
                    <w:autoSpaceDE w:val="0"/>
                    <w:autoSpaceDN/>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Cs/>
                      <w:color w:val="000000" w:themeColor="text1"/>
                      <w:kern w:val="2"/>
                      <w:sz w:val="21"/>
                      <w:szCs w:val="21"/>
                      <w:lang w:val="en-US" w:eastAsia="zh-CN" w:bidi="ar"/>
                      <w14:textFill>
                        <w14:solidFill>
                          <w14:schemeClr w14:val="tx1"/>
                        </w14:solidFill>
                      </w14:textFill>
                    </w:rPr>
                    <w:t>年平均质量浓度</w:t>
                  </w:r>
                </w:p>
              </w:tc>
              <w:tc>
                <w:tcPr>
                  <w:tcW w:w="1205" w:type="pct"/>
                  <w:tcBorders>
                    <w:tl2br w:val="nil"/>
                    <w:tr2bl w:val="nil"/>
                  </w:tcBorders>
                  <w:shd w:val="clear" w:color="auto" w:fill="auto"/>
                  <w:vAlign w:val="center"/>
                </w:tcPr>
                <w:p w14:paraId="67727E95">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26</w:t>
                  </w:r>
                </w:p>
              </w:tc>
              <w:tc>
                <w:tcPr>
                  <w:tcW w:w="1036" w:type="pct"/>
                  <w:tcBorders>
                    <w:tl2br w:val="nil"/>
                    <w:tr2bl w:val="nil"/>
                  </w:tcBorders>
                  <w:shd w:val="clear" w:color="auto" w:fill="auto"/>
                  <w:vAlign w:val="center"/>
                </w:tcPr>
                <w:p w14:paraId="19486945">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40</w:t>
                  </w:r>
                </w:p>
              </w:tc>
            </w:tr>
            <w:tr w14:paraId="4BC4B9A0">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91" w:type="pct"/>
                  <w:vMerge w:val="continue"/>
                  <w:tcBorders>
                    <w:tl2br w:val="nil"/>
                    <w:tr2bl w:val="nil"/>
                  </w:tcBorders>
                  <w:vAlign w:val="center"/>
                </w:tcPr>
                <w:p w14:paraId="73021A30">
                  <w:pPr>
                    <w:pStyle w:val="122"/>
                    <w:keepNext w:val="0"/>
                    <w:keepLines w:val="0"/>
                    <w:suppressLineNumbers w:val="0"/>
                    <w:adjustRightInd w:val="0"/>
                    <w:spacing w:before="0" w:beforeAutospacing="0" w:after="0" w:afterAutospacing="0" w:line="240" w:lineRule="auto"/>
                    <w:ind w:left="0" w:right="0" w:firstLine="0" w:firstLineChars="0"/>
                    <w:jc w:val="center"/>
                    <w:rPr>
                      <w:rFonts w:hint="default" w:eastAsia="宋体"/>
                      <w:color w:val="000000" w:themeColor="text1"/>
                      <w:sz w:val="21"/>
                      <w:szCs w:val="21"/>
                      <w:highlight w:val="none"/>
                      <w14:textFill>
                        <w14:solidFill>
                          <w14:schemeClr w14:val="tx1"/>
                        </w14:solidFill>
                      </w14:textFill>
                    </w:rPr>
                  </w:pPr>
                </w:p>
              </w:tc>
              <w:tc>
                <w:tcPr>
                  <w:tcW w:w="2166" w:type="pct"/>
                  <w:tcBorders>
                    <w:tl2br w:val="nil"/>
                    <w:tr2bl w:val="nil"/>
                  </w:tcBorders>
                  <w:shd w:val="clear" w:color="auto" w:fill="auto"/>
                  <w:vAlign w:val="center"/>
                </w:tcPr>
                <w:p w14:paraId="36957345">
                  <w:pPr>
                    <w:keepNext w:val="0"/>
                    <w:keepLines w:val="0"/>
                    <w:widowControl w:val="0"/>
                    <w:suppressLineNumbers w:val="0"/>
                    <w:autoSpaceDE w:val="0"/>
                    <w:autoSpaceDN/>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Cs/>
                      <w:color w:val="000000" w:themeColor="text1"/>
                      <w:kern w:val="2"/>
                      <w:sz w:val="21"/>
                      <w:szCs w:val="21"/>
                      <w:lang w:val="en-US" w:eastAsia="zh-CN" w:bidi="ar"/>
                      <w14:textFill>
                        <w14:solidFill>
                          <w14:schemeClr w14:val="tx1"/>
                        </w14:solidFill>
                      </w14:textFill>
                    </w:rPr>
                    <w:t>日平均质量浓度</w:t>
                  </w:r>
                </w:p>
              </w:tc>
              <w:tc>
                <w:tcPr>
                  <w:tcW w:w="1205" w:type="pct"/>
                  <w:tcBorders>
                    <w:tl2br w:val="nil"/>
                    <w:tr2bl w:val="nil"/>
                  </w:tcBorders>
                  <w:shd w:val="clear" w:color="auto" w:fill="auto"/>
                  <w:vAlign w:val="center"/>
                </w:tcPr>
                <w:p w14:paraId="22EB0A43">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5~92</w:t>
                  </w:r>
                </w:p>
              </w:tc>
              <w:tc>
                <w:tcPr>
                  <w:tcW w:w="1036" w:type="pct"/>
                  <w:tcBorders>
                    <w:tl2br w:val="nil"/>
                    <w:tr2bl w:val="nil"/>
                  </w:tcBorders>
                  <w:shd w:val="clear" w:color="auto" w:fill="auto"/>
                  <w:vAlign w:val="center"/>
                </w:tcPr>
                <w:p w14:paraId="69B44FE5">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80</w:t>
                  </w:r>
                </w:p>
              </w:tc>
            </w:tr>
            <w:tr w14:paraId="1F3A23A0">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91" w:type="pct"/>
                  <w:tcBorders>
                    <w:tl2br w:val="nil"/>
                    <w:tr2bl w:val="nil"/>
                  </w:tcBorders>
                  <w:vAlign w:val="center"/>
                </w:tcPr>
                <w:p w14:paraId="5DF8D788">
                  <w:pPr>
                    <w:pStyle w:val="122"/>
                    <w:keepNext w:val="0"/>
                    <w:keepLines w:val="0"/>
                    <w:suppressLineNumbers w:val="0"/>
                    <w:adjustRightInd w:val="0"/>
                    <w:spacing w:before="0" w:beforeAutospacing="0" w:after="0" w:afterAutospacing="0" w:line="240" w:lineRule="auto"/>
                    <w:ind w:left="0" w:right="0" w:firstLine="0" w:firstLineChars="0"/>
                    <w:jc w:val="center"/>
                    <w:rPr>
                      <w:rFonts w:hint="default" w:eastAsia="宋体"/>
                      <w:color w:val="000000" w:themeColor="text1"/>
                      <w:sz w:val="21"/>
                      <w:szCs w:val="21"/>
                      <w:highlight w:val="none"/>
                      <w14:textFill>
                        <w14:solidFill>
                          <w14:schemeClr w14:val="tx1"/>
                        </w14:solidFill>
                      </w14:textFill>
                    </w:rPr>
                  </w:pPr>
                  <w:r>
                    <w:rPr>
                      <w:rFonts w:hint="default" w:eastAsia="宋体"/>
                      <w:color w:val="000000" w:themeColor="text1"/>
                      <w:sz w:val="21"/>
                      <w:szCs w:val="21"/>
                      <w:highlight w:val="none"/>
                      <w14:textFill>
                        <w14:solidFill>
                          <w14:schemeClr w14:val="tx1"/>
                        </w14:solidFill>
                      </w14:textFill>
                    </w:rPr>
                    <w:t>CO</w:t>
                  </w:r>
                </w:p>
              </w:tc>
              <w:tc>
                <w:tcPr>
                  <w:tcW w:w="2166" w:type="pct"/>
                  <w:tcBorders>
                    <w:tl2br w:val="nil"/>
                    <w:tr2bl w:val="nil"/>
                  </w:tcBorders>
                  <w:shd w:val="clear" w:color="auto" w:fill="auto"/>
                  <w:vAlign w:val="center"/>
                </w:tcPr>
                <w:p w14:paraId="09B99FA2">
                  <w:pPr>
                    <w:keepNext w:val="0"/>
                    <w:keepLines w:val="0"/>
                    <w:widowControl w:val="0"/>
                    <w:suppressLineNumbers w:val="0"/>
                    <w:autoSpaceDE w:val="0"/>
                    <w:autoSpaceDN/>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
                      <w14:textFill>
                        <w14:solidFill>
                          <w14:schemeClr w14:val="tx1"/>
                        </w14:solidFill>
                      </w14:textFill>
                    </w:rPr>
                    <w:t>第</w:t>
                  </w: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95</w:t>
                  </w:r>
                  <w:r>
                    <w:rPr>
                      <w:rFonts w:hint="eastAsia" w:ascii="宋体" w:hAnsi="宋体" w:eastAsia="宋体" w:cs="宋体"/>
                      <w:bCs/>
                      <w:color w:val="000000" w:themeColor="text1"/>
                      <w:kern w:val="2"/>
                      <w:sz w:val="21"/>
                      <w:szCs w:val="21"/>
                      <w:lang w:val="en-US" w:eastAsia="zh-CN" w:bidi="ar"/>
                      <w14:textFill>
                        <w14:solidFill>
                          <w14:schemeClr w14:val="tx1"/>
                        </w14:solidFill>
                      </w14:textFill>
                    </w:rPr>
                    <w:t>百分位数日平均质量浓度</w:t>
                  </w:r>
                </w:p>
              </w:tc>
              <w:tc>
                <w:tcPr>
                  <w:tcW w:w="1205" w:type="pct"/>
                  <w:tcBorders>
                    <w:tl2br w:val="nil"/>
                    <w:tr2bl w:val="nil"/>
                  </w:tcBorders>
                  <w:shd w:val="clear" w:color="auto" w:fill="auto"/>
                  <w:vAlign w:val="center"/>
                </w:tcPr>
                <w:p w14:paraId="78884946">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1100</w:t>
                  </w:r>
                </w:p>
              </w:tc>
              <w:tc>
                <w:tcPr>
                  <w:tcW w:w="1036" w:type="pct"/>
                  <w:tcBorders>
                    <w:tl2br w:val="nil"/>
                    <w:tr2bl w:val="nil"/>
                  </w:tcBorders>
                  <w:shd w:val="clear" w:color="auto" w:fill="auto"/>
                  <w:vAlign w:val="center"/>
                </w:tcPr>
                <w:p w14:paraId="29D216F7">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4000</w:t>
                  </w:r>
                </w:p>
              </w:tc>
            </w:tr>
            <w:tr w14:paraId="62BBE27A">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91" w:type="pct"/>
                  <w:tcBorders>
                    <w:tl2br w:val="nil"/>
                    <w:tr2bl w:val="nil"/>
                  </w:tcBorders>
                  <w:vAlign w:val="center"/>
                </w:tcPr>
                <w:p w14:paraId="00A44A5B">
                  <w:pPr>
                    <w:pStyle w:val="122"/>
                    <w:keepNext w:val="0"/>
                    <w:keepLines w:val="0"/>
                    <w:suppressLineNumbers w:val="0"/>
                    <w:adjustRightInd w:val="0"/>
                    <w:spacing w:before="0" w:beforeAutospacing="0" w:after="0" w:afterAutospacing="0" w:line="240" w:lineRule="auto"/>
                    <w:ind w:left="0" w:right="0" w:firstLine="0" w:firstLineChars="0"/>
                    <w:jc w:val="center"/>
                    <w:rPr>
                      <w:rFonts w:hint="default" w:eastAsia="宋体"/>
                      <w:color w:val="000000" w:themeColor="text1"/>
                      <w:sz w:val="21"/>
                      <w:szCs w:val="21"/>
                      <w:highlight w:val="none"/>
                      <w14:textFill>
                        <w14:solidFill>
                          <w14:schemeClr w14:val="tx1"/>
                        </w14:solidFill>
                      </w14:textFill>
                    </w:rPr>
                  </w:pPr>
                  <w:r>
                    <w:rPr>
                      <w:rFonts w:hint="default" w:eastAsia="宋体"/>
                      <w:color w:val="000000" w:themeColor="text1"/>
                      <w:sz w:val="21"/>
                      <w:szCs w:val="21"/>
                      <w:highlight w:val="none"/>
                      <w14:textFill>
                        <w14:solidFill>
                          <w14:schemeClr w14:val="tx1"/>
                        </w14:solidFill>
                      </w14:textFill>
                    </w:rPr>
                    <w:t>O</w:t>
                  </w:r>
                  <w:r>
                    <w:rPr>
                      <w:rFonts w:hint="default" w:eastAsia="宋体"/>
                      <w:color w:val="000000" w:themeColor="text1"/>
                      <w:sz w:val="21"/>
                      <w:szCs w:val="21"/>
                      <w:highlight w:val="none"/>
                      <w:vertAlign w:val="subscript"/>
                      <w14:textFill>
                        <w14:solidFill>
                          <w14:schemeClr w14:val="tx1"/>
                        </w14:solidFill>
                      </w14:textFill>
                    </w:rPr>
                    <w:t>3</w:t>
                  </w:r>
                </w:p>
              </w:tc>
              <w:tc>
                <w:tcPr>
                  <w:tcW w:w="2166" w:type="pct"/>
                  <w:tcBorders>
                    <w:tl2br w:val="nil"/>
                    <w:tr2bl w:val="nil"/>
                  </w:tcBorders>
                  <w:shd w:val="clear" w:color="auto" w:fill="auto"/>
                  <w:vAlign w:val="center"/>
                </w:tcPr>
                <w:p w14:paraId="18B289AA">
                  <w:pPr>
                    <w:keepNext w:val="0"/>
                    <w:keepLines w:val="0"/>
                    <w:widowControl w:val="0"/>
                    <w:suppressLineNumbers w:val="0"/>
                    <w:autoSpaceDE w:val="0"/>
                    <w:autoSpaceDN/>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
                      <w14:textFill>
                        <w14:solidFill>
                          <w14:schemeClr w14:val="tx1"/>
                        </w14:solidFill>
                      </w14:textFill>
                    </w:rPr>
                    <w:t>第</w:t>
                  </w: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90</w:t>
                  </w:r>
                  <w:r>
                    <w:rPr>
                      <w:rFonts w:hint="eastAsia" w:ascii="宋体" w:hAnsi="宋体" w:eastAsia="宋体" w:cs="宋体"/>
                      <w:bCs/>
                      <w:color w:val="000000" w:themeColor="text1"/>
                      <w:kern w:val="2"/>
                      <w:sz w:val="21"/>
                      <w:szCs w:val="21"/>
                      <w:lang w:val="en-US" w:eastAsia="zh-CN" w:bidi="ar"/>
                      <w14:textFill>
                        <w14:solidFill>
                          <w14:schemeClr w14:val="tx1"/>
                        </w14:solidFill>
                      </w14:textFill>
                    </w:rPr>
                    <w:t>百分位数</w:t>
                  </w:r>
                  <w: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t>8h</w:t>
                  </w:r>
                  <w:r>
                    <w:rPr>
                      <w:rFonts w:hint="eastAsia" w:ascii="宋体" w:hAnsi="宋体" w:eastAsia="宋体" w:cs="宋体"/>
                      <w:bCs/>
                      <w:color w:val="000000" w:themeColor="text1"/>
                      <w:kern w:val="2"/>
                      <w:sz w:val="21"/>
                      <w:szCs w:val="21"/>
                      <w:lang w:val="en-US" w:eastAsia="zh-CN" w:bidi="ar"/>
                      <w14:textFill>
                        <w14:solidFill>
                          <w14:schemeClr w14:val="tx1"/>
                        </w14:solidFill>
                      </w14:textFill>
                    </w:rPr>
                    <w:t>平均质量浓度</w:t>
                  </w:r>
                </w:p>
              </w:tc>
              <w:tc>
                <w:tcPr>
                  <w:tcW w:w="1205" w:type="pct"/>
                  <w:tcBorders>
                    <w:tl2br w:val="nil"/>
                    <w:tr2bl w:val="nil"/>
                  </w:tcBorders>
                  <w:shd w:val="clear" w:color="auto" w:fill="auto"/>
                  <w:vAlign w:val="center"/>
                </w:tcPr>
                <w:p w14:paraId="19E0EF7C">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168</w:t>
                  </w:r>
                </w:p>
              </w:tc>
              <w:tc>
                <w:tcPr>
                  <w:tcW w:w="1036" w:type="pct"/>
                  <w:tcBorders>
                    <w:tl2br w:val="nil"/>
                    <w:tr2bl w:val="nil"/>
                  </w:tcBorders>
                  <w:shd w:val="clear" w:color="auto" w:fill="auto"/>
                  <w:vAlign w:val="center"/>
                </w:tcPr>
                <w:p w14:paraId="44BF8D38">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160</w:t>
                  </w:r>
                </w:p>
              </w:tc>
            </w:tr>
            <w:tr w14:paraId="69721526">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91" w:type="pct"/>
                  <w:vMerge w:val="restart"/>
                  <w:tcBorders>
                    <w:tl2br w:val="nil"/>
                    <w:tr2bl w:val="nil"/>
                  </w:tcBorders>
                  <w:vAlign w:val="center"/>
                </w:tcPr>
                <w:p w14:paraId="6A9E4A5C">
                  <w:pPr>
                    <w:keepNext w:val="0"/>
                    <w:keepLines w:val="0"/>
                    <w:suppressLineNumbers w:val="0"/>
                    <w:adjustRightInd w:val="0"/>
                    <w:snapToGrid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PM</w:t>
                  </w:r>
                  <w:r>
                    <w:rPr>
                      <w:rFonts w:hint="default"/>
                      <w:color w:val="000000" w:themeColor="text1"/>
                      <w:sz w:val="21"/>
                      <w:szCs w:val="21"/>
                      <w:highlight w:val="none"/>
                      <w:vertAlign w:val="subscript"/>
                      <w14:textFill>
                        <w14:solidFill>
                          <w14:schemeClr w14:val="tx1"/>
                        </w14:solidFill>
                      </w14:textFill>
                    </w:rPr>
                    <w:t>10</w:t>
                  </w:r>
                </w:p>
              </w:tc>
              <w:tc>
                <w:tcPr>
                  <w:tcW w:w="2166" w:type="pct"/>
                  <w:tcBorders>
                    <w:tl2br w:val="nil"/>
                    <w:tr2bl w:val="nil"/>
                  </w:tcBorders>
                  <w:shd w:val="clear" w:color="auto" w:fill="auto"/>
                  <w:vAlign w:val="center"/>
                </w:tcPr>
                <w:p w14:paraId="6BDAA3C6">
                  <w:pPr>
                    <w:keepNext w:val="0"/>
                    <w:keepLines w:val="0"/>
                    <w:widowControl w:val="0"/>
                    <w:suppressLineNumbers w:val="0"/>
                    <w:autoSpaceDE w:val="0"/>
                    <w:autoSpaceDN/>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Cs/>
                      <w:color w:val="000000" w:themeColor="text1"/>
                      <w:kern w:val="2"/>
                      <w:sz w:val="21"/>
                      <w:szCs w:val="21"/>
                      <w:lang w:val="en-US" w:eastAsia="zh-CN" w:bidi="ar"/>
                      <w14:textFill>
                        <w14:solidFill>
                          <w14:schemeClr w14:val="tx1"/>
                        </w14:solidFill>
                      </w14:textFill>
                    </w:rPr>
                    <w:t>年平均质量浓度</w:t>
                  </w:r>
                </w:p>
              </w:tc>
              <w:tc>
                <w:tcPr>
                  <w:tcW w:w="1205" w:type="pct"/>
                  <w:tcBorders>
                    <w:tl2br w:val="nil"/>
                    <w:tr2bl w:val="nil"/>
                  </w:tcBorders>
                  <w:shd w:val="clear" w:color="auto" w:fill="auto"/>
                  <w:vAlign w:val="center"/>
                </w:tcPr>
                <w:p w14:paraId="08D26608">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52</w:t>
                  </w:r>
                </w:p>
              </w:tc>
              <w:tc>
                <w:tcPr>
                  <w:tcW w:w="1663" w:type="dxa"/>
                  <w:tcBorders>
                    <w:tl2br w:val="nil"/>
                    <w:tr2bl w:val="nil"/>
                  </w:tcBorders>
                  <w:shd w:val="clear" w:color="auto" w:fill="auto"/>
                  <w:vAlign w:val="center"/>
                </w:tcPr>
                <w:p w14:paraId="06F8F638">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auto"/>
                      <w:kern w:val="0"/>
                      <w:szCs w:val="21"/>
                      <w:lang w:val="en-US" w:eastAsia="zh-CN"/>
                    </w:rPr>
                    <w:t>60</w:t>
                  </w:r>
                </w:p>
              </w:tc>
            </w:tr>
            <w:tr w14:paraId="08833F6E">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91" w:type="pct"/>
                  <w:vMerge w:val="continue"/>
                  <w:tcBorders>
                    <w:tl2br w:val="nil"/>
                    <w:tr2bl w:val="nil"/>
                  </w:tcBorders>
                  <w:vAlign w:val="center"/>
                </w:tcPr>
                <w:p w14:paraId="49A968D7">
                  <w:pPr>
                    <w:keepNext w:val="0"/>
                    <w:keepLines w:val="0"/>
                    <w:suppressLineNumbers w:val="0"/>
                    <w:adjustRightInd w:val="0"/>
                    <w:snapToGrid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p>
              </w:tc>
              <w:tc>
                <w:tcPr>
                  <w:tcW w:w="2166" w:type="pct"/>
                  <w:tcBorders>
                    <w:tl2br w:val="nil"/>
                    <w:tr2bl w:val="nil"/>
                  </w:tcBorders>
                  <w:shd w:val="clear" w:color="auto" w:fill="auto"/>
                  <w:vAlign w:val="center"/>
                </w:tcPr>
                <w:p w14:paraId="736189DB">
                  <w:pPr>
                    <w:keepNext w:val="0"/>
                    <w:keepLines w:val="0"/>
                    <w:widowControl w:val="0"/>
                    <w:suppressLineNumbers w:val="0"/>
                    <w:autoSpaceDE w:val="0"/>
                    <w:autoSpaceDN/>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Cs/>
                      <w:color w:val="000000" w:themeColor="text1"/>
                      <w:kern w:val="2"/>
                      <w:sz w:val="21"/>
                      <w:szCs w:val="21"/>
                      <w:lang w:val="en-US" w:eastAsia="zh-CN" w:bidi="ar"/>
                      <w14:textFill>
                        <w14:solidFill>
                          <w14:schemeClr w14:val="tx1"/>
                        </w14:solidFill>
                      </w14:textFill>
                    </w:rPr>
                    <w:t>日平均质量浓度</w:t>
                  </w:r>
                </w:p>
              </w:tc>
              <w:tc>
                <w:tcPr>
                  <w:tcW w:w="1205" w:type="pct"/>
                  <w:tcBorders>
                    <w:tl2br w:val="nil"/>
                    <w:tr2bl w:val="nil"/>
                  </w:tcBorders>
                  <w:shd w:val="clear" w:color="auto" w:fill="auto"/>
                  <w:vAlign w:val="center"/>
                </w:tcPr>
                <w:p w14:paraId="5801FA13">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9~206</w:t>
                  </w:r>
                </w:p>
              </w:tc>
              <w:tc>
                <w:tcPr>
                  <w:tcW w:w="1663" w:type="dxa"/>
                  <w:tcBorders>
                    <w:tl2br w:val="nil"/>
                    <w:tr2bl w:val="nil"/>
                  </w:tcBorders>
                  <w:shd w:val="clear" w:color="auto" w:fill="auto"/>
                  <w:vAlign w:val="center"/>
                </w:tcPr>
                <w:p w14:paraId="3B223B3E">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auto"/>
                      <w:kern w:val="0"/>
                      <w:szCs w:val="21"/>
                      <w:lang w:val="en-US" w:eastAsia="zh-CN"/>
                    </w:rPr>
                    <w:t>120</w:t>
                  </w:r>
                </w:p>
              </w:tc>
            </w:tr>
            <w:tr w14:paraId="610931B3">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91" w:type="pct"/>
                  <w:vMerge w:val="restart"/>
                  <w:tcBorders>
                    <w:tl2br w:val="nil"/>
                    <w:tr2bl w:val="nil"/>
                  </w:tcBorders>
                  <w:vAlign w:val="center"/>
                </w:tcPr>
                <w:p w14:paraId="2E5E7FF1">
                  <w:pPr>
                    <w:keepNext w:val="0"/>
                    <w:keepLines w:val="0"/>
                    <w:suppressLineNumbers w:val="0"/>
                    <w:adjustRightInd w:val="0"/>
                    <w:snapToGrid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PM</w:t>
                  </w:r>
                  <w:r>
                    <w:rPr>
                      <w:rFonts w:hint="default"/>
                      <w:color w:val="000000" w:themeColor="text1"/>
                      <w:sz w:val="21"/>
                      <w:szCs w:val="21"/>
                      <w:highlight w:val="none"/>
                      <w:vertAlign w:val="subscript"/>
                      <w14:textFill>
                        <w14:solidFill>
                          <w14:schemeClr w14:val="tx1"/>
                        </w14:solidFill>
                      </w14:textFill>
                    </w:rPr>
                    <w:t>2.5</w:t>
                  </w:r>
                </w:p>
              </w:tc>
              <w:tc>
                <w:tcPr>
                  <w:tcW w:w="2166" w:type="pct"/>
                  <w:tcBorders>
                    <w:tl2br w:val="nil"/>
                    <w:tr2bl w:val="nil"/>
                  </w:tcBorders>
                  <w:shd w:val="clear" w:color="auto" w:fill="auto"/>
                  <w:vAlign w:val="center"/>
                </w:tcPr>
                <w:p w14:paraId="441798C5">
                  <w:pPr>
                    <w:keepNext w:val="0"/>
                    <w:keepLines w:val="0"/>
                    <w:widowControl w:val="0"/>
                    <w:suppressLineNumbers w:val="0"/>
                    <w:autoSpaceDE w:val="0"/>
                    <w:autoSpaceDN/>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Cs/>
                      <w:color w:val="000000" w:themeColor="text1"/>
                      <w:kern w:val="2"/>
                      <w:sz w:val="21"/>
                      <w:szCs w:val="21"/>
                      <w:lang w:val="en-US" w:eastAsia="zh-CN" w:bidi="ar"/>
                      <w14:textFill>
                        <w14:solidFill>
                          <w14:schemeClr w14:val="tx1"/>
                        </w14:solidFill>
                      </w14:textFill>
                    </w:rPr>
                    <w:t>年平均质量浓度</w:t>
                  </w:r>
                </w:p>
              </w:tc>
              <w:tc>
                <w:tcPr>
                  <w:tcW w:w="1205" w:type="pct"/>
                  <w:tcBorders>
                    <w:tl2br w:val="nil"/>
                    <w:tr2bl w:val="nil"/>
                  </w:tcBorders>
                  <w:shd w:val="clear" w:color="auto" w:fill="auto"/>
                  <w:vAlign w:val="center"/>
                </w:tcPr>
                <w:p w14:paraId="7202E552">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32</w:t>
                  </w:r>
                </w:p>
              </w:tc>
              <w:tc>
                <w:tcPr>
                  <w:tcW w:w="1663" w:type="dxa"/>
                  <w:tcBorders>
                    <w:tl2br w:val="nil"/>
                    <w:tr2bl w:val="nil"/>
                  </w:tcBorders>
                  <w:shd w:val="clear" w:color="auto" w:fill="auto"/>
                  <w:vAlign w:val="center"/>
                </w:tcPr>
                <w:p w14:paraId="4964B06F">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auto"/>
                      <w:kern w:val="0"/>
                      <w:szCs w:val="21"/>
                      <w:lang w:val="en-US" w:eastAsia="zh-CN"/>
                    </w:rPr>
                    <w:t>30</w:t>
                  </w:r>
                </w:p>
              </w:tc>
            </w:tr>
            <w:tr w14:paraId="63BD34EC">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91" w:type="pct"/>
                  <w:vMerge w:val="continue"/>
                  <w:tcBorders>
                    <w:tl2br w:val="nil"/>
                    <w:tr2bl w:val="nil"/>
                  </w:tcBorders>
                  <w:vAlign w:val="center"/>
                </w:tcPr>
                <w:p w14:paraId="2AD6D7D3">
                  <w:pPr>
                    <w:keepNext w:val="0"/>
                    <w:keepLines w:val="0"/>
                    <w:suppressLineNumbers w:val="0"/>
                    <w:adjustRightInd w:val="0"/>
                    <w:snapToGrid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p>
              </w:tc>
              <w:tc>
                <w:tcPr>
                  <w:tcW w:w="2166" w:type="pct"/>
                  <w:tcBorders>
                    <w:tl2br w:val="nil"/>
                    <w:tr2bl w:val="nil"/>
                  </w:tcBorders>
                  <w:shd w:val="clear" w:color="auto" w:fill="auto"/>
                  <w:vAlign w:val="center"/>
                </w:tcPr>
                <w:p w14:paraId="140B6EFF">
                  <w:pPr>
                    <w:keepNext w:val="0"/>
                    <w:keepLines w:val="0"/>
                    <w:widowControl w:val="0"/>
                    <w:suppressLineNumbers w:val="0"/>
                    <w:autoSpaceDE w:val="0"/>
                    <w:autoSpaceDN/>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Cs/>
                      <w:color w:val="000000" w:themeColor="text1"/>
                      <w:kern w:val="2"/>
                      <w:sz w:val="21"/>
                      <w:szCs w:val="21"/>
                      <w:lang w:val="en-US" w:eastAsia="zh-CN" w:bidi="ar"/>
                      <w14:textFill>
                        <w14:solidFill>
                          <w14:schemeClr w14:val="tx1"/>
                        </w14:solidFill>
                      </w14:textFill>
                    </w:rPr>
                    <w:t>日平均质量浓度</w:t>
                  </w:r>
                </w:p>
              </w:tc>
              <w:tc>
                <w:tcPr>
                  <w:tcW w:w="1205" w:type="pct"/>
                  <w:tcBorders>
                    <w:tl2br w:val="nil"/>
                    <w:tr2bl w:val="nil"/>
                  </w:tcBorders>
                  <w:shd w:val="clear" w:color="auto" w:fill="auto"/>
                  <w:vAlign w:val="center"/>
                </w:tcPr>
                <w:p w14:paraId="49A2FCBE">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5~157</w:t>
                  </w:r>
                </w:p>
              </w:tc>
              <w:tc>
                <w:tcPr>
                  <w:tcW w:w="1663" w:type="dxa"/>
                  <w:tcBorders>
                    <w:tl2br w:val="nil"/>
                    <w:tr2bl w:val="nil"/>
                  </w:tcBorders>
                  <w:shd w:val="clear" w:color="auto" w:fill="auto"/>
                  <w:vAlign w:val="center"/>
                </w:tcPr>
                <w:p w14:paraId="10C4CD43">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auto"/>
                      <w:kern w:val="0"/>
                      <w:szCs w:val="21"/>
                      <w:lang w:val="en-US" w:eastAsia="zh-CN"/>
                    </w:rPr>
                    <w:t>60</w:t>
                  </w:r>
                </w:p>
              </w:tc>
            </w:tr>
            <w:tr w14:paraId="6AB0468D">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000" w:type="pct"/>
                  <w:gridSpan w:val="4"/>
                  <w:tcBorders>
                    <w:tl2br w:val="nil"/>
                    <w:tr2bl w:val="nil"/>
                  </w:tcBorders>
                  <w:vAlign w:val="center"/>
                </w:tcPr>
                <w:p w14:paraId="2411111C">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b w:val="0"/>
                      <w:bCs w:val="0"/>
                      <w:color w:val="FF0000"/>
                      <w:sz w:val="21"/>
                      <w:szCs w:val="21"/>
                      <w:highlight w:val="none"/>
                      <w:lang w:val="en-US" w:eastAsia="zh-CN"/>
                    </w:rPr>
                    <w:t>注：</w:t>
                  </w:r>
                  <w:r>
                    <w:rPr>
                      <w:rFonts w:hint="eastAsia" w:eastAsia="宋体"/>
                      <w:b w:val="0"/>
                      <w:bCs w:val="0"/>
                      <w:color w:val="FF0000"/>
                      <w:sz w:val="21"/>
                      <w:szCs w:val="21"/>
                      <w:highlight w:val="none"/>
                      <w:lang w:val="en-US" w:eastAsia="zh-CN"/>
                    </w:rPr>
                    <w:t>自本标准实施之日起至2030年12月31日止，环境空气污染物基本项目实施过渡阶段浓度限值</w:t>
                  </w:r>
                </w:p>
              </w:tc>
            </w:tr>
          </w:tbl>
          <w:p w14:paraId="62DC03B7">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w:t>
            </w:r>
            <w:r>
              <w:rPr>
                <w:rFonts w:hint="eastAsia" w:cs="Times New Roman"/>
                <w:color w:val="auto"/>
                <w:sz w:val="21"/>
                <w:szCs w:val="21"/>
                <w:lang w:eastAsia="zh-CN"/>
              </w:rPr>
              <w:t>202</w:t>
            </w:r>
            <w:r>
              <w:rPr>
                <w:rFonts w:hint="eastAsia" w:cs="Times New Roman"/>
                <w:color w:val="auto"/>
                <w:sz w:val="21"/>
                <w:szCs w:val="21"/>
                <w:lang w:val="en-US" w:eastAsia="zh-CN"/>
              </w:rPr>
              <w:t>4</w:t>
            </w:r>
            <w:r>
              <w:rPr>
                <w:rFonts w:hint="eastAsia" w:cs="Times New Roman"/>
                <w:color w:val="auto"/>
                <w:sz w:val="21"/>
                <w:szCs w:val="21"/>
                <w:lang w:eastAsia="zh-CN"/>
              </w:rPr>
              <w:t>年常州市生态环境状况公报</w:t>
            </w:r>
            <w:r>
              <w:rPr>
                <w:rFonts w:hint="default" w:ascii="Times New Roman" w:hAnsi="Times New Roman" w:eastAsia="宋体" w:cs="Times New Roman"/>
                <w:color w:val="auto"/>
                <w:sz w:val="21"/>
                <w:szCs w:val="21"/>
              </w:rPr>
              <w:t>》</w:t>
            </w:r>
            <w:r>
              <w:rPr>
                <w:rFonts w:hint="eastAsia"/>
                <w:bCs/>
                <w:color w:val="auto"/>
                <w:sz w:val="21"/>
                <w:szCs w:val="21"/>
              </w:rPr>
              <w:t>，常州市目前属于环境空气质量不达标区</w:t>
            </w:r>
            <w:r>
              <w:rPr>
                <w:rFonts w:hint="default" w:ascii="Times New Roman" w:hAnsi="Times New Roman" w:eastAsia="宋体" w:cs="Times New Roman"/>
                <w:color w:val="auto"/>
                <w:sz w:val="21"/>
                <w:szCs w:val="21"/>
              </w:rPr>
              <w:t>。</w:t>
            </w:r>
          </w:p>
          <w:p w14:paraId="14573B71">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（2）大气环境质量改善方案</w:t>
            </w:r>
          </w:p>
          <w:p w14:paraId="766A3A74">
            <w:pPr>
              <w:keepNext w:val="0"/>
              <w:keepLines w:val="0"/>
              <w:pageBreakBefore w:val="0"/>
              <w:widowControl w:val="0"/>
              <w:kinsoku/>
              <w:wordWrap/>
              <w:overflowPunct/>
              <w:topLinePunct w:val="0"/>
              <w:autoSpaceDE/>
              <w:autoSpaceDN/>
              <w:bidi w:val="0"/>
              <w:spacing w:line="500" w:lineRule="exact"/>
              <w:ind w:firstLine="411" w:firstLineChars="196"/>
              <w:textAlignment w:val="auto"/>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根据常州市深入打好污染防治攻坚战指挥部办公室关于印发《2025年度全面推进美丽常州建设重点任务清单》的通知，主要举措如下：</w:t>
            </w:r>
          </w:p>
          <w:p w14:paraId="00D853E4">
            <w:pPr>
              <w:keepNext w:val="0"/>
              <w:keepLines w:val="0"/>
              <w:pageBreakBefore w:val="0"/>
              <w:widowControl w:val="0"/>
              <w:kinsoku/>
              <w:wordWrap/>
              <w:overflowPunct/>
              <w:topLinePunct w:val="0"/>
              <w:autoSpaceDE/>
              <w:autoSpaceDN/>
              <w:bidi w:val="0"/>
              <w:spacing w:line="500" w:lineRule="exact"/>
              <w:ind w:firstLine="411" w:firstLineChars="196"/>
              <w:textAlignment w:val="auto"/>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①加快推动绿色低碳转型发展。煤炭消费量较2020年下降5%。规模以上企业单位工业增加值能耗比2020年下降17%。利用党政机关、公共建筑、工商业厂房、农村居民屋顶建设分布式光伏项目，新增分布式光伏装机容量10兆瓦。开展营运船舶能耗和碳排放数据的监测分析，推动营运船舶节能减排，依法淘汰或更新高耗能高排放老旧营运船舶。</w:t>
            </w:r>
          </w:p>
          <w:p w14:paraId="5BD503ED">
            <w:pPr>
              <w:keepNext w:val="0"/>
              <w:keepLines w:val="0"/>
              <w:pageBreakBefore w:val="0"/>
              <w:widowControl w:val="0"/>
              <w:kinsoku/>
              <w:wordWrap/>
              <w:overflowPunct/>
              <w:topLinePunct w:val="0"/>
              <w:autoSpaceDE/>
              <w:autoSpaceDN/>
              <w:bidi w:val="0"/>
              <w:spacing w:line="500" w:lineRule="exact"/>
              <w:ind w:firstLine="411" w:firstLineChars="196"/>
              <w:textAlignment w:val="auto"/>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②持续深入打好蓝天保卫战。完成60家企业VOCs治理设施提升改造、无组织整治工作，4月底前完成50%，年底重点工业园区VOCs浓度力争比2021年下降20%。深化开展化工园区综合治理，持续推进挂钩帮扶，全面开展化工园区综合整治提升工作。开展锅炉和工业炉窑简易低效污染治理设施排查，通过清洁能源替代、升级改造、整合退出等方式分类处置。发挥30万千瓦及以上热电联产电厂的供热能力，对其供热半径30公里范围内的燃煤锅炉和落后燃煤小热电机组（含自备电厂）进行关停或整合。对全区火电煤堆场、建材行业、铸造行业、垃圾焚烧行业开展“扫尾工作”，全面完成整治任务。督促油品码头、油船依法依规安装、使用油气回收设施，开展储运销环节油气回收系统专项检查。强化各类扬尘治理，严格执行“六个百分百”要求，“两区三厂”范围内无大面积未覆盖裸土，推进规模以上工地安装在线监测和视频监控设备，并将相关数据推送至监管部门。强化渣土运输车辆全封闭运输管理，城市建成区全面使用新型环保智能渣土车。在重点区域分别打造1条以上餐饮油烟示范街区（综合体），并探索建立餐饮绿岛。全面落实重污染天气应对移动源管控要求，实现动态管理。年内逐步淘汰国IV以下排放标准的柴油货车，11月1日起，市区域内实现国三柴油货车全面限行。强化非道路移动机械污染治理，基本完成第一阶段及以下排放标准的非道路移动机械淘汰并逐步淘汰国二排放标准非道路移动机械，新增或更新的作业车辆和机械主要使用新能源车辆和机械。推动建立以集中充换电设施为主、企业自建充换电设施为补充的预拌混凝土专用车辆能源保障体系，通过落实“车电分离”，逐步实现预拌混凝土专用车辆的新能源化。加强秸秆禁烧，全面提升秸秆收、运、贮、用等方面能力。加强春节、中秋、国庆等重点时段的烟花爆竹燃放管控工作，严防禁放区内发生聚集性违规燃放。根据前期烟花爆竹燃放的实际情况，年内完成烟花爆竹禁放区的优化调整。</w:t>
            </w:r>
          </w:p>
          <w:p w14:paraId="0C47FD1D">
            <w:pPr>
              <w:keepNext w:val="0"/>
              <w:keepLines w:val="0"/>
              <w:pageBreakBefore w:val="0"/>
              <w:widowControl w:val="0"/>
              <w:kinsoku/>
              <w:wordWrap/>
              <w:overflowPunct/>
              <w:topLinePunct w:val="0"/>
              <w:autoSpaceDE/>
              <w:autoSpaceDN/>
              <w:bidi w:val="0"/>
              <w:spacing w:line="500" w:lineRule="exact"/>
              <w:ind w:firstLine="411" w:firstLineChars="196"/>
              <w:textAlignment w:val="auto"/>
              <w:rPr>
                <w:rFonts w:hint="default" w:ascii="Times New Roman" w:hAnsi="Times New Roman" w:cs="Times New Roman"/>
                <w:color w:val="000000"/>
                <w:sz w:val="21"/>
                <w:szCs w:val="21"/>
              </w:rPr>
            </w:pPr>
            <w:r>
              <w:rPr>
                <w:rFonts w:hint="default" w:ascii="Times New Roman" w:hAnsi="Times New Roman" w:cs="Times New Roman"/>
                <w:kern w:val="0"/>
                <w:sz w:val="21"/>
                <w:szCs w:val="21"/>
                <w:lang w:bidi="ar"/>
              </w:rPr>
              <w:t>项目所在区域环境空气质量目前暂不达标，采取上述措施后，大气环境质量状况可以得到</w:t>
            </w:r>
            <w:r>
              <w:rPr>
                <w:rFonts w:hint="eastAsia" w:cs="Times New Roman"/>
                <w:kern w:val="0"/>
                <w:sz w:val="21"/>
                <w:szCs w:val="21"/>
                <w:lang w:eastAsia="zh-CN" w:bidi="ar"/>
              </w:rPr>
              <w:t>有效</w:t>
            </w:r>
            <w:r>
              <w:rPr>
                <w:rFonts w:hint="default" w:ascii="Times New Roman" w:hAnsi="Times New Roman" w:cs="Times New Roman"/>
                <w:kern w:val="0"/>
                <w:sz w:val="21"/>
                <w:szCs w:val="21"/>
                <w:lang w:bidi="ar"/>
              </w:rPr>
              <w:t>改善</w:t>
            </w:r>
            <w:r>
              <w:rPr>
                <w:rFonts w:hint="default" w:ascii="Times New Roman" w:hAnsi="Times New Roman" w:cs="Times New Roman"/>
                <w:color w:val="000000"/>
                <w:sz w:val="21"/>
                <w:szCs w:val="21"/>
              </w:rPr>
              <w:t>。</w:t>
            </w:r>
          </w:p>
          <w:p w14:paraId="1FF916C2">
            <w:pPr>
              <w:keepNext w:val="0"/>
              <w:keepLines w:val="0"/>
              <w:pageBreakBefore w:val="0"/>
              <w:widowControl w:val="0"/>
              <w:kinsoku/>
              <w:wordWrap/>
              <w:overflowPunct/>
              <w:topLinePunct w:val="0"/>
              <w:bidi w:val="0"/>
              <w:adjustRightInd w:val="0"/>
              <w:snapToGrid w:val="0"/>
              <w:spacing w:line="50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（3）其他污染物环境质量现状</w:t>
            </w:r>
          </w:p>
          <w:p w14:paraId="16B8E0A4">
            <w:pPr>
              <w:keepNext w:val="0"/>
              <w:keepLines w:val="0"/>
              <w:pageBreakBefore w:val="0"/>
              <w:widowControl w:val="0"/>
              <w:kinsoku/>
              <w:wordWrap/>
              <w:overflowPunct/>
              <w:topLinePunct w:val="0"/>
              <w:autoSpaceDE w:val="0"/>
              <w:autoSpaceDN w:val="0"/>
              <w:bidi w:val="0"/>
              <w:adjustRightInd w:val="0"/>
              <w:snapToGrid w:val="0"/>
              <w:spacing w:line="500" w:lineRule="exact"/>
              <w:ind w:firstLine="420" w:firstLineChars="200"/>
              <w:textAlignment w:val="auto"/>
              <w:rPr>
                <w:rFonts w:ascii="Times New Roman" w:hAnsi="Times New Roman"/>
                <w:color w:val="auto"/>
                <w:sz w:val="21"/>
                <w:szCs w:val="21"/>
                <w:highlight w:val="none"/>
              </w:rPr>
            </w:pPr>
            <w:r>
              <w:rPr>
                <w:rFonts w:hint="eastAsia" w:ascii="Times New Roman" w:hAnsi="Times New Roman" w:eastAsia="宋体" w:cs="Times New Roman"/>
                <w:b w:val="0"/>
                <w:bCs w:val="0"/>
                <w:color w:val="auto"/>
                <w:kern w:val="44"/>
                <w:sz w:val="21"/>
                <w:szCs w:val="21"/>
                <w:lang w:val="en-US" w:eastAsia="zh-CN" w:bidi="ar-SA"/>
              </w:rPr>
              <w:t>项目特征因</w:t>
            </w:r>
            <w:r>
              <w:rPr>
                <w:rFonts w:hint="eastAsia" w:ascii="Times New Roman" w:hAnsi="Times New Roman" w:eastAsia="宋体" w:cs="Times New Roman"/>
                <w:color w:val="auto"/>
                <w:sz w:val="21"/>
                <w:szCs w:val="21"/>
                <w:highlight w:val="none"/>
                <w:lang w:val="en-US" w:eastAsia="zh-CN"/>
              </w:rPr>
              <w:t>子非甲烷总烃引用江苏云居检测技术有限公司在“</w:t>
            </w:r>
            <w:r>
              <w:rPr>
                <w:rFonts w:hint="eastAsia" w:cs="Times New Roman"/>
                <w:color w:val="auto"/>
                <w:sz w:val="21"/>
                <w:szCs w:val="21"/>
                <w:highlight w:val="none"/>
                <w:lang w:val="en-US" w:eastAsia="zh-CN"/>
              </w:rPr>
              <w:t>珑庭花园</w:t>
            </w:r>
            <w:r>
              <w:rPr>
                <w:rFonts w:hint="eastAsia" w:ascii="Times New Roman" w:hAnsi="Times New Roman" w:eastAsia="宋体" w:cs="Times New Roman"/>
                <w:color w:val="auto"/>
                <w:sz w:val="21"/>
                <w:szCs w:val="21"/>
                <w:highlight w:val="none"/>
                <w:lang w:val="en-US" w:eastAsia="zh-CN"/>
              </w:rPr>
              <w:t>”的历史监测数据，检测报告编号</w:t>
            </w:r>
            <w:r>
              <w:rPr>
                <w:rFonts w:hint="default" w:ascii="Times New Roman" w:hAnsi="Times New Roman" w:eastAsia="宋体" w:cs="Times New Roman"/>
                <w:color w:val="auto"/>
                <w:sz w:val="21"/>
                <w:szCs w:val="21"/>
                <w:highlight w:val="none"/>
                <w:lang w:val="en-US" w:eastAsia="zh-CN"/>
              </w:rPr>
              <w:t>YJH25010301</w:t>
            </w:r>
            <w:r>
              <w:rPr>
                <w:rFonts w:hint="eastAsia" w:ascii="Times New Roman" w:hAnsi="Times New Roman" w:eastAsia="宋体" w:cs="Times New Roman"/>
                <w:color w:val="auto"/>
                <w:sz w:val="21"/>
                <w:szCs w:val="21"/>
                <w:highlight w:val="none"/>
                <w:lang w:val="en-US" w:eastAsia="zh-CN"/>
              </w:rPr>
              <w:t>，检测时间为</w:t>
            </w:r>
            <w:r>
              <w:rPr>
                <w:rFonts w:hint="default" w:ascii="Times New Roman" w:hAnsi="Times New Roman" w:eastAsia="宋体" w:cs="Times New Roman"/>
                <w:color w:val="auto"/>
                <w:sz w:val="21"/>
                <w:szCs w:val="21"/>
                <w:highlight w:val="none"/>
                <w:lang w:val="en-US" w:eastAsia="zh-CN"/>
              </w:rPr>
              <w:t>2025年1月7日~2025年1月9日</w:t>
            </w:r>
            <w:r>
              <w:rPr>
                <w:rFonts w:hint="eastAsia" w:ascii="Times New Roman" w:hAnsi="Times New Roman" w:eastAsia="宋体" w:cs="Times New Roman"/>
                <w:color w:val="auto"/>
                <w:sz w:val="21"/>
                <w:szCs w:val="21"/>
                <w:highlight w:val="none"/>
                <w:lang w:val="en-US" w:eastAsia="zh-CN"/>
              </w:rPr>
              <w:t>，监测点位及监测数据见表3</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2及表3-3</w:t>
            </w:r>
            <w:r>
              <w:rPr>
                <w:rFonts w:hint="default" w:ascii="Times New Roman" w:hAnsi="Times New Roman" w:eastAsia="宋体" w:cs="Times New Roman"/>
                <w:color w:val="auto"/>
                <w:sz w:val="21"/>
                <w:szCs w:val="21"/>
                <w:highlight w:val="none"/>
                <w:lang w:val="en-US" w:eastAsia="zh-CN"/>
              </w:rPr>
              <w:t>。</w:t>
            </w:r>
          </w:p>
          <w:p w14:paraId="5B241AD7">
            <w:pPr>
              <w:pStyle w:val="7"/>
              <w:keepNext/>
              <w:keepLines w:val="0"/>
              <w:pageBreakBefore w:val="0"/>
              <w:widowControl/>
              <w:kinsoku/>
              <w:wordWrap/>
              <w:overflowPunct/>
              <w:topLinePunct w:val="0"/>
              <w:autoSpaceDE/>
              <w:autoSpaceDN/>
              <w:bidi w:val="0"/>
              <w:adjustRightInd/>
              <w:snapToGrid/>
              <w:spacing w:line="480" w:lineRule="exact"/>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表3-2</w:t>
            </w:r>
            <w:r>
              <w:rPr>
                <w:rFonts w:hint="eastAsia" w:ascii="Times New Roman" w:hAnsi="Times New Roman"/>
                <w:color w:val="auto"/>
                <w:sz w:val="21"/>
                <w:szCs w:val="21"/>
                <w:highlight w:val="none"/>
                <w:lang w:val="en-US" w:eastAsia="zh-CN"/>
              </w:rPr>
              <w:t xml:space="preserve"> </w:t>
            </w:r>
            <w:r>
              <w:rPr>
                <w:rFonts w:hint="eastAsia" w:ascii="Times New Roman" w:hAnsi="Times New Roman"/>
                <w:color w:val="auto"/>
                <w:sz w:val="21"/>
                <w:szCs w:val="21"/>
                <w:highlight w:val="none"/>
              </w:rPr>
              <w:t>特征</w:t>
            </w:r>
            <w:r>
              <w:rPr>
                <w:rFonts w:ascii="Times New Roman" w:hAnsi="Times New Roman"/>
                <w:color w:val="auto"/>
                <w:sz w:val="21"/>
                <w:szCs w:val="21"/>
                <w:highlight w:val="none"/>
              </w:rPr>
              <w:t>污染物补充监测点位基本信息</w:t>
            </w:r>
          </w:p>
          <w:tbl>
            <w:tblPr>
              <w:tblStyle w:val="31"/>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10"/>
              <w:gridCol w:w="1008"/>
              <w:gridCol w:w="1263"/>
              <w:gridCol w:w="1024"/>
              <w:gridCol w:w="1594"/>
              <w:gridCol w:w="1326"/>
              <w:gridCol w:w="984"/>
            </w:tblGrid>
            <w:tr w14:paraId="054F63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36" w:type="pct"/>
                  <w:vMerge w:val="restart"/>
                  <w:noWrap w:val="0"/>
                  <w:vAlign w:val="center"/>
                </w:tcPr>
                <w:p w14:paraId="504E5AAC">
                  <w:pPr>
                    <w:jc w:val="center"/>
                    <w:rPr>
                      <w:b/>
                      <w:color w:val="auto"/>
                      <w:sz w:val="21"/>
                      <w:szCs w:val="21"/>
                      <w:highlight w:val="none"/>
                    </w:rPr>
                  </w:pPr>
                  <w:r>
                    <w:rPr>
                      <w:b/>
                      <w:color w:val="auto"/>
                      <w:sz w:val="21"/>
                      <w:szCs w:val="21"/>
                      <w:highlight w:val="none"/>
                    </w:rPr>
                    <w:t>监测点名称</w:t>
                  </w:r>
                </w:p>
              </w:tc>
              <w:tc>
                <w:tcPr>
                  <w:tcW w:w="1442" w:type="pct"/>
                  <w:gridSpan w:val="2"/>
                  <w:noWrap w:val="0"/>
                  <w:vAlign w:val="center"/>
                </w:tcPr>
                <w:p w14:paraId="4F5865C7">
                  <w:pPr>
                    <w:jc w:val="center"/>
                    <w:rPr>
                      <w:b/>
                      <w:color w:val="auto"/>
                      <w:sz w:val="21"/>
                      <w:szCs w:val="21"/>
                      <w:highlight w:val="none"/>
                    </w:rPr>
                  </w:pPr>
                  <w:r>
                    <w:rPr>
                      <w:b/>
                      <w:color w:val="auto"/>
                      <w:sz w:val="21"/>
                      <w:szCs w:val="21"/>
                      <w:highlight w:val="none"/>
                    </w:rPr>
                    <w:t>监测点坐标</w:t>
                  </w:r>
                </w:p>
              </w:tc>
              <w:tc>
                <w:tcPr>
                  <w:tcW w:w="669" w:type="pct"/>
                  <w:vMerge w:val="restart"/>
                  <w:noWrap w:val="0"/>
                  <w:vAlign w:val="center"/>
                </w:tcPr>
                <w:p w14:paraId="6BB7D196">
                  <w:pPr>
                    <w:jc w:val="center"/>
                    <w:rPr>
                      <w:b/>
                      <w:color w:val="auto"/>
                      <w:sz w:val="21"/>
                      <w:szCs w:val="21"/>
                      <w:highlight w:val="none"/>
                    </w:rPr>
                  </w:pPr>
                  <w:r>
                    <w:rPr>
                      <w:b/>
                      <w:color w:val="auto"/>
                      <w:sz w:val="21"/>
                      <w:szCs w:val="21"/>
                      <w:highlight w:val="none"/>
                    </w:rPr>
                    <w:t>监测因子</w:t>
                  </w:r>
                </w:p>
              </w:tc>
              <w:tc>
                <w:tcPr>
                  <w:tcW w:w="849" w:type="pct"/>
                  <w:vMerge w:val="restart"/>
                  <w:noWrap w:val="0"/>
                  <w:vAlign w:val="center"/>
                </w:tcPr>
                <w:p w14:paraId="7300ED34">
                  <w:pPr>
                    <w:jc w:val="center"/>
                    <w:rPr>
                      <w:b/>
                      <w:color w:val="auto"/>
                      <w:sz w:val="21"/>
                      <w:szCs w:val="21"/>
                      <w:highlight w:val="none"/>
                    </w:rPr>
                  </w:pPr>
                  <w:r>
                    <w:rPr>
                      <w:b/>
                      <w:color w:val="auto"/>
                      <w:sz w:val="21"/>
                      <w:szCs w:val="21"/>
                      <w:highlight w:val="none"/>
                    </w:rPr>
                    <w:t>监测时段</w:t>
                  </w:r>
                </w:p>
              </w:tc>
              <w:tc>
                <w:tcPr>
                  <w:tcW w:w="857" w:type="pct"/>
                  <w:vMerge w:val="restart"/>
                  <w:noWrap w:val="0"/>
                  <w:vAlign w:val="center"/>
                </w:tcPr>
                <w:p w14:paraId="19DC7216">
                  <w:pPr>
                    <w:keepNext w:val="0"/>
                    <w:keepLines w:val="0"/>
                    <w:suppressLineNumbers w:val="0"/>
                    <w:adjustRightInd w:val="0"/>
                    <w:snapToGrid w:val="0"/>
                    <w:spacing w:before="0" w:beforeAutospacing="0" w:after="0" w:afterAutospacing="0"/>
                    <w:ind w:left="0" w:leftChars="0" w:right="0" w:rightChars="0"/>
                    <w:jc w:val="center"/>
                    <w:rPr>
                      <w:color w:val="auto"/>
                      <w:sz w:val="21"/>
                      <w:szCs w:val="21"/>
                      <w:highlight w:val="none"/>
                    </w:rPr>
                  </w:pPr>
                  <w:r>
                    <w:rPr>
                      <w:rFonts w:hint="default"/>
                      <w:b/>
                      <w:color w:val="000000" w:themeColor="text1"/>
                      <w:sz w:val="21"/>
                      <w:szCs w:val="21"/>
                      <w14:textFill>
                        <w14:solidFill>
                          <w14:schemeClr w14:val="tx1"/>
                        </w14:solidFill>
                      </w14:textFill>
                    </w:rPr>
                    <w:t>相对厂址方位</w:t>
                  </w:r>
                </w:p>
              </w:tc>
              <w:tc>
                <w:tcPr>
                  <w:tcW w:w="644" w:type="pct"/>
                  <w:vMerge w:val="restart"/>
                  <w:noWrap w:val="0"/>
                  <w:vAlign w:val="center"/>
                </w:tcPr>
                <w:p w14:paraId="21DDD36D">
                  <w:pPr>
                    <w:keepNext w:val="0"/>
                    <w:keepLines w:val="0"/>
                    <w:suppressLineNumbers w:val="0"/>
                    <w:adjustRightInd w:val="0"/>
                    <w:snapToGrid w:val="0"/>
                    <w:spacing w:before="0" w:beforeAutospacing="0" w:after="0" w:afterAutospacing="0"/>
                    <w:ind w:left="0" w:leftChars="0" w:right="0" w:rightChars="0"/>
                    <w:jc w:val="center"/>
                    <w:rPr>
                      <w:color w:val="auto"/>
                      <w:sz w:val="21"/>
                      <w:szCs w:val="21"/>
                      <w:highlight w:val="none"/>
                    </w:rPr>
                  </w:pPr>
                  <w:r>
                    <w:rPr>
                      <w:rFonts w:hint="default"/>
                      <w:b/>
                      <w:color w:val="000000" w:themeColor="text1"/>
                      <w:sz w:val="21"/>
                      <w:szCs w:val="21"/>
                      <w14:textFill>
                        <w14:solidFill>
                          <w14:schemeClr w14:val="tx1"/>
                        </w14:solidFill>
                      </w14:textFill>
                    </w:rPr>
                    <w:t>相对厂界距离</w:t>
                  </w:r>
                </w:p>
              </w:tc>
            </w:tr>
            <w:tr w14:paraId="158C3A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36" w:type="pct"/>
                  <w:vMerge w:val="continue"/>
                  <w:noWrap w:val="0"/>
                  <w:vAlign w:val="center"/>
                </w:tcPr>
                <w:p w14:paraId="22FBB370">
                  <w:pPr>
                    <w:jc w:val="center"/>
                    <w:rPr>
                      <w:color w:val="auto"/>
                      <w:sz w:val="21"/>
                      <w:szCs w:val="21"/>
                      <w:highlight w:val="none"/>
                    </w:rPr>
                  </w:pPr>
                </w:p>
              </w:tc>
              <w:tc>
                <w:tcPr>
                  <w:tcW w:w="624" w:type="pct"/>
                  <w:noWrap w:val="0"/>
                  <w:vAlign w:val="center"/>
                </w:tcPr>
                <w:p w14:paraId="7DEF2C45">
                  <w:pPr>
                    <w:jc w:val="center"/>
                    <w:rPr>
                      <w:color w:val="auto"/>
                      <w:sz w:val="21"/>
                      <w:szCs w:val="21"/>
                      <w:highlight w:val="none"/>
                    </w:rPr>
                  </w:pPr>
                  <w:r>
                    <w:rPr>
                      <w:color w:val="auto"/>
                      <w:sz w:val="21"/>
                      <w:szCs w:val="21"/>
                      <w:highlight w:val="none"/>
                    </w:rPr>
                    <w:t>X</w:t>
                  </w:r>
                </w:p>
              </w:tc>
              <w:tc>
                <w:tcPr>
                  <w:tcW w:w="817" w:type="pct"/>
                  <w:noWrap w:val="0"/>
                  <w:vAlign w:val="center"/>
                </w:tcPr>
                <w:p w14:paraId="38E37163">
                  <w:pPr>
                    <w:jc w:val="center"/>
                    <w:rPr>
                      <w:color w:val="auto"/>
                      <w:sz w:val="21"/>
                      <w:szCs w:val="21"/>
                      <w:highlight w:val="none"/>
                    </w:rPr>
                  </w:pPr>
                  <w:r>
                    <w:rPr>
                      <w:color w:val="auto"/>
                      <w:sz w:val="21"/>
                      <w:szCs w:val="21"/>
                      <w:highlight w:val="none"/>
                    </w:rPr>
                    <w:t>Y</w:t>
                  </w:r>
                </w:p>
              </w:tc>
              <w:tc>
                <w:tcPr>
                  <w:tcW w:w="669" w:type="pct"/>
                  <w:vMerge w:val="continue"/>
                  <w:noWrap w:val="0"/>
                  <w:vAlign w:val="center"/>
                </w:tcPr>
                <w:p w14:paraId="2E771A1A">
                  <w:pPr>
                    <w:jc w:val="center"/>
                    <w:rPr>
                      <w:color w:val="auto"/>
                      <w:sz w:val="21"/>
                      <w:szCs w:val="21"/>
                      <w:highlight w:val="none"/>
                    </w:rPr>
                  </w:pPr>
                </w:p>
              </w:tc>
              <w:tc>
                <w:tcPr>
                  <w:tcW w:w="849" w:type="pct"/>
                  <w:vMerge w:val="continue"/>
                  <w:noWrap w:val="0"/>
                  <w:vAlign w:val="center"/>
                </w:tcPr>
                <w:p w14:paraId="486D1C89">
                  <w:pPr>
                    <w:jc w:val="center"/>
                    <w:rPr>
                      <w:color w:val="auto"/>
                      <w:sz w:val="21"/>
                      <w:szCs w:val="21"/>
                      <w:highlight w:val="none"/>
                    </w:rPr>
                  </w:pPr>
                </w:p>
              </w:tc>
              <w:tc>
                <w:tcPr>
                  <w:tcW w:w="857" w:type="pct"/>
                  <w:vMerge w:val="continue"/>
                  <w:noWrap w:val="0"/>
                  <w:vAlign w:val="center"/>
                </w:tcPr>
                <w:p w14:paraId="71C8EF45">
                  <w:pPr>
                    <w:keepNext w:val="0"/>
                    <w:keepLines w:val="0"/>
                    <w:suppressLineNumbers w:val="0"/>
                    <w:adjustRightInd w:val="0"/>
                    <w:snapToGrid w:val="0"/>
                    <w:spacing w:before="0" w:beforeAutospacing="0" w:after="0" w:afterAutospacing="0"/>
                    <w:ind w:left="0" w:leftChars="0" w:right="0" w:rightChars="0"/>
                    <w:jc w:val="center"/>
                    <w:rPr>
                      <w:color w:val="auto"/>
                      <w:sz w:val="21"/>
                      <w:szCs w:val="21"/>
                      <w:highlight w:val="none"/>
                    </w:rPr>
                  </w:pPr>
                </w:p>
              </w:tc>
              <w:tc>
                <w:tcPr>
                  <w:tcW w:w="644" w:type="pct"/>
                  <w:vMerge w:val="continue"/>
                  <w:noWrap w:val="0"/>
                  <w:vAlign w:val="center"/>
                </w:tcPr>
                <w:p w14:paraId="12020B00">
                  <w:pPr>
                    <w:keepNext w:val="0"/>
                    <w:keepLines w:val="0"/>
                    <w:suppressLineNumbers w:val="0"/>
                    <w:adjustRightInd w:val="0"/>
                    <w:snapToGrid w:val="0"/>
                    <w:spacing w:before="0" w:beforeAutospacing="0" w:after="0" w:afterAutospacing="0"/>
                    <w:ind w:left="0" w:leftChars="0" w:right="0" w:rightChars="0"/>
                    <w:jc w:val="center"/>
                    <w:rPr>
                      <w:color w:val="auto"/>
                      <w:sz w:val="21"/>
                      <w:szCs w:val="21"/>
                      <w:highlight w:val="none"/>
                    </w:rPr>
                  </w:pPr>
                </w:p>
              </w:tc>
            </w:tr>
            <w:tr w14:paraId="10FCFB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36" w:type="pct"/>
                  <w:noWrap w:val="0"/>
                  <w:vAlign w:val="center"/>
                </w:tcPr>
                <w:p w14:paraId="0918E448">
                  <w:pPr>
                    <w:jc w:val="center"/>
                    <w:rPr>
                      <w:rFonts w:hint="default" w:eastAsia="宋体"/>
                      <w:color w:val="auto"/>
                      <w:kern w:val="2"/>
                      <w:sz w:val="21"/>
                      <w:szCs w:val="21"/>
                      <w:highlight w:val="none"/>
                      <w:lang w:val="en-US" w:eastAsia="zh-CN" w:bidi="ar-SA"/>
                    </w:rPr>
                  </w:pPr>
                  <w:r>
                    <w:rPr>
                      <w:rFonts w:hint="eastAsia"/>
                      <w:color w:val="000000" w:themeColor="text1"/>
                      <w:sz w:val="21"/>
                      <w:szCs w:val="21"/>
                      <w:lang w:val="en-US" w:eastAsia="zh-CN"/>
                      <w14:textFill>
                        <w14:solidFill>
                          <w14:schemeClr w14:val="tx1"/>
                        </w14:solidFill>
                      </w14:textFill>
                    </w:rPr>
                    <w:t>珑庭花园</w:t>
                  </w:r>
                </w:p>
              </w:tc>
              <w:tc>
                <w:tcPr>
                  <w:tcW w:w="1046" w:type="dxa"/>
                  <w:noWrap w:val="0"/>
                  <w:vAlign w:val="center"/>
                </w:tcPr>
                <w:p w14:paraId="567DA99D">
                  <w:pPr>
                    <w:pStyle w:val="25"/>
                    <w:widowControl w:val="0"/>
                    <w:adjustRightInd w:val="0"/>
                    <w:snapToGrid w:val="0"/>
                    <w:spacing w:before="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119.63</w:t>
                  </w:r>
                  <w:r>
                    <w:rPr>
                      <w:rFonts w:hint="eastAsia" w:ascii="Times New Roman" w:hAnsi="Times New Roman" w:cs="Times New Roman"/>
                      <w:color w:val="auto"/>
                      <w:sz w:val="21"/>
                      <w:szCs w:val="21"/>
                      <w:highlight w:val="none"/>
                      <w:lang w:val="en-US" w:eastAsia="zh-CN"/>
                    </w:rPr>
                    <w:t>9248</w:t>
                  </w:r>
                </w:p>
              </w:tc>
              <w:tc>
                <w:tcPr>
                  <w:tcW w:w="1372" w:type="dxa"/>
                  <w:noWrap w:val="0"/>
                  <w:vAlign w:val="center"/>
                </w:tcPr>
                <w:p w14:paraId="607F4B6D">
                  <w:pPr>
                    <w:pStyle w:val="25"/>
                    <w:widowControl w:val="0"/>
                    <w:adjustRightInd w:val="0"/>
                    <w:snapToGrid w:val="0"/>
                    <w:spacing w:before="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31.75</w:t>
                  </w:r>
                  <w:r>
                    <w:rPr>
                      <w:rFonts w:hint="eastAsia" w:ascii="Times New Roman" w:hAnsi="Times New Roman" w:cs="Times New Roman"/>
                      <w:color w:val="auto"/>
                      <w:sz w:val="21"/>
                      <w:szCs w:val="21"/>
                      <w:highlight w:val="none"/>
                      <w:lang w:val="en-US" w:eastAsia="zh-CN"/>
                    </w:rPr>
                    <w:t>6557</w:t>
                  </w:r>
                </w:p>
              </w:tc>
              <w:tc>
                <w:tcPr>
                  <w:tcW w:w="1122" w:type="dxa"/>
                  <w:noWrap w:val="0"/>
                  <w:vAlign w:val="center"/>
                </w:tcPr>
                <w:p w14:paraId="25C7C52F">
                  <w:pPr>
                    <w:jc w:val="center"/>
                    <w:rPr>
                      <w:color w:val="auto"/>
                      <w:kern w:val="2"/>
                      <w:sz w:val="21"/>
                      <w:szCs w:val="21"/>
                      <w:highlight w:val="none"/>
                      <w:lang w:val="en-US" w:eastAsia="zh-CN" w:bidi="ar-SA"/>
                    </w:rPr>
                  </w:pPr>
                  <w:r>
                    <w:rPr>
                      <w:color w:val="auto"/>
                      <w:spacing w:val="-16"/>
                      <w:szCs w:val="21"/>
                      <w:highlight w:val="none"/>
                    </w:rPr>
                    <w:t>非甲烷总烃</w:t>
                  </w:r>
                </w:p>
              </w:tc>
              <w:tc>
                <w:tcPr>
                  <w:tcW w:w="1424" w:type="dxa"/>
                  <w:noWrap w:val="0"/>
                  <w:vAlign w:val="center"/>
                </w:tcPr>
                <w:p w14:paraId="16F989E2">
                  <w:pPr>
                    <w:jc w:val="center"/>
                    <w:rPr>
                      <w:rFonts w:hint="default" w:eastAsia="宋体"/>
                      <w:color w:val="auto"/>
                      <w:kern w:val="2"/>
                      <w:sz w:val="21"/>
                      <w:szCs w:val="21"/>
                      <w:highlight w:val="none"/>
                      <w:lang w:val="en-US" w:eastAsia="zh-CN" w:bidi="ar-SA"/>
                    </w:rPr>
                  </w:pPr>
                  <w:r>
                    <w:rPr>
                      <w:rFonts w:hint="default" w:ascii="Times New Roman" w:hAnsi="Times New Roman" w:eastAsia="宋体" w:cs="Times New Roman"/>
                      <w:bCs/>
                      <w:color w:val="auto"/>
                      <w:szCs w:val="21"/>
                    </w:rPr>
                    <w:t>202</w:t>
                  </w:r>
                  <w:r>
                    <w:rPr>
                      <w:rFonts w:hint="default" w:ascii="Times New Roman" w:hAnsi="Times New Roman" w:cs="Times New Roman"/>
                      <w:bCs/>
                      <w:color w:val="auto"/>
                      <w:szCs w:val="21"/>
                      <w:lang w:val="en-US" w:eastAsia="zh-CN"/>
                    </w:rPr>
                    <w:t>5</w:t>
                  </w:r>
                  <w:r>
                    <w:rPr>
                      <w:rFonts w:hint="default" w:ascii="Times New Roman" w:hAnsi="Times New Roman" w:eastAsia="宋体" w:cs="Times New Roman"/>
                      <w:bCs/>
                      <w:color w:val="auto"/>
                      <w:szCs w:val="21"/>
                    </w:rPr>
                    <w:t>.</w:t>
                  </w:r>
                  <w:r>
                    <w:rPr>
                      <w:rFonts w:hint="default" w:ascii="Times New Roman" w:hAnsi="Times New Roman" w:cs="Times New Roman"/>
                      <w:bCs/>
                      <w:color w:val="auto"/>
                      <w:szCs w:val="21"/>
                      <w:lang w:val="en-US" w:eastAsia="zh-CN"/>
                    </w:rPr>
                    <w:t>1</w:t>
                  </w:r>
                  <w:r>
                    <w:rPr>
                      <w:rFonts w:hint="default" w:ascii="Times New Roman" w:hAnsi="Times New Roman" w:eastAsia="宋体" w:cs="Times New Roman"/>
                      <w:bCs/>
                      <w:color w:val="auto"/>
                      <w:szCs w:val="21"/>
                    </w:rPr>
                    <w:t>.</w:t>
                  </w:r>
                  <w:r>
                    <w:rPr>
                      <w:rFonts w:hint="default" w:ascii="Times New Roman" w:hAnsi="Times New Roman" w:cs="Times New Roman"/>
                      <w:bCs/>
                      <w:color w:val="auto"/>
                      <w:szCs w:val="21"/>
                      <w:lang w:val="en-US" w:eastAsia="zh-CN"/>
                    </w:rPr>
                    <w:t>7</w:t>
                  </w:r>
                  <w:r>
                    <w:rPr>
                      <w:rFonts w:hint="default" w:ascii="Times New Roman" w:hAnsi="Times New Roman" w:eastAsia="宋体" w:cs="Times New Roman"/>
                      <w:bCs/>
                      <w:color w:val="auto"/>
                      <w:szCs w:val="21"/>
                    </w:rPr>
                    <w:t>~202</w:t>
                  </w:r>
                  <w:r>
                    <w:rPr>
                      <w:rFonts w:hint="default" w:ascii="Times New Roman" w:hAnsi="Times New Roman" w:cs="Times New Roman"/>
                      <w:bCs/>
                      <w:color w:val="auto"/>
                      <w:szCs w:val="21"/>
                      <w:lang w:val="en-US" w:eastAsia="zh-CN"/>
                    </w:rPr>
                    <w:t>5</w:t>
                  </w:r>
                  <w:r>
                    <w:rPr>
                      <w:rFonts w:hint="default" w:ascii="Times New Roman" w:hAnsi="Times New Roman" w:eastAsia="宋体" w:cs="Times New Roman"/>
                      <w:bCs/>
                      <w:color w:val="auto"/>
                      <w:szCs w:val="21"/>
                    </w:rPr>
                    <w:t>.</w:t>
                  </w:r>
                  <w:r>
                    <w:rPr>
                      <w:rFonts w:hint="default" w:ascii="Times New Roman" w:hAnsi="Times New Roman" w:cs="Times New Roman"/>
                      <w:bCs/>
                      <w:color w:val="auto"/>
                      <w:szCs w:val="21"/>
                      <w:lang w:val="en-US" w:eastAsia="zh-CN"/>
                    </w:rPr>
                    <w:t>1</w:t>
                  </w:r>
                  <w:r>
                    <w:rPr>
                      <w:rFonts w:hint="default" w:ascii="Times New Roman" w:hAnsi="Times New Roman" w:eastAsia="宋体" w:cs="Times New Roman"/>
                      <w:bCs/>
                      <w:color w:val="auto"/>
                      <w:szCs w:val="21"/>
                    </w:rPr>
                    <w:t>.9</w:t>
                  </w:r>
                </w:p>
              </w:tc>
              <w:tc>
                <w:tcPr>
                  <w:tcW w:w="857" w:type="pct"/>
                  <w:noWrap w:val="0"/>
                  <w:vAlign w:val="center"/>
                </w:tcPr>
                <w:p w14:paraId="7B6E4D26">
                  <w:pPr>
                    <w:keepNext w:val="0"/>
                    <w:keepLines w:val="0"/>
                    <w:suppressLineNumbers w:val="0"/>
                    <w:adjustRightInd w:val="0"/>
                    <w:snapToGrid w:val="0"/>
                    <w:spacing w:before="0" w:beforeAutospacing="0" w:after="0" w:afterAutospacing="0"/>
                    <w:ind w:left="0" w:leftChars="0" w:right="0" w:rightChars="0"/>
                    <w:jc w:val="center"/>
                    <w:rPr>
                      <w:rFonts w:hint="eastAsia"/>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N</w:t>
                  </w:r>
                </w:p>
              </w:tc>
              <w:tc>
                <w:tcPr>
                  <w:tcW w:w="644" w:type="pct"/>
                  <w:noWrap w:val="0"/>
                  <w:vAlign w:val="center"/>
                </w:tcPr>
                <w:p w14:paraId="3842633B">
                  <w:pPr>
                    <w:keepNext w:val="0"/>
                    <w:keepLines w:val="0"/>
                    <w:suppressLineNumbers w:val="0"/>
                    <w:adjustRightInd w:val="0"/>
                    <w:snapToGrid w:val="0"/>
                    <w:spacing w:before="0" w:beforeAutospacing="0" w:after="0" w:afterAutospacing="0"/>
                    <w:ind w:left="0" w:leftChars="0" w:right="0" w:rightChars="0"/>
                    <w:jc w:val="center"/>
                    <w:rPr>
                      <w:rFonts w:hint="default"/>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2100m</w:t>
                  </w:r>
                </w:p>
              </w:tc>
            </w:tr>
          </w:tbl>
          <w:p w14:paraId="14C7CFBC">
            <w:pPr>
              <w:pStyle w:val="7"/>
              <w:keepNext/>
              <w:keepLines w:val="0"/>
              <w:pageBreakBefore w:val="0"/>
              <w:widowControl/>
              <w:kinsoku/>
              <w:wordWrap/>
              <w:overflowPunct/>
              <w:topLinePunct w:val="0"/>
              <w:autoSpaceDE/>
              <w:autoSpaceDN/>
              <w:bidi w:val="0"/>
              <w:adjustRightInd w:val="0"/>
              <w:snapToGrid w:val="0"/>
              <w:spacing w:before="120" w:beforeLines="50" w:line="480" w:lineRule="exact"/>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表3-3</w:t>
            </w:r>
            <w:r>
              <w:rPr>
                <w:rFonts w:hint="eastAsia" w:ascii="Times New Roman" w:hAnsi="Times New Roman"/>
                <w:color w:val="auto"/>
                <w:sz w:val="21"/>
                <w:szCs w:val="21"/>
                <w:highlight w:val="none"/>
                <w:lang w:val="en-US" w:eastAsia="zh-CN"/>
              </w:rPr>
              <w:t xml:space="preserve"> </w:t>
            </w:r>
            <w:r>
              <w:rPr>
                <w:rFonts w:hint="eastAsia" w:ascii="Times New Roman" w:hAnsi="Times New Roman"/>
                <w:color w:val="auto"/>
                <w:sz w:val="21"/>
                <w:szCs w:val="21"/>
                <w:highlight w:val="none"/>
              </w:rPr>
              <w:t>特征</w:t>
            </w:r>
            <w:r>
              <w:rPr>
                <w:rFonts w:ascii="Times New Roman" w:hAnsi="Times New Roman"/>
                <w:color w:val="auto"/>
                <w:sz w:val="21"/>
                <w:szCs w:val="21"/>
                <w:highlight w:val="none"/>
              </w:rPr>
              <w:t>污染物环境质量现状（监测结果）表</w:t>
            </w:r>
          </w:p>
          <w:tbl>
            <w:tblPr>
              <w:tblStyle w:val="31"/>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50"/>
              <w:gridCol w:w="1298"/>
              <w:gridCol w:w="1239"/>
              <w:gridCol w:w="990"/>
              <w:gridCol w:w="881"/>
              <w:gridCol w:w="1192"/>
              <w:gridCol w:w="686"/>
              <w:gridCol w:w="673"/>
            </w:tblGrid>
            <w:tr w14:paraId="1C63F3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55" w:type="pct"/>
                  <w:vMerge w:val="restart"/>
                  <w:noWrap w:val="0"/>
                  <w:vAlign w:val="center"/>
                </w:tcPr>
                <w:p w14:paraId="2986DC63">
                  <w:pPr>
                    <w:jc w:val="center"/>
                    <w:rPr>
                      <w:b/>
                      <w:color w:val="auto"/>
                      <w:sz w:val="21"/>
                      <w:szCs w:val="21"/>
                      <w:highlight w:val="none"/>
                    </w:rPr>
                  </w:pPr>
                  <w:r>
                    <w:rPr>
                      <w:b/>
                      <w:color w:val="auto"/>
                      <w:sz w:val="21"/>
                      <w:szCs w:val="21"/>
                      <w:highlight w:val="none"/>
                    </w:rPr>
                    <w:t>监测点名称</w:t>
                  </w:r>
                </w:p>
              </w:tc>
              <w:tc>
                <w:tcPr>
                  <w:tcW w:w="1583" w:type="pct"/>
                  <w:gridSpan w:val="2"/>
                  <w:noWrap w:val="0"/>
                  <w:vAlign w:val="center"/>
                </w:tcPr>
                <w:p w14:paraId="70A4942F">
                  <w:pPr>
                    <w:jc w:val="center"/>
                    <w:rPr>
                      <w:b/>
                      <w:color w:val="auto"/>
                      <w:sz w:val="21"/>
                      <w:szCs w:val="21"/>
                      <w:highlight w:val="none"/>
                    </w:rPr>
                  </w:pPr>
                  <w:r>
                    <w:rPr>
                      <w:b/>
                      <w:color w:val="auto"/>
                      <w:sz w:val="21"/>
                      <w:szCs w:val="21"/>
                      <w:highlight w:val="none"/>
                    </w:rPr>
                    <w:t>监测点坐标</w:t>
                  </w:r>
                </w:p>
              </w:tc>
              <w:tc>
                <w:tcPr>
                  <w:tcW w:w="618" w:type="pct"/>
                  <w:vMerge w:val="restart"/>
                  <w:noWrap w:val="0"/>
                  <w:vAlign w:val="center"/>
                </w:tcPr>
                <w:p w14:paraId="7088C21F">
                  <w:pPr>
                    <w:jc w:val="center"/>
                    <w:rPr>
                      <w:b/>
                      <w:color w:val="auto"/>
                      <w:sz w:val="21"/>
                      <w:szCs w:val="21"/>
                      <w:highlight w:val="none"/>
                    </w:rPr>
                  </w:pPr>
                  <w:r>
                    <w:rPr>
                      <w:b/>
                      <w:color w:val="auto"/>
                      <w:sz w:val="21"/>
                      <w:szCs w:val="21"/>
                      <w:highlight w:val="none"/>
                    </w:rPr>
                    <w:t>污染物</w:t>
                  </w:r>
                </w:p>
              </w:tc>
              <w:tc>
                <w:tcPr>
                  <w:tcW w:w="550" w:type="pct"/>
                  <w:vMerge w:val="restart"/>
                  <w:noWrap w:val="0"/>
                  <w:vAlign w:val="center"/>
                </w:tcPr>
                <w:p w14:paraId="1558AF48">
                  <w:pPr>
                    <w:jc w:val="center"/>
                    <w:rPr>
                      <w:b/>
                      <w:color w:val="auto"/>
                      <w:sz w:val="21"/>
                      <w:szCs w:val="21"/>
                      <w:highlight w:val="none"/>
                    </w:rPr>
                  </w:pPr>
                  <w:r>
                    <w:rPr>
                      <w:b/>
                      <w:color w:val="auto"/>
                      <w:sz w:val="21"/>
                      <w:szCs w:val="21"/>
                      <w:highlight w:val="none"/>
                    </w:rPr>
                    <w:t>平均时间</w:t>
                  </w:r>
                </w:p>
              </w:tc>
              <w:tc>
                <w:tcPr>
                  <w:tcW w:w="744" w:type="pct"/>
                  <w:vMerge w:val="restart"/>
                  <w:noWrap w:val="0"/>
                  <w:vAlign w:val="center"/>
                </w:tcPr>
                <w:p w14:paraId="55AB6C8A">
                  <w:pPr>
                    <w:jc w:val="center"/>
                    <w:rPr>
                      <w:b/>
                      <w:color w:val="auto"/>
                      <w:sz w:val="21"/>
                      <w:szCs w:val="21"/>
                      <w:highlight w:val="none"/>
                    </w:rPr>
                  </w:pPr>
                  <w:r>
                    <w:rPr>
                      <w:b/>
                      <w:color w:val="auto"/>
                      <w:sz w:val="21"/>
                      <w:szCs w:val="21"/>
                      <w:highlight w:val="none"/>
                    </w:rPr>
                    <w:t>监测浓度范围/</w:t>
                  </w:r>
                  <w:r>
                    <w:rPr>
                      <w:rFonts w:hint="eastAsia"/>
                      <w:b/>
                      <w:color w:val="auto"/>
                      <w:sz w:val="21"/>
                      <w:szCs w:val="21"/>
                      <w:highlight w:val="none"/>
                      <w:lang w:val="en-US" w:eastAsia="zh-CN"/>
                    </w:rPr>
                    <w:t>m</w:t>
                  </w:r>
                  <w:r>
                    <w:rPr>
                      <w:b/>
                      <w:color w:val="auto"/>
                      <w:sz w:val="21"/>
                      <w:szCs w:val="21"/>
                      <w:highlight w:val="none"/>
                    </w:rPr>
                    <w:t>g/m</w:t>
                  </w:r>
                  <w:r>
                    <w:rPr>
                      <w:b/>
                      <w:color w:val="auto"/>
                      <w:sz w:val="21"/>
                      <w:szCs w:val="21"/>
                      <w:highlight w:val="none"/>
                      <w:vertAlign w:val="superscript"/>
                    </w:rPr>
                    <w:t>3</w:t>
                  </w:r>
                </w:p>
              </w:tc>
              <w:tc>
                <w:tcPr>
                  <w:tcW w:w="428" w:type="pct"/>
                  <w:vMerge w:val="restart"/>
                  <w:noWrap w:val="0"/>
                  <w:vAlign w:val="center"/>
                </w:tcPr>
                <w:p w14:paraId="3931B9C2">
                  <w:pPr>
                    <w:jc w:val="center"/>
                    <w:rPr>
                      <w:b/>
                      <w:color w:val="auto"/>
                      <w:sz w:val="21"/>
                      <w:szCs w:val="21"/>
                      <w:highlight w:val="none"/>
                    </w:rPr>
                  </w:pPr>
                  <w:r>
                    <w:rPr>
                      <w:b/>
                      <w:color w:val="auto"/>
                      <w:sz w:val="21"/>
                      <w:szCs w:val="21"/>
                      <w:highlight w:val="none"/>
                    </w:rPr>
                    <w:t>超标率%</w:t>
                  </w:r>
                </w:p>
              </w:tc>
              <w:tc>
                <w:tcPr>
                  <w:tcW w:w="420" w:type="pct"/>
                  <w:vMerge w:val="restart"/>
                  <w:noWrap w:val="0"/>
                  <w:vAlign w:val="center"/>
                </w:tcPr>
                <w:p w14:paraId="27E30BAD">
                  <w:pPr>
                    <w:jc w:val="center"/>
                    <w:rPr>
                      <w:b/>
                      <w:color w:val="auto"/>
                      <w:sz w:val="21"/>
                      <w:szCs w:val="21"/>
                      <w:highlight w:val="none"/>
                    </w:rPr>
                  </w:pPr>
                  <w:r>
                    <w:rPr>
                      <w:b/>
                      <w:color w:val="auto"/>
                      <w:sz w:val="21"/>
                      <w:szCs w:val="21"/>
                      <w:highlight w:val="none"/>
                    </w:rPr>
                    <w:t>达标情况</w:t>
                  </w:r>
                </w:p>
              </w:tc>
            </w:tr>
            <w:tr w14:paraId="32E63B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55" w:type="pct"/>
                  <w:vMerge w:val="continue"/>
                  <w:noWrap w:val="0"/>
                  <w:vAlign w:val="center"/>
                </w:tcPr>
                <w:p w14:paraId="12DE0201">
                  <w:pPr>
                    <w:jc w:val="center"/>
                    <w:rPr>
                      <w:color w:val="auto"/>
                      <w:sz w:val="21"/>
                      <w:szCs w:val="21"/>
                      <w:highlight w:val="none"/>
                    </w:rPr>
                  </w:pPr>
                </w:p>
              </w:tc>
              <w:tc>
                <w:tcPr>
                  <w:tcW w:w="810" w:type="pct"/>
                  <w:noWrap w:val="0"/>
                  <w:vAlign w:val="center"/>
                </w:tcPr>
                <w:p w14:paraId="057079FD">
                  <w:pPr>
                    <w:jc w:val="center"/>
                    <w:rPr>
                      <w:color w:val="auto"/>
                      <w:sz w:val="21"/>
                      <w:szCs w:val="21"/>
                      <w:highlight w:val="none"/>
                    </w:rPr>
                  </w:pPr>
                  <w:r>
                    <w:rPr>
                      <w:color w:val="auto"/>
                      <w:sz w:val="21"/>
                      <w:szCs w:val="21"/>
                      <w:highlight w:val="none"/>
                    </w:rPr>
                    <w:t>X</w:t>
                  </w:r>
                </w:p>
              </w:tc>
              <w:tc>
                <w:tcPr>
                  <w:tcW w:w="772" w:type="pct"/>
                  <w:noWrap w:val="0"/>
                  <w:vAlign w:val="center"/>
                </w:tcPr>
                <w:p w14:paraId="188B8E10">
                  <w:pPr>
                    <w:jc w:val="center"/>
                    <w:rPr>
                      <w:color w:val="auto"/>
                      <w:sz w:val="21"/>
                      <w:szCs w:val="21"/>
                      <w:highlight w:val="none"/>
                    </w:rPr>
                  </w:pPr>
                  <w:r>
                    <w:rPr>
                      <w:color w:val="auto"/>
                      <w:sz w:val="21"/>
                      <w:szCs w:val="21"/>
                      <w:highlight w:val="none"/>
                    </w:rPr>
                    <w:t>Y</w:t>
                  </w:r>
                </w:p>
              </w:tc>
              <w:tc>
                <w:tcPr>
                  <w:tcW w:w="618" w:type="pct"/>
                  <w:vMerge w:val="continue"/>
                  <w:noWrap w:val="0"/>
                  <w:vAlign w:val="center"/>
                </w:tcPr>
                <w:p w14:paraId="6D2C780B">
                  <w:pPr>
                    <w:jc w:val="center"/>
                    <w:rPr>
                      <w:color w:val="auto"/>
                      <w:sz w:val="21"/>
                      <w:szCs w:val="21"/>
                      <w:highlight w:val="none"/>
                    </w:rPr>
                  </w:pPr>
                </w:p>
              </w:tc>
              <w:tc>
                <w:tcPr>
                  <w:tcW w:w="550" w:type="pct"/>
                  <w:vMerge w:val="continue"/>
                  <w:noWrap w:val="0"/>
                  <w:vAlign w:val="center"/>
                </w:tcPr>
                <w:p w14:paraId="3C425C0B">
                  <w:pPr>
                    <w:jc w:val="center"/>
                    <w:rPr>
                      <w:color w:val="auto"/>
                      <w:sz w:val="21"/>
                      <w:szCs w:val="21"/>
                      <w:highlight w:val="none"/>
                    </w:rPr>
                  </w:pPr>
                </w:p>
              </w:tc>
              <w:tc>
                <w:tcPr>
                  <w:tcW w:w="744" w:type="pct"/>
                  <w:vMerge w:val="continue"/>
                  <w:noWrap w:val="0"/>
                  <w:vAlign w:val="center"/>
                </w:tcPr>
                <w:p w14:paraId="5248DAFC">
                  <w:pPr>
                    <w:jc w:val="center"/>
                    <w:rPr>
                      <w:color w:val="auto"/>
                      <w:sz w:val="21"/>
                      <w:szCs w:val="21"/>
                      <w:highlight w:val="none"/>
                    </w:rPr>
                  </w:pPr>
                </w:p>
              </w:tc>
              <w:tc>
                <w:tcPr>
                  <w:tcW w:w="428" w:type="pct"/>
                  <w:vMerge w:val="continue"/>
                  <w:noWrap w:val="0"/>
                  <w:vAlign w:val="center"/>
                </w:tcPr>
                <w:p w14:paraId="66B59B95">
                  <w:pPr>
                    <w:jc w:val="center"/>
                    <w:rPr>
                      <w:color w:val="auto"/>
                      <w:sz w:val="21"/>
                      <w:szCs w:val="21"/>
                      <w:highlight w:val="none"/>
                    </w:rPr>
                  </w:pPr>
                </w:p>
              </w:tc>
              <w:tc>
                <w:tcPr>
                  <w:tcW w:w="420" w:type="pct"/>
                  <w:vMerge w:val="continue"/>
                  <w:noWrap w:val="0"/>
                  <w:vAlign w:val="center"/>
                </w:tcPr>
                <w:p w14:paraId="5178EDC3">
                  <w:pPr>
                    <w:jc w:val="center"/>
                    <w:rPr>
                      <w:color w:val="auto"/>
                      <w:sz w:val="21"/>
                      <w:szCs w:val="21"/>
                      <w:highlight w:val="none"/>
                    </w:rPr>
                  </w:pPr>
                </w:p>
              </w:tc>
            </w:tr>
            <w:tr w14:paraId="540DBA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55" w:type="pct"/>
                  <w:noWrap w:val="0"/>
                  <w:vAlign w:val="center"/>
                </w:tcPr>
                <w:p w14:paraId="7803F4DE">
                  <w:pPr>
                    <w:jc w:val="center"/>
                    <w:rPr>
                      <w:rFonts w:hint="default" w:eastAsia="宋体"/>
                      <w:color w:val="auto"/>
                      <w:kern w:val="2"/>
                      <w:sz w:val="21"/>
                      <w:szCs w:val="21"/>
                      <w:highlight w:val="none"/>
                      <w:lang w:val="en-US" w:eastAsia="zh-CN" w:bidi="ar-SA"/>
                    </w:rPr>
                  </w:pPr>
                  <w:r>
                    <w:rPr>
                      <w:rFonts w:hint="eastAsia"/>
                      <w:color w:val="000000" w:themeColor="text1"/>
                      <w:sz w:val="21"/>
                      <w:szCs w:val="21"/>
                      <w:lang w:val="en-US" w:eastAsia="zh-CN"/>
                      <w14:textFill>
                        <w14:solidFill>
                          <w14:schemeClr w14:val="tx1"/>
                        </w14:solidFill>
                      </w14:textFill>
                    </w:rPr>
                    <w:t>珑庭花园</w:t>
                  </w:r>
                </w:p>
              </w:tc>
              <w:tc>
                <w:tcPr>
                  <w:tcW w:w="1298" w:type="dxa"/>
                  <w:noWrap w:val="0"/>
                  <w:vAlign w:val="center"/>
                </w:tcPr>
                <w:p w14:paraId="2503C70B">
                  <w:pPr>
                    <w:pStyle w:val="25"/>
                    <w:widowControl w:val="0"/>
                    <w:adjustRightInd w:val="0"/>
                    <w:snapToGrid w:val="0"/>
                    <w:spacing w:before="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119.63</w:t>
                  </w:r>
                  <w:r>
                    <w:rPr>
                      <w:rFonts w:hint="eastAsia" w:ascii="Times New Roman" w:hAnsi="Times New Roman" w:cs="Times New Roman"/>
                      <w:color w:val="auto"/>
                      <w:sz w:val="21"/>
                      <w:szCs w:val="21"/>
                      <w:highlight w:val="none"/>
                      <w:lang w:val="en-US" w:eastAsia="zh-CN"/>
                    </w:rPr>
                    <w:t>9248</w:t>
                  </w:r>
                </w:p>
              </w:tc>
              <w:tc>
                <w:tcPr>
                  <w:tcW w:w="1239" w:type="dxa"/>
                  <w:noWrap w:val="0"/>
                  <w:vAlign w:val="center"/>
                </w:tcPr>
                <w:p w14:paraId="135E35A2">
                  <w:pPr>
                    <w:pStyle w:val="25"/>
                    <w:widowControl w:val="0"/>
                    <w:adjustRightInd w:val="0"/>
                    <w:snapToGrid w:val="0"/>
                    <w:spacing w:before="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31.75</w:t>
                  </w:r>
                  <w:r>
                    <w:rPr>
                      <w:rFonts w:hint="eastAsia" w:ascii="Times New Roman" w:hAnsi="Times New Roman" w:cs="Times New Roman"/>
                      <w:color w:val="auto"/>
                      <w:sz w:val="21"/>
                      <w:szCs w:val="21"/>
                      <w:highlight w:val="none"/>
                      <w:lang w:val="en-US" w:eastAsia="zh-CN"/>
                    </w:rPr>
                    <w:t>6557</w:t>
                  </w:r>
                </w:p>
              </w:tc>
              <w:tc>
                <w:tcPr>
                  <w:tcW w:w="618" w:type="pct"/>
                  <w:noWrap w:val="0"/>
                  <w:vAlign w:val="center"/>
                </w:tcPr>
                <w:p w14:paraId="7FEAFCB0">
                  <w:pPr>
                    <w:jc w:val="center"/>
                    <w:rPr>
                      <w:color w:val="auto"/>
                      <w:sz w:val="21"/>
                      <w:szCs w:val="21"/>
                      <w:highlight w:val="none"/>
                    </w:rPr>
                  </w:pPr>
                  <w:r>
                    <w:rPr>
                      <w:rFonts w:hint="eastAsia" w:ascii="宋体" w:hAnsi="宋体"/>
                      <w:color w:val="auto"/>
                      <w:sz w:val="21"/>
                      <w:szCs w:val="21"/>
                      <w:highlight w:val="none"/>
                    </w:rPr>
                    <w:t>非甲烷总烃</w:t>
                  </w:r>
                </w:p>
              </w:tc>
              <w:tc>
                <w:tcPr>
                  <w:tcW w:w="550" w:type="pct"/>
                  <w:noWrap w:val="0"/>
                  <w:vAlign w:val="center"/>
                </w:tcPr>
                <w:p w14:paraId="5E44FF6E">
                  <w:pPr>
                    <w:spacing w:before="48" w:beforeLines="20" w:after="48" w:afterLines="20"/>
                    <w:jc w:val="center"/>
                    <w:rPr>
                      <w:color w:val="auto"/>
                      <w:sz w:val="21"/>
                      <w:szCs w:val="21"/>
                      <w:highlight w:val="none"/>
                    </w:rPr>
                  </w:pPr>
                  <w:r>
                    <w:rPr>
                      <w:color w:val="auto"/>
                      <w:sz w:val="21"/>
                      <w:szCs w:val="21"/>
                      <w:highlight w:val="none"/>
                    </w:rPr>
                    <w:t>1小时平均</w:t>
                  </w:r>
                </w:p>
              </w:tc>
              <w:tc>
                <w:tcPr>
                  <w:tcW w:w="744" w:type="pct"/>
                  <w:noWrap w:val="0"/>
                  <w:vAlign w:val="center"/>
                </w:tcPr>
                <w:p w14:paraId="3CF900BE">
                  <w:pPr>
                    <w:spacing w:before="48" w:beforeLines="20" w:after="48" w:afterLines="20"/>
                    <w:jc w:val="center"/>
                    <w:rPr>
                      <w:rFonts w:hint="default"/>
                      <w:color w:val="auto"/>
                      <w:kern w:val="2"/>
                      <w:sz w:val="21"/>
                      <w:szCs w:val="21"/>
                      <w:highlight w:val="none"/>
                      <w:lang w:val="en-US" w:eastAsia="zh-CN" w:bidi="ar-SA"/>
                    </w:rPr>
                  </w:pPr>
                  <w:r>
                    <w:rPr>
                      <w:rFonts w:hint="eastAsia"/>
                      <w:bCs/>
                      <w:color w:val="000000" w:themeColor="text1"/>
                      <w:sz w:val="21"/>
                      <w:szCs w:val="21"/>
                      <w:highlight w:val="none"/>
                      <w:lang w:val="en-US" w:eastAsia="zh-CN"/>
                      <w14:textFill>
                        <w14:solidFill>
                          <w14:schemeClr w14:val="tx1"/>
                        </w14:solidFill>
                      </w14:textFill>
                    </w:rPr>
                    <w:t>0.73~0.9</w:t>
                  </w:r>
                </w:p>
              </w:tc>
              <w:tc>
                <w:tcPr>
                  <w:tcW w:w="428" w:type="pct"/>
                  <w:noWrap w:val="0"/>
                  <w:vAlign w:val="center"/>
                </w:tcPr>
                <w:p w14:paraId="4ADB61D6">
                  <w:pPr>
                    <w:jc w:val="center"/>
                    <w:rPr>
                      <w:color w:val="auto"/>
                      <w:kern w:val="2"/>
                      <w:sz w:val="21"/>
                      <w:szCs w:val="21"/>
                      <w:highlight w:val="none"/>
                      <w:lang w:val="en-US" w:eastAsia="zh-CN" w:bidi="ar-SA"/>
                    </w:rPr>
                  </w:pPr>
                  <w:r>
                    <w:rPr>
                      <w:color w:val="auto"/>
                      <w:sz w:val="21"/>
                      <w:szCs w:val="21"/>
                      <w:highlight w:val="none"/>
                    </w:rPr>
                    <w:t>0</w:t>
                  </w:r>
                </w:p>
              </w:tc>
              <w:tc>
                <w:tcPr>
                  <w:tcW w:w="420" w:type="pct"/>
                  <w:noWrap w:val="0"/>
                  <w:vAlign w:val="center"/>
                </w:tcPr>
                <w:p w14:paraId="3B313C02">
                  <w:pPr>
                    <w:jc w:val="center"/>
                    <w:rPr>
                      <w:color w:val="auto"/>
                      <w:sz w:val="21"/>
                      <w:szCs w:val="21"/>
                      <w:highlight w:val="none"/>
                    </w:rPr>
                  </w:pPr>
                  <w:r>
                    <w:rPr>
                      <w:color w:val="auto"/>
                      <w:sz w:val="21"/>
                      <w:szCs w:val="21"/>
                      <w:highlight w:val="none"/>
                    </w:rPr>
                    <w:t>达标</w:t>
                  </w:r>
                </w:p>
              </w:tc>
            </w:tr>
          </w:tbl>
          <w:p w14:paraId="0F09A6F4">
            <w:pPr>
              <w:keepNext w:val="0"/>
              <w:keepLines w:val="0"/>
              <w:pageBreakBefore w:val="0"/>
              <w:widowControl w:val="0"/>
              <w:kinsoku/>
              <w:wordWrap/>
              <w:overflowPunct/>
              <w:topLinePunct/>
              <w:autoSpaceDE/>
              <w:autoSpaceDN/>
              <w:bidi w:val="0"/>
              <w:adjustRightInd w:val="0"/>
              <w:snapToGrid w:val="0"/>
              <w:spacing w:line="480" w:lineRule="exact"/>
              <w:ind w:firstLine="420" w:firstLineChars="200"/>
              <w:jc w:val="both"/>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根据上表现状监测结果可以看出，特征因子非甲烷总烃符合《大气污染物综合排放标准详解》标准，满足项目所在地区的环境功能区划要求。</w:t>
            </w:r>
          </w:p>
          <w:p w14:paraId="6E9BD6FE">
            <w:pPr>
              <w:keepNext w:val="0"/>
              <w:keepLines w:val="0"/>
              <w:pageBreakBefore w:val="0"/>
              <w:widowControl w:val="0"/>
              <w:kinsoku/>
              <w:wordWrap/>
              <w:overflowPunct/>
              <w:topLinePunct/>
              <w:autoSpaceDE/>
              <w:autoSpaceDN/>
              <w:bidi w:val="0"/>
              <w:adjustRightInd w:val="0"/>
              <w:snapToGrid w:val="0"/>
              <w:spacing w:line="480" w:lineRule="exact"/>
              <w:ind w:firstLine="420" w:firstLineChars="200"/>
              <w:jc w:val="both"/>
              <w:textAlignment w:val="auto"/>
              <w:rPr>
                <w:rFonts w:hint="default"/>
                <w:b w:val="0"/>
                <w:bCs/>
                <w:lang w:val="en-US" w:eastAsia="zh-CN"/>
              </w:rPr>
            </w:pPr>
            <w:r>
              <w:rPr>
                <w:rFonts w:hint="default" w:ascii="Times New Roman" w:hAnsi="Times New Roman" w:eastAsia="宋体" w:cs="Times New Roman"/>
                <w:b w:val="0"/>
                <w:bCs/>
                <w:color w:val="auto"/>
                <w:kern w:val="0"/>
                <w:sz w:val="21"/>
                <w:szCs w:val="21"/>
                <w:lang w:val="en-US" w:eastAsia="zh-CN" w:bidi="ar-SA"/>
              </w:rPr>
              <w:t>引用数据有效性分析</w:t>
            </w:r>
            <w:r>
              <w:rPr>
                <w:rFonts w:hint="eastAsia" w:ascii="Times New Roman" w:hAnsi="Times New Roman" w:eastAsia="宋体" w:cs="Times New Roman"/>
                <w:b w:val="0"/>
                <w:bCs/>
                <w:color w:val="auto"/>
                <w:kern w:val="0"/>
                <w:sz w:val="21"/>
                <w:szCs w:val="21"/>
                <w:lang w:val="en-US" w:eastAsia="zh-CN" w:bidi="ar-SA"/>
              </w:rPr>
              <w:t>：</w:t>
            </w:r>
            <w:r>
              <w:rPr>
                <w:rFonts w:hint="default" w:ascii="Times New Roman" w:hAnsi="Times New Roman" w:eastAsia="宋体" w:cs="Times New Roman"/>
                <w:b w:val="0"/>
                <w:bCs/>
                <w:color w:val="auto"/>
                <w:kern w:val="0"/>
                <w:sz w:val="21"/>
                <w:szCs w:val="21"/>
                <w:lang w:val="en-US" w:eastAsia="zh-CN" w:bidi="ar-SA"/>
              </w:rPr>
              <w:t>本项目引用因子为非甲烷总烃，监测时间为</w:t>
            </w:r>
            <w:r>
              <w:rPr>
                <w:rFonts w:hint="default" w:ascii="Times New Roman" w:hAnsi="Times New Roman" w:eastAsia="宋体" w:cs="Times New Roman"/>
                <w:color w:val="auto"/>
                <w:sz w:val="21"/>
                <w:szCs w:val="21"/>
                <w:highlight w:val="none"/>
                <w:lang w:val="en-US" w:eastAsia="zh-CN"/>
              </w:rPr>
              <w:t>2025年1月7日~2025年1月9日</w:t>
            </w:r>
            <w:r>
              <w:rPr>
                <w:rFonts w:hint="default" w:ascii="Times New Roman" w:hAnsi="Times New Roman" w:eastAsia="宋体" w:cs="Times New Roman"/>
                <w:b w:val="0"/>
                <w:bCs/>
                <w:color w:val="auto"/>
                <w:kern w:val="0"/>
                <w:sz w:val="21"/>
                <w:szCs w:val="21"/>
                <w:lang w:val="en-US" w:eastAsia="zh-CN" w:bidi="ar-SA"/>
              </w:rPr>
              <w:t>，监测数据距今尚在3年有效期内，引用点位位于本</w:t>
            </w:r>
            <w:r>
              <w:rPr>
                <w:rFonts w:hint="eastAsia" w:cs="Times New Roman"/>
                <w:b w:val="0"/>
                <w:bCs/>
                <w:color w:val="auto"/>
                <w:kern w:val="0"/>
                <w:sz w:val="21"/>
                <w:szCs w:val="21"/>
                <w:lang w:val="en-US" w:eastAsia="zh-CN" w:bidi="ar-SA"/>
              </w:rPr>
              <w:t>项目</w:t>
            </w:r>
            <w:r>
              <w:rPr>
                <w:rFonts w:hint="eastAsia" w:ascii="Times New Roman" w:hAnsi="Times New Roman" w:eastAsia="宋体" w:cs="Times New Roman"/>
                <w:b w:val="0"/>
                <w:bCs/>
                <w:color w:val="auto"/>
                <w:kern w:val="0"/>
                <w:sz w:val="21"/>
                <w:szCs w:val="21"/>
                <w:lang w:val="en-US" w:eastAsia="zh-CN" w:bidi="ar-SA"/>
              </w:rPr>
              <w:t>北侧</w:t>
            </w:r>
            <w:r>
              <w:rPr>
                <w:rFonts w:hint="eastAsia" w:cs="Times New Roman"/>
                <w:b w:val="0"/>
                <w:bCs/>
                <w:color w:val="auto"/>
                <w:kern w:val="0"/>
                <w:sz w:val="21"/>
                <w:szCs w:val="21"/>
                <w:lang w:val="en-US" w:eastAsia="zh-CN" w:bidi="ar-SA"/>
              </w:rPr>
              <w:t>21</w:t>
            </w:r>
            <w:r>
              <w:rPr>
                <w:rFonts w:hint="eastAsia" w:ascii="Times New Roman" w:hAnsi="Times New Roman" w:eastAsia="宋体" w:cs="Times New Roman"/>
                <w:b w:val="0"/>
                <w:bCs/>
                <w:color w:val="auto"/>
                <w:kern w:val="0"/>
                <w:sz w:val="21"/>
                <w:szCs w:val="21"/>
                <w:lang w:val="en-US" w:eastAsia="zh-CN" w:bidi="ar-SA"/>
              </w:rPr>
              <w:t>00</w:t>
            </w:r>
            <w:r>
              <w:rPr>
                <w:rFonts w:hint="default" w:ascii="Times New Roman" w:hAnsi="Times New Roman" w:eastAsia="宋体" w:cs="Times New Roman"/>
                <w:b w:val="0"/>
                <w:bCs/>
                <w:color w:val="auto"/>
                <w:kern w:val="0"/>
                <w:sz w:val="21"/>
                <w:szCs w:val="21"/>
                <w:lang w:val="en-US" w:eastAsia="zh-CN" w:bidi="ar-SA"/>
              </w:rPr>
              <w:t>m，引用点位在项目相关评价范围内，监测期间至今，区域内未新增明显的大气污染源，因此本次引用的大气环境质量数据符合引用原则。</w:t>
            </w:r>
          </w:p>
          <w:p w14:paraId="6B2701D8">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2、地表水现状</w:t>
            </w:r>
          </w:p>
          <w:p w14:paraId="0C4A2C87">
            <w:pPr>
              <w:pStyle w:val="29"/>
              <w:keepNext w:val="0"/>
              <w:keepLines w:val="0"/>
              <w:pageBreakBefore w:val="0"/>
              <w:widowControl w:val="0"/>
              <w:numPr>
                <w:ilvl w:val="0"/>
                <w:numId w:val="6"/>
              </w:numPr>
              <w:kinsoku/>
              <w:wordWrap/>
              <w:overflowPunct/>
              <w:topLinePunct w:val="0"/>
              <w:autoSpaceDE w:val="0"/>
              <w:autoSpaceDN w:val="0"/>
              <w:bidi w:val="0"/>
              <w:adjustRightInd w:val="0"/>
              <w:snapToGrid/>
              <w:spacing w:line="480" w:lineRule="exact"/>
              <w:ind w:left="0" w:right="0" w:firstLine="420" w:firstLineChars="200"/>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区域地表水环境质量达标现状</w:t>
            </w:r>
          </w:p>
          <w:p w14:paraId="79D1BA86">
            <w:pPr>
              <w:keepNext w:val="0"/>
              <w:keepLines w:val="0"/>
              <w:pageBreakBefore w:val="0"/>
              <w:widowControl w:val="0"/>
              <w:kinsoku/>
              <w:wordWrap/>
              <w:overflowPunct/>
              <w:topLinePunct/>
              <w:autoSpaceDE/>
              <w:autoSpaceDN/>
              <w:bidi w:val="0"/>
              <w:adjustRightInd w:val="0"/>
              <w:snapToGrid w:val="0"/>
              <w:spacing w:line="480" w:lineRule="exact"/>
              <w:ind w:firstLine="420" w:firstLineChars="200"/>
              <w:jc w:val="both"/>
              <w:textAlignment w:val="auto"/>
              <w:rPr>
                <w:rFonts w:hint="eastAsia"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根据《</w:t>
            </w:r>
            <w:r>
              <w:rPr>
                <w:rFonts w:hint="eastAsia" w:ascii="Times New Roman" w:hAnsi="Times New Roman" w:eastAsia="宋体" w:cs="Times New Roman"/>
                <w:b w:val="0"/>
                <w:bCs/>
                <w:color w:val="auto"/>
                <w:kern w:val="0"/>
                <w:sz w:val="21"/>
                <w:szCs w:val="21"/>
                <w:lang w:val="en-US" w:eastAsia="zh-CN" w:bidi="ar-SA"/>
              </w:rPr>
              <w:t>2024年常州市生态环境状况公报</w:t>
            </w:r>
            <w:r>
              <w:rPr>
                <w:rFonts w:hint="default" w:ascii="Times New Roman" w:hAnsi="Times New Roman" w:eastAsia="宋体" w:cs="Times New Roman"/>
                <w:b w:val="0"/>
                <w:bCs/>
                <w:color w:val="auto"/>
                <w:kern w:val="0"/>
                <w:sz w:val="21"/>
                <w:szCs w:val="21"/>
                <w:lang w:val="en-US" w:eastAsia="zh-CN" w:bidi="ar-SA"/>
              </w:rPr>
              <w:t>》，202</w:t>
            </w:r>
            <w:r>
              <w:rPr>
                <w:rFonts w:hint="eastAsia" w:ascii="Times New Roman" w:hAnsi="Times New Roman" w:eastAsia="宋体" w:cs="Times New Roman"/>
                <w:b w:val="0"/>
                <w:bCs/>
                <w:color w:val="auto"/>
                <w:kern w:val="0"/>
                <w:sz w:val="21"/>
                <w:szCs w:val="21"/>
                <w:lang w:val="en-US" w:eastAsia="zh-CN" w:bidi="ar-SA"/>
              </w:rPr>
              <w:t>4</w:t>
            </w:r>
            <w:r>
              <w:rPr>
                <w:rFonts w:hint="default" w:ascii="Times New Roman" w:hAnsi="Times New Roman" w:eastAsia="宋体" w:cs="Times New Roman"/>
                <w:b w:val="0"/>
                <w:bCs/>
                <w:color w:val="auto"/>
                <w:kern w:val="0"/>
                <w:sz w:val="21"/>
                <w:szCs w:val="21"/>
                <w:lang w:val="en-US" w:eastAsia="zh-CN" w:bidi="ar-SA"/>
              </w:rPr>
              <w:t>年，</w:t>
            </w:r>
            <w:r>
              <w:rPr>
                <w:rFonts w:hint="eastAsia" w:ascii="Times New Roman" w:hAnsi="Times New Roman" w:eastAsia="宋体" w:cs="Times New Roman"/>
                <w:b w:val="0"/>
                <w:bCs/>
                <w:color w:val="auto"/>
                <w:kern w:val="0"/>
                <w:sz w:val="21"/>
                <w:szCs w:val="21"/>
                <w:lang w:val="en-US" w:eastAsia="zh-CN" w:bidi="ar-SA"/>
              </w:rPr>
              <w:t>常州市纳入“十四五”国家地表水环境质量考</w:t>
            </w:r>
            <w:r>
              <w:rPr>
                <w:rFonts w:hint="default" w:ascii="Times New Roman" w:hAnsi="Times New Roman" w:eastAsia="宋体" w:cs="Times New Roman"/>
                <w:b w:val="0"/>
                <w:bCs/>
                <w:color w:val="auto"/>
                <w:kern w:val="0"/>
                <w:sz w:val="21"/>
                <w:szCs w:val="21"/>
                <w:lang w:val="en-US" w:eastAsia="zh-CN" w:bidi="ar-SA"/>
              </w:rPr>
              <w:t>核的20个断</w:t>
            </w:r>
            <w:r>
              <w:rPr>
                <w:rFonts w:hint="eastAsia" w:ascii="Times New Roman" w:hAnsi="Times New Roman" w:eastAsia="宋体" w:cs="Times New Roman"/>
                <w:b w:val="0"/>
                <w:bCs/>
                <w:color w:val="auto"/>
                <w:kern w:val="0"/>
                <w:sz w:val="21"/>
                <w:szCs w:val="21"/>
                <w:lang w:val="en-US" w:eastAsia="zh-CN" w:bidi="ar-SA"/>
              </w:rPr>
              <w:t>面中，年均水质达到或好于《地表水环境质量标准</w:t>
            </w:r>
            <w:r>
              <w:rPr>
                <w:rFonts w:hint="default" w:ascii="Times New Roman" w:hAnsi="Times New Roman" w:eastAsia="宋体" w:cs="Times New Roman"/>
                <w:b w:val="0"/>
                <w:bCs/>
                <w:color w:val="auto"/>
                <w:kern w:val="0"/>
                <w:sz w:val="21"/>
                <w:szCs w:val="21"/>
                <w:lang w:val="en-US" w:eastAsia="zh-CN" w:bidi="ar-SA"/>
              </w:rPr>
              <w:t>》（GB 3838-2002）</w:t>
            </w:r>
            <w:r>
              <w:rPr>
                <w:rFonts w:hint="eastAsia" w:cs="Times New Roman"/>
                <w:b w:val="0"/>
                <w:bCs/>
                <w:color w:val="auto"/>
                <w:kern w:val="0"/>
                <w:sz w:val="21"/>
                <w:szCs w:val="21"/>
                <w:lang w:val="en-US" w:eastAsia="zh-CN" w:bidi="ar-SA"/>
              </w:rPr>
              <w:t>Ⅲ类</w:t>
            </w:r>
            <w:r>
              <w:rPr>
                <w:rFonts w:hint="default" w:ascii="Times New Roman" w:hAnsi="Times New Roman" w:eastAsia="宋体" w:cs="Times New Roman"/>
                <w:b w:val="0"/>
                <w:bCs/>
                <w:color w:val="auto"/>
                <w:kern w:val="0"/>
                <w:sz w:val="21"/>
                <w:szCs w:val="21"/>
                <w:lang w:val="en-US" w:eastAsia="zh-CN" w:bidi="ar-SA"/>
              </w:rPr>
              <w:t>标准的断面比例为85%，无劣V</w:t>
            </w:r>
            <w:r>
              <w:rPr>
                <w:rFonts w:hint="eastAsia" w:ascii="Times New Roman" w:hAnsi="Times New Roman" w:eastAsia="宋体" w:cs="Times New Roman"/>
                <w:b w:val="0"/>
                <w:bCs/>
                <w:color w:val="auto"/>
                <w:kern w:val="0"/>
                <w:sz w:val="21"/>
                <w:szCs w:val="21"/>
                <w:lang w:val="en-US" w:eastAsia="zh-CN" w:bidi="ar-SA"/>
              </w:rPr>
              <w:t>类断面。纳入江苏省“十四五”</w:t>
            </w:r>
            <w:r>
              <w:rPr>
                <w:rFonts w:hint="default" w:ascii="Times New Roman" w:hAnsi="Times New Roman" w:eastAsia="宋体" w:cs="Times New Roman"/>
                <w:b w:val="0"/>
                <w:bCs/>
                <w:color w:val="auto"/>
                <w:kern w:val="0"/>
                <w:sz w:val="21"/>
                <w:szCs w:val="21"/>
                <w:lang w:val="en-US" w:eastAsia="zh-CN" w:bidi="ar-SA"/>
              </w:rPr>
              <w:t>水环境质量目标考核51个断面，年均水质达到或好于</w:t>
            </w:r>
            <w:r>
              <w:rPr>
                <w:rFonts w:hint="eastAsia" w:cs="Times New Roman"/>
                <w:b w:val="0"/>
                <w:bCs/>
                <w:color w:val="auto"/>
                <w:kern w:val="0"/>
                <w:sz w:val="21"/>
                <w:szCs w:val="21"/>
                <w:lang w:val="en-US" w:eastAsia="zh-CN" w:bidi="ar-SA"/>
              </w:rPr>
              <w:t>Ⅲ类</w:t>
            </w:r>
            <w:r>
              <w:rPr>
                <w:rFonts w:hint="default" w:ascii="Times New Roman" w:hAnsi="Times New Roman" w:eastAsia="宋体" w:cs="Times New Roman"/>
                <w:b w:val="0"/>
                <w:bCs/>
                <w:color w:val="auto"/>
                <w:kern w:val="0"/>
                <w:sz w:val="21"/>
                <w:szCs w:val="21"/>
                <w:lang w:val="en-US" w:eastAsia="zh-CN" w:bidi="ar-SA"/>
              </w:rPr>
              <w:t>的比例为94.1%，无劣V类断面。</w:t>
            </w:r>
          </w:p>
          <w:p w14:paraId="1F886BC7">
            <w:pPr>
              <w:keepNext w:val="0"/>
              <w:keepLines w:val="0"/>
              <w:pageBreakBefore w:val="0"/>
              <w:widowControl w:val="0"/>
              <w:numPr>
                <w:ilvl w:val="0"/>
                <w:numId w:val="6"/>
              </w:numPr>
              <w:kinsoku/>
              <w:wordWrap/>
              <w:overflowPunct/>
              <w:topLinePunct w:val="0"/>
              <w:bidi w:val="0"/>
              <w:spacing w:line="500" w:lineRule="exact"/>
              <w:ind w:left="0" w:leftChars="0" w:firstLine="420" w:firstLineChars="200"/>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补充监测</w:t>
            </w:r>
          </w:p>
          <w:p w14:paraId="3781CD0C">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default"/>
                <w:b/>
                <w:bCs/>
                <w:color w:val="000000" w:themeColor="text1"/>
                <w:kern w:val="0"/>
                <w:szCs w:val="21"/>
                <w14:textFill>
                  <w14:solidFill>
                    <w14:schemeClr w14:val="tx1"/>
                  </w14:solidFill>
                </w14:textFill>
              </w:rPr>
            </w:pPr>
            <w:r>
              <w:rPr>
                <w:rFonts w:hint="default" w:ascii="Times New Roman" w:hAnsi="Times New Roman" w:cs="Times New Roman"/>
                <w:color w:val="auto"/>
                <w:sz w:val="21"/>
                <w:szCs w:val="21"/>
                <w:highlight w:val="none"/>
              </w:rPr>
              <w:t>本项目</w:t>
            </w:r>
            <w:r>
              <w:rPr>
                <w:rFonts w:hint="default" w:ascii="Times New Roman" w:hAnsi="Times New Roman" w:eastAsia="宋体" w:cs="Times New Roman"/>
                <w:color w:val="auto"/>
                <w:sz w:val="21"/>
                <w:szCs w:val="21"/>
                <w:highlight w:val="none"/>
              </w:rPr>
              <w:t>纳</w:t>
            </w:r>
            <w:r>
              <w:rPr>
                <w:rFonts w:hint="eastAsia" w:ascii="Times New Roman" w:hAnsi="Times New Roman" w:eastAsia="宋体" w:cs="Times New Roman"/>
                <w:color w:val="auto"/>
                <w:sz w:val="21"/>
                <w:szCs w:val="21"/>
                <w:highlight w:val="none"/>
                <w:lang w:val="en-US" w:eastAsia="zh-CN"/>
              </w:rPr>
              <w:t>污</w:t>
            </w:r>
            <w:r>
              <w:rPr>
                <w:rFonts w:hint="default" w:ascii="Times New Roman" w:hAnsi="Times New Roman" w:eastAsia="宋体" w:cs="Times New Roman"/>
                <w:color w:val="auto"/>
                <w:sz w:val="21"/>
                <w:szCs w:val="21"/>
                <w:highlight w:val="none"/>
              </w:rPr>
              <w:t>水体</w:t>
            </w:r>
            <w:r>
              <w:rPr>
                <w:rFonts w:hint="default" w:ascii="Times New Roman" w:hAnsi="Times New Roman" w:eastAsia="宋体" w:cs="Times New Roman"/>
                <w:color w:val="auto"/>
                <w:sz w:val="21"/>
                <w:szCs w:val="21"/>
                <w:highlight w:val="none"/>
                <w:lang w:val="en-US" w:eastAsia="zh-CN"/>
              </w:rPr>
              <w:t>为</w:t>
            </w:r>
            <w:r>
              <w:rPr>
                <w:rFonts w:hint="eastAsia" w:cs="Times New Roman"/>
                <w:color w:val="auto"/>
                <w:sz w:val="21"/>
                <w:szCs w:val="21"/>
                <w:highlight w:val="none"/>
                <w:lang w:val="en-US" w:eastAsia="zh-CN"/>
              </w:rPr>
              <w:t>尧塘河</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项目</w:t>
            </w:r>
            <w:r>
              <w:rPr>
                <w:rFonts w:hint="default" w:ascii="Times New Roman" w:hAnsi="Times New Roman" w:eastAsia="宋体" w:cs="Times New Roman"/>
                <w:color w:val="auto"/>
                <w:sz w:val="21"/>
                <w:szCs w:val="21"/>
                <w:highlight w:val="none"/>
              </w:rPr>
              <w:t>引用</w:t>
            </w:r>
            <w:r>
              <w:rPr>
                <w:rFonts w:hint="eastAsia" w:cs="Times New Roman"/>
                <w:color w:val="auto"/>
                <w:sz w:val="21"/>
                <w:szCs w:val="21"/>
                <w:highlight w:val="none"/>
                <w:lang w:val="en-US" w:eastAsia="zh-CN"/>
              </w:rPr>
              <w:t>江苏</w:t>
            </w:r>
            <w:r>
              <w:rPr>
                <w:rFonts w:hint="eastAsia" w:ascii="Times New Roman" w:hAnsi="Times New Roman" w:eastAsia="宋体" w:cs="Times New Roman"/>
                <w:color w:val="auto"/>
                <w:sz w:val="21"/>
                <w:szCs w:val="21"/>
                <w:highlight w:val="none"/>
                <w:lang w:val="en-US" w:eastAsia="zh-CN"/>
              </w:rPr>
              <w:t>云居检测技术有限公司</w:t>
            </w:r>
            <w:r>
              <w:rPr>
                <w:rFonts w:hint="default" w:ascii="Times New Roman" w:hAnsi="Times New Roman" w:eastAsia="宋体" w:cs="Times New Roman"/>
                <w:color w:val="auto"/>
                <w:sz w:val="21"/>
                <w:szCs w:val="21"/>
                <w:highlight w:val="none"/>
                <w:lang w:val="en-US" w:eastAsia="zh-CN"/>
              </w:rPr>
              <w:t>在</w:t>
            </w:r>
            <w:r>
              <w:rPr>
                <w:rFonts w:hint="eastAsia" w:ascii="Times New Roman" w:hAnsi="Times New Roman" w:eastAsia="宋体" w:cs="Times New Roman"/>
                <w:color w:val="auto"/>
                <w:sz w:val="21"/>
                <w:szCs w:val="21"/>
                <w:highlight w:val="none"/>
                <w:lang w:val="en-US" w:eastAsia="zh-CN"/>
              </w:rPr>
              <w:t>常州市金坛区第二污水处理有限公司</w:t>
            </w:r>
            <w:r>
              <w:rPr>
                <w:rFonts w:hint="default" w:ascii="Times New Roman" w:hAnsi="Times New Roman" w:eastAsia="宋体" w:cs="Times New Roman"/>
                <w:color w:val="auto"/>
                <w:sz w:val="21"/>
                <w:szCs w:val="21"/>
                <w:highlight w:val="none"/>
                <w:lang w:val="en-US" w:eastAsia="zh-CN"/>
              </w:rPr>
              <w:t>排污口上游500 m及下游</w:t>
            </w:r>
            <w:r>
              <w:rPr>
                <w:rFonts w:hint="eastAsia"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lang w:val="en-US" w:eastAsia="zh-CN"/>
              </w:rPr>
              <w:t>00 m</w:t>
            </w:r>
            <w:r>
              <w:rPr>
                <w:rFonts w:hint="eastAsia" w:ascii="Times New Roman" w:hAnsi="Times New Roman" w:eastAsia="宋体" w:cs="Times New Roman"/>
                <w:color w:val="auto"/>
                <w:sz w:val="21"/>
                <w:szCs w:val="21"/>
                <w:highlight w:val="none"/>
                <w:lang w:val="en-US" w:eastAsia="zh-CN"/>
              </w:rPr>
              <w:t>的历史数据</w:t>
            </w:r>
            <w:r>
              <w:rPr>
                <w:rFonts w:hint="default" w:ascii="Times New Roman" w:hAnsi="Times New Roman" w:eastAsia="宋体" w:cs="Times New Roman"/>
                <w:color w:val="auto"/>
                <w:sz w:val="21"/>
                <w:szCs w:val="21"/>
                <w:highlight w:val="none"/>
                <w:lang w:val="en-US" w:eastAsia="zh-CN"/>
              </w:rPr>
              <w:t>，采样时间为2025年1月7日~2025年1月9日，检测报告编号“YJH25010301”。</w:t>
            </w:r>
          </w:p>
          <w:p w14:paraId="4C5E29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jc w:val="center"/>
              <w:textAlignment w:val="auto"/>
              <w:rPr>
                <w:rFonts w:hint="default"/>
                <w:b/>
                <w:bCs/>
                <w:color w:val="000000" w:themeColor="text1"/>
                <w:kern w:val="0"/>
                <w:szCs w:val="21"/>
                <w14:textFill>
                  <w14:solidFill>
                    <w14:schemeClr w14:val="tx1"/>
                  </w14:solidFill>
                </w14:textFill>
              </w:rPr>
            </w:pPr>
          </w:p>
          <w:p w14:paraId="23D698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jc w:val="center"/>
              <w:textAlignment w:val="auto"/>
              <w:rPr>
                <w:rFonts w:hint="default"/>
                <w:b/>
                <w:bCs/>
                <w:color w:val="000000" w:themeColor="text1"/>
                <w:kern w:val="0"/>
                <w:szCs w:val="21"/>
                <w14:textFill>
                  <w14:solidFill>
                    <w14:schemeClr w14:val="tx1"/>
                  </w14:solidFill>
                </w14:textFill>
              </w:rPr>
            </w:pPr>
            <w:r>
              <w:rPr>
                <w:rFonts w:hint="default"/>
                <w:b/>
                <w:bCs/>
                <w:color w:val="000000" w:themeColor="text1"/>
                <w:kern w:val="0"/>
                <w:szCs w:val="21"/>
                <w14:textFill>
                  <w14:solidFill>
                    <w14:schemeClr w14:val="tx1"/>
                  </w14:solidFill>
                </w14:textFill>
              </w:rPr>
              <w:t xml:space="preserve">表3-4 </w:t>
            </w:r>
            <w:r>
              <w:rPr>
                <w:rFonts w:hint="eastAsia"/>
                <w:b/>
                <w:bCs/>
                <w:color w:val="000000" w:themeColor="text1"/>
                <w:kern w:val="0"/>
                <w:szCs w:val="21"/>
                <w:lang w:val="en-US" w:eastAsia="zh-CN"/>
                <w14:textFill>
                  <w14:solidFill>
                    <w14:schemeClr w14:val="tx1"/>
                  </w14:solidFill>
                </w14:textFill>
              </w:rPr>
              <w:t xml:space="preserve"> </w:t>
            </w:r>
            <w:r>
              <w:rPr>
                <w:rFonts w:hint="default"/>
                <w:b/>
                <w:bCs/>
                <w:color w:val="000000" w:themeColor="text1"/>
                <w:kern w:val="0"/>
                <w:szCs w:val="21"/>
                <w14:textFill>
                  <w14:solidFill>
                    <w14:schemeClr w14:val="tx1"/>
                  </w14:solidFill>
                </w14:textFill>
              </w:rPr>
              <w:t xml:space="preserve"> 水质检测断面布置</w:t>
            </w:r>
          </w:p>
          <w:tbl>
            <w:tblPr>
              <w:tblStyle w:val="31"/>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85" w:type="dxa"/>
                <w:bottom w:w="0" w:type="dxa"/>
                <w:right w:w="85" w:type="dxa"/>
              </w:tblCellMar>
            </w:tblPr>
            <w:tblGrid>
              <w:gridCol w:w="1133"/>
              <w:gridCol w:w="1167"/>
              <w:gridCol w:w="3379"/>
              <w:gridCol w:w="2333"/>
            </w:tblGrid>
            <w:tr w14:paraId="04CCD5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707" w:type="pct"/>
                  <w:noWrap w:val="0"/>
                  <w:vAlign w:val="center"/>
                </w:tcPr>
                <w:p w14:paraId="483B8B6C">
                  <w:pPr>
                    <w:keepNext w:val="0"/>
                    <w:keepLines w:val="0"/>
                    <w:suppressLineNumbers w:val="0"/>
                    <w:spacing w:before="0" w:beforeAutospacing="0" w:after="0" w:afterAutospacing="0"/>
                    <w:ind w:left="0" w:right="0"/>
                    <w:jc w:val="center"/>
                    <w:rPr>
                      <w:rFonts w:hint="default"/>
                      <w:b/>
                      <w:bCs/>
                      <w:color w:val="000000" w:themeColor="text1"/>
                      <w:sz w:val="18"/>
                      <w:szCs w:val="18"/>
                      <w14:textFill>
                        <w14:solidFill>
                          <w14:schemeClr w14:val="tx1"/>
                        </w14:solidFill>
                      </w14:textFill>
                    </w:rPr>
                  </w:pPr>
                  <w:r>
                    <w:rPr>
                      <w:rFonts w:hint="default"/>
                      <w:b/>
                      <w:bCs/>
                      <w:color w:val="000000" w:themeColor="text1"/>
                      <w:sz w:val="18"/>
                      <w:szCs w:val="18"/>
                      <w14:textFill>
                        <w14:solidFill>
                          <w14:schemeClr w14:val="tx1"/>
                        </w14:solidFill>
                      </w14:textFill>
                    </w:rPr>
                    <w:t>河流名称</w:t>
                  </w:r>
                </w:p>
              </w:tc>
              <w:tc>
                <w:tcPr>
                  <w:tcW w:w="728" w:type="pct"/>
                  <w:noWrap w:val="0"/>
                  <w:vAlign w:val="center"/>
                </w:tcPr>
                <w:p w14:paraId="1403B26C">
                  <w:pPr>
                    <w:keepNext w:val="0"/>
                    <w:keepLines w:val="0"/>
                    <w:suppressLineNumbers w:val="0"/>
                    <w:spacing w:before="0" w:beforeAutospacing="0" w:after="0" w:afterAutospacing="0"/>
                    <w:ind w:left="0" w:right="0"/>
                    <w:jc w:val="center"/>
                    <w:rPr>
                      <w:rFonts w:hint="default"/>
                      <w:b/>
                      <w:bCs/>
                      <w:color w:val="000000" w:themeColor="text1"/>
                      <w:sz w:val="18"/>
                      <w:szCs w:val="18"/>
                      <w14:textFill>
                        <w14:solidFill>
                          <w14:schemeClr w14:val="tx1"/>
                        </w14:solidFill>
                      </w14:textFill>
                    </w:rPr>
                  </w:pPr>
                  <w:r>
                    <w:rPr>
                      <w:rFonts w:hint="default"/>
                      <w:b/>
                      <w:bCs/>
                      <w:color w:val="000000" w:themeColor="text1"/>
                      <w:sz w:val="18"/>
                      <w:szCs w:val="18"/>
                      <w14:textFill>
                        <w14:solidFill>
                          <w14:schemeClr w14:val="tx1"/>
                        </w14:solidFill>
                      </w14:textFill>
                    </w:rPr>
                    <w:t>断面名称</w:t>
                  </w:r>
                </w:p>
              </w:tc>
              <w:tc>
                <w:tcPr>
                  <w:tcW w:w="2108" w:type="pct"/>
                  <w:noWrap w:val="0"/>
                  <w:vAlign w:val="center"/>
                </w:tcPr>
                <w:p w14:paraId="1A26ECB1">
                  <w:pPr>
                    <w:keepNext w:val="0"/>
                    <w:keepLines w:val="0"/>
                    <w:suppressLineNumbers w:val="0"/>
                    <w:spacing w:before="0" w:beforeAutospacing="0" w:after="0" w:afterAutospacing="0"/>
                    <w:ind w:left="0" w:right="0"/>
                    <w:jc w:val="center"/>
                    <w:rPr>
                      <w:rFonts w:hint="default"/>
                      <w:b/>
                      <w:bCs/>
                      <w:color w:val="000000" w:themeColor="text1"/>
                      <w:sz w:val="18"/>
                      <w:szCs w:val="18"/>
                      <w14:textFill>
                        <w14:solidFill>
                          <w14:schemeClr w14:val="tx1"/>
                        </w14:solidFill>
                      </w14:textFill>
                    </w:rPr>
                  </w:pPr>
                  <w:r>
                    <w:rPr>
                      <w:rFonts w:hint="default"/>
                      <w:b/>
                      <w:bCs/>
                      <w:color w:val="000000" w:themeColor="text1"/>
                      <w:sz w:val="18"/>
                      <w:szCs w:val="18"/>
                      <w14:textFill>
                        <w14:solidFill>
                          <w14:schemeClr w14:val="tx1"/>
                        </w14:solidFill>
                      </w14:textFill>
                    </w:rPr>
                    <w:t>位置</w:t>
                  </w:r>
                </w:p>
              </w:tc>
              <w:tc>
                <w:tcPr>
                  <w:tcW w:w="1455" w:type="pct"/>
                  <w:noWrap w:val="0"/>
                  <w:vAlign w:val="center"/>
                </w:tcPr>
                <w:p w14:paraId="1556D89D">
                  <w:pPr>
                    <w:keepNext w:val="0"/>
                    <w:keepLines w:val="0"/>
                    <w:suppressLineNumbers w:val="0"/>
                    <w:spacing w:before="0" w:beforeAutospacing="0" w:after="0" w:afterAutospacing="0"/>
                    <w:ind w:left="0" w:right="0"/>
                    <w:jc w:val="center"/>
                    <w:rPr>
                      <w:rFonts w:hint="default"/>
                      <w:b/>
                      <w:bCs/>
                      <w:color w:val="000000" w:themeColor="text1"/>
                      <w:sz w:val="18"/>
                      <w:szCs w:val="18"/>
                      <w14:textFill>
                        <w14:solidFill>
                          <w14:schemeClr w14:val="tx1"/>
                        </w14:solidFill>
                      </w14:textFill>
                    </w:rPr>
                  </w:pPr>
                  <w:r>
                    <w:rPr>
                      <w:rFonts w:hint="default"/>
                      <w:b/>
                      <w:bCs/>
                      <w:color w:val="000000" w:themeColor="text1"/>
                      <w:sz w:val="18"/>
                      <w:szCs w:val="18"/>
                      <w14:textFill>
                        <w14:solidFill>
                          <w14:schemeClr w14:val="tx1"/>
                        </w14:solidFill>
                      </w14:textFill>
                    </w:rPr>
                    <w:t>检测项目</w:t>
                  </w:r>
                </w:p>
              </w:tc>
            </w:tr>
            <w:tr w14:paraId="0D75B4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707" w:type="pct"/>
                  <w:vMerge w:val="restart"/>
                  <w:noWrap w:val="0"/>
                  <w:vAlign w:val="center"/>
                </w:tcPr>
                <w:p w14:paraId="3D42B292">
                  <w:pPr>
                    <w:keepNext w:val="0"/>
                    <w:keepLines w:val="0"/>
                    <w:suppressLineNumbers w:val="0"/>
                    <w:spacing w:before="0" w:beforeAutospacing="0" w:after="0" w:afterAutospacing="0"/>
                    <w:ind w:left="0" w:right="0"/>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尧塘河</w:t>
                  </w:r>
                </w:p>
              </w:tc>
              <w:tc>
                <w:tcPr>
                  <w:tcW w:w="728" w:type="pct"/>
                  <w:shd w:val="clear" w:color="auto" w:fill="auto"/>
                  <w:noWrap w:val="0"/>
                  <w:vAlign w:val="center"/>
                </w:tcPr>
                <w:p w14:paraId="50F0420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W1</w:t>
                  </w:r>
                </w:p>
              </w:tc>
              <w:tc>
                <w:tcPr>
                  <w:tcW w:w="2108" w:type="pct"/>
                  <w:shd w:val="clear" w:color="auto" w:fill="auto"/>
                  <w:noWrap w:val="0"/>
                  <w:vAlign w:val="center"/>
                </w:tcPr>
                <w:p w14:paraId="4DADA08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常州市金坛区第二污水处理有限公司</w:t>
                  </w:r>
                  <w:r>
                    <w:rPr>
                      <w:rFonts w:hint="default" w:ascii="Times New Roman" w:hAnsi="Times New Roman" w:eastAsia="宋体" w:cs="Times New Roman"/>
                      <w:color w:val="000000" w:themeColor="text1"/>
                      <w:sz w:val="18"/>
                      <w:szCs w:val="18"/>
                      <w14:textFill>
                        <w14:solidFill>
                          <w14:schemeClr w14:val="tx1"/>
                        </w14:solidFill>
                      </w14:textFill>
                    </w:rPr>
                    <w:t>排污口上游500 m</w:t>
                  </w:r>
                </w:p>
              </w:tc>
              <w:tc>
                <w:tcPr>
                  <w:tcW w:w="1455" w:type="pct"/>
                  <w:vMerge w:val="restart"/>
                  <w:noWrap w:val="0"/>
                  <w:vAlign w:val="center"/>
                </w:tcPr>
                <w:p w14:paraId="531BB168">
                  <w:pPr>
                    <w:keepNext w:val="0"/>
                    <w:keepLines w:val="0"/>
                    <w:suppressLineNumbers w:val="0"/>
                    <w:spacing w:before="0" w:beforeAutospacing="0" w:after="0" w:afterAutospacing="0"/>
                    <w:ind w:left="0" w:right="0"/>
                    <w:jc w:val="center"/>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pH、化学需氧量、</w:t>
                  </w:r>
                  <w:r>
                    <w:rPr>
                      <w:rFonts w:hint="eastAsia"/>
                      <w:color w:val="000000" w:themeColor="text1"/>
                      <w:sz w:val="18"/>
                      <w:szCs w:val="18"/>
                      <w:lang w:val="en-US" w:eastAsia="zh-CN"/>
                      <w14:textFill>
                        <w14:solidFill>
                          <w14:schemeClr w14:val="tx1"/>
                        </w14:solidFill>
                      </w14:textFill>
                    </w:rPr>
                    <w:t>悬浮物、</w:t>
                  </w:r>
                  <w:r>
                    <w:rPr>
                      <w:rFonts w:hint="default"/>
                      <w:color w:val="000000" w:themeColor="text1"/>
                      <w:sz w:val="18"/>
                      <w:szCs w:val="18"/>
                      <w14:textFill>
                        <w14:solidFill>
                          <w14:schemeClr w14:val="tx1"/>
                        </w14:solidFill>
                      </w14:textFill>
                    </w:rPr>
                    <w:t>氨氮、</w:t>
                  </w:r>
                  <w:r>
                    <w:rPr>
                      <w:rFonts w:hint="eastAsia"/>
                      <w:color w:val="000000" w:themeColor="text1"/>
                      <w:sz w:val="18"/>
                      <w:szCs w:val="18"/>
                      <w:lang w:val="en-US" w:eastAsia="zh-CN"/>
                      <w14:textFill>
                        <w14:solidFill>
                          <w14:schemeClr w14:val="tx1"/>
                        </w14:solidFill>
                      </w14:textFill>
                    </w:rPr>
                    <w:t>总氮、</w:t>
                  </w:r>
                  <w:r>
                    <w:rPr>
                      <w:rFonts w:hint="default"/>
                      <w:color w:val="000000" w:themeColor="text1"/>
                      <w:sz w:val="18"/>
                      <w:szCs w:val="18"/>
                      <w14:textFill>
                        <w14:solidFill>
                          <w14:schemeClr w14:val="tx1"/>
                        </w14:solidFill>
                      </w14:textFill>
                    </w:rPr>
                    <w:t>总磷、水温</w:t>
                  </w:r>
                </w:p>
              </w:tc>
            </w:tr>
            <w:tr w14:paraId="38C658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707" w:type="pct"/>
                  <w:vMerge w:val="continue"/>
                  <w:noWrap w:val="0"/>
                  <w:vAlign w:val="center"/>
                </w:tcPr>
                <w:p w14:paraId="765B7C72">
                  <w:pPr>
                    <w:keepNext w:val="0"/>
                    <w:keepLines w:val="0"/>
                    <w:suppressLineNumbers w:val="0"/>
                    <w:spacing w:before="0" w:beforeAutospacing="0" w:after="0" w:afterAutospacing="0"/>
                    <w:ind w:left="0" w:right="0"/>
                    <w:jc w:val="center"/>
                    <w:rPr>
                      <w:rFonts w:hint="default"/>
                      <w:color w:val="000000" w:themeColor="text1"/>
                      <w:sz w:val="18"/>
                      <w:szCs w:val="18"/>
                      <w14:textFill>
                        <w14:solidFill>
                          <w14:schemeClr w14:val="tx1"/>
                        </w14:solidFill>
                      </w14:textFill>
                    </w:rPr>
                  </w:pPr>
                </w:p>
              </w:tc>
              <w:tc>
                <w:tcPr>
                  <w:tcW w:w="728" w:type="pct"/>
                  <w:shd w:val="clear" w:color="auto" w:fill="auto"/>
                  <w:noWrap w:val="0"/>
                  <w:vAlign w:val="center"/>
                </w:tcPr>
                <w:p w14:paraId="2B6D9E9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W2</w:t>
                  </w:r>
                </w:p>
              </w:tc>
              <w:tc>
                <w:tcPr>
                  <w:tcW w:w="2108" w:type="pct"/>
                  <w:shd w:val="clear" w:color="auto" w:fill="auto"/>
                  <w:noWrap w:val="0"/>
                  <w:vAlign w:val="center"/>
                </w:tcPr>
                <w:p w14:paraId="6183601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常州市金坛区第二污水处理有限公司</w:t>
                  </w:r>
                  <w:r>
                    <w:rPr>
                      <w:rFonts w:hint="default" w:ascii="Times New Roman" w:hAnsi="Times New Roman" w:eastAsia="宋体" w:cs="Times New Roman"/>
                      <w:color w:val="000000" w:themeColor="text1"/>
                      <w:sz w:val="18"/>
                      <w:szCs w:val="18"/>
                      <w14:textFill>
                        <w14:solidFill>
                          <w14:schemeClr w14:val="tx1"/>
                        </w14:solidFill>
                      </w14:textFill>
                    </w:rPr>
                    <w:t>排污口下游</w:t>
                  </w:r>
                  <w:r>
                    <w:rPr>
                      <w:rFonts w:hint="eastAsia" w:cs="Times New Roman"/>
                      <w:color w:val="000000" w:themeColor="text1"/>
                      <w:sz w:val="18"/>
                      <w:szCs w:val="18"/>
                      <w:lang w:val="en-US" w:eastAsia="zh-CN"/>
                      <w14:textFill>
                        <w14:solidFill>
                          <w14:schemeClr w14:val="tx1"/>
                        </w14:solidFill>
                      </w14:textFill>
                    </w:rPr>
                    <w:t>200</w:t>
                  </w:r>
                  <w:r>
                    <w:rPr>
                      <w:rFonts w:hint="default" w:ascii="Times New Roman" w:hAnsi="Times New Roman" w:eastAsia="宋体" w:cs="Times New Roman"/>
                      <w:color w:val="000000" w:themeColor="text1"/>
                      <w:sz w:val="18"/>
                      <w:szCs w:val="18"/>
                      <w14:textFill>
                        <w14:solidFill>
                          <w14:schemeClr w14:val="tx1"/>
                        </w14:solidFill>
                      </w14:textFill>
                    </w:rPr>
                    <w:t>0 m</w:t>
                  </w:r>
                </w:p>
              </w:tc>
              <w:tc>
                <w:tcPr>
                  <w:tcW w:w="1455" w:type="pct"/>
                  <w:vMerge w:val="continue"/>
                  <w:noWrap w:val="0"/>
                  <w:vAlign w:val="center"/>
                </w:tcPr>
                <w:p w14:paraId="2C4CA231">
                  <w:pPr>
                    <w:keepNext w:val="0"/>
                    <w:keepLines w:val="0"/>
                    <w:suppressLineNumbers w:val="0"/>
                    <w:spacing w:before="0" w:beforeAutospacing="0" w:after="0" w:afterAutospacing="0"/>
                    <w:ind w:left="0" w:right="0"/>
                    <w:jc w:val="center"/>
                    <w:rPr>
                      <w:rFonts w:hint="default"/>
                      <w:color w:val="000000" w:themeColor="text1"/>
                      <w:sz w:val="18"/>
                      <w:szCs w:val="18"/>
                      <w14:textFill>
                        <w14:solidFill>
                          <w14:schemeClr w14:val="tx1"/>
                        </w14:solidFill>
                      </w14:textFill>
                    </w:rPr>
                  </w:pPr>
                </w:p>
              </w:tc>
            </w:tr>
          </w:tbl>
          <w:p w14:paraId="05A175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jc w:val="center"/>
              <w:textAlignment w:val="auto"/>
              <w:rPr>
                <w:rFonts w:hint="default"/>
                <w:b/>
                <w:bCs/>
                <w:color w:val="000000" w:themeColor="text1"/>
                <w:kern w:val="0"/>
                <w:szCs w:val="21"/>
                <w14:textFill>
                  <w14:solidFill>
                    <w14:schemeClr w14:val="tx1"/>
                  </w14:solidFill>
                </w14:textFill>
              </w:rPr>
            </w:pPr>
            <w:r>
              <w:rPr>
                <w:rFonts w:hint="default"/>
                <w:b/>
                <w:bCs/>
                <w:color w:val="000000" w:themeColor="text1"/>
                <w:kern w:val="0"/>
                <w:szCs w:val="21"/>
                <w14:textFill>
                  <w14:solidFill>
                    <w14:schemeClr w14:val="tx1"/>
                  </w14:solidFill>
                </w14:textFill>
              </w:rPr>
              <w:t>表3-5</w:t>
            </w:r>
            <w:r>
              <w:rPr>
                <w:rFonts w:hint="eastAsia"/>
                <w:b/>
                <w:bCs/>
                <w:color w:val="000000" w:themeColor="text1"/>
                <w:kern w:val="0"/>
                <w:szCs w:val="21"/>
                <w:lang w:val="en-US" w:eastAsia="zh-CN"/>
                <w14:textFill>
                  <w14:solidFill>
                    <w14:schemeClr w14:val="tx1"/>
                  </w14:solidFill>
                </w14:textFill>
              </w:rPr>
              <w:t xml:space="preserve"> </w:t>
            </w:r>
            <w:r>
              <w:rPr>
                <w:rFonts w:hint="default"/>
                <w:b/>
                <w:bCs/>
                <w:color w:val="000000" w:themeColor="text1"/>
                <w:kern w:val="0"/>
                <w:szCs w:val="21"/>
                <w14:textFill>
                  <w14:solidFill>
                    <w14:schemeClr w14:val="tx1"/>
                  </w14:solidFill>
                </w14:textFill>
              </w:rPr>
              <w:t xml:space="preserve">  </w:t>
            </w:r>
            <w:r>
              <w:rPr>
                <w:rFonts w:hint="eastAsia"/>
                <w:b/>
                <w:bCs/>
                <w:color w:val="000000" w:themeColor="text1"/>
                <w:kern w:val="0"/>
                <w:szCs w:val="21"/>
                <w:lang w:val="en-US" w:eastAsia="zh-CN"/>
                <w14:textFill>
                  <w14:solidFill>
                    <w14:schemeClr w14:val="tx1"/>
                  </w14:solidFill>
                </w14:textFill>
              </w:rPr>
              <w:t>尧塘河</w:t>
            </w:r>
            <w:r>
              <w:rPr>
                <w:rFonts w:hint="default"/>
                <w:b/>
                <w:bCs/>
                <w:color w:val="000000" w:themeColor="text1"/>
                <w:kern w:val="0"/>
                <w:szCs w:val="21"/>
                <w14:textFill>
                  <w14:solidFill>
                    <w14:schemeClr w14:val="tx1"/>
                  </w14:solidFill>
                </w14:textFill>
              </w:rPr>
              <w:t>水环境质量监测统计结果  单位：mg/L，pH值无量纲</w:t>
            </w:r>
          </w:p>
          <w:tbl>
            <w:tblPr>
              <w:tblStyle w:val="31"/>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47"/>
              <w:gridCol w:w="639"/>
              <w:gridCol w:w="928"/>
              <w:gridCol w:w="947"/>
              <w:gridCol w:w="947"/>
              <w:gridCol w:w="947"/>
              <w:gridCol w:w="947"/>
              <w:gridCol w:w="949"/>
              <w:gridCol w:w="955"/>
            </w:tblGrid>
            <w:tr w14:paraId="120701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tblHeader/>
                <w:jc w:val="center"/>
              </w:trPr>
              <w:tc>
                <w:tcPr>
                  <w:tcW w:w="467" w:type="pct"/>
                  <w:tcBorders>
                    <w:tl2br w:val="nil"/>
                    <w:tr2bl w:val="nil"/>
                  </w:tcBorders>
                  <w:noWrap w:val="0"/>
                  <w:vAlign w:val="center"/>
                </w:tcPr>
                <w:p w14:paraId="5C978DAE">
                  <w:pPr>
                    <w:keepNext w:val="0"/>
                    <w:keepLines w:val="0"/>
                    <w:suppressLineNumbers w:val="0"/>
                    <w:adjustRightInd w:val="0"/>
                    <w:snapToGrid w:val="0"/>
                    <w:spacing w:before="0" w:beforeAutospacing="0" w:after="0" w:afterAutospacing="0"/>
                    <w:ind w:left="0" w:right="0"/>
                    <w:jc w:val="center"/>
                    <w:rPr>
                      <w:rFonts w:hint="default"/>
                      <w:b/>
                      <w:bCs w:val="0"/>
                      <w:color w:val="000000" w:themeColor="text1"/>
                      <w:sz w:val="18"/>
                      <w:szCs w:val="18"/>
                      <w14:textFill>
                        <w14:solidFill>
                          <w14:schemeClr w14:val="tx1"/>
                        </w14:solidFill>
                      </w14:textFill>
                    </w:rPr>
                  </w:pPr>
                  <w:r>
                    <w:rPr>
                      <w:rFonts w:hint="default"/>
                      <w:b/>
                      <w:bCs w:val="0"/>
                      <w:color w:val="000000" w:themeColor="text1"/>
                      <w:sz w:val="18"/>
                      <w:szCs w:val="18"/>
                      <w14:textFill>
                        <w14:solidFill>
                          <w14:schemeClr w14:val="tx1"/>
                        </w14:solidFill>
                      </w14:textFill>
                    </w:rPr>
                    <w:t>河流</w:t>
                  </w:r>
                </w:p>
                <w:p w14:paraId="64BEEA5D">
                  <w:pPr>
                    <w:keepNext w:val="0"/>
                    <w:keepLines w:val="0"/>
                    <w:suppressLineNumbers w:val="0"/>
                    <w:adjustRightInd w:val="0"/>
                    <w:snapToGrid w:val="0"/>
                    <w:spacing w:before="0" w:beforeAutospacing="0" w:after="0" w:afterAutospacing="0"/>
                    <w:ind w:left="0" w:right="0"/>
                    <w:jc w:val="center"/>
                    <w:rPr>
                      <w:rFonts w:hint="default"/>
                      <w:b/>
                      <w:bCs w:val="0"/>
                      <w:color w:val="000000" w:themeColor="text1"/>
                      <w:sz w:val="18"/>
                      <w:szCs w:val="18"/>
                      <w14:textFill>
                        <w14:solidFill>
                          <w14:schemeClr w14:val="tx1"/>
                        </w14:solidFill>
                      </w14:textFill>
                    </w:rPr>
                  </w:pPr>
                  <w:r>
                    <w:rPr>
                      <w:rFonts w:hint="default"/>
                      <w:b/>
                      <w:bCs w:val="0"/>
                      <w:color w:val="000000" w:themeColor="text1"/>
                      <w:sz w:val="18"/>
                      <w:szCs w:val="18"/>
                      <w14:textFill>
                        <w14:solidFill>
                          <w14:schemeClr w14:val="tx1"/>
                        </w14:solidFill>
                      </w14:textFill>
                    </w:rPr>
                    <w:t>名称</w:t>
                  </w:r>
                </w:p>
              </w:tc>
              <w:tc>
                <w:tcPr>
                  <w:tcW w:w="399" w:type="pct"/>
                  <w:tcBorders>
                    <w:tl2br w:val="nil"/>
                    <w:tr2bl w:val="nil"/>
                  </w:tcBorders>
                  <w:noWrap w:val="0"/>
                  <w:vAlign w:val="center"/>
                </w:tcPr>
                <w:p w14:paraId="06A13AD7">
                  <w:pPr>
                    <w:keepNext w:val="0"/>
                    <w:keepLines w:val="0"/>
                    <w:suppressLineNumbers w:val="0"/>
                    <w:adjustRightInd w:val="0"/>
                    <w:snapToGrid w:val="0"/>
                    <w:spacing w:before="0" w:beforeAutospacing="0" w:after="0" w:afterAutospacing="0"/>
                    <w:ind w:left="0" w:right="0"/>
                    <w:jc w:val="center"/>
                    <w:rPr>
                      <w:rFonts w:hint="default"/>
                      <w:b/>
                      <w:bCs w:val="0"/>
                      <w:color w:val="000000" w:themeColor="text1"/>
                      <w:sz w:val="18"/>
                      <w:szCs w:val="18"/>
                      <w14:textFill>
                        <w14:solidFill>
                          <w14:schemeClr w14:val="tx1"/>
                        </w14:solidFill>
                      </w14:textFill>
                    </w:rPr>
                  </w:pPr>
                  <w:r>
                    <w:rPr>
                      <w:rFonts w:hint="default"/>
                      <w:b/>
                      <w:bCs w:val="0"/>
                      <w:color w:val="000000" w:themeColor="text1"/>
                      <w:sz w:val="18"/>
                      <w:szCs w:val="18"/>
                      <w14:textFill>
                        <w14:solidFill>
                          <w14:schemeClr w14:val="tx1"/>
                        </w14:solidFill>
                      </w14:textFill>
                    </w:rPr>
                    <w:t>断面</w:t>
                  </w:r>
                </w:p>
              </w:tc>
              <w:tc>
                <w:tcPr>
                  <w:tcW w:w="578" w:type="pct"/>
                  <w:tcBorders>
                    <w:tl2br w:val="nil"/>
                    <w:tr2bl w:val="nil"/>
                  </w:tcBorders>
                  <w:noWrap w:val="0"/>
                  <w:vAlign w:val="center"/>
                </w:tcPr>
                <w:p w14:paraId="3C642003">
                  <w:pPr>
                    <w:keepNext w:val="0"/>
                    <w:keepLines w:val="0"/>
                    <w:suppressLineNumbers w:val="0"/>
                    <w:adjustRightInd w:val="0"/>
                    <w:snapToGrid w:val="0"/>
                    <w:spacing w:before="0" w:beforeAutospacing="0" w:after="0" w:afterAutospacing="0"/>
                    <w:ind w:left="0" w:right="0"/>
                    <w:jc w:val="center"/>
                    <w:rPr>
                      <w:rFonts w:hint="default"/>
                      <w:b/>
                      <w:bCs w:val="0"/>
                      <w:color w:val="000000" w:themeColor="text1"/>
                      <w:sz w:val="18"/>
                      <w:szCs w:val="18"/>
                      <w14:textFill>
                        <w14:solidFill>
                          <w14:schemeClr w14:val="tx1"/>
                        </w14:solidFill>
                      </w14:textFill>
                    </w:rPr>
                  </w:pPr>
                  <w:r>
                    <w:rPr>
                      <w:rFonts w:hint="default"/>
                      <w:b/>
                      <w:bCs w:val="0"/>
                      <w:color w:val="000000" w:themeColor="text1"/>
                      <w:sz w:val="18"/>
                      <w:szCs w:val="18"/>
                      <w14:textFill>
                        <w14:solidFill>
                          <w14:schemeClr w14:val="tx1"/>
                        </w14:solidFill>
                      </w14:textFill>
                    </w:rPr>
                    <w:t>检测项目</w:t>
                  </w:r>
                </w:p>
              </w:tc>
              <w:tc>
                <w:tcPr>
                  <w:tcW w:w="591" w:type="pct"/>
                  <w:tcBorders>
                    <w:tl2br w:val="nil"/>
                    <w:tr2bl w:val="nil"/>
                  </w:tcBorders>
                  <w:noWrap w:val="0"/>
                  <w:vAlign w:val="center"/>
                </w:tcPr>
                <w:p w14:paraId="3DDD2BD5">
                  <w:pPr>
                    <w:keepNext w:val="0"/>
                    <w:keepLines w:val="0"/>
                    <w:suppressLineNumbers w:val="0"/>
                    <w:adjustRightInd w:val="0"/>
                    <w:snapToGrid w:val="0"/>
                    <w:spacing w:before="0" w:beforeAutospacing="0" w:after="0" w:afterAutospacing="0"/>
                    <w:ind w:left="0" w:right="0"/>
                    <w:jc w:val="center"/>
                    <w:rPr>
                      <w:rFonts w:hint="default"/>
                      <w:b/>
                      <w:bCs w:val="0"/>
                      <w:color w:val="000000" w:themeColor="text1"/>
                      <w:sz w:val="18"/>
                      <w:szCs w:val="18"/>
                      <w14:textFill>
                        <w14:solidFill>
                          <w14:schemeClr w14:val="tx1"/>
                        </w14:solidFill>
                      </w14:textFill>
                    </w:rPr>
                  </w:pPr>
                  <w:r>
                    <w:rPr>
                      <w:rFonts w:hint="default"/>
                      <w:b/>
                      <w:bCs w:val="0"/>
                      <w:color w:val="000000" w:themeColor="text1"/>
                      <w:sz w:val="18"/>
                      <w:szCs w:val="18"/>
                      <w14:textFill>
                        <w14:solidFill>
                          <w14:schemeClr w14:val="tx1"/>
                        </w14:solidFill>
                      </w14:textFill>
                    </w:rPr>
                    <w:t>pH</w:t>
                  </w:r>
                </w:p>
              </w:tc>
              <w:tc>
                <w:tcPr>
                  <w:tcW w:w="591" w:type="pct"/>
                  <w:tcBorders>
                    <w:tl2br w:val="nil"/>
                    <w:tr2bl w:val="nil"/>
                  </w:tcBorders>
                  <w:noWrap w:val="0"/>
                  <w:vAlign w:val="center"/>
                </w:tcPr>
                <w:p w14:paraId="40931BE1">
                  <w:pPr>
                    <w:keepNext w:val="0"/>
                    <w:keepLines w:val="0"/>
                    <w:suppressLineNumbers w:val="0"/>
                    <w:adjustRightInd w:val="0"/>
                    <w:snapToGrid w:val="0"/>
                    <w:spacing w:before="0" w:beforeAutospacing="0" w:after="0" w:afterAutospacing="0"/>
                    <w:ind w:left="0" w:right="0"/>
                    <w:jc w:val="center"/>
                    <w:rPr>
                      <w:rFonts w:hint="default"/>
                      <w:b/>
                      <w:bCs w:val="0"/>
                      <w:color w:val="000000" w:themeColor="text1"/>
                      <w:sz w:val="18"/>
                      <w:szCs w:val="18"/>
                      <w14:textFill>
                        <w14:solidFill>
                          <w14:schemeClr w14:val="tx1"/>
                        </w14:solidFill>
                      </w14:textFill>
                    </w:rPr>
                  </w:pPr>
                  <w:r>
                    <w:rPr>
                      <w:rFonts w:hint="default"/>
                      <w:b/>
                      <w:bCs w:val="0"/>
                      <w:color w:val="000000" w:themeColor="text1"/>
                      <w:sz w:val="18"/>
                      <w:szCs w:val="18"/>
                      <w14:textFill>
                        <w14:solidFill>
                          <w14:schemeClr w14:val="tx1"/>
                        </w14:solidFill>
                      </w14:textFill>
                    </w:rPr>
                    <w:t>COD</w:t>
                  </w:r>
                </w:p>
              </w:tc>
              <w:tc>
                <w:tcPr>
                  <w:tcW w:w="591" w:type="pct"/>
                  <w:tcBorders>
                    <w:tl2br w:val="nil"/>
                    <w:tr2bl w:val="nil"/>
                  </w:tcBorders>
                  <w:noWrap w:val="0"/>
                  <w:vAlign w:val="center"/>
                </w:tcPr>
                <w:p w14:paraId="375C9752">
                  <w:pPr>
                    <w:keepNext w:val="0"/>
                    <w:keepLines w:val="0"/>
                    <w:suppressLineNumbers w:val="0"/>
                    <w:adjustRightInd w:val="0"/>
                    <w:snapToGrid w:val="0"/>
                    <w:spacing w:before="0" w:beforeAutospacing="0" w:after="0" w:afterAutospacing="0"/>
                    <w:ind w:left="0" w:right="0"/>
                    <w:jc w:val="center"/>
                    <w:rPr>
                      <w:rFonts w:hint="default"/>
                      <w:b/>
                      <w:bCs w:val="0"/>
                      <w:color w:val="000000" w:themeColor="text1"/>
                      <w:sz w:val="18"/>
                      <w:szCs w:val="18"/>
                      <w14:textFill>
                        <w14:solidFill>
                          <w14:schemeClr w14:val="tx1"/>
                        </w14:solidFill>
                      </w14:textFill>
                    </w:rPr>
                  </w:pPr>
                  <w:r>
                    <w:rPr>
                      <w:rFonts w:hint="default"/>
                      <w:b/>
                      <w:bCs w:val="0"/>
                      <w:color w:val="000000" w:themeColor="text1"/>
                      <w:sz w:val="18"/>
                      <w:szCs w:val="18"/>
                      <w14:textFill>
                        <w14:solidFill>
                          <w14:schemeClr w14:val="tx1"/>
                        </w14:solidFill>
                      </w14:textFill>
                    </w:rPr>
                    <w:t>NH</w:t>
                  </w:r>
                  <w:r>
                    <w:rPr>
                      <w:rFonts w:hint="default"/>
                      <w:b/>
                      <w:bCs w:val="0"/>
                      <w:color w:val="000000" w:themeColor="text1"/>
                      <w:sz w:val="18"/>
                      <w:szCs w:val="18"/>
                      <w:vertAlign w:val="subscript"/>
                      <w14:textFill>
                        <w14:solidFill>
                          <w14:schemeClr w14:val="tx1"/>
                        </w14:solidFill>
                      </w14:textFill>
                    </w:rPr>
                    <w:t>3</w:t>
                  </w:r>
                  <w:r>
                    <w:rPr>
                      <w:rFonts w:hint="default"/>
                      <w:b/>
                      <w:bCs w:val="0"/>
                      <w:color w:val="000000" w:themeColor="text1"/>
                      <w:sz w:val="18"/>
                      <w:szCs w:val="18"/>
                      <w14:textFill>
                        <w14:solidFill>
                          <w14:schemeClr w14:val="tx1"/>
                        </w14:solidFill>
                      </w14:textFill>
                    </w:rPr>
                    <w:t>-N</w:t>
                  </w:r>
                </w:p>
              </w:tc>
              <w:tc>
                <w:tcPr>
                  <w:tcW w:w="591" w:type="pct"/>
                  <w:tcBorders>
                    <w:tl2br w:val="nil"/>
                    <w:tr2bl w:val="nil"/>
                  </w:tcBorders>
                  <w:shd w:val="clear" w:color="auto" w:fill="auto"/>
                  <w:noWrap w:val="0"/>
                  <w:vAlign w:val="center"/>
                </w:tcPr>
                <w:p w14:paraId="19ED4B7C">
                  <w:pPr>
                    <w:keepNext w:val="0"/>
                    <w:keepLines w:val="0"/>
                    <w:suppressLineNumbers w:val="0"/>
                    <w:adjustRightInd w:val="0"/>
                    <w:snapToGrid w:val="0"/>
                    <w:spacing w:before="0" w:beforeAutospacing="0" w:after="0" w:afterAutospacing="0"/>
                    <w:ind w:left="0" w:right="0"/>
                    <w:jc w:val="center"/>
                    <w:rPr>
                      <w:rFonts w:hint="eastAsia" w:eastAsia="宋体"/>
                      <w:b/>
                      <w:bCs w:val="0"/>
                      <w:color w:val="000000" w:themeColor="text1"/>
                      <w:sz w:val="18"/>
                      <w:szCs w:val="18"/>
                      <w:lang w:val="en-US" w:eastAsia="zh-CN"/>
                      <w14:textFill>
                        <w14:solidFill>
                          <w14:schemeClr w14:val="tx1"/>
                        </w14:solidFill>
                      </w14:textFill>
                    </w:rPr>
                  </w:pPr>
                  <w:r>
                    <w:rPr>
                      <w:rFonts w:hint="eastAsia"/>
                      <w:b/>
                      <w:bCs w:val="0"/>
                      <w:color w:val="000000" w:themeColor="text1"/>
                      <w:sz w:val="18"/>
                      <w:szCs w:val="18"/>
                      <w:lang w:val="en-US" w:eastAsia="zh-CN"/>
                      <w14:textFill>
                        <w14:solidFill>
                          <w14:schemeClr w14:val="tx1"/>
                        </w14:solidFill>
                      </w14:textFill>
                    </w:rPr>
                    <w:t>TN</w:t>
                  </w:r>
                </w:p>
              </w:tc>
              <w:tc>
                <w:tcPr>
                  <w:tcW w:w="592" w:type="pct"/>
                  <w:tcBorders>
                    <w:tl2br w:val="nil"/>
                    <w:tr2bl w:val="nil"/>
                  </w:tcBorders>
                  <w:shd w:val="clear" w:color="auto" w:fill="auto"/>
                  <w:noWrap w:val="0"/>
                  <w:vAlign w:val="center"/>
                </w:tcPr>
                <w:p w14:paraId="72BCBA7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val="0"/>
                      <w:color w:val="000000" w:themeColor="text1"/>
                      <w:kern w:val="2"/>
                      <w:sz w:val="18"/>
                      <w:szCs w:val="18"/>
                      <w:lang w:val="en-US" w:eastAsia="zh-CN" w:bidi="ar-SA"/>
                      <w14:textFill>
                        <w14:solidFill>
                          <w14:schemeClr w14:val="tx1"/>
                        </w14:solidFill>
                      </w14:textFill>
                    </w:rPr>
                  </w:pPr>
                  <w:r>
                    <w:rPr>
                      <w:rFonts w:hint="default"/>
                      <w:b/>
                      <w:bCs w:val="0"/>
                      <w:color w:val="000000" w:themeColor="text1"/>
                      <w:sz w:val="18"/>
                      <w:szCs w:val="18"/>
                      <w14:textFill>
                        <w14:solidFill>
                          <w14:schemeClr w14:val="tx1"/>
                        </w14:solidFill>
                      </w14:textFill>
                    </w:rPr>
                    <w:t>TP</w:t>
                  </w:r>
                </w:p>
              </w:tc>
              <w:tc>
                <w:tcPr>
                  <w:tcW w:w="596" w:type="pct"/>
                  <w:tcBorders>
                    <w:tl2br w:val="nil"/>
                    <w:tr2bl w:val="nil"/>
                  </w:tcBorders>
                  <w:shd w:val="clear" w:color="auto" w:fill="auto"/>
                  <w:noWrap w:val="0"/>
                  <w:vAlign w:val="center"/>
                </w:tcPr>
                <w:p w14:paraId="08BA485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val="0"/>
                      <w:color w:val="000000" w:themeColor="text1"/>
                      <w:kern w:val="2"/>
                      <w:sz w:val="18"/>
                      <w:szCs w:val="18"/>
                      <w:lang w:val="en-US" w:eastAsia="zh-CN" w:bidi="ar-SA"/>
                      <w14:textFill>
                        <w14:solidFill>
                          <w14:schemeClr w14:val="tx1"/>
                        </w14:solidFill>
                      </w14:textFill>
                    </w:rPr>
                  </w:pPr>
                  <w:r>
                    <w:rPr>
                      <w:rFonts w:hint="default"/>
                      <w:b/>
                      <w:bCs w:val="0"/>
                      <w:color w:val="000000" w:themeColor="text1"/>
                      <w:sz w:val="18"/>
                      <w:szCs w:val="18"/>
                      <w14:textFill>
                        <w14:solidFill>
                          <w14:schemeClr w14:val="tx1"/>
                        </w14:solidFill>
                      </w14:textFill>
                    </w:rPr>
                    <w:t>水温</w:t>
                  </w:r>
                </w:p>
              </w:tc>
            </w:tr>
            <w:tr w14:paraId="5980B8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67" w:type="pct"/>
                  <w:vMerge w:val="restart"/>
                  <w:tcBorders>
                    <w:tl2br w:val="nil"/>
                    <w:tr2bl w:val="nil"/>
                  </w:tcBorders>
                  <w:noWrap w:val="0"/>
                  <w:vAlign w:val="center"/>
                </w:tcPr>
                <w:p w14:paraId="2F9D1E5E">
                  <w:pPr>
                    <w:keepNext w:val="0"/>
                    <w:keepLines w:val="0"/>
                    <w:suppressLineNumbers w:val="0"/>
                    <w:adjustRightInd w:val="0"/>
                    <w:snapToGrid w:val="0"/>
                    <w:spacing w:before="0" w:beforeAutospacing="0" w:after="0" w:afterAutospacing="0"/>
                    <w:ind w:left="0" w:right="0"/>
                    <w:jc w:val="center"/>
                    <w:rPr>
                      <w:rFonts w:hint="eastAsia"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尧塘河</w:t>
                  </w:r>
                </w:p>
              </w:tc>
              <w:tc>
                <w:tcPr>
                  <w:tcW w:w="399" w:type="pct"/>
                  <w:vMerge w:val="restart"/>
                  <w:tcBorders>
                    <w:tl2br w:val="nil"/>
                    <w:tr2bl w:val="nil"/>
                  </w:tcBorders>
                  <w:noWrap w:val="0"/>
                  <w:vAlign w:val="center"/>
                </w:tcPr>
                <w:p w14:paraId="6C971D6C">
                  <w:pPr>
                    <w:keepNext w:val="0"/>
                    <w:keepLines w:val="0"/>
                    <w:suppressLineNumbers w:val="0"/>
                    <w:adjustRightInd w:val="0"/>
                    <w:snapToGrid w:val="0"/>
                    <w:spacing w:before="0" w:beforeAutospacing="0" w:after="0" w:afterAutospacing="0"/>
                    <w:ind w:left="0" w:right="0"/>
                    <w:jc w:val="center"/>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W1</w:t>
                  </w:r>
                </w:p>
              </w:tc>
              <w:tc>
                <w:tcPr>
                  <w:tcW w:w="578" w:type="pct"/>
                  <w:tcBorders>
                    <w:tl2br w:val="nil"/>
                    <w:tr2bl w:val="nil"/>
                  </w:tcBorders>
                  <w:noWrap w:val="0"/>
                  <w:vAlign w:val="center"/>
                </w:tcPr>
                <w:p w14:paraId="4926102E">
                  <w:pPr>
                    <w:keepNext w:val="0"/>
                    <w:keepLines w:val="0"/>
                    <w:suppressLineNumbers w:val="0"/>
                    <w:adjustRightInd w:val="0"/>
                    <w:snapToGrid w:val="0"/>
                    <w:spacing w:before="0" w:beforeAutospacing="0" w:after="0" w:afterAutospacing="0"/>
                    <w:ind w:left="0" w:right="0"/>
                    <w:jc w:val="center"/>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最大值</w:t>
                  </w:r>
                </w:p>
              </w:tc>
              <w:tc>
                <w:tcPr>
                  <w:tcW w:w="991" w:type="dxa"/>
                  <w:tcBorders>
                    <w:tl2br w:val="nil"/>
                    <w:tr2bl w:val="nil"/>
                  </w:tcBorders>
                  <w:shd w:val="clear" w:color="auto" w:fill="auto"/>
                  <w:noWrap w:val="0"/>
                  <w:vAlign w:val="center"/>
                </w:tcPr>
                <w:p w14:paraId="0C9CAA37">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auto"/>
                      <w:szCs w:val="21"/>
                      <w:lang w:val="en-US" w:eastAsia="zh-CN"/>
                    </w:rPr>
                    <w:t>8.2</w:t>
                  </w:r>
                </w:p>
              </w:tc>
              <w:tc>
                <w:tcPr>
                  <w:tcW w:w="991" w:type="dxa"/>
                  <w:tcBorders>
                    <w:tl2br w:val="nil"/>
                    <w:tr2bl w:val="nil"/>
                  </w:tcBorders>
                  <w:shd w:val="clear" w:color="auto" w:fill="auto"/>
                  <w:noWrap w:val="0"/>
                  <w:vAlign w:val="center"/>
                </w:tcPr>
                <w:p w14:paraId="5D1C6D3B">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auto"/>
                      <w:szCs w:val="21"/>
                      <w:lang w:val="en-US" w:eastAsia="zh-CN"/>
                    </w:rPr>
                    <w:t>18</w:t>
                  </w:r>
                </w:p>
              </w:tc>
              <w:tc>
                <w:tcPr>
                  <w:tcW w:w="991" w:type="dxa"/>
                  <w:tcBorders>
                    <w:tl2br w:val="nil"/>
                    <w:tr2bl w:val="nil"/>
                  </w:tcBorders>
                  <w:shd w:val="clear" w:color="auto" w:fill="auto"/>
                  <w:noWrap w:val="0"/>
                  <w:vAlign w:val="center"/>
                </w:tcPr>
                <w:p w14:paraId="29D74F1A">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auto"/>
                      <w:szCs w:val="21"/>
                      <w:lang w:val="en-US" w:eastAsia="zh-CN"/>
                    </w:rPr>
                    <w:t>0.447</w:t>
                  </w:r>
                </w:p>
              </w:tc>
              <w:tc>
                <w:tcPr>
                  <w:tcW w:w="991" w:type="dxa"/>
                  <w:tcBorders>
                    <w:tl2br w:val="nil"/>
                    <w:tr2bl w:val="nil"/>
                  </w:tcBorders>
                  <w:shd w:val="clear" w:color="auto" w:fill="auto"/>
                  <w:noWrap w:val="0"/>
                  <w:vAlign w:val="center"/>
                </w:tcPr>
                <w:p w14:paraId="45A8D4DB">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0.888</w:t>
                  </w:r>
                </w:p>
              </w:tc>
              <w:tc>
                <w:tcPr>
                  <w:tcW w:w="992" w:type="dxa"/>
                  <w:tcBorders>
                    <w:tl2br w:val="nil"/>
                    <w:tr2bl w:val="nil"/>
                  </w:tcBorders>
                  <w:shd w:val="clear" w:color="auto" w:fill="auto"/>
                  <w:noWrap w:val="0"/>
                  <w:vAlign w:val="center"/>
                </w:tcPr>
                <w:p w14:paraId="05D02A2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auto"/>
                      <w:szCs w:val="21"/>
                      <w:lang w:val="en-US" w:eastAsia="zh-CN"/>
                    </w:rPr>
                    <w:t>0.13</w:t>
                  </w:r>
                </w:p>
              </w:tc>
              <w:tc>
                <w:tcPr>
                  <w:tcW w:w="596" w:type="pct"/>
                  <w:tcBorders>
                    <w:tl2br w:val="nil"/>
                    <w:tr2bl w:val="nil"/>
                  </w:tcBorders>
                  <w:shd w:val="clear" w:color="auto" w:fill="auto"/>
                  <w:noWrap w:val="0"/>
                  <w:vAlign w:val="center"/>
                </w:tcPr>
                <w:p w14:paraId="0B4E299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10.6</w:t>
                  </w:r>
                </w:p>
              </w:tc>
            </w:tr>
            <w:tr w14:paraId="783899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67" w:type="pct"/>
                  <w:vMerge w:val="continue"/>
                  <w:tcBorders>
                    <w:tl2br w:val="nil"/>
                    <w:tr2bl w:val="nil"/>
                  </w:tcBorders>
                  <w:noWrap w:val="0"/>
                  <w:vAlign w:val="center"/>
                </w:tcPr>
                <w:p w14:paraId="61B041A7">
                  <w:pPr>
                    <w:keepNext w:val="0"/>
                    <w:keepLines w:val="0"/>
                    <w:suppressLineNumbers w:val="0"/>
                    <w:adjustRightInd w:val="0"/>
                    <w:snapToGrid w:val="0"/>
                    <w:spacing w:before="0" w:beforeAutospacing="0" w:after="0" w:afterAutospacing="0"/>
                    <w:ind w:left="0" w:right="0"/>
                    <w:jc w:val="center"/>
                    <w:rPr>
                      <w:rFonts w:hint="default"/>
                      <w:color w:val="000000" w:themeColor="text1"/>
                      <w:sz w:val="18"/>
                      <w:szCs w:val="18"/>
                      <w14:textFill>
                        <w14:solidFill>
                          <w14:schemeClr w14:val="tx1"/>
                        </w14:solidFill>
                      </w14:textFill>
                    </w:rPr>
                  </w:pPr>
                </w:p>
              </w:tc>
              <w:tc>
                <w:tcPr>
                  <w:tcW w:w="399" w:type="pct"/>
                  <w:vMerge w:val="continue"/>
                  <w:tcBorders>
                    <w:tl2br w:val="nil"/>
                    <w:tr2bl w:val="nil"/>
                  </w:tcBorders>
                  <w:noWrap w:val="0"/>
                  <w:vAlign w:val="center"/>
                </w:tcPr>
                <w:p w14:paraId="46603021">
                  <w:pPr>
                    <w:keepNext w:val="0"/>
                    <w:keepLines w:val="0"/>
                    <w:suppressLineNumbers w:val="0"/>
                    <w:adjustRightInd w:val="0"/>
                    <w:snapToGrid w:val="0"/>
                    <w:spacing w:before="0" w:beforeAutospacing="0" w:after="0" w:afterAutospacing="0"/>
                    <w:ind w:left="0" w:right="0"/>
                    <w:jc w:val="center"/>
                    <w:rPr>
                      <w:rFonts w:hint="default"/>
                      <w:color w:val="000000" w:themeColor="text1"/>
                      <w:sz w:val="18"/>
                      <w:szCs w:val="18"/>
                      <w14:textFill>
                        <w14:solidFill>
                          <w14:schemeClr w14:val="tx1"/>
                        </w14:solidFill>
                      </w14:textFill>
                    </w:rPr>
                  </w:pPr>
                </w:p>
              </w:tc>
              <w:tc>
                <w:tcPr>
                  <w:tcW w:w="578" w:type="pct"/>
                  <w:tcBorders>
                    <w:tl2br w:val="nil"/>
                    <w:tr2bl w:val="nil"/>
                  </w:tcBorders>
                  <w:noWrap w:val="0"/>
                  <w:vAlign w:val="center"/>
                </w:tcPr>
                <w:p w14:paraId="21F830DC">
                  <w:pPr>
                    <w:keepNext w:val="0"/>
                    <w:keepLines w:val="0"/>
                    <w:suppressLineNumbers w:val="0"/>
                    <w:adjustRightInd w:val="0"/>
                    <w:snapToGrid w:val="0"/>
                    <w:spacing w:before="0" w:beforeAutospacing="0" w:after="0" w:afterAutospacing="0"/>
                    <w:ind w:left="0" w:right="0"/>
                    <w:jc w:val="center"/>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最小值</w:t>
                  </w:r>
                </w:p>
              </w:tc>
              <w:tc>
                <w:tcPr>
                  <w:tcW w:w="991" w:type="dxa"/>
                  <w:tcBorders>
                    <w:tl2br w:val="nil"/>
                    <w:tr2bl w:val="nil"/>
                  </w:tcBorders>
                  <w:shd w:val="clear" w:color="auto" w:fill="auto"/>
                  <w:noWrap w:val="0"/>
                  <w:vAlign w:val="center"/>
                </w:tcPr>
                <w:p w14:paraId="7165A48B">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auto"/>
                      <w:szCs w:val="21"/>
                      <w:lang w:val="en-US" w:eastAsia="zh-CN"/>
                    </w:rPr>
                    <w:t>7.7</w:t>
                  </w:r>
                </w:p>
              </w:tc>
              <w:tc>
                <w:tcPr>
                  <w:tcW w:w="991" w:type="dxa"/>
                  <w:tcBorders>
                    <w:tl2br w:val="nil"/>
                    <w:tr2bl w:val="nil"/>
                  </w:tcBorders>
                  <w:shd w:val="clear" w:color="auto" w:fill="auto"/>
                  <w:noWrap w:val="0"/>
                  <w:vAlign w:val="center"/>
                </w:tcPr>
                <w:p w14:paraId="15DE09C6">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auto"/>
                      <w:szCs w:val="21"/>
                      <w:lang w:val="en-US" w:eastAsia="zh-CN"/>
                    </w:rPr>
                    <w:t>16</w:t>
                  </w:r>
                </w:p>
              </w:tc>
              <w:tc>
                <w:tcPr>
                  <w:tcW w:w="991" w:type="dxa"/>
                  <w:tcBorders>
                    <w:tl2br w:val="nil"/>
                    <w:tr2bl w:val="nil"/>
                  </w:tcBorders>
                  <w:shd w:val="clear" w:color="auto" w:fill="auto"/>
                  <w:noWrap w:val="0"/>
                  <w:vAlign w:val="center"/>
                </w:tcPr>
                <w:p w14:paraId="7CAF140A">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auto"/>
                      <w:szCs w:val="21"/>
                      <w:lang w:val="en-US" w:eastAsia="zh-CN"/>
                    </w:rPr>
                    <w:t>0.263</w:t>
                  </w:r>
                </w:p>
              </w:tc>
              <w:tc>
                <w:tcPr>
                  <w:tcW w:w="991" w:type="dxa"/>
                  <w:tcBorders>
                    <w:tl2br w:val="nil"/>
                    <w:tr2bl w:val="nil"/>
                  </w:tcBorders>
                  <w:shd w:val="clear" w:color="auto" w:fill="auto"/>
                  <w:noWrap w:val="0"/>
                  <w:vAlign w:val="center"/>
                </w:tcPr>
                <w:p w14:paraId="36B9057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0.723</w:t>
                  </w:r>
                </w:p>
              </w:tc>
              <w:tc>
                <w:tcPr>
                  <w:tcW w:w="992" w:type="dxa"/>
                  <w:tcBorders>
                    <w:tl2br w:val="nil"/>
                    <w:tr2bl w:val="nil"/>
                  </w:tcBorders>
                  <w:shd w:val="clear" w:color="auto" w:fill="auto"/>
                  <w:noWrap w:val="0"/>
                  <w:vAlign w:val="center"/>
                </w:tcPr>
                <w:p w14:paraId="4C9FF8D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auto"/>
                      <w:szCs w:val="21"/>
                      <w:lang w:val="en-US" w:eastAsia="zh-CN"/>
                    </w:rPr>
                    <w:t>0.07</w:t>
                  </w:r>
                </w:p>
              </w:tc>
              <w:tc>
                <w:tcPr>
                  <w:tcW w:w="596" w:type="pct"/>
                  <w:tcBorders>
                    <w:tl2br w:val="nil"/>
                    <w:tr2bl w:val="nil"/>
                  </w:tcBorders>
                  <w:shd w:val="clear" w:color="auto" w:fill="auto"/>
                  <w:noWrap w:val="0"/>
                  <w:vAlign w:val="center"/>
                </w:tcPr>
                <w:p w14:paraId="5288E6B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8.7</w:t>
                  </w:r>
                </w:p>
              </w:tc>
            </w:tr>
            <w:tr w14:paraId="33D769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67" w:type="pct"/>
                  <w:vMerge w:val="continue"/>
                  <w:tcBorders>
                    <w:tl2br w:val="nil"/>
                    <w:tr2bl w:val="nil"/>
                  </w:tcBorders>
                  <w:noWrap w:val="0"/>
                  <w:vAlign w:val="center"/>
                </w:tcPr>
                <w:p w14:paraId="13C6CFCF">
                  <w:pPr>
                    <w:keepNext w:val="0"/>
                    <w:keepLines w:val="0"/>
                    <w:suppressLineNumbers w:val="0"/>
                    <w:adjustRightInd w:val="0"/>
                    <w:snapToGrid w:val="0"/>
                    <w:spacing w:before="0" w:beforeAutospacing="0" w:after="0" w:afterAutospacing="0"/>
                    <w:ind w:left="0" w:right="0"/>
                    <w:jc w:val="center"/>
                    <w:rPr>
                      <w:rFonts w:hint="default"/>
                      <w:color w:val="000000" w:themeColor="text1"/>
                      <w:sz w:val="18"/>
                      <w:szCs w:val="18"/>
                      <w14:textFill>
                        <w14:solidFill>
                          <w14:schemeClr w14:val="tx1"/>
                        </w14:solidFill>
                      </w14:textFill>
                    </w:rPr>
                  </w:pPr>
                </w:p>
              </w:tc>
              <w:tc>
                <w:tcPr>
                  <w:tcW w:w="399" w:type="pct"/>
                  <w:vMerge w:val="continue"/>
                  <w:tcBorders>
                    <w:tl2br w:val="nil"/>
                    <w:tr2bl w:val="nil"/>
                  </w:tcBorders>
                  <w:noWrap w:val="0"/>
                  <w:vAlign w:val="center"/>
                </w:tcPr>
                <w:p w14:paraId="4CBB1440">
                  <w:pPr>
                    <w:keepNext w:val="0"/>
                    <w:keepLines w:val="0"/>
                    <w:suppressLineNumbers w:val="0"/>
                    <w:adjustRightInd w:val="0"/>
                    <w:snapToGrid w:val="0"/>
                    <w:spacing w:before="0" w:beforeAutospacing="0" w:after="0" w:afterAutospacing="0"/>
                    <w:ind w:left="0" w:right="0"/>
                    <w:jc w:val="center"/>
                    <w:rPr>
                      <w:rFonts w:hint="default"/>
                      <w:color w:val="000000" w:themeColor="text1"/>
                      <w:sz w:val="18"/>
                      <w:szCs w:val="18"/>
                      <w14:textFill>
                        <w14:solidFill>
                          <w14:schemeClr w14:val="tx1"/>
                        </w14:solidFill>
                      </w14:textFill>
                    </w:rPr>
                  </w:pPr>
                </w:p>
              </w:tc>
              <w:tc>
                <w:tcPr>
                  <w:tcW w:w="578" w:type="pct"/>
                  <w:tcBorders>
                    <w:tl2br w:val="nil"/>
                    <w:tr2bl w:val="nil"/>
                  </w:tcBorders>
                  <w:noWrap w:val="0"/>
                  <w:vAlign w:val="center"/>
                </w:tcPr>
                <w:p w14:paraId="2568BC39">
                  <w:pPr>
                    <w:keepNext w:val="0"/>
                    <w:keepLines w:val="0"/>
                    <w:suppressLineNumbers w:val="0"/>
                    <w:adjustRightInd w:val="0"/>
                    <w:snapToGrid w:val="0"/>
                    <w:spacing w:before="0" w:beforeAutospacing="0" w:after="0" w:afterAutospacing="0"/>
                    <w:ind w:left="0" w:right="0"/>
                    <w:jc w:val="center"/>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超标率</w:t>
                  </w:r>
                </w:p>
              </w:tc>
              <w:tc>
                <w:tcPr>
                  <w:tcW w:w="591" w:type="pct"/>
                  <w:tcBorders>
                    <w:tl2br w:val="nil"/>
                    <w:tr2bl w:val="nil"/>
                  </w:tcBorders>
                  <w:shd w:val="clear" w:color="auto" w:fill="auto"/>
                  <w:noWrap w:val="0"/>
                  <w:vAlign w:val="center"/>
                </w:tcPr>
                <w:p w14:paraId="4DD88F7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color w:val="000000" w:themeColor="text1"/>
                      <w:sz w:val="18"/>
                      <w:szCs w:val="18"/>
                      <w14:textFill>
                        <w14:solidFill>
                          <w14:schemeClr w14:val="tx1"/>
                        </w14:solidFill>
                      </w14:textFill>
                    </w:rPr>
                    <w:t>0</w:t>
                  </w:r>
                </w:p>
              </w:tc>
              <w:tc>
                <w:tcPr>
                  <w:tcW w:w="591" w:type="pct"/>
                  <w:tcBorders>
                    <w:tl2br w:val="nil"/>
                    <w:tr2bl w:val="nil"/>
                  </w:tcBorders>
                  <w:shd w:val="clear" w:color="auto" w:fill="auto"/>
                  <w:noWrap w:val="0"/>
                  <w:vAlign w:val="center"/>
                </w:tcPr>
                <w:p w14:paraId="51235DC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color w:val="000000" w:themeColor="text1"/>
                      <w:sz w:val="18"/>
                      <w:szCs w:val="18"/>
                      <w14:textFill>
                        <w14:solidFill>
                          <w14:schemeClr w14:val="tx1"/>
                        </w14:solidFill>
                      </w14:textFill>
                    </w:rPr>
                    <w:t>0</w:t>
                  </w:r>
                </w:p>
              </w:tc>
              <w:tc>
                <w:tcPr>
                  <w:tcW w:w="591" w:type="pct"/>
                  <w:tcBorders>
                    <w:tl2br w:val="nil"/>
                    <w:tr2bl w:val="nil"/>
                  </w:tcBorders>
                  <w:shd w:val="clear" w:color="auto" w:fill="auto"/>
                  <w:noWrap w:val="0"/>
                  <w:vAlign w:val="center"/>
                </w:tcPr>
                <w:p w14:paraId="55783DC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color w:val="000000" w:themeColor="text1"/>
                      <w:sz w:val="18"/>
                      <w:szCs w:val="18"/>
                      <w14:textFill>
                        <w14:solidFill>
                          <w14:schemeClr w14:val="tx1"/>
                        </w14:solidFill>
                      </w14:textFill>
                    </w:rPr>
                    <w:t>0</w:t>
                  </w:r>
                </w:p>
              </w:tc>
              <w:tc>
                <w:tcPr>
                  <w:tcW w:w="591" w:type="pct"/>
                  <w:tcBorders>
                    <w:tl2br w:val="nil"/>
                    <w:tr2bl w:val="nil"/>
                  </w:tcBorders>
                  <w:shd w:val="clear" w:color="auto" w:fill="auto"/>
                  <w:noWrap w:val="0"/>
                  <w:vAlign w:val="center"/>
                </w:tcPr>
                <w:p w14:paraId="41DAB1A0">
                  <w:pPr>
                    <w:keepNext w:val="0"/>
                    <w:keepLines w:val="0"/>
                    <w:suppressLineNumbers w:val="0"/>
                    <w:adjustRightInd w:val="0"/>
                    <w:snapToGrid w:val="0"/>
                    <w:spacing w:before="0" w:beforeAutospacing="0" w:after="0" w:afterAutospacing="0"/>
                    <w:ind w:left="0" w:right="0"/>
                    <w:jc w:val="center"/>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0</w:t>
                  </w:r>
                </w:p>
              </w:tc>
              <w:tc>
                <w:tcPr>
                  <w:tcW w:w="592" w:type="pct"/>
                  <w:tcBorders>
                    <w:tl2br w:val="nil"/>
                    <w:tr2bl w:val="nil"/>
                  </w:tcBorders>
                  <w:shd w:val="clear" w:color="auto" w:fill="auto"/>
                  <w:noWrap w:val="0"/>
                  <w:vAlign w:val="center"/>
                </w:tcPr>
                <w:p w14:paraId="22CAA26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color w:val="000000" w:themeColor="text1"/>
                      <w:sz w:val="18"/>
                      <w:szCs w:val="18"/>
                      <w14:textFill>
                        <w14:solidFill>
                          <w14:schemeClr w14:val="tx1"/>
                        </w14:solidFill>
                      </w14:textFill>
                    </w:rPr>
                    <w:t>0</w:t>
                  </w:r>
                </w:p>
              </w:tc>
              <w:tc>
                <w:tcPr>
                  <w:tcW w:w="596" w:type="pct"/>
                  <w:tcBorders>
                    <w:tl2br w:val="nil"/>
                    <w:tr2bl w:val="nil"/>
                  </w:tcBorders>
                  <w:shd w:val="clear" w:color="auto" w:fill="auto"/>
                  <w:noWrap w:val="0"/>
                  <w:vAlign w:val="center"/>
                </w:tcPr>
                <w:p w14:paraId="46AD1F0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color w:val="000000" w:themeColor="text1"/>
                      <w:sz w:val="18"/>
                      <w:szCs w:val="18"/>
                      <w14:textFill>
                        <w14:solidFill>
                          <w14:schemeClr w14:val="tx1"/>
                        </w14:solidFill>
                      </w14:textFill>
                    </w:rPr>
                    <w:t>/</w:t>
                  </w:r>
                </w:p>
              </w:tc>
            </w:tr>
            <w:tr w14:paraId="36D45C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67" w:type="pct"/>
                  <w:vMerge w:val="continue"/>
                  <w:tcBorders>
                    <w:tl2br w:val="nil"/>
                    <w:tr2bl w:val="nil"/>
                  </w:tcBorders>
                  <w:noWrap w:val="0"/>
                  <w:vAlign w:val="center"/>
                </w:tcPr>
                <w:p w14:paraId="475618DE">
                  <w:pPr>
                    <w:keepNext w:val="0"/>
                    <w:keepLines w:val="0"/>
                    <w:suppressLineNumbers w:val="0"/>
                    <w:adjustRightInd w:val="0"/>
                    <w:snapToGrid w:val="0"/>
                    <w:spacing w:before="0" w:beforeAutospacing="0" w:after="0" w:afterAutospacing="0"/>
                    <w:ind w:left="0" w:right="0"/>
                    <w:jc w:val="center"/>
                    <w:rPr>
                      <w:rFonts w:hint="default"/>
                      <w:color w:val="000000" w:themeColor="text1"/>
                      <w:sz w:val="18"/>
                      <w:szCs w:val="18"/>
                      <w14:textFill>
                        <w14:solidFill>
                          <w14:schemeClr w14:val="tx1"/>
                        </w14:solidFill>
                      </w14:textFill>
                    </w:rPr>
                  </w:pPr>
                </w:p>
              </w:tc>
              <w:tc>
                <w:tcPr>
                  <w:tcW w:w="399" w:type="pct"/>
                  <w:vMerge w:val="restart"/>
                  <w:tcBorders>
                    <w:tl2br w:val="nil"/>
                    <w:tr2bl w:val="nil"/>
                  </w:tcBorders>
                  <w:noWrap w:val="0"/>
                  <w:vAlign w:val="center"/>
                </w:tcPr>
                <w:p w14:paraId="7B58FBC0">
                  <w:pPr>
                    <w:keepNext w:val="0"/>
                    <w:keepLines w:val="0"/>
                    <w:suppressLineNumbers w:val="0"/>
                    <w:adjustRightInd w:val="0"/>
                    <w:snapToGrid w:val="0"/>
                    <w:spacing w:before="0" w:beforeAutospacing="0" w:after="0" w:afterAutospacing="0"/>
                    <w:ind w:left="0" w:right="0"/>
                    <w:jc w:val="center"/>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W2</w:t>
                  </w:r>
                </w:p>
              </w:tc>
              <w:tc>
                <w:tcPr>
                  <w:tcW w:w="578" w:type="pct"/>
                  <w:tcBorders>
                    <w:tl2br w:val="nil"/>
                    <w:tr2bl w:val="nil"/>
                  </w:tcBorders>
                  <w:noWrap w:val="0"/>
                  <w:vAlign w:val="center"/>
                </w:tcPr>
                <w:p w14:paraId="653D5D8B">
                  <w:pPr>
                    <w:keepNext w:val="0"/>
                    <w:keepLines w:val="0"/>
                    <w:suppressLineNumbers w:val="0"/>
                    <w:adjustRightInd w:val="0"/>
                    <w:snapToGrid w:val="0"/>
                    <w:spacing w:before="0" w:beforeAutospacing="0" w:after="0" w:afterAutospacing="0"/>
                    <w:ind w:left="0" w:right="0"/>
                    <w:jc w:val="center"/>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最大值</w:t>
                  </w:r>
                </w:p>
              </w:tc>
              <w:tc>
                <w:tcPr>
                  <w:tcW w:w="991" w:type="dxa"/>
                  <w:tcBorders>
                    <w:tl2br w:val="nil"/>
                    <w:tr2bl w:val="nil"/>
                  </w:tcBorders>
                  <w:shd w:val="clear" w:color="auto" w:fill="auto"/>
                  <w:noWrap w:val="0"/>
                  <w:vAlign w:val="center"/>
                </w:tcPr>
                <w:p w14:paraId="57709A4D">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auto"/>
                      <w:szCs w:val="21"/>
                      <w:lang w:val="en-US" w:eastAsia="zh-CN"/>
                    </w:rPr>
                    <w:t>7.9</w:t>
                  </w:r>
                </w:p>
              </w:tc>
              <w:tc>
                <w:tcPr>
                  <w:tcW w:w="991" w:type="dxa"/>
                  <w:tcBorders>
                    <w:tl2br w:val="nil"/>
                    <w:tr2bl w:val="nil"/>
                  </w:tcBorders>
                  <w:shd w:val="clear" w:color="auto" w:fill="auto"/>
                  <w:noWrap w:val="0"/>
                  <w:vAlign w:val="center"/>
                </w:tcPr>
                <w:p w14:paraId="5C46345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auto"/>
                      <w:szCs w:val="21"/>
                      <w:lang w:val="en-US" w:eastAsia="zh-CN"/>
                    </w:rPr>
                    <w:t>19</w:t>
                  </w:r>
                </w:p>
              </w:tc>
              <w:tc>
                <w:tcPr>
                  <w:tcW w:w="991" w:type="dxa"/>
                  <w:tcBorders>
                    <w:tl2br w:val="nil"/>
                    <w:tr2bl w:val="nil"/>
                  </w:tcBorders>
                  <w:shd w:val="clear" w:color="auto" w:fill="auto"/>
                  <w:noWrap w:val="0"/>
                  <w:vAlign w:val="center"/>
                </w:tcPr>
                <w:p w14:paraId="47E91D0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auto"/>
                      <w:szCs w:val="21"/>
                      <w:lang w:val="en-US" w:eastAsia="zh-CN"/>
                    </w:rPr>
                    <w:t>0.395</w:t>
                  </w:r>
                </w:p>
              </w:tc>
              <w:tc>
                <w:tcPr>
                  <w:tcW w:w="991" w:type="dxa"/>
                  <w:tcBorders>
                    <w:tl2br w:val="nil"/>
                    <w:tr2bl w:val="nil"/>
                  </w:tcBorders>
                  <w:shd w:val="clear" w:color="auto" w:fill="auto"/>
                  <w:noWrap w:val="0"/>
                  <w:vAlign w:val="center"/>
                </w:tcPr>
                <w:p w14:paraId="23EAAF40">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0.953</w:t>
                  </w:r>
                </w:p>
              </w:tc>
              <w:tc>
                <w:tcPr>
                  <w:tcW w:w="992" w:type="dxa"/>
                  <w:tcBorders>
                    <w:tl2br w:val="nil"/>
                    <w:tr2bl w:val="nil"/>
                  </w:tcBorders>
                  <w:shd w:val="clear" w:color="auto" w:fill="auto"/>
                  <w:noWrap w:val="0"/>
                  <w:vAlign w:val="center"/>
                </w:tcPr>
                <w:p w14:paraId="04D68C8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auto"/>
                      <w:szCs w:val="21"/>
                      <w:lang w:val="en-US" w:eastAsia="zh-CN"/>
                    </w:rPr>
                    <w:t>0.12</w:t>
                  </w:r>
                </w:p>
              </w:tc>
              <w:tc>
                <w:tcPr>
                  <w:tcW w:w="596" w:type="pct"/>
                  <w:tcBorders>
                    <w:tl2br w:val="nil"/>
                    <w:tr2bl w:val="nil"/>
                  </w:tcBorders>
                  <w:shd w:val="clear" w:color="auto" w:fill="auto"/>
                  <w:noWrap w:val="0"/>
                  <w:vAlign w:val="center"/>
                </w:tcPr>
                <w:p w14:paraId="4D753CF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11.2</w:t>
                  </w:r>
                </w:p>
              </w:tc>
            </w:tr>
            <w:tr w14:paraId="0EEFC5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67" w:type="pct"/>
                  <w:vMerge w:val="continue"/>
                  <w:tcBorders>
                    <w:tl2br w:val="nil"/>
                    <w:tr2bl w:val="nil"/>
                  </w:tcBorders>
                  <w:noWrap w:val="0"/>
                  <w:vAlign w:val="center"/>
                </w:tcPr>
                <w:p w14:paraId="2BFF1472">
                  <w:pPr>
                    <w:keepNext w:val="0"/>
                    <w:keepLines w:val="0"/>
                    <w:suppressLineNumbers w:val="0"/>
                    <w:adjustRightInd w:val="0"/>
                    <w:snapToGrid w:val="0"/>
                    <w:spacing w:before="0" w:beforeAutospacing="0" w:after="0" w:afterAutospacing="0"/>
                    <w:ind w:left="0" w:right="0"/>
                    <w:jc w:val="center"/>
                    <w:rPr>
                      <w:rFonts w:hint="default"/>
                      <w:color w:val="000000" w:themeColor="text1"/>
                      <w:sz w:val="18"/>
                      <w:szCs w:val="18"/>
                      <w14:textFill>
                        <w14:solidFill>
                          <w14:schemeClr w14:val="tx1"/>
                        </w14:solidFill>
                      </w14:textFill>
                    </w:rPr>
                  </w:pPr>
                </w:p>
              </w:tc>
              <w:tc>
                <w:tcPr>
                  <w:tcW w:w="399" w:type="pct"/>
                  <w:vMerge w:val="continue"/>
                  <w:tcBorders>
                    <w:tl2br w:val="nil"/>
                    <w:tr2bl w:val="nil"/>
                  </w:tcBorders>
                  <w:noWrap w:val="0"/>
                  <w:vAlign w:val="center"/>
                </w:tcPr>
                <w:p w14:paraId="7781C87F">
                  <w:pPr>
                    <w:keepNext w:val="0"/>
                    <w:keepLines w:val="0"/>
                    <w:suppressLineNumbers w:val="0"/>
                    <w:adjustRightInd w:val="0"/>
                    <w:snapToGrid w:val="0"/>
                    <w:spacing w:before="0" w:beforeAutospacing="0" w:after="0" w:afterAutospacing="0"/>
                    <w:ind w:left="0" w:right="0"/>
                    <w:jc w:val="center"/>
                    <w:rPr>
                      <w:rFonts w:hint="default"/>
                      <w:color w:val="000000" w:themeColor="text1"/>
                      <w:sz w:val="18"/>
                      <w:szCs w:val="18"/>
                      <w14:textFill>
                        <w14:solidFill>
                          <w14:schemeClr w14:val="tx1"/>
                        </w14:solidFill>
                      </w14:textFill>
                    </w:rPr>
                  </w:pPr>
                </w:p>
              </w:tc>
              <w:tc>
                <w:tcPr>
                  <w:tcW w:w="578" w:type="pct"/>
                  <w:tcBorders>
                    <w:tl2br w:val="nil"/>
                    <w:tr2bl w:val="nil"/>
                  </w:tcBorders>
                  <w:noWrap w:val="0"/>
                  <w:vAlign w:val="center"/>
                </w:tcPr>
                <w:p w14:paraId="797DADBD">
                  <w:pPr>
                    <w:keepNext w:val="0"/>
                    <w:keepLines w:val="0"/>
                    <w:suppressLineNumbers w:val="0"/>
                    <w:adjustRightInd w:val="0"/>
                    <w:snapToGrid w:val="0"/>
                    <w:spacing w:before="0" w:beforeAutospacing="0" w:after="0" w:afterAutospacing="0"/>
                    <w:ind w:left="0" w:right="0"/>
                    <w:jc w:val="center"/>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最小值</w:t>
                  </w:r>
                </w:p>
              </w:tc>
              <w:tc>
                <w:tcPr>
                  <w:tcW w:w="991" w:type="dxa"/>
                  <w:tcBorders>
                    <w:tl2br w:val="nil"/>
                    <w:tr2bl w:val="nil"/>
                  </w:tcBorders>
                  <w:shd w:val="clear" w:color="auto" w:fill="auto"/>
                  <w:noWrap w:val="0"/>
                  <w:vAlign w:val="center"/>
                </w:tcPr>
                <w:p w14:paraId="63331487">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auto"/>
                      <w:szCs w:val="21"/>
                      <w:lang w:val="en-US" w:eastAsia="zh-CN"/>
                    </w:rPr>
                    <w:t>7.2</w:t>
                  </w:r>
                </w:p>
              </w:tc>
              <w:tc>
                <w:tcPr>
                  <w:tcW w:w="991" w:type="dxa"/>
                  <w:tcBorders>
                    <w:tl2br w:val="nil"/>
                    <w:tr2bl w:val="nil"/>
                  </w:tcBorders>
                  <w:shd w:val="clear" w:color="auto" w:fill="auto"/>
                  <w:noWrap w:val="0"/>
                  <w:vAlign w:val="center"/>
                </w:tcPr>
                <w:p w14:paraId="68BFE58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auto"/>
                      <w:szCs w:val="21"/>
                      <w:lang w:val="en-US" w:eastAsia="zh-CN"/>
                    </w:rPr>
                    <w:t>18</w:t>
                  </w:r>
                </w:p>
              </w:tc>
              <w:tc>
                <w:tcPr>
                  <w:tcW w:w="991" w:type="dxa"/>
                  <w:tcBorders>
                    <w:tl2br w:val="nil"/>
                    <w:tr2bl w:val="nil"/>
                  </w:tcBorders>
                  <w:shd w:val="clear" w:color="auto" w:fill="auto"/>
                  <w:noWrap w:val="0"/>
                  <w:vAlign w:val="center"/>
                </w:tcPr>
                <w:p w14:paraId="72E6702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auto"/>
                      <w:szCs w:val="21"/>
                      <w:lang w:val="en-US" w:eastAsia="zh-CN"/>
                    </w:rPr>
                    <w:t>0.356</w:t>
                  </w:r>
                </w:p>
              </w:tc>
              <w:tc>
                <w:tcPr>
                  <w:tcW w:w="991" w:type="dxa"/>
                  <w:tcBorders>
                    <w:tl2br w:val="nil"/>
                    <w:tr2bl w:val="nil"/>
                  </w:tcBorders>
                  <w:shd w:val="clear" w:color="auto" w:fill="auto"/>
                  <w:noWrap w:val="0"/>
                  <w:vAlign w:val="center"/>
                </w:tcPr>
                <w:p w14:paraId="65CC7ADB">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0.783</w:t>
                  </w:r>
                </w:p>
              </w:tc>
              <w:tc>
                <w:tcPr>
                  <w:tcW w:w="992" w:type="dxa"/>
                  <w:tcBorders>
                    <w:tl2br w:val="nil"/>
                    <w:tr2bl w:val="nil"/>
                  </w:tcBorders>
                  <w:shd w:val="clear" w:color="auto" w:fill="auto"/>
                  <w:noWrap w:val="0"/>
                  <w:vAlign w:val="center"/>
                </w:tcPr>
                <w:p w14:paraId="0A6E7D05">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auto"/>
                      <w:szCs w:val="21"/>
                      <w:lang w:val="en-US" w:eastAsia="zh-CN"/>
                    </w:rPr>
                    <w:t>0.06</w:t>
                  </w:r>
                </w:p>
              </w:tc>
              <w:tc>
                <w:tcPr>
                  <w:tcW w:w="596" w:type="pct"/>
                  <w:tcBorders>
                    <w:tl2br w:val="nil"/>
                    <w:tr2bl w:val="nil"/>
                  </w:tcBorders>
                  <w:shd w:val="clear" w:color="auto" w:fill="auto"/>
                  <w:noWrap w:val="0"/>
                  <w:vAlign w:val="center"/>
                </w:tcPr>
                <w:p w14:paraId="57C7B51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7.9</w:t>
                  </w:r>
                </w:p>
              </w:tc>
            </w:tr>
            <w:tr w14:paraId="4FB429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67" w:type="pct"/>
                  <w:vMerge w:val="continue"/>
                  <w:tcBorders>
                    <w:tl2br w:val="nil"/>
                    <w:tr2bl w:val="nil"/>
                  </w:tcBorders>
                  <w:noWrap w:val="0"/>
                  <w:vAlign w:val="center"/>
                </w:tcPr>
                <w:p w14:paraId="31686425">
                  <w:pPr>
                    <w:keepNext w:val="0"/>
                    <w:keepLines w:val="0"/>
                    <w:suppressLineNumbers w:val="0"/>
                    <w:adjustRightInd w:val="0"/>
                    <w:snapToGrid w:val="0"/>
                    <w:spacing w:before="0" w:beforeAutospacing="0" w:after="0" w:afterAutospacing="0"/>
                    <w:ind w:left="0" w:right="0"/>
                    <w:jc w:val="center"/>
                    <w:rPr>
                      <w:rFonts w:hint="default"/>
                      <w:color w:val="000000" w:themeColor="text1"/>
                      <w:sz w:val="18"/>
                      <w:szCs w:val="18"/>
                      <w14:textFill>
                        <w14:solidFill>
                          <w14:schemeClr w14:val="tx1"/>
                        </w14:solidFill>
                      </w14:textFill>
                    </w:rPr>
                  </w:pPr>
                </w:p>
              </w:tc>
              <w:tc>
                <w:tcPr>
                  <w:tcW w:w="399" w:type="pct"/>
                  <w:vMerge w:val="continue"/>
                  <w:tcBorders>
                    <w:tl2br w:val="nil"/>
                    <w:tr2bl w:val="nil"/>
                  </w:tcBorders>
                  <w:noWrap w:val="0"/>
                  <w:vAlign w:val="center"/>
                </w:tcPr>
                <w:p w14:paraId="430E2F52">
                  <w:pPr>
                    <w:keepNext w:val="0"/>
                    <w:keepLines w:val="0"/>
                    <w:suppressLineNumbers w:val="0"/>
                    <w:adjustRightInd w:val="0"/>
                    <w:snapToGrid w:val="0"/>
                    <w:spacing w:before="0" w:beforeAutospacing="0" w:after="0" w:afterAutospacing="0"/>
                    <w:ind w:left="0" w:right="0"/>
                    <w:jc w:val="center"/>
                    <w:rPr>
                      <w:rFonts w:hint="default"/>
                      <w:color w:val="000000" w:themeColor="text1"/>
                      <w:sz w:val="18"/>
                      <w:szCs w:val="18"/>
                      <w14:textFill>
                        <w14:solidFill>
                          <w14:schemeClr w14:val="tx1"/>
                        </w14:solidFill>
                      </w14:textFill>
                    </w:rPr>
                  </w:pPr>
                </w:p>
              </w:tc>
              <w:tc>
                <w:tcPr>
                  <w:tcW w:w="578" w:type="pct"/>
                  <w:tcBorders>
                    <w:tl2br w:val="nil"/>
                    <w:tr2bl w:val="nil"/>
                  </w:tcBorders>
                  <w:noWrap w:val="0"/>
                  <w:vAlign w:val="center"/>
                </w:tcPr>
                <w:p w14:paraId="1CD6050E">
                  <w:pPr>
                    <w:keepNext w:val="0"/>
                    <w:keepLines w:val="0"/>
                    <w:suppressLineNumbers w:val="0"/>
                    <w:adjustRightInd w:val="0"/>
                    <w:snapToGrid w:val="0"/>
                    <w:spacing w:before="0" w:beforeAutospacing="0" w:after="0" w:afterAutospacing="0"/>
                    <w:ind w:left="0" w:right="0"/>
                    <w:jc w:val="center"/>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超标率</w:t>
                  </w:r>
                </w:p>
              </w:tc>
              <w:tc>
                <w:tcPr>
                  <w:tcW w:w="591" w:type="pct"/>
                  <w:tcBorders>
                    <w:tl2br w:val="nil"/>
                    <w:tr2bl w:val="nil"/>
                  </w:tcBorders>
                  <w:shd w:val="clear" w:color="auto" w:fill="auto"/>
                  <w:noWrap w:val="0"/>
                  <w:vAlign w:val="center"/>
                </w:tcPr>
                <w:p w14:paraId="41DB0C9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color w:val="000000" w:themeColor="text1"/>
                      <w:sz w:val="18"/>
                      <w:szCs w:val="18"/>
                      <w14:textFill>
                        <w14:solidFill>
                          <w14:schemeClr w14:val="tx1"/>
                        </w14:solidFill>
                      </w14:textFill>
                    </w:rPr>
                    <w:t>0</w:t>
                  </w:r>
                </w:p>
              </w:tc>
              <w:tc>
                <w:tcPr>
                  <w:tcW w:w="591" w:type="pct"/>
                  <w:tcBorders>
                    <w:tl2br w:val="nil"/>
                    <w:tr2bl w:val="nil"/>
                  </w:tcBorders>
                  <w:shd w:val="clear" w:color="auto" w:fill="auto"/>
                  <w:noWrap w:val="0"/>
                  <w:vAlign w:val="center"/>
                </w:tcPr>
                <w:p w14:paraId="7C3B2E9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color w:val="000000" w:themeColor="text1"/>
                      <w:sz w:val="18"/>
                      <w:szCs w:val="18"/>
                      <w14:textFill>
                        <w14:solidFill>
                          <w14:schemeClr w14:val="tx1"/>
                        </w14:solidFill>
                      </w14:textFill>
                    </w:rPr>
                    <w:t>0</w:t>
                  </w:r>
                </w:p>
              </w:tc>
              <w:tc>
                <w:tcPr>
                  <w:tcW w:w="591" w:type="pct"/>
                  <w:tcBorders>
                    <w:tl2br w:val="nil"/>
                    <w:tr2bl w:val="nil"/>
                  </w:tcBorders>
                  <w:shd w:val="clear" w:color="auto" w:fill="auto"/>
                  <w:noWrap w:val="0"/>
                  <w:vAlign w:val="center"/>
                </w:tcPr>
                <w:p w14:paraId="456D480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color w:val="000000" w:themeColor="text1"/>
                      <w:sz w:val="18"/>
                      <w:szCs w:val="18"/>
                      <w14:textFill>
                        <w14:solidFill>
                          <w14:schemeClr w14:val="tx1"/>
                        </w14:solidFill>
                      </w14:textFill>
                    </w:rPr>
                    <w:t>0</w:t>
                  </w:r>
                </w:p>
              </w:tc>
              <w:tc>
                <w:tcPr>
                  <w:tcW w:w="591" w:type="pct"/>
                  <w:tcBorders>
                    <w:tl2br w:val="nil"/>
                    <w:tr2bl w:val="nil"/>
                  </w:tcBorders>
                  <w:shd w:val="clear" w:color="auto" w:fill="auto"/>
                  <w:noWrap w:val="0"/>
                  <w:vAlign w:val="center"/>
                </w:tcPr>
                <w:p w14:paraId="2ACAF08A">
                  <w:pPr>
                    <w:keepNext w:val="0"/>
                    <w:keepLines w:val="0"/>
                    <w:suppressLineNumbers w:val="0"/>
                    <w:adjustRightInd w:val="0"/>
                    <w:snapToGrid w:val="0"/>
                    <w:spacing w:before="0" w:beforeAutospacing="0" w:after="0" w:afterAutospacing="0"/>
                    <w:ind w:left="0" w:right="0"/>
                    <w:jc w:val="center"/>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0</w:t>
                  </w:r>
                </w:p>
              </w:tc>
              <w:tc>
                <w:tcPr>
                  <w:tcW w:w="592" w:type="pct"/>
                  <w:tcBorders>
                    <w:tl2br w:val="nil"/>
                    <w:tr2bl w:val="nil"/>
                  </w:tcBorders>
                  <w:shd w:val="clear" w:color="auto" w:fill="auto"/>
                  <w:noWrap w:val="0"/>
                  <w:vAlign w:val="center"/>
                </w:tcPr>
                <w:p w14:paraId="340BD2D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color w:val="000000" w:themeColor="text1"/>
                      <w:sz w:val="18"/>
                      <w:szCs w:val="18"/>
                      <w14:textFill>
                        <w14:solidFill>
                          <w14:schemeClr w14:val="tx1"/>
                        </w14:solidFill>
                      </w14:textFill>
                    </w:rPr>
                    <w:t>0</w:t>
                  </w:r>
                </w:p>
              </w:tc>
              <w:tc>
                <w:tcPr>
                  <w:tcW w:w="596" w:type="pct"/>
                  <w:tcBorders>
                    <w:tl2br w:val="nil"/>
                    <w:tr2bl w:val="nil"/>
                  </w:tcBorders>
                  <w:shd w:val="clear" w:color="auto" w:fill="auto"/>
                  <w:noWrap w:val="0"/>
                  <w:vAlign w:val="center"/>
                </w:tcPr>
                <w:p w14:paraId="4282CCB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color w:val="000000" w:themeColor="text1"/>
                      <w:sz w:val="18"/>
                      <w:szCs w:val="18"/>
                      <w14:textFill>
                        <w14:solidFill>
                          <w14:schemeClr w14:val="tx1"/>
                        </w14:solidFill>
                      </w14:textFill>
                    </w:rPr>
                    <w:t>/</w:t>
                  </w:r>
                </w:p>
              </w:tc>
            </w:tr>
            <w:tr w14:paraId="49357B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45" w:type="pct"/>
                  <w:gridSpan w:val="3"/>
                  <w:tcBorders>
                    <w:tl2br w:val="nil"/>
                    <w:tr2bl w:val="nil"/>
                  </w:tcBorders>
                  <w:noWrap w:val="0"/>
                  <w:vAlign w:val="center"/>
                </w:tcPr>
                <w:p w14:paraId="43450284">
                  <w:pPr>
                    <w:keepNext w:val="0"/>
                    <w:keepLines w:val="0"/>
                    <w:suppressLineNumbers w:val="0"/>
                    <w:adjustRightInd w:val="0"/>
                    <w:snapToGrid w:val="0"/>
                    <w:spacing w:before="0" w:beforeAutospacing="0" w:after="0" w:afterAutospacing="0"/>
                    <w:ind w:left="0" w:right="0"/>
                    <w:jc w:val="center"/>
                    <w:rPr>
                      <w:rFonts w:hint="default"/>
                      <w:color w:val="000000" w:themeColor="text1"/>
                      <w:sz w:val="18"/>
                      <w:szCs w:val="18"/>
                      <w14:textFill>
                        <w14:solidFill>
                          <w14:schemeClr w14:val="tx1"/>
                        </w14:solidFill>
                      </w14:textFill>
                    </w:rPr>
                  </w:pPr>
                  <w:r>
                    <w:rPr>
                      <w:rFonts w:hint="default" w:ascii="Times New Roman" w:hAnsi="Times New Roman" w:eastAsia="宋体" w:cs="Times New Roman"/>
                      <w:color w:val="auto"/>
                      <w:kern w:val="2"/>
                      <w:sz w:val="21"/>
                      <w:szCs w:val="21"/>
                      <w:lang w:val="en-US" w:eastAsia="zh-CN" w:bidi="ar-SA"/>
                    </w:rPr>
                    <w:t>Ⅲ</w:t>
                  </w:r>
                  <w:r>
                    <w:rPr>
                      <w:rFonts w:hint="default"/>
                      <w:color w:val="000000" w:themeColor="text1"/>
                      <w:sz w:val="18"/>
                      <w:szCs w:val="18"/>
                      <w14:textFill>
                        <w14:solidFill>
                          <w14:schemeClr w14:val="tx1"/>
                        </w14:solidFill>
                      </w14:textFill>
                    </w:rPr>
                    <w:t>类标准</w:t>
                  </w:r>
                </w:p>
              </w:tc>
              <w:tc>
                <w:tcPr>
                  <w:tcW w:w="591" w:type="pct"/>
                  <w:tcBorders>
                    <w:tl2br w:val="nil"/>
                    <w:tr2bl w:val="nil"/>
                  </w:tcBorders>
                  <w:noWrap w:val="0"/>
                  <w:vAlign w:val="center"/>
                </w:tcPr>
                <w:p w14:paraId="17C7F68A">
                  <w:pPr>
                    <w:keepNext w:val="0"/>
                    <w:keepLines w:val="0"/>
                    <w:suppressLineNumbers w:val="0"/>
                    <w:adjustRightInd w:val="0"/>
                    <w:snapToGrid w:val="0"/>
                    <w:spacing w:before="0" w:beforeAutospacing="0" w:after="0" w:afterAutospacing="0"/>
                    <w:ind w:left="0" w:right="0"/>
                    <w:jc w:val="center"/>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6～9</w:t>
                  </w:r>
                </w:p>
              </w:tc>
              <w:tc>
                <w:tcPr>
                  <w:tcW w:w="591" w:type="pct"/>
                  <w:tcBorders>
                    <w:tl2br w:val="nil"/>
                    <w:tr2bl w:val="nil"/>
                  </w:tcBorders>
                  <w:noWrap w:val="0"/>
                  <w:vAlign w:val="center"/>
                </w:tcPr>
                <w:p w14:paraId="7DB5D0C2">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sz w:val="18"/>
                      <w:szCs w:val="18"/>
                      <w:lang w:val="en-US" w:eastAsia="zh-CN"/>
                      <w14:textFill>
                        <w14:solidFill>
                          <w14:schemeClr w14:val="tx1"/>
                        </w14:solidFill>
                      </w14:textFill>
                    </w:rPr>
                  </w:pPr>
                  <w:r>
                    <w:rPr>
                      <w:rFonts w:hint="default"/>
                      <w:color w:val="000000" w:themeColor="text1"/>
                      <w:sz w:val="18"/>
                      <w:szCs w:val="18"/>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20</w:t>
                  </w:r>
                </w:p>
              </w:tc>
              <w:tc>
                <w:tcPr>
                  <w:tcW w:w="591" w:type="pct"/>
                  <w:tcBorders>
                    <w:tl2br w:val="nil"/>
                    <w:tr2bl w:val="nil"/>
                  </w:tcBorders>
                  <w:noWrap w:val="0"/>
                  <w:vAlign w:val="center"/>
                </w:tcPr>
                <w:p w14:paraId="782B2CD8">
                  <w:pPr>
                    <w:keepNext w:val="0"/>
                    <w:keepLines w:val="0"/>
                    <w:suppressLineNumbers w:val="0"/>
                    <w:adjustRightInd w:val="0"/>
                    <w:snapToGrid w:val="0"/>
                    <w:spacing w:before="0" w:beforeAutospacing="0" w:after="0" w:afterAutospacing="0"/>
                    <w:ind w:left="0" w:right="0"/>
                    <w:jc w:val="center"/>
                    <w:rPr>
                      <w:rFonts w:hint="eastAsia" w:eastAsia="宋体"/>
                      <w:color w:val="000000" w:themeColor="text1"/>
                      <w:sz w:val="18"/>
                      <w:szCs w:val="18"/>
                      <w:lang w:val="en-US" w:eastAsia="zh-CN"/>
                      <w14:textFill>
                        <w14:solidFill>
                          <w14:schemeClr w14:val="tx1"/>
                        </w14:solidFill>
                      </w14:textFill>
                    </w:rPr>
                  </w:pPr>
                  <w:r>
                    <w:rPr>
                      <w:rFonts w:hint="default"/>
                      <w:color w:val="000000" w:themeColor="text1"/>
                      <w:sz w:val="18"/>
                      <w:szCs w:val="18"/>
                      <w14:textFill>
                        <w14:solidFill>
                          <w14:schemeClr w14:val="tx1"/>
                        </w14:solidFill>
                      </w14:textFill>
                    </w:rPr>
                    <w:t>≤1.</w:t>
                  </w:r>
                  <w:r>
                    <w:rPr>
                      <w:rFonts w:hint="eastAsia"/>
                      <w:color w:val="000000" w:themeColor="text1"/>
                      <w:sz w:val="18"/>
                      <w:szCs w:val="18"/>
                      <w:lang w:val="en-US" w:eastAsia="zh-CN"/>
                      <w14:textFill>
                        <w14:solidFill>
                          <w14:schemeClr w14:val="tx1"/>
                        </w14:solidFill>
                      </w14:textFill>
                    </w:rPr>
                    <w:t>0</w:t>
                  </w:r>
                </w:p>
              </w:tc>
              <w:tc>
                <w:tcPr>
                  <w:tcW w:w="591" w:type="pct"/>
                  <w:tcBorders>
                    <w:tl2br w:val="nil"/>
                    <w:tr2bl w:val="nil"/>
                  </w:tcBorders>
                  <w:noWrap w:val="0"/>
                  <w:vAlign w:val="center"/>
                </w:tcPr>
                <w:p w14:paraId="490A0E6A">
                  <w:pPr>
                    <w:keepNext w:val="0"/>
                    <w:keepLines w:val="0"/>
                    <w:suppressLineNumbers w:val="0"/>
                    <w:adjustRightInd w:val="0"/>
                    <w:snapToGrid w:val="0"/>
                    <w:spacing w:before="0" w:beforeAutospacing="0" w:after="0" w:afterAutospacing="0"/>
                    <w:ind w:left="0" w:right="0"/>
                    <w:jc w:val="center"/>
                    <w:rPr>
                      <w:rFonts w:hint="eastAsia" w:eastAsia="宋体"/>
                      <w:color w:val="000000" w:themeColor="text1"/>
                      <w:sz w:val="18"/>
                      <w:szCs w:val="18"/>
                      <w:lang w:val="en-US" w:eastAsia="zh-CN"/>
                      <w14:textFill>
                        <w14:solidFill>
                          <w14:schemeClr w14:val="tx1"/>
                        </w14:solidFill>
                      </w14:textFill>
                    </w:rPr>
                  </w:pPr>
                  <w:r>
                    <w:rPr>
                      <w:rFonts w:hint="default"/>
                      <w:color w:val="000000" w:themeColor="text1"/>
                      <w:sz w:val="18"/>
                      <w:szCs w:val="18"/>
                      <w14:textFill>
                        <w14:solidFill>
                          <w14:schemeClr w14:val="tx1"/>
                        </w14:solidFill>
                      </w14:textFill>
                    </w:rPr>
                    <w:t>≤1.</w:t>
                  </w:r>
                  <w:r>
                    <w:rPr>
                      <w:rFonts w:hint="eastAsia"/>
                      <w:color w:val="000000" w:themeColor="text1"/>
                      <w:sz w:val="18"/>
                      <w:szCs w:val="18"/>
                      <w:lang w:val="en-US" w:eastAsia="zh-CN"/>
                      <w14:textFill>
                        <w14:solidFill>
                          <w14:schemeClr w14:val="tx1"/>
                        </w14:solidFill>
                      </w14:textFill>
                    </w:rPr>
                    <w:t>0</w:t>
                  </w:r>
                </w:p>
              </w:tc>
              <w:tc>
                <w:tcPr>
                  <w:tcW w:w="592" w:type="pct"/>
                  <w:tcBorders>
                    <w:tl2br w:val="nil"/>
                    <w:tr2bl w:val="nil"/>
                  </w:tcBorders>
                  <w:noWrap w:val="0"/>
                  <w:vAlign w:val="center"/>
                </w:tcPr>
                <w:p w14:paraId="78DC5D2E">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sz w:val="18"/>
                      <w:szCs w:val="18"/>
                      <w:lang w:val="en-US" w:eastAsia="zh-CN"/>
                      <w14:textFill>
                        <w14:solidFill>
                          <w14:schemeClr w14:val="tx1"/>
                        </w14:solidFill>
                      </w14:textFill>
                    </w:rPr>
                  </w:pPr>
                  <w:r>
                    <w:rPr>
                      <w:rFonts w:hint="default"/>
                      <w:color w:val="000000" w:themeColor="text1"/>
                      <w:sz w:val="18"/>
                      <w:szCs w:val="18"/>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0.2</w:t>
                  </w:r>
                </w:p>
              </w:tc>
              <w:tc>
                <w:tcPr>
                  <w:tcW w:w="596" w:type="pct"/>
                  <w:tcBorders>
                    <w:tl2br w:val="nil"/>
                    <w:tr2bl w:val="nil"/>
                  </w:tcBorders>
                  <w:noWrap w:val="0"/>
                  <w:vAlign w:val="center"/>
                </w:tcPr>
                <w:p w14:paraId="02A3DBA8">
                  <w:pPr>
                    <w:keepNext w:val="0"/>
                    <w:keepLines w:val="0"/>
                    <w:suppressLineNumbers w:val="0"/>
                    <w:adjustRightInd w:val="0"/>
                    <w:snapToGrid w:val="0"/>
                    <w:spacing w:before="0" w:beforeAutospacing="0" w:after="0" w:afterAutospacing="0"/>
                    <w:ind w:left="0" w:right="0"/>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r>
          </w:tbl>
          <w:p w14:paraId="5258622D">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监测统计结果表明：</w:t>
            </w:r>
            <w:r>
              <w:rPr>
                <w:rFonts w:hint="eastAsia" w:cs="Times New Roman"/>
                <w:bCs/>
                <w:color w:val="auto"/>
                <w:sz w:val="21"/>
                <w:szCs w:val="21"/>
                <w:highlight w:val="none"/>
                <w:lang w:val="en-US" w:eastAsia="zh-CN"/>
              </w:rPr>
              <w:t>尧塘河</w:t>
            </w:r>
            <w:r>
              <w:rPr>
                <w:rFonts w:hint="default" w:ascii="Times New Roman" w:hAnsi="Times New Roman" w:cs="Times New Roman"/>
                <w:bCs/>
                <w:color w:val="auto"/>
                <w:sz w:val="21"/>
                <w:szCs w:val="21"/>
                <w:highlight w:val="none"/>
              </w:rPr>
              <w:t>监测断面的各监测因子均可以达到《地表水环境质量</w:t>
            </w:r>
            <w:r>
              <w:rPr>
                <w:rFonts w:hint="default" w:ascii="Times New Roman" w:hAnsi="Times New Roman" w:cs="Times New Roman"/>
                <w:color w:val="auto"/>
                <w:sz w:val="21"/>
                <w:szCs w:val="21"/>
              </w:rPr>
              <w:t>标准</w:t>
            </w:r>
            <w:r>
              <w:rPr>
                <w:rFonts w:hint="default" w:ascii="Times New Roman" w:hAnsi="Times New Roman" w:cs="Times New Roman"/>
                <w:bCs/>
                <w:color w:val="auto"/>
                <w:sz w:val="21"/>
                <w:szCs w:val="21"/>
                <w:highlight w:val="none"/>
              </w:rPr>
              <w:t>》（GB3838-2002）</w:t>
            </w:r>
            <w:r>
              <w:rPr>
                <w:rFonts w:hint="default" w:ascii="Times New Roman" w:hAnsi="Times New Roman" w:eastAsia="宋体" w:cs="Times New Roman"/>
                <w:color w:val="auto"/>
                <w:kern w:val="2"/>
                <w:sz w:val="21"/>
                <w:szCs w:val="21"/>
                <w:lang w:val="en-US" w:eastAsia="zh-CN" w:bidi="ar-SA"/>
              </w:rPr>
              <w:t>Ⅲ</w:t>
            </w:r>
            <w:r>
              <w:rPr>
                <w:rFonts w:hint="default" w:ascii="Times New Roman" w:hAnsi="Times New Roman" w:cs="Times New Roman"/>
                <w:bCs/>
                <w:color w:val="auto"/>
                <w:sz w:val="21"/>
                <w:szCs w:val="21"/>
                <w:highlight w:val="none"/>
              </w:rPr>
              <w:t>类标准。</w:t>
            </w:r>
          </w:p>
          <w:p w14:paraId="1A0F3445">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cs="Times New Roman"/>
                <w:b w:val="0"/>
                <w:bCs/>
                <w:color w:val="auto"/>
                <w:sz w:val="21"/>
                <w:szCs w:val="21"/>
                <w:highlight w:val="yellow"/>
              </w:rPr>
            </w:pPr>
            <w:r>
              <w:rPr>
                <w:rFonts w:hint="default" w:ascii="Times New Roman" w:hAnsi="Times New Roman" w:cs="Times New Roman"/>
                <w:bCs/>
                <w:color w:val="auto"/>
                <w:sz w:val="21"/>
                <w:szCs w:val="21"/>
                <w:highlight w:val="none"/>
              </w:rPr>
              <w:t>引用数据有效性分析：</w:t>
            </w:r>
            <w:r>
              <w:rPr>
                <w:rFonts w:hint="eastAsia" w:cs="Times New Roman"/>
                <w:bCs/>
                <w:color w:val="auto"/>
                <w:sz w:val="21"/>
                <w:szCs w:val="21"/>
                <w:highlight w:val="none"/>
                <w:lang w:eastAsia="zh-CN"/>
              </w:rPr>
              <w:t>江苏云居检测技术有限公司</w:t>
            </w:r>
            <w:r>
              <w:rPr>
                <w:rFonts w:hint="default" w:ascii="Times New Roman" w:hAnsi="Times New Roman" w:cs="Times New Roman"/>
                <w:bCs/>
                <w:color w:val="auto"/>
                <w:sz w:val="21"/>
                <w:szCs w:val="21"/>
                <w:highlight w:val="none"/>
              </w:rPr>
              <w:t>于</w:t>
            </w:r>
            <w:r>
              <w:rPr>
                <w:rFonts w:hint="default" w:ascii="Times New Roman" w:hAnsi="Times New Roman" w:eastAsia="宋体" w:cs="Times New Roman"/>
                <w:color w:val="auto"/>
                <w:sz w:val="21"/>
                <w:szCs w:val="21"/>
                <w:highlight w:val="none"/>
                <w:lang w:val="en-US" w:eastAsia="zh-CN"/>
              </w:rPr>
              <w:t>2025年1月7日~2025年1月9日</w:t>
            </w:r>
            <w:r>
              <w:rPr>
                <w:rFonts w:hint="default" w:ascii="Times New Roman" w:hAnsi="Times New Roman" w:cs="Times New Roman"/>
                <w:color w:val="auto"/>
                <w:sz w:val="21"/>
                <w:szCs w:val="21"/>
                <w:highlight w:val="none"/>
              </w:rPr>
              <w:t>对</w:t>
            </w:r>
            <w:r>
              <w:rPr>
                <w:rFonts w:hint="eastAsia"/>
                <w:color w:val="000000" w:themeColor="text1"/>
                <w:lang w:val="en-US" w:eastAsia="zh-CN"/>
                <w14:textFill>
                  <w14:solidFill>
                    <w14:schemeClr w14:val="tx1"/>
                  </w14:solidFill>
                </w14:textFill>
              </w:rPr>
              <w:t>常州市金坛区第二污水处理有限公司</w:t>
            </w:r>
            <w:r>
              <w:rPr>
                <w:rFonts w:hint="default" w:ascii="Times New Roman" w:hAnsi="Times New Roman" w:cs="Times New Roman"/>
                <w:color w:val="auto"/>
                <w:sz w:val="21"/>
                <w:szCs w:val="21"/>
                <w:highlight w:val="none"/>
              </w:rPr>
              <w:t>排口上游500米断面和排口下游</w:t>
            </w:r>
            <w:r>
              <w:rPr>
                <w:rFonts w:hint="eastAsia" w:cs="Times New Roman"/>
                <w:color w:val="auto"/>
                <w:sz w:val="21"/>
                <w:szCs w:val="21"/>
                <w:highlight w:val="none"/>
                <w:lang w:val="en-US" w:eastAsia="zh-CN"/>
              </w:rPr>
              <w:t>20</w:t>
            </w:r>
            <w:r>
              <w:rPr>
                <w:rFonts w:hint="default" w:ascii="Times New Roman" w:hAnsi="Times New Roman" w:cs="Times New Roman"/>
                <w:color w:val="auto"/>
                <w:sz w:val="21"/>
                <w:szCs w:val="21"/>
                <w:highlight w:val="none"/>
              </w:rPr>
              <w:t>00米断面进行监测</w:t>
            </w:r>
            <w:r>
              <w:rPr>
                <w:rFonts w:hint="default" w:ascii="Times New Roman" w:hAnsi="Times New Roman" w:cs="Times New Roman"/>
                <w:bCs/>
                <w:color w:val="auto"/>
                <w:sz w:val="21"/>
                <w:szCs w:val="21"/>
                <w:highlight w:val="none"/>
              </w:rPr>
              <w:t>，引用时间不超过3年，水环境引用时间有效；项目所在区域污染源未发生重大变化，可引用3年内地表水的监测数据；引用点位在项目纳污河道</w:t>
            </w:r>
            <w:r>
              <w:rPr>
                <w:rFonts w:hint="default" w:ascii="Times New Roman" w:hAnsi="Times New Roman" w:cs="Times New Roman"/>
                <w:color w:val="auto"/>
                <w:sz w:val="21"/>
                <w:szCs w:val="21"/>
              </w:rPr>
              <w:t>评价</w:t>
            </w:r>
            <w:r>
              <w:rPr>
                <w:rFonts w:hint="default" w:ascii="Times New Roman" w:hAnsi="Times New Roman" w:cs="Times New Roman"/>
                <w:bCs/>
                <w:color w:val="auto"/>
                <w:sz w:val="21"/>
                <w:szCs w:val="21"/>
                <w:highlight w:val="none"/>
              </w:rPr>
              <w:t>范围内，监测方法、</w:t>
            </w:r>
            <w:r>
              <w:rPr>
                <w:rFonts w:hint="default" w:ascii="Times New Roman" w:hAnsi="Times New Roman" w:cs="Times New Roman"/>
                <w:b w:val="0"/>
                <w:bCs/>
                <w:color w:val="auto"/>
                <w:sz w:val="21"/>
                <w:szCs w:val="21"/>
                <w:highlight w:val="none"/>
              </w:rPr>
              <w:t>频次符合导则要求，则地表水环境引用点位有效。</w:t>
            </w:r>
          </w:p>
          <w:p w14:paraId="72504F3E">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cs="Times New Roman"/>
                <w:b w:val="0"/>
                <w:bCs/>
                <w:color w:val="auto"/>
                <w:sz w:val="21"/>
                <w:szCs w:val="21"/>
              </w:rPr>
              <w:t>3、声</w:t>
            </w:r>
            <w:r>
              <w:rPr>
                <w:rFonts w:hint="default" w:ascii="Times New Roman" w:hAnsi="Times New Roman" w:eastAsia="宋体" w:cs="Times New Roman"/>
                <w:b w:val="0"/>
                <w:bCs/>
                <w:color w:val="auto"/>
                <w:sz w:val="21"/>
                <w:szCs w:val="21"/>
                <w:highlight w:val="none"/>
              </w:rPr>
              <w:t>环境质量现状</w:t>
            </w:r>
          </w:p>
          <w:p w14:paraId="0EAE53C6">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项目周边50m范围无环境敏感目标，</w:t>
            </w:r>
            <w:r>
              <w:rPr>
                <w:rFonts w:hint="default" w:ascii="Times New Roman" w:hAnsi="Times New Roman" w:eastAsia="宋体" w:cs="Times New Roman"/>
                <w:b w:val="0"/>
                <w:bCs/>
                <w:color w:val="auto"/>
                <w:sz w:val="21"/>
                <w:szCs w:val="21"/>
                <w:highlight w:val="none"/>
                <w:lang w:val="en-US" w:eastAsia="zh-CN"/>
              </w:rPr>
              <w:t>可</w:t>
            </w:r>
            <w:r>
              <w:rPr>
                <w:rFonts w:hint="default" w:ascii="Times New Roman" w:hAnsi="Times New Roman" w:eastAsia="宋体" w:cs="Times New Roman"/>
                <w:b w:val="0"/>
                <w:bCs/>
                <w:color w:val="auto"/>
                <w:sz w:val="21"/>
                <w:szCs w:val="21"/>
                <w:highlight w:val="none"/>
              </w:rPr>
              <w:t>不开展现状调查。</w:t>
            </w:r>
          </w:p>
          <w:p w14:paraId="086ADC4D">
            <w:pPr>
              <w:keepNext w:val="0"/>
              <w:keepLines w:val="0"/>
              <w:pageBreakBefore w:val="0"/>
              <w:widowControl w:val="0"/>
              <w:kinsoku/>
              <w:overflowPunct/>
              <w:topLinePunct w:val="0"/>
              <w:autoSpaceDE/>
              <w:autoSpaceDN/>
              <w:bidi w:val="0"/>
              <w:adjustRightInd w:val="0"/>
              <w:snapToGrid w:val="0"/>
              <w:spacing w:line="500" w:lineRule="exact"/>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4、生态环境现状</w:t>
            </w:r>
          </w:p>
          <w:p w14:paraId="49A5ECD0">
            <w:pPr>
              <w:keepNext w:val="0"/>
              <w:keepLines w:val="0"/>
              <w:pageBreakBefore w:val="0"/>
              <w:widowControl w:val="0"/>
              <w:kinsoku/>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本项目用地范围内无生态环境保护目标，</w:t>
            </w:r>
            <w:r>
              <w:rPr>
                <w:rFonts w:hint="eastAsia" w:cs="Times New Roman"/>
                <w:b w:val="0"/>
                <w:bCs/>
                <w:color w:val="auto"/>
                <w:sz w:val="21"/>
                <w:szCs w:val="21"/>
                <w:lang w:eastAsia="zh-CN"/>
              </w:rPr>
              <w:t>无须</w:t>
            </w:r>
            <w:r>
              <w:rPr>
                <w:rFonts w:hint="default" w:ascii="Times New Roman" w:hAnsi="Times New Roman" w:cs="Times New Roman"/>
                <w:b w:val="0"/>
                <w:bCs/>
                <w:color w:val="auto"/>
                <w:sz w:val="21"/>
                <w:szCs w:val="21"/>
              </w:rPr>
              <w:t>开展生态环境现状调查。</w:t>
            </w:r>
          </w:p>
          <w:p w14:paraId="066C569C">
            <w:pPr>
              <w:keepNext w:val="0"/>
              <w:keepLines w:val="0"/>
              <w:pageBreakBefore w:val="0"/>
              <w:widowControl w:val="0"/>
              <w:kinsoku/>
              <w:overflowPunct/>
              <w:topLinePunct w:val="0"/>
              <w:autoSpaceDE/>
              <w:autoSpaceDN/>
              <w:bidi w:val="0"/>
              <w:adjustRightInd w:val="0"/>
              <w:snapToGrid w:val="0"/>
              <w:spacing w:line="500" w:lineRule="exact"/>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5、</w:t>
            </w:r>
            <w:r>
              <w:rPr>
                <w:rFonts w:hint="eastAsia" w:ascii="Times New Roman" w:hAnsi="Times New Roman" w:cs="Times New Roman"/>
                <w:b w:val="0"/>
                <w:bCs/>
                <w:color w:val="auto"/>
                <w:sz w:val="21"/>
                <w:szCs w:val="21"/>
                <w:lang w:eastAsia="zh-CN"/>
              </w:rPr>
              <w:t>土壤、</w:t>
            </w:r>
            <w:r>
              <w:rPr>
                <w:rFonts w:hint="default" w:ascii="Times New Roman" w:hAnsi="Times New Roman" w:cs="Times New Roman"/>
                <w:b w:val="0"/>
                <w:bCs/>
                <w:color w:val="auto"/>
                <w:sz w:val="21"/>
                <w:szCs w:val="21"/>
              </w:rPr>
              <w:t>地下水环境质量现状</w:t>
            </w:r>
          </w:p>
          <w:p w14:paraId="5C4F9C38">
            <w:pPr>
              <w:keepNext w:val="0"/>
              <w:keepLines w:val="0"/>
              <w:pageBreakBefore w:val="0"/>
              <w:widowControl w:val="0"/>
              <w:kinsoku/>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本项目不</w:t>
            </w:r>
            <w:r>
              <w:rPr>
                <w:rFonts w:hint="default" w:ascii="Times New Roman" w:hAnsi="Times New Roman" w:cs="Times New Roman"/>
                <w:b w:val="0"/>
                <w:bCs/>
                <w:color w:val="auto"/>
                <w:sz w:val="21"/>
                <w:szCs w:val="21"/>
                <w:lang w:val="en-US" w:eastAsia="zh-CN"/>
              </w:rPr>
              <w:t>存在</w:t>
            </w:r>
            <w:r>
              <w:rPr>
                <w:rFonts w:hint="eastAsia" w:ascii="Times New Roman" w:hAnsi="Times New Roman" w:cs="Times New Roman"/>
                <w:b w:val="0"/>
                <w:bCs/>
                <w:color w:val="auto"/>
                <w:sz w:val="21"/>
                <w:szCs w:val="21"/>
                <w:lang w:val="en-US" w:eastAsia="zh-CN"/>
              </w:rPr>
              <w:t>土壤、</w:t>
            </w:r>
            <w:r>
              <w:rPr>
                <w:rFonts w:hint="default" w:ascii="Times New Roman" w:hAnsi="Times New Roman" w:cs="Times New Roman"/>
                <w:b w:val="0"/>
                <w:bCs/>
                <w:color w:val="auto"/>
                <w:sz w:val="21"/>
                <w:szCs w:val="21"/>
                <w:lang w:val="en-US" w:eastAsia="zh-CN"/>
              </w:rPr>
              <w:t>地下水污染途径</w:t>
            </w:r>
            <w:r>
              <w:rPr>
                <w:rFonts w:hint="default" w:ascii="Times New Roman" w:hAnsi="Times New Roman" w:cs="Times New Roman"/>
                <w:b w:val="0"/>
                <w:bCs/>
                <w:color w:val="auto"/>
                <w:sz w:val="21"/>
                <w:szCs w:val="21"/>
              </w:rPr>
              <w:t>，</w:t>
            </w:r>
            <w:r>
              <w:rPr>
                <w:rFonts w:hint="default" w:ascii="Times New Roman" w:hAnsi="Times New Roman" w:cs="Times New Roman"/>
                <w:b w:val="0"/>
                <w:bCs/>
                <w:color w:val="auto"/>
                <w:sz w:val="21"/>
                <w:szCs w:val="21"/>
                <w:lang w:val="en-US" w:eastAsia="zh-CN"/>
              </w:rPr>
              <w:t>可</w:t>
            </w:r>
            <w:r>
              <w:rPr>
                <w:rFonts w:hint="default" w:ascii="Times New Roman" w:hAnsi="Times New Roman" w:cs="Times New Roman"/>
                <w:b w:val="0"/>
                <w:bCs/>
                <w:color w:val="auto"/>
                <w:sz w:val="21"/>
                <w:szCs w:val="21"/>
              </w:rPr>
              <w:t>不开展现状调查。</w:t>
            </w:r>
          </w:p>
          <w:p w14:paraId="0BE1B561">
            <w:pPr>
              <w:keepNext w:val="0"/>
              <w:keepLines w:val="0"/>
              <w:pageBreakBefore w:val="0"/>
              <w:widowControl w:val="0"/>
              <w:kinsoku/>
              <w:overflowPunct/>
              <w:topLinePunct w:val="0"/>
              <w:autoSpaceDE/>
              <w:autoSpaceDN/>
              <w:bidi w:val="0"/>
              <w:adjustRightInd w:val="0"/>
              <w:snapToGrid w:val="0"/>
              <w:spacing w:line="500" w:lineRule="exact"/>
              <w:textAlignment w:val="auto"/>
              <w:rPr>
                <w:rFonts w:hint="default" w:ascii="Times New Roman" w:hAnsi="Times New Roman" w:cs="Times New Roman"/>
                <w:b w:val="0"/>
                <w:bCs/>
                <w:color w:val="auto"/>
                <w:sz w:val="21"/>
                <w:szCs w:val="21"/>
              </w:rPr>
            </w:pPr>
            <w:r>
              <w:rPr>
                <w:rFonts w:hint="eastAsia" w:ascii="Times New Roman" w:hAnsi="Times New Roman" w:cs="Times New Roman"/>
                <w:b w:val="0"/>
                <w:bCs/>
                <w:color w:val="auto"/>
                <w:sz w:val="21"/>
                <w:szCs w:val="21"/>
                <w:lang w:val="en-US" w:eastAsia="zh-CN"/>
              </w:rPr>
              <w:t>6</w:t>
            </w:r>
            <w:r>
              <w:rPr>
                <w:rFonts w:hint="default" w:ascii="Times New Roman" w:hAnsi="Times New Roman" w:cs="Times New Roman"/>
                <w:b w:val="0"/>
                <w:bCs/>
                <w:color w:val="auto"/>
                <w:sz w:val="21"/>
                <w:szCs w:val="21"/>
              </w:rPr>
              <w:t>、辐射</w:t>
            </w:r>
          </w:p>
          <w:p w14:paraId="6261E720">
            <w:pPr>
              <w:keepNext w:val="0"/>
              <w:keepLines w:val="0"/>
              <w:pageBreakBefore w:val="0"/>
              <w:widowControl w:val="0"/>
              <w:tabs>
                <w:tab w:val="left" w:pos="630"/>
              </w:tabs>
              <w:kinsoku/>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cs="Times New Roman"/>
                <w:bCs/>
                <w:color w:val="auto"/>
                <w:sz w:val="21"/>
                <w:szCs w:val="21"/>
              </w:rPr>
            </w:pPr>
            <w:r>
              <w:rPr>
                <w:rFonts w:hint="default" w:ascii="Times New Roman" w:hAnsi="Times New Roman" w:cs="Times New Roman"/>
                <w:b w:val="0"/>
                <w:bCs/>
                <w:color w:val="auto"/>
                <w:sz w:val="21"/>
                <w:szCs w:val="21"/>
              </w:rPr>
              <w:t>本项目不</w:t>
            </w:r>
            <w:r>
              <w:rPr>
                <w:rFonts w:hint="default" w:ascii="Times New Roman" w:hAnsi="Times New Roman" w:cs="Times New Roman"/>
                <w:bCs/>
                <w:color w:val="auto"/>
                <w:sz w:val="21"/>
                <w:szCs w:val="21"/>
              </w:rPr>
              <w:t>属于广播电台、差转台、电视塔台、卫星地球上行站、雷达等电磁辐射类项目。</w:t>
            </w:r>
          </w:p>
        </w:tc>
      </w:tr>
      <w:tr w14:paraId="469A8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9" w:hRule="atLeast"/>
          <w:jc w:val="center"/>
        </w:trPr>
        <w:tc>
          <w:tcPr>
            <w:tcW w:w="832" w:type="dxa"/>
            <w:vAlign w:val="center"/>
          </w:tcPr>
          <w:p w14:paraId="39BA1D0C">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环境</w:t>
            </w:r>
          </w:p>
          <w:p w14:paraId="734B1711">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保护</w:t>
            </w:r>
          </w:p>
          <w:p w14:paraId="65344D44">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目标</w:t>
            </w:r>
          </w:p>
        </w:tc>
        <w:tc>
          <w:tcPr>
            <w:tcW w:w="8228" w:type="dxa"/>
            <w:vAlign w:val="top"/>
          </w:tcPr>
          <w:p w14:paraId="4B23A005">
            <w:pPr>
              <w:pStyle w:val="94"/>
              <w:keepNext w:val="0"/>
              <w:keepLines w:val="0"/>
              <w:pageBreakBefore w:val="0"/>
              <w:widowControl w:val="0"/>
              <w:kinsoku/>
              <w:wordWrap/>
              <w:overflowPunct/>
              <w:topLinePunct w:val="0"/>
              <w:autoSpaceDE/>
              <w:autoSpaceDN/>
              <w:bidi w:val="0"/>
              <w:adjustRightInd w:val="0"/>
              <w:snapToGrid w:val="0"/>
              <w:spacing w:line="500" w:lineRule="exact"/>
              <w:ind w:left="0" w:leftChars="0" w:firstLine="0" w:firstLineChars="0"/>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1</w:t>
            </w:r>
            <w:r>
              <w:rPr>
                <w:rFonts w:hint="eastAsia" w:ascii="Times New Roman" w:hAnsi="Times New Roman" w:eastAsia="宋体" w:cs="Times New Roman"/>
                <w:bCs/>
                <w:color w:val="auto"/>
                <w:kern w:val="2"/>
                <w:sz w:val="21"/>
                <w:szCs w:val="21"/>
                <w:lang w:val="en-US" w:eastAsia="zh-CN" w:bidi="ar-SA"/>
              </w:rPr>
              <w:t>.大气环境</w:t>
            </w:r>
          </w:p>
          <w:p w14:paraId="30532185">
            <w:pPr>
              <w:pStyle w:val="94"/>
              <w:keepNext w:val="0"/>
              <w:keepLines w:val="0"/>
              <w:pageBreakBefore w:val="0"/>
              <w:widowControl w:val="0"/>
              <w:kinsoku/>
              <w:wordWrap/>
              <w:overflowPunct/>
              <w:topLinePunct w:val="0"/>
              <w:autoSpaceDE/>
              <w:autoSpaceDN/>
              <w:bidi w:val="0"/>
              <w:adjustRightInd w:val="0"/>
              <w:snapToGrid w:val="0"/>
              <w:spacing w:line="500" w:lineRule="exact"/>
              <w:ind w:firstLine="420"/>
              <w:textAlignment w:val="auto"/>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项目厂界外50</w:t>
            </w:r>
            <w:r>
              <w:rPr>
                <w:rFonts w:hint="eastAsia" w:ascii="Times New Roman" w:hAnsi="Times New Roman" w:eastAsia="宋体" w:cs="Times New Roman"/>
                <w:bCs/>
                <w:color w:val="auto"/>
                <w:kern w:val="2"/>
                <w:sz w:val="21"/>
                <w:szCs w:val="21"/>
                <w:lang w:val="en-US" w:eastAsia="zh-CN" w:bidi="ar-SA"/>
              </w:rPr>
              <w:t>0</w:t>
            </w:r>
            <w:r>
              <w:rPr>
                <w:rFonts w:hint="default" w:ascii="Times New Roman" w:hAnsi="Times New Roman" w:eastAsia="宋体" w:cs="Times New Roman"/>
                <w:bCs/>
                <w:color w:val="auto"/>
                <w:kern w:val="2"/>
                <w:sz w:val="21"/>
                <w:szCs w:val="21"/>
                <w:lang w:val="en-US" w:eastAsia="zh-CN" w:bidi="ar-SA"/>
              </w:rPr>
              <w:t>米范围内无</w:t>
            </w:r>
            <w:r>
              <w:rPr>
                <w:rFonts w:hint="eastAsia" w:ascii="Times New Roman" w:hAnsi="Times New Roman" w:eastAsia="宋体" w:cs="Times New Roman"/>
                <w:bCs/>
                <w:color w:val="auto"/>
                <w:kern w:val="2"/>
                <w:sz w:val="21"/>
                <w:szCs w:val="21"/>
                <w:lang w:val="en-US" w:eastAsia="zh-CN" w:bidi="ar-SA"/>
              </w:rPr>
              <w:t>大气</w:t>
            </w:r>
            <w:r>
              <w:rPr>
                <w:rFonts w:hint="default" w:ascii="Times New Roman" w:hAnsi="Times New Roman" w:eastAsia="宋体" w:cs="Times New Roman"/>
                <w:bCs/>
                <w:color w:val="auto"/>
                <w:kern w:val="2"/>
                <w:sz w:val="21"/>
                <w:szCs w:val="21"/>
                <w:lang w:val="en-US" w:eastAsia="zh-CN" w:bidi="ar-SA"/>
              </w:rPr>
              <w:t>环境保护目标</w:t>
            </w:r>
            <w:r>
              <w:rPr>
                <w:rFonts w:hint="eastAsia" w:ascii="Times New Roman" w:hAnsi="Times New Roman" w:eastAsia="宋体" w:cs="Times New Roman"/>
                <w:bCs/>
                <w:color w:val="auto"/>
                <w:kern w:val="2"/>
                <w:sz w:val="21"/>
                <w:szCs w:val="21"/>
                <w:lang w:val="en-US" w:eastAsia="zh-CN" w:bidi="ar-SA"/>
              </w:rPr>
              <w:t>。</w:t>
            </w:r>
          </w:p>
          <w:p w14:paraId="14B0877F">
            <w:pPr>
              <w:pStyle w:val="94"/>
              <w:keepNext w:val="0"/>
              <w:keepLines w:val="0"/>
              <w:pageBreakBefore w:val="0"/>
              <w:widowControl w:val="0"/>
              <w:kinsoku/>
              <w:wordWrap/>
              <w:overflowPunct/>
              <w:topLinePunct w:val="0"/>
              <w:autoSpaceDE/>
              <w:autoSpaceDN/>
              <w:bidi w:val="0"/>
              <w:adjustRightInd w:val="0"/>
              <w:snapToGrid w:val="0"/>
              <w:spacing w:line="500" w:lineRule="exact"/>
              <w:ind w:left="0" w:leftChars="0" w:firstLine="0" w:firstLineChars="0"/>
              <w:textAlignment w:val="auto"/>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2</w:t>
            </w:r>
            <w:r>
              <w:rPr>
                <w:rFonts w:hint="eastAsia" w:ascii="Times New Roman" w:hAnsi="Times New Roman" w:eastAsia="宋体" w:cs="Times New Roman"/>
                <w:bCs/>
                <w:color w:val="auto"/>
                <w:kern w:val="2"/>
                <w:sz w:val="21"/>
                <w:szCs w:val="21"/>
                <w:lang w:val="en-US" w:eastAsia="zh-CN" w:bidi="ar-SA"/>
              </w:rPr>
              <w:t>.声环境</w:t>
            </w:r>
          </w:p>
          <w:p w14:paraId="55313B4D">
            <w:pPr>
              <w:pStyle w:val="94"/>
              <w:keepNext w:val="0"/>
              <w:keepLines w:val="0"/>
              <w:pageBreakBefore w:val="0"/>
              <w:widowControl w:val="0"/>
              <w:kinsoku/>
              <w:wordWrap/>
              <w:overflowPunct/>
              <w:topLinePunct w:val="0"/>
              <w:autoSpaceDE/>
              <w:autoSpaceDN/>
              <w:bidi w:val="0"/>
              <w:adjustRightInd w:val="0"/>
              <w:snapToGrid w:val="0"/>
              <w:spacing w:line="500" w:lineRule="exact"/>
              <w:ind w:firstLine="420"/>
              <w:textAlignment w:val="auto"/>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项目厂界外50米范围内无声环境保护目标</w:t>
            </w:r>
            <w:r>
              <w:rPr>
                <w:rFonts w:hint="eastAsia" w:ascii="Times New Roman" w:hAnsi="Times New Roman" w:eastAsia="宋体" w:cs="Times New Roman"/>
                <w:bCs/>
                <w:color w:val="auto"/>
                <w:kern w:val="2"/>
                <w:sz w:val="21"/>
                <w:szCs w:val="21"/>
                <w:lang w:val="en-US" w:eastAsia="zh-CN" w:bidi="ar-SA"/>
              </w:rPr>
              <w:t>。</w:t>
            </w:r>
          </w:p>
          <w:p w14:paraId="1E2DD790">
            <w:pPr>
              <w:pStyle w:val="94"/>
              <w:keepNext w:val="0"/>
              <w:keepLines w:val="0"/>
              <w:pageBreakBefore w:val="0"/>
              <w:widowControl w:val="0"/>
              <w:kinsoku/>
              <w:wordWrap/>
              <w:overflowPunct/>
              <w:topLinePunct w:val="0"/>
              <w:autoSpaceDE/>
              <w:autoSpaceDN/>
              <w:bidi w:val="0"/>
              <w:adjustRightInd w:val="0"/>
              <w:snapToGrid w:val="0"/>
              <w:spacing w:line="500" w:lineRule="exact"/>
              <w:ind w:left="0" w:leftChars="0" w:firstLine="0" w:firstLineChars="0"/>
              <w:textAlignment w:val="auto"/>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3</w:t>
            </w:r>
            <w:r>
              <w:rPr>
                <w:rFonts w:hint="eastAsia" w:ascii="Times New Roman" w:hAnsi="Times New Roman" w:eastAsia="宋体" w:cs="Times New Roman"/>
                <w:bCs/>
                <w:color w:val="auto"/>
                <w:kern w:val="2"/>
                <w:sz w:val="21"/>
                <w:szCs w:val="21"/>
                <w:lang w:val="en-US" w:eastAsia="zh-CN" w:bidi="ar-SA"/>
              </w:rPr>
              <w:t>.地下水环境</w:t>
            </w:r>
          </w:p>
          <w:p w14:paraId="50ED4197">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项目厂界外</w:t>
            </w:r>
            <w:r>
              <w:rPr>
                <w:rFonts w:hint="default" w:ascii="Times New Roman" w:hAnsi="Times New Roman" w:eastAsia="宋体" w:cs="Times New Roman"/>
                <w:bCs/>
                <w:color w:val="auto"/>
                <w:kern w:val="2"/>
                <w:sz w:val="21"/>
                <w:szCs w:val="21"/>
                <w:lang w:val="en-US" w:eastAsia="zh-CN" w:bidi="ar-SA"/>
              </w:rPr>
              <w:t>500</w:t>
            </w:r>
            <w:r>
              <w:rPr>
                <w:rFonts w:hint="eastAsia" w:ascii="Times New Roman" w:hAnsi="Times New Roman" w:eastAsia="宋体" w:cs="Times New Roman"/>
                <w:bCs/>
                <w:color w:val="auto"/>
                <w:kern w:val="2"/>
                <w:sz w:val="21"/>
                <w:szCs w:val="21"/>
                <w:lang w:val="en-US" w:eastAsia="zh-CN" w:bidi="ar-SA"/>
              </w:rPr>
              <w:t>米范围内无地下水集中式饮用水水源和热水、矿泉水、温泉等特殊地下水资源。</w:t>
            </w:r>
            <w:r>
              <w:rPr>
                <w:rFonts w:hint="eastAsia" w:ascii="Times New Roman" w:hAnsi="Times New Roman" w:eastAsia="宋体" w:cs="Times New Roman"/>
                <w:bCs/>
                <w:color w:val="auto"/>
                <w:kern w:val="2"/>
                <w:sz w:val="21"/>
                <w:szCs w:val="21"/>
                <w:lang w:val="en-US" w:eastAsia="zh-CN" w:bidi="ar-SA"/>
              </w:rPr>
              <w:br w:type="textWrapping"/>
            </w:r>
            <w:r>
              <w:rPr>
                <w:rFonts w:hint="eastAsia" w:ascii="Times New Roman" w:hAnsi="Times New Roman" w:eastAsia="宋体" w:cs="Times New Roman"/>
                <w:bCs/>
                <w:color w:val="auto"/>
                <w:kern w:val="2"/>
                <w:sz w:val="21"/>
                <w:szCs w:val="21"/>
                <w:lang w:val="en-US" w:eastAsia="zh-CN" w:bidi="ar-SA"/>
              </w:rPr>
              <w:t>4.生态环境</w:t>
            </w:r>
          </w:p>
          <w:p w14:paraId="18731234">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jc w:val="both"/>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本项目位于江苏省金坛经济开发区内，用地范围内不存在生态环境保护目标。</w:t>
            </w:r>
          </w:p>
          <w:p w14:paraId="512CA13A">
            <w:pPr>
              <w:adjustRightInd w:val="0"/>
              <w:snapToGrid w:val="0"/>
              <w:spacing w:line="500" w:lineRule="exact"/>
              <w:jc w:val="both"/>
              <w:rPr>
                <w:rFonts w:hint="default" w:ascii="Times New Roman" w:hAnsi="Times New Roman" w:eastAsia="宋体" w:cs="Times New Roman"/>
                <w:color w:val="auto"/>
                <w:kern w:val="0"/>
                <w:sz w:val="21"/>
                <w:szCs w:val="21"/>
                <w:lang w:val="en-US" w:eastAsia="zh-CN" w:bidi="ar-SA"/>
              </w:rPr>
            </w:pPr>
          </w:p>
        </w:tc>
      </w:tr>
    </w:tbl>
    <w:p w14:paraId="118AD336">
      <w:pPr>
        <w:adjustRightInd w:val="0"/>
        <w:snapToGrid w:val="0"/>
        <w:jc w:val="center"/>
        <w:rPr>
          <w:rFonts w:hint="default" w:ascii="Times New Roman" w:hAnsi="Times New Roman" w:cs="Times New Roman"/>
          <w:color w:val="auto"/>
          <w:kern w:val="0"/>
          <w:sz w:val="24"/>
        </w:rPr>
        <w:sectPr>
          <w:pgSz w:w="11906" w:h="16838"/>
          <w:pgMar w:top="1417" w:right="1417" w:bottom="1417" w:left="1417" w:header="851" w:footer="1134" w:gutter="0"/>
          <w:pgBorders>
            <w:top w:val="none" w:sz="0" w:space="0"/>
            <w:left w:val="none" w:sz="0" w:space="0"/>
            <w:bottom w:val="none" w:sz="0" w:space="0"/>
            <w:right w:val="none" w:sz="0" w:space="0"/>
          </w:pgBorders>
          <w:pgNumType w:fmt="decimal"/>
          <w:cols w:space="720" w:num="1"/>
          <w:docGrid w:linePitch="312" w:charSpace="0"/>
        </w:sectPr>
      </w:pPr>
    </w:p>
    <w:tbl>
      <w:tblPr>
        <w:tblStyle w:val="31"/>
        <w:tblW w:w="89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8152"/>
      </w:tblGrid>
      <w:tr w14:paraId="485ED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4" w:hRule="atLeast"/>
          <w:jc w:val="center"/>
        </w:trPr>
        <w:tc>
          <w:tcPr>
            <w:tcW w:w="832" w:type="dxa"/>
            <w:tcMar>
              <w:left w:w="28" w:type="dxa"/>
              <w:right w:w="28" w:type="dxa"/>
            </w:tcMar>
            <w:vAlign w:val="center"/>
          </w:tcPr>
          <w:p w14:paraId="187B0708">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污染</w:t>
            </w:r>
          </w:p>
          <w:p w14:paraId="7DE3DF1C">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物排</w:t>
            </w:r>
          </w:p>
          <w:p w14:paraId="50B5B55E">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放控</w:t>
            </w:r>
          </w:p>
          <w:p w14:paraId="55382105">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制标</w:t>
            </w:r>
          </w:p>
          <w:p w14:paraId="4C660D65">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准</w:t>
            </w:r>
          </w:p>
        </w:tc>
        <w:tc>
          <w:tcPr>
            <w:tcW w:w="8152" w:type="dxa"/>
            <w:vAlign w:val="center"/>
          </w:tcPr>
          <w:p w14:paraId="39CF740E">
            <w:pPr>
              <w:adjustRightInd w:val="0"/>
              <w:snapToGrid w:val="0"/>
              <w:spacing w:line="240" w:lineRule="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1、废气</w:t>
            </w:r>
          </w:p>
          <w:p w14:paraId="5FD3D777">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项目</w:t>
            </w:r>
            <w:r>
              <w:rPr>
                <w:rFonts w:hint="eastAsia" w:cs="Times New Roman"/>
                <w:color w:val="auto"/>
                <w:sz w:val="21"/>
                <w:szCs w:val="21"/>
                <w:highlight w:val="none"/>
                <w:lang w:val="en-US" w:eastAsia="zh-CN"/>
              </w:rPr>
              <w:t>有组织废气非甲烷总烃</w:t>
            </w:r>
            <w:r>
              <w:rPr>
                <w:rFonts w:hint="eastAsia" w:ascii="Times New Roman" w:hAnsi="Times New Roman" w:eastAsia="宋体" w:cs="Times New Roman"/>
                <w:color w:val="auto"/>
                <w:sz w:val="21"/>
                <w:szCs w:val="21"/>
                <w:highlight w:val="none"/>
                <w:lang w:eastAsia="zh-CN"/>
              </w:rPr>
              <w:t>排放执行</w:t>
            </w:r>
            <w:r>
              <w:rPr>
                <w:rFonts w:hint="eastAsia"/>
                <w:color w:val="auto"/>
                <w:kern w:val="0"/>
                <w:sz w:val="21"/>
                <w:szCs w:val="21"/>
                <w:lang w:val="en-US" w:eastAsia="zh-CN" w:bidi="ar"/>
              </w:rPr>
              <w:t>《合成树脂工业污染物排放标准》（GB 31572-2015，含2024年修改单）</w:t>
            </w:r>
            <w:r>
              <w:rPr>
                <w:rFonts w:hint="eastAsia" w:ascii="Times New Roman" w:hAnsi="Times New Roman" w:eastAsia="宋体" w:cs="Times New Roman"/>
                <w:color w:val="auto"/>
                <w:sz w:val="21"/>
                <w:szCs w:val="21"/>
                <w:highlight w:val="none"/>
                <w:lang w:val="en-US" w:eastAsia="zh-CN"/>
              </w:rPr>
              <w:t>表</w:t>
            </w:r>
            <w:r>
              <w:rPr>
                <w:rFonts w:hint="eastAsia"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lang w:eastAsia="zh-CN"/>
              </w:rPr>
              <w:t>中标准</w:t>
            </w:r>
            <w:r>
              <w:rPr>
                <w:rFonts w:hint="eastAsia" w:ascii="Times New Roman" w:hAnsi="Times New Roman" w:eastAsia="宋体" w:cs="Times New Roman"/>
                <w:color w:val="auto"/>
                <w:sz w:val="21"/>
                <w:szCs w:val="21"/>
                <w:highlight w:val="none"/>
                <w:lang w:val="en-US" w:eastAsia="zh-CN"/>
              </w:rPr>
              <w:t>。</w:t>
            </w:r>
          </w:p>
          <w:p w14:paraId="499F3113">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表3</w:t>
            </w:r>
            <w:r>
              <w:rPr>
                <w:rFonts w:hint="eastAsia" w:cs="Times New Roman"/>
                <w:b/>
                <w:bCs/>
                <w:color w:val="auto"/>
                <w:sz w:val="21"/>
                <w:szCs w:val="21"/>
                <w:highlight w:val="none"/>
                <w:lang w:val="en-US" w:eastAsia="zh-CN"/>
              </w:rPr>
              <w:t xml:space="preserve">-6 </w:t>
            </w:r>
            <w:r>
              <w:rPr>
                <w:rFonts w:hint="eastAsia" w:cs="Times New Roman"/>
                <w:b/>
                <w:bCs/>
                <w:color w:val="auto"/>
                <w:sz w:val="21"/>
                <w:szCs w:val="21"/>
                <w:lang w:val="en-US" w:eastAsia="zh-CN"/>
              </w:rPr>
              <w:t>运营期项目</w:t>
            </w:r>
            <w:r>
              <w:rPr>
                <w:rFonts w:hint="default" w:ascii="Times New Roman" w:hAnsi="Times New Roman" w:cs="Times New Roman"/>
                <w:b/>
                <w:bCs/>
                <w:color w:val="auto"/>
                <w:sz w:val="21"/>
                <w:szCs w:val="21"/>
                <w:highlight w:val="none"/>
                <w:lang w:val="en-US" w:eastAsia="zh-CN"/>
              </w:rPr>
              <w:t>大气污染物</w:t>
            </w:r>
            <w:r>
              <w:rPr>
                <w:rFonts w:hint="eastAsia" w:cs="Times New Roman"/>
                <w:b/>
                <w:bCs/>
                <w:color w:val="auto"/>
                <w:sz w:val="21"/>
                <w:szCs w:val="21"/>
                <w:highlight w:val="none"/>
                <w:lang w:val="en-US" w:eastAsia="zh-CN"/>
              </w:rPr>
              <w:t>有组织</w:t>
            </w:r>
            <w:r>
              <w:rPr>
                <w:rFonts w:hint="default" w:ascii="Times New Roman" w:hAnsi="Times New Roman" w:cs="Times New Roman"/>
                <w:b/>
                <w:bCs/>
                <w:color w:val="auto"/>
                <w:sz w:val="21"/>
                <w:szCs w:val="21"/>
                <w:highlight w:val="none"/>
                <w:lang w:val="en-US" w:eastAsia="zh-CN"/>
              </w:rPr>
              <w:t>排放标准</w:t>
            </w:r>
          </w:p>
          <w:tbl>
            <w:tblPr>
              <w:tblStyle w:val="31"/>
              <w:tblW w:w="4998" w:type="pct"/>
              <w:jc w:val="center"/>
              <w:tblBorders>
                <w:top w:val="single" w:color="auto" w:sz="4" w:space="0"/>
                <w:left w:val="none" w:color="auto" w:sz="0" w:space="0"/>
                <w:bottom w:val="single" w:color="auto" w:sz="4"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970"/>
              <w:gridCol w:w="1865"/>
              <w:gridCol w:w="2003"/>
              <w:gridCol w:w="3095"/>
            </w:tblGrid>
            <w:tr w14:paraId="78435446">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11" w:type="pct"/>
                  <w:vMerge w:val="restart"/>
                  <w:noWrap w:val="0"/>
                  <w:vAlign w:val="center"/>
                </w:tcPr>
                <w:p w14:paraId="28D096A6">
                  <w:pPr>
                    <w:jc w:val="center"/>
                    <w:rPr>
                      <w:color w:val="auto"/>
                      <w:sz w:val="21"/>
                      <w:szCs w:val="21"/>
                    </w:rPr>
                  </w:pPr>
                  <w:r>
                    <w:rPr>
                      <w:color w:val="auto"/>
                      <w:sz w:val="21"/>
                      <w:szCs w:val="21"/>
                    </w:rPr>
                    <w:t>污染物名称</w:t>
                  </w:r>
                </w:p>
              </w:tc>
              <w:tc>
                <w:tcPr>
                  <w:tcW w:w="2437" w:type="pct"/>
                  <w:gridSpan w:val="2"/>
                  <w:noWrap w:val="0"/>
                  <w:vAlign w:val="center"/>
                </w:tcPr>
                <w:p w14:paraId="244A5172">
                  <w:pPr>
                    <w:jc w:val="center"/>
                    <w:rPr>
                      <w:color w:val="auto"/>
                      <w:sz w:val="21"/>
                      <w:szCs w:val="21"/>
                    </w:rPr>
                  </w:pPr>
                  <w:r>
                    <w:rPr>
                      <w:color w:val="auto"/>
                      <w:sz w:val="21"/>
                      <w:szCs w:val="21"/>
                    </w:rPr>
                    <w:t>有组织排放限值</w:t>
                  </w:r>
                </w:p>
              </w:tc>
              <w:tc>
                <w:tcPr>
                  <w:tcW w:w="1950" w:type="pct"/>
                  <w:vMerge w:val="restart"/>
                  <w:tcBorders>
                    <w:left w:val="single" w:color="auto" w:sz="4" w:space="0"/>
                  </w:tcBorders>
                  <w:noWrap w:val="0"/>
                  <w:vAlign w:val="center"/>
                </w:tcPr>
                <w:p w14:paraId="5602E02C">
                  <w:pPr>
                    <w:jc w:val="center"/>
                    <w:rPr>
                      <w:color w:val="auto"/>
                      <w:sz w:val="21"/>
                      <w:szCs w:val="21"/>
                    </w:rPr>
                  </w:pPr>
                  <w:r>
                    <w:rPr>
                      <w:color w:val="auto"/>
                      <w:sz w:val="21"/>
                      <w:szCs w:val="21"/>
                    </w:rPr>
                    <w:t>标准来源</w:t>
                  </w:r>
                </w:p>
              </w:tc>
            </w:tr>
            <w:tr w14:paraId="40722146">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11" w:type="pct"/>
                  <w:vMerge w:val="continue"/>
                  <w:noWrap w:val="0"/>
                  <w:vAlign w:val="center"/>
                </w:tcPr>
                <w:p w14:paraId="19D75AAD">
                  <w:pPr>
                    <w:jc w:val="center"/>
                    <w:rPr>
                      <w:color w:val="auto"/>
                      <w:sz w:val="21"/>
                      <w:szCs w:val="21"/>
                    </w:rPr>
                  </w:pPr>
                </w:p>
              </w:tc>
              <w:tc>
                <w:tcPr>
                  <w:tcW w:w="1175" w:type="pct"/>
                  <w:noWrap w:val="0"/>
                  <w:vAlign w:val="center"/>
                </w:tcPr>
                <w:p w14:paraId="5206AD90">
                  <w:pPr>
                    <w:jc w:val="center"/>
                    <w:rPr>
                      <w:color w:val="auto"/>
                      <w:sz w:val="21"/>
                      <w:szCs w:val="21"/>
                    </w:rPr>
                  </w:pPr>
                  <w:r>
                    <w:rPr>
                      <w:color w:val="auto"/>
                      <w:sz w:val="21"/>
                      <w:szCs w:val="21"/>
                    </w:rPr>
                    <w:t>最高允许排放浓度mg/m</w:t>
                  </w:r>
                  <w:r>
                    <w:rPr>
                      <w:color w:val="auto"/>
                      <w:sz w:val="21"/>
                      <w:szCs w:val="21"/>
                      <w:vertAlign w:val="superscript"/>
                    </w:rPr>
                    <w:t>3</w:t>
                  </w:r>
                </w:p>
              </w:tc>
              <w:tc>
                <w:tcPr>
                  <w:tcW w:w="1262" w:type="pct"/>
                  <w:noWrap w:val="0"/>
                  <w:vAlign w:val="center"/>
                </w:tcPr>
                <w:p w14:paraId="4B0943FD">
                  <w:pPr>
                    <w:jc w:val="center"/>
                    <w:rPr>
                      <w:color w:val="auto"/>
                      <w:sz w:val="21"/>
                      <w:szCs w:val="21"/>
                    </w:rPr>
                  </w:pPr>
                  <w:r>
                    <w:rPr>
                      <w:color w:val="auto"/>
                      <w:sz w:val="21"/>
                      <w:szCs w:val="21"/>
                    </w:rPr>
                    <w:t>排气筒高度m</w:t>
                  </w:r>
                </w:p>
              </w:tc>
              <w:tc>
                <w:tcPr>
                  <w:tcW w:w="1950" w:type="pct"/>
                  <w:vMerge w:val="continue"/>
                  <w:tcBorders>
                    <w:left w:val="single" w:color="auto" w:sz="4" w:space="0"/>
                  </w:tcBorders>
                  <w:noWrap w:val="0"/>
                  <w:vAlign w:val="center"/>
                </w:tcPr>
                <w:p w14:paraId="43A0D955">
                  <w:pPr>
                    <w:jc w:val="center"/>
                    <w:rPr>
                      <w:color w:val="auto"/>
                      <w:sz w:val="21"/>
                      <w:szCs w:val="21"/>
                    </w:rPr>
                  </w:pPr>
                </w:p>
              </w:tc>
            </w:tr>
            <w:tr w14:paraId="350D6962">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11" w:type="pct"/>
                  <w:noWrap w:val="0"/>
                  <w:vAlign w:val="center"/>
                </w:tcPr>
                <w:p w14:paraId="25F29E0E">
                  <w:pPr>
                    <w:snapToGrid w:val="0"/>
                    <w:spacing w:line="240" w:lineRule="atLeast"/>
                    <w:jc w:val="center"/>
                    <w:rPr>
                      <w:color w:val="auto"/>
                      <w:sz w:val="21"/>
                      <w:szCs w:val="21"/>
                    </w:rPr>
                  </w:pPr>
                  <w:r>
                    <w:rPr>
                      <w:bCs/>
                      <w:color w:val="auto"/>
                      <w:sz w:val="21"/>
                      <w:szCs w:val="21"/>
                    </w:rPr>
                    <w:t>非甲烷总烃</w:t>
                  </w:r>
                </w:p>
              </w:tc>
              <w:tc>
                <w:tcPr>
                  <w:tcW w:w="1175" w:type="pct"/>
                  <w:noWrap w:val="0"/>
                  <w:vAlign w:val="center"/>
                </w:tcPr>
                <w:p w14:paraId="7BCE92AB">
                  <w:pPr>
                    <w:snapToGrid w:val="0"/>
                    <w:spacing w:line="240" w:lineRule="atLeast"/>
                    <w:jc w:val="center"/>
                    <w:rPr>
                      <w:rFonts w:hint="default" w:eastAsia="宋体"/>
                      <w:color w:val="auto"/>
                      <w:sz w:val="21"/>
                      <w:szCs w:val="21"/>
                      <w:lang w:val="en-US" w:eastAsia="zh-CN"/>
                    </w:rPr>
                  </w:pPr>
                  <w:r>
                    <w:rPr>
                      <w:rFonts w:hint="eastAsia"/>
                      <w:color w:val="auto"/>
                      <w:sz w:val="21"/>
                      <w:szCs w:val="21"/>
                      <w:lang w:val="en-US" w:eastAsia="zh-CN"/>
                    </w:rPr>
                    <w:t>60</w:t>
                  </w:r>
                </w:p>
              </w:tc>
              <w:tc>
                <w:tcPr>
                  <w:tcW w:w="1262" w:type="pct"/>
                  <w:noWrap w:val="0"/>
                  <w:vAlign w:val="center"/>
                </w:tcPr>
                <w:p w14:paraId="7A0A7506">
                  <w:pPr>
                    <w:jc w:val="center"/>
                    <w:rPr>
                      <w:color w:val="auto"/>
                      <w:sz w:val="21"/>
                      <w:szCs w:val="21"/>
                    </w:rPr>
                  </w:pPr>
                  <w:r>
                    <w:rPr>
                      <w:color w:val="auto"/>
                      <w:sz w:val="21"/>
                      <w:szCs w:val="21"/>
                    </w:rPr>
                    <w:t>15</w:t>
                  </w:r>
                </w:p>
              </w:tc>
              <w:tc>
                <w:tcPr>
                  <w:tcW w:w="1950" w:type="pct"/>
                  <w:tcBorders>
                    <w:left w:val="single" w:color="auto" w:sz="4" w:space="0"/>
                  </w:tcBorders>
                  <w:noWrap w:val="0"/>
                  <w:vAlign w:val="center"/>
                </w:tcPr>
                <w:p w14:paraId="11B521ED">
                  <w:pPr>
                    <w:jc w:val="center"/>
                    <w:rPr>
                      <w:color w:val="auto"/>
                      <w:sz w:val="21"/>
                      <w:szCs w:val="21"/>
                    </w:rPr>
                  </w:pPr>
                  <w:r>
                    <w:rPr>
                      <w:rFonts w:hint="eastAsia"/>
                      <w:color w:val="auto"/>
                      <w:kern w:val="0"/>
                      <w:sz w:val="21"/>
                      <w:szCs w:val="21"/>
                      <w:lang w:val="en-US" w:eastAsia="zh-CN" w:bidi="ar"/>
                    </w:rPr>
                    <w:t>《合成树脂工业污染物排放标准》（GB 31572-2015，含2024年修改单）</w:t>
                  </w:r>
                  <w:r>
                    <w:rPr>
                      <w:color w:val="auto"/>
                      <w:sz w:val="21"/>
                      <w:szCs w:val="21"/>
                    </w:rPr>
                    <w:t>表</w:t>
                  </w:r>
                  <w:r>
                    <w:rPr>
                      <w:rFonts w:hint="eastAsia"/>
                      <w:color w:val="auto"/>
                      <w:sz w:val="21"/>
                      <w:szCs w:val="21"/>
                      <w:lang w:val="en-US" w:eastAsia="zh-CN"/>
                    </w:rPr>
                    <w:t>5</w:t>
                  </w:r>
                  <w:r>
                    <w:rPr>
                      <w:color w:val="auto"/>
                      <w:sz w:val="21"/>
                      <w:szCs w:val="21"/>
                    </w:rPr>
                    <w:t>限值</w:t>
                  </w:r>
                </w:p>
              </w:tc>
            </w:tr>
          </w:tbl>
          <w:p w14:paraId="66256FB0">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厂界无组织废气非甲烷总烃</w:t>
            </w:r>
            <w:r>
              <w:rPr>
                <w:rFonts w:hint="eastAsia"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color w:val="auto"/>
                <w:sz w:val="21"/>
                <w:szCs w:val="21"/>
                <w:highlight w:val="none"/>
              </w:rPr>
              <w:t>执行</w:t>
            </w:r>
            <w:r>
              <w:rPr>
                <w:rFonts w:hint="eastAsia"/>
                <w:color w:val="auto"/>
                <w:kern w:val="0"/>
                <w:sz w:val="21"/>
                <w:szCs w:val="21"/>
                <w:lang w:val="en-US" w:eastAsia="zh-CN" w:bidi="ar"/>
              </w:rPr>
              <w:t>《合成树脂工业污染物排放标准》（GB 31572-2015，含2024年修改单）</w:t>
            </w:r>
            <w:r>
              <w:rPr>
                <w:rFonts w:hint="eastAsia" w:ascii="Times New Roman" w:hAnsi="Times New Roman" w:eastAsia="宋体" w:cs="Times New Roman"/>
                <w:color w:val="auto"/>
                <w:sz w:val="21"/>
                <w:szCs w:val="21"/>
                <w:highlight w:val="none"/>
                <w:lang w:val="en-US" w:eastAsia="zh-CN"/>
              </w:rPr>
              <w:t>表</w:t>
            </w:r>
            <w:r>
              <w:rPr>
                <w:rFonts w:hint="eastAsia" w:cs="Times New Roman"/>
                <w:color w:val="auto"/>
                <w:sz w:val="21"/>
                <w:szCs w:val="21"/>
                <w:highlight w:val="none"/>
                <w:lang w:val="en-US" w:eastAsia="zh-CN"/>
              </w:rPr>
              <w:t>9</w:t>
            </w:r>
            <w:r>
              <w:rPr>
                <w:rFonts w:hint="eastAsia" w:ascii="Times New Roman" w:hAnsi="Times New Roman" w:eastAsia="宋体" w:cs="Times New Roman"/>
                <w:color w:val="auto"/>
                <w:sz w:val="21"/>
                <w:szCs w:val="21"/>
                <w:highlight w:val="none"/>
                <w:lang w:val="en-US" w:eastAsia="zh-CN"/>
              </w:rPr>
              <w:t>标准限值</w:t>
            </w:r>
            <w:r>
              <w:rPr>
                <w:rFonts w:hint="default" w:ascii="Times New Roman" w:hAnsi="Times New Roman" w:eastAsia="宋体" w:cs="Times New Roman"/>
                <w:color w:val="auto"/>
                <w:sz w:val="21"/>
                <w:szCs w:val="21"/>
                <w:highlight w:val="none"/>
              </w:rPr>
              <w:t>。</w:t>
            </w:r>
          </w:p>
          <w:p w14:paraId="0D2BB38E">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表3-</w:t>
            </w:r>
            <w:r>
              <w:rPr>
                <w:rFonts w:hint="eastAsia" w:cs="Times New Roman"/>
                <w:b/>
                <w:bCs/>
                <w:color w:val="auto"/>
                <w:sz w:val="21"/>
                <w:szCs w:val="21"/>
                <w:lang w:val="en-US" w:eastAsia="zh-CN"/>
              </w:rPr>
              <w:t>7 运营期项目无组织</w:t>
            </w:r>
            <w:r>
              <w:rPr>
                <w:rFonts w:hint="default" w:ascii="Times New Roman" w:hAnsi="Times New Roman" w:cs="Times New Roman"/>
                <w:b/>
                <w:bCs/>
                <w:color w:val="auto"/>
                <w:sz w:val="21"/>
                <w:szCs w:val="21"/>
                <w:lang w:val="en-US" w:eastAsia="zh-CN"/>
              </w:rPr>
              <w:t>大气污染物排放标准</w:t>
            </w:r>
          </w:p>
          <w:tbl>
            <w:tblPr>
              <w:tblStyle w:val="31"/>
              <w:tblW w:w="4998" w:type="pct"/>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1228"/>
              <w:gridCol w:w="1819"/>
              <w:gridCol w:w="1390"/>
              <w:gridCol w:w="3496"/>
            </w:tblGrid>
            <w:tr w14:paraId="7965D9E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74" w:type="pct"/>
                  <w:vMerge w:val="restart"/>
                  <w:noWrap w:val="0"/>
                  <w:vAlign w:val="center"/>
                </w:tcPr>
                <w:p w14:paraId="32EAA923">
                  <w:pPr>
                    <w:adjustRightInd w:val="0"/>
                    <w:snapToGrid w:val="0"/>
                    <w:spacing w:line="240" w:lineRule="auto"/>
                    <w:jc w:val="center"/>
                    <w:rPr>
                      <w:b/>
                      <w:color w:val="auto"/>
                      <w:sz w:val="21"/>
                      <w:szCs w:val="21"/>
                      <w:highlight w:val="none"/>
                    </w:rPr>
                  </w:pPr>
                  <w:r>
                    <w:rPr>
                      <w:b/>
                      <w:color w:val="auto"/>
                      <w:sz w:val="21"/>
                      <w:szCs w:val="21"/>
                      <w:highlight w:val="none"/>
                    </w:rPr>
                    <w:t>污染物</w:t>
                  </w:r>
                </w:p>
              </w:tc>
              <w:tc>
                <w:tcPr>
                  <w:tcW w:w="2022" w:type="pct"/>
                  <w:gridSpan w:val="2"/>
                  <w:noWrap w:val="0"/>
                  <w:vAlign w:val="center"/>
                </w:tcPr>
                <w:p w14:paraId="32597B11">
                  <w:pPr>
                    <w:adjustRightInd w:val="0"/>
                    <w:snapToGrid w:val="0"/>
                    <w:spacing w:line="240" w:lineRule="auto"/>
                    <w:jc w:val="center"/>
                    <w:rPr>
                      <w:b/>
                      <w:color w:val="auto"/>
                      <w:sz w:val="21"/>
                      <w:szCs w:val="21"/>
                      <w:highlight w:val="none"/>
                      <w:vertAlign w:val="superscript"/>
                    </w:rPr>
                  </w:pPr>
                  <w:r>
                    <w:rPr>
                      <w:b/>
                      <w:color w:val="auto"/>
                      <w:sz w:val="21"/>
                      <w:szCs w:val="21"/>
                      <w:highlight w:val="none"/>
                    </w:rPr>
                    <w:t>无组织排放监控浓度限值</w:t>
                  </w:r>
                </w:p>
              </w:tc>
              <w:tc>
                <w:tcPr>
                  <w:tcW w:w="2202" w:type="pct"/>
                  <w:vMerge w:val="restart"/>
                  <w:noWrap w:val="0"/>
                  <w:vAlign w:val="center"/>
                </w:tcPr>
                <w:p w14:paraId="5B47A501">
                  <w:pPr>
                    <w:adjustRightInd w:val="0"/>
                    <w:snapToGrid w:val="0"/>
                    <w:spacing w:line="240" w:lineRule="auto"/>
                    <w:jc w:val="center"/>
                    <w:rPr>
                      <w:b/>
                      <w:color w:val="auto"/>
                      <w:sz w:val="21"/>
                      <w:szCs w:val="21"/>
                      <w:highlight w:val="none"/>
                    </w:rPr>
                  </w:pPr>
                  <w:r>
                    <w:rPr>
                      <w:b/>
                      <w:color w:val="auto"/>
                      <w:sz w:val="21"/>
                      <w:szCs w:val="21"/>
                      <w:highlight w:val="none"/>
                    </w:rPr>
                    <w:t>标准来源</w:t>
                  </w:r>
                </w:p>
              </w:tc>
            </w:tr>
            <w:tr w14:paraId="0BF1B22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74" w:type="pct"/>
                  <w:vMerge w:val="continue"/>
                  <w:noWrap w:val="0"/>
                  <w:vAlign w:val="center"/>
                </w:tcPr>
                <w:p w14:paraId="6E8B10A6">
                  <w:pPr>
                    <w:spacing w:line="240" w:lineRule="auto"/>
                    <w:rPr>
                      <w:color w:val="auto"/>
                      <w:sz w:val="21"/>
                      <w:szCs w:val="21"/>
                      <w:highlight w:val="none"/>
                    </w:rPr>
                  </w:pPr>
                </w:p>
              </w:tc>
              <w:tc>
                <w:tcPr>
                  <w:tcW w:w="1146" w:type="pct"/>
                  <w:noWrap w:val="0"/>
                  <w:vAlign w:val="center"/>
                </w:tcPr>
                <w:p w14:paraId="79CCD8F5">
                  <w:pPr>
                    <w:adjustRightInd w:val="0"/>
                    <w:snapToGrid w:val="0"/>
                    <w:spacing w:line="240" w:lineRule="auto"/>
                    <w:jc w:val="center"/>
                    <w:rPr>
                      <w:b/>
                      <w:color w:val="auto"/>
                      <w:sz w:val="21"/>
                      <w:szCs w:val="21"/>
                      <w:highlight w:val="none"/>
                    </w:rPr>
                  </w:pPr>
                  <w:r>
                    <w:rPr>
                      <w:b/>
                      <w:color w:val="auto"/>
                      <w:sz w:val="21"/>
                      <w:szCs w:val="21"/>
                      <w:highlight w:val="none"/>
                    </w:rPr>
                    <w:t>监控点</w:t>
                  </w:r>
                </w:p>
              </w:tc>
              <w:tc>
                <w:tcPr>
                  <w:tcW w:w="876" w:type="pct"/>
                  <w:noWrap w:val="0"/>
                  <w:vAlign w:val="center"/>
                </w:tcPr>
                <w:p w14:paraId="43B42C60">
                  <w:pPr>
                    <w:adjustRightInd w:val="0"/>
                    <w:snapToGrid w:val="0"/>
                    <w:spacing w:line="240" w:lineRule="auto"/>
                    <w:jc w:val="center"/>
                    <w:rPr>
                      <w:b/>
                      <w:color w:val="auto"/>
                      <w:sz w:val="21"/>
                      <w:szCs w:val="21"/>
                      <w:highlight w:val="none"/>
                    </w:rPr>
                  </w:pPr>
                  <w:r>
                    <w:rPr>
                      <w:b/>
                      <w:color w:val="auto"/>
                      <w:sz w:val="21"/>
                      <w:szCs w:val="21"/>
                      <w:highlight w:val="none"/>
                    </w:rPr>
                    <w:t>浓度mg/m</w:t>
                  </w:r>
                  <w:r>
                    <w:rPr>
                      <w:b/>
                      <w:color w:val="auto"/>
                      <w:sz w:val="21"/>
                      <w:szCs w:val="21"/>
                      <w:highlight w:val="none"/>
                      <w:vertAlign w:val="superscript"/>
                    </w:rPr>
                    <w:t>3</w:t>
                  </w:r>
                </w:p>
              </w:tc>
              <w:tc>
                <w:tcPr>
                  <w:tcW w:w="2202" w:type="pct"/>
                  <w:vMerge w:val="continue"/>
                  <w:noWrap w:val="0"/>
                  <w:vAlign w:val="center"/>
                </w:tcPr>
                <w:p w14:paraId="05E813AE">
                  <w:pPr>
                    <w:spacing w:line="240" w:lineRule="auto"/>
                    <w:rPr>
                      <w:color w:val="auto"/>
                      <w:sz w:val="21"/>
                      <w:szCs w:val="21"/>
                      <w:highlight w:val="none"/>
                    </w:rPr>
                  </w:pPr>
                </w:p>
              </w:tc>
            </w:tr>
            <w:tr w14:paraId="4AEE8B0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74" w:type="pct"/>
                  <w:noWrap w:val="0"/>
                  <w:vAlign w:val="center"/>
                </w:tcPr>
                <w:p w14:paraId="69616DFD">
                  <w:pPr>
                    <w:adjustRightInd w:val="0"/>
                    <w:snapToGrid w:val="0"/>
                    <w:spacing w:line="240" w:lineRule="auto"/>
                    <w:jc w:val="center"/>
                    <w:rPr>
                      <w:color w:val="auto"/>
                      <w:sz w:val="21"/>
                      <w:szCs w:val="21"/>
                      <w:highlight w:val="none"/>
                    </w:rPr>
                  </w:pPr>
                  <w:r>
                    <w:rPr>
                      <w:rFonts w:hint="eastAsia"/>
                      <w:color w:val="auto"/>
                      <w:kern w:val="0"/>
                      <w:sz w:val="21"/>
                      <w:szCs w:val="21"/>
                      <w:highlight w:val="none"/>
                      <w:lang w:val="en-US" w:eastAsia="zh-CN"/>
                    </w:rPr>
                    <w:t>非甲烷总烃</w:t>
                  </w:r>
                </w:p>
              </w:tc>
              <w:tc>
                <w:tcPr>
                  <w:tcW w:w="1146" w:type="pct"/>
                  <w:noWrap w:val="0"/>
                  <w:vAlign w:val="center"/>
                </w:tcPr>
                <w:p w14:paraId="4CAFC2B8">
                  <w:pPr>
                    <w:snapToGrid w:val="0"/>
                    <w:spacing w:line="240" w:lineRule="auto"/>
                    <w:ind w:left="-105" w:leftChars="-50" w:right="-105" w:rightChars="-50"/>
                    <w:jc w:val="center"/>
                    <w:rPr>
                      <w:color w:val="auto"/>
                      <w:sz w:val="21"/>
                      <w:szCs w:val="21"/>
                      <w:highlight w:val="none"/>
                    </w:rPr>
                  </w:pPr>
                  <w:r>
                    <w:rPr>
                      <w:color w:val="auto"/>
                      <w:sz w:val="21"/>
                      <w:szCs w:val="21"/>
                      <w:highlight w:val="none"/>
                    </w:rPr>
                    <w:t>周界外浓度最高点</w:t>
                  </w:r>
                </w:p>
              </w:tc>
              <w:tc>
                <w:tcPr>
                  <w:tcW w:w="876" w:type="pct"/>
                  <w:noWrap w:val="0"/>
                  <w:vAlign w:val="center"/>
                </w:tcPr>
                <w:p w14:paraId="6FE4168F">
                  <w:pPr>
                    <w:adjustRightInd w:val="0"/>
                    <w:snapToGrid w:val="0"/>
                    <w:spacing w:line="240" w:lineRule="auto"/>
                    <w:jc w:val="center"/>
                    <w:rPr>
                      <w:color w:val="auto"/>
                      <w:sz w:val="21"/>
                      <w:szCs w:val="21"/>
                      <w:highlight w:val="none"/>
                    </w:rPr>
                  </w:pPr>
                  <w:r>
                    <w:rPr>
                      <w:color w:val="auto"/>
                      <w:sz w:val="21"/>
                      <w:szCs w:val="21"/>
                      <w:highlight w:val="none"/>
                    </w:rPr>
                    <w:t>4.0</w:t>
                  </w:r>
                </w:p>
              </w:tc>
              <w:tc>
                <w:tcPr>
                  <w:tcW w:w="2202" w:type="pct"/>
                  <w:noWrap w:val="0"/>
                  <w:vAlign w:val="center"/>
                </w:tcPr>
                <w:p w14:paraId="33EF818F">
                  <w:pPr>
                    <w:adjustRightInd w:val="0"/>
                    <w:snapToGrid w:val="0"/>
                    <w:spacing w:line="240" w:lineRule="auto"/>
                    <w:jc w:val="center"/>
                    <w:rPr>
                      <w:color w:val="auto"/>
                      <w:sz w:val="21"/>
                      <w:szCs w:val="21"/>
                      <w:highlight w:val="none"/>
                    </w:rPr>
                  </w:pPr>
                  <w:r>
                    <w:rPr>
                      <w:rFonts w:hint="eastAsia"/>
                      <w:color w:val="auto"/>
                      <w:kern w:val="0"/>
                      <w:sz w:val="21"/>
                      <w:szCs w:val="21"/>
                      <w:lang w:val="en-US" w:eastAsia="zh-CN" w:bidi="ar"/>
                    </w:rPr>
                    <w:t>《合成树脂工业污染物排放标准》（GB 31572-2015，含2024年修改单）</w:t>
                  </w:r>
                  <w:r>
                    <w:rPr>
                      <w:rFonts w:hint="eastAsia" w:ascii="Times New Roman" w:hAnsi="Times New Roman" w:eastAsia="宋体" w:cs="Times New Roman"/>
                      <w:color w:val="auto"/>
                      <w:sz w:val="21"/>
                      <w:szCs w:val="21"/>
                      <w:highlight w:val="none"/>
                      <w:lang w:val="en-US" w:eastAsia="zh-CN"/>
                    </w:rPr>
                    <w:t>表</w:t>
                  </w:r>
                  <w:r>
                    <w:rPr>
                      <w:rFonts w:hint="eastAsia"/>
                      <w:color w:val="auto"/>
                      <w:sz w:val="21"/>
                      <w:szCs w:val="21"/>
                      <w:highlight w:val="none"/>
                      <w:lang w:val="en-US" w:eastAsia="zh-CN"/>
                    </w:rPr>
                    <w:t>9</w:t>
                  </w:r>
                  <w:r>
                    <w:rPr>
                      <w:color w:val="auto"/>
                      <w:sz w:val="21"/>
                      <w:szCs w:val="21"/>
                      <w:highlight w:val="none"/>
                    </w:rPr>
                    <w:t>中标准</w:t>
                  </w:r>
                </w:p>
              </w:tc>
            </w:tr>
          </w:tbl>
          <w:p w14:paraId="6F702A88">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color w:val="auto"/>
                <w:sz w:val="21"/>
                <w:szCs w:val="21"/>
                <w:highlight w:val="none"/>
                <w:lang w:val="en-US" w:eastAsia="zh-CN"/>
              </w:rPr>
              <w:t>厂区内</w:t>
            </w:r>
            <w:r>
              <w:rPr>
                <w:rFonts w:hint="default" w:ascii="Times New Roman" w:hAnsi="Times New Roman" w:eastAsia="宋体" w:cs="Times New Roman"/>
                <w:color w:val="auto"/>
                <w:sz w:val="21"/>
                <w:szCs w:val="21"/>
                <w:highlight w:val="none"/>
              </w:rPr>
              <w:t>非甲烷总烃无组织排放限值执行《大气污染物</w:t>
            </w:r>
            <w:r>
              <w:rPr>
                <w:rFonts w:hint="eastAsia" w:cs="Times New Roman"/>
                <w:color w:val="auto"/>
                <w:sz w:val="21"/>
                <w:szCs w:val="21"/>
                <w:highlight w:val="none"/>
                <w:lang w:val="en-US" w:eastAsia="zh-CN"/>
              </w:rPr>
              <w:t>综合</w:t>
            </w:r>
            <w:r>
              <w:rPr>
                <w:rFonts w:hint="default" w:ascii="Times New Roman" w:hAnsi="Times New Roman" w:eastAsia="宋体" w:cs="Times New Roman"/>
                <w:color w:val="auto"/>
                <w:sz w:val="21"/>
                <w:szCs w:val="21"/>
                <w:highlight w:val="none"/>
              </w:rPr>
              <w:t>排放标准》（</w:t>
            </w:r>
            <w:r>
              <w:rPr>
                <w:rFonts w:hint="default" w:ascii="Times New Roman" w:hAnsi="Times New Roman" w:eastAsia="仿宋" w:cs="Times New Roman"/>
                <w:color w:val="auto"/>
                <w:sz w:val="21"/>
                <w:szCs w:val="21"/>
                <w:lang w:val="en-US" w:eastAsia="zh-CN"/>
              </w:rPr>
              <w:t>DB32/4041-2021</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表</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标准</w:t>
            </w:r>
            <w:r>
              <w:rPr>
                <w:rFonts w:hint="default" w:ascii="Times New Roman" w:hAnsi="Times New Roman" w:eastAsia="宋体" w:cs="Times New Roman"/>
                <w:color w:val="auto"/>
                <w:sz w:val="21"/>
                <w:szCs w:val="21"/>
                <w:highlight w:val="none"/>
              </w:rPr>
              <w:t>。</w:t>
            </w:r>
          </w:p>
          <w:p w14:paraId="72C96D7D">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表3-</w:t>
            </w:r>
            <w:r>
              <w:rPr>
                <w:rFonts w:hint="eastAsia" w:cs="Times New Roman"/>
                <w:b/>
                <w:bCs/>
                <w:color w:val="auto"/>
                <w:sz w:val="21"/>
                <w:szCs w:val="21"/>
                <w:lang w:val="en-US" w:eastAsia="zh-CN"/>
              </w:rPr>
              <w:t xml:space="preserve">8 </w:t>
            </w:r>
            <w:r>
              <w:rPr>
                <w:rFonts w:hint="default" w:ascii="Times New Roman" w:hAnsi="Times New Roman" w:cs="Times New Roman"/>
                <w:b/>
                <w:bCs/>
                <w:color w:val="auto"/>
                <w:sz w:val="21"/>
                <w:szCs w:val="21"/>
                <w:lang w:val="en-US" w:eastAsia="zh-CN"/>
              </w:rPr>
              <w:t>厂区内VOCs无组织排放限值</w:t>
            </w:r>
          </w:p>
          <w:tbl>
            <w:tblPr>
              <w:tblStyle w:val="31"/>
              <w:tblW w:w="777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1236"/>
              <w:gridCol w:w="2077"/>
              <w:gridCol w:w="2458"/>
              <w:gridCol w:w="2008"/>
            </w:tblGrid>
            <w:tr w14:paraId="03BC43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1236" w:type="dxa"/>
                  <w:noWrap w:val="0"/>
                  <w:vAlign w:val="center"/>
                </w:tcPr>
                <w:p w14:paraId="14C727FE">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污染物项目</w:t>
                  </w:r>
                </w:p>
              </w:tc>
              <w:tc>
                <w:tcPr>
                  <w:tcW w:w="2077" w:type="dxa"/>
                  <w:noWrap w:val="0"/>
                  <w:vAlign w:val="center"/>
                </w:tcPr>
                <w:p w14:paraId="59322F48">
                  <w:pPr>
                    <w:widowControl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特别排放限值</w:t>
                  </w:r>
                  <w:r>
                    <w:rPr>
                      <w:rFonts w:hint="eastAsia" w:cs="Times New Roman"/>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rPr>
                    <w:t>mg/m</w:t>
                  </w:r>
                  <w:r>
                    <w:rPr>
                      <w:rFonts w:hint="default" w:ascii="Times New Roman" w:hAnsi="Times New Roman" w:eastAsia="宋体" w:cs="Times New Roman"/>
                      <w:b w:val="0"/>
                      <w:bCs w:val="0"/>
                      <w:color w:val="auto"/>
                      <w:sz w:val="21"/>
                      <w:szCs w:val="21"/>
                      <w:highlight w:val="none"/>
                      <w:vertAlign w:val="superscript"/>
                    </w:rPr>
                    <w:t>3</w:t>
                  </w:r>
                  <w:r>
                    <w:rPr>
                      <w:rFonts w:hint="eastAsia" w:cs="Times New Roman"/>
                      <w:color w:val="auto"/>
                      <w:sz w:val="21"/>
                      <w:szCs w:val="21"/>
                      <w:highlight w:val="none"/>
                      <w:lang w:val="en-US" w:eastAsia="zh-CN"/>
                    </w:rPr>
                    <w:t>)</w:t>
                  </w:r>
                </w:p>
              </w:tc>
              <w:tc>
                <w:tcPr>
                  <w:tcW w:w="2458" w:type="dxa"/>
                  <w:noWrap w:val="0"/>
                  <w:vAlign w:val="center"/>
                </w:tcPr>
                <w:p w14:paraId="034D0FA3">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限值含义</w:t>
                  </w:r>
                </w:p>
              </w:tc>
              <w:tc>
                <w:tcPr>
                  <w:tcW w:w="2008" w:type="dxa"/>
                  <w:noWrap w:val="0"/>
                  <w:vAlign w:val="center"/>
                </w:tcPr>
                <w:p w14:paraId="57CCA2D2">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无组织排放监控位置</w:t>
                  </w:r>
                </w:p>
              </w:tc>
            </w:tr>
            <w:tr w14:paraId="3DB487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1236" w:type="dxa"/>
                  <w:vMerge w:val="restart"/>
                  <w:noWrap w:val="0"/>
                  <w:vAlign w:val="center"/>
                </w:tcPr>
                <w:p w14:paraId="20C02A6B">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非甲烷总烃</w:t>
                  </w:r>
                </w:p>
              </w:tc>
              <w:tc>
                <w:tcPr>
                  <w:tcW w:w="2077" w:type="dxa"/>
                  <w:noWrap w:val="0"/>
                  <w:vAlign w:val="center"/>
                </w:tcPr>
                <w:p w14:paraId="2AA55818">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2458" w:type="dxa"/>
                  <w:noWrap w:val="0"/>
                  <w:vAlign w:val="center"/>
                </w:tcPr>
                <w:p w14:paraId="5A7C4ABA">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监控点处1h平均浓度值</w:t>
                  </w:r>
                </w:p>
              </w:tc>
              <w:tc>
                <w:tcPr>
                  <w:tcW w:w="2008" w:type="dxa"/>
                  <w:vMerge w:val="restart"/>
                  <w:noWrap w:val="0"/>
                  <w:vAlign w:val="center"/>
                </w:tcPr>
                <w:p w14:paraId="035BBE42">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在厂房外设置监控点</w:t>
                  </w:r>
                </w:p>
              </w:tc>
            </w:tr>
            <w:tr w14:paraId="3E3D50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1236" w:type="dxa"/>
                  <w:vMerge w:val="continue"/>
                  <w:noWrap w:val="0"/>
                  <w:vAlign w:val="center"/>
                </w:tcPr>
                <w:p w14:paraId="0AA5F7C1">
                  <w:pPr>
                    <w:widowControl w:val="0"/>
                    <w:jc w:val="center"/>
                    <w:rPr>
                      <w:rFonts w:hint="default" w:ascii="Times New Roman" w:hAnsi="Times New Roman" w:eastAsia="宋体" w:cs="Times New Roman"/>
                      <w:color w:val="auto"/>
                      <w:sz w:val="21"/>
                      <w:szCs w:val="21"/>
                      <w:highlight w:val="none"/>
                    </w:rPr>
                  </w:pPr>
                </w:p>
              </w:tc>
              <w:tc>
                <w:tcPr>
                  <w:tcW w:w="2077" w:type="dxa"/>
                  <w:noWrap w:val="0"/>
                  <w:vAlign w:val="center"/>
                </w:tcPr>
                <w:p w14:paraId="3EE6075C">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2458" w:type="dxa"/>
                  <w:noWrap w:val="0"/>
                  <w:vAlign w:val="center"/>
                </w:tcPr>
                <w:p w14:paraId="632A0052">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监控点处任意一次浓度值</w:t>
                  </w:r>
                </w:p>
              </w:tc>
              <w:tc>
                <w:tcPr>
                  <w:tcW w:w="2008" w:type="dxa"/>
                  <w:vMerge w:val="continue"/>
                  <w:noWrap w:val="0"/>
                  <w:vAlign w:val="center"/>
                </w:tcPr>
                <w:p w14:paraId="1FC8D126">
                  <w:pPr>
                    <w:widowControl w:val="0"/>
                    <w:jc w:val="center"/>
                    <w:rPr>
                      <w:rFonts w:hint="default" w:ascii="Times New Roman" w:hAnsi="Times New Roman" w:eastAsia="宋体" w:cs="Times New Roman"/>
                      <w:color w:val="auto"/>
                      <w:sz w:val="21"/>
                      <w:szCs w:val="21"/>
                      <w:highlight w:val="none"/>
                    </w:rPr>
                  </w:pPr>
                </w:p>
              </w:tc>
            </w:tr>
          </w:tbl>
          <w:p w14:paraId="5BD6058C">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color w:val="auto"/>
                <w:sz w:val="21"/>
                <w:szCs w:val="21"/>
              </w:rPr>
            </w:pPr>
            <w:r>
              <w:rPr>
                <w:rFonts w:hint="default" w:ascii="Times New Roman" w:hAnsi="Times New Roman" w:cs="Times New Roman"/>
                <w:b/>
                <w:color w:val="auto"/>
                <w:sz w:val="21"/>
                <w:szCs w:val="21"/>
              </w:rPr>
              <w:t>2、废水</w:t>
            </w:r>
          </w:p>
          <w:p w14:paraId="5B97F1E7">
            <w:pPr>
              <w:adjustRightInd w:val="0"/>
              <w:snapToGrid w:val="0"/>
              <w:spacing w:line="500" w:lineRule="exact"/>
              <w:ind w:firstLine="420" w:firstLineChars="200"/>
              <w:rPr>
                <w:rFonts w:hint="default" w:ascii="Times New Roman" w:hAnsi="Times New Roman" w:cs="Times New Roman"/>
                <w:b/>
                <w:color w:val="auto"/>
                <w:sz w:val="21"/>
                <w:szCs w:val="21"/>
              </w:rPr>
            </w:pPr>
            <w:r>
              <w:rPr>
                <w:rFonts w:hint="default" w:ascii="Times New Roman" w:hAnsi="Times New Roman" w:cs="Times New Roman"/>
                <w:color w:val="auto"/>
                <w:sz w:val="21"/>
                <w:szCs w:val="21"/>
              </w:rPr>
              <w:t>项目</w:t>
            </w:r>
            <w:r>
              <w:rPr>
                <w:rFonts w:hint="eastAsia" w:cs="Times New Roman"/>
                <w:color w:val="auto"/>
                <w:sz w:val="21"/>
                <w:szCs w:val="21"/>
                <w:lang w:val="en-US" w:eastAsia="zh-CN"/>
              </w:rPr>
              <w:t>不新增废</w:t>
            </w:r>
            <w:r>
              <w:rPr>
                <w:rFonts w:hint="default" w:ascii="Times New Roman" w:hAnsi="Times New Roman" w:cs="Times New Roman"/>
                <w:color w:val="auto"/>
                <w:sz w:val="21"/>
                <w:szCs w:val="21"/>
              </w:rPr>
              <w:t>水</w:t>
            </w:r>
            <w:r>
              <w:rPr>
                <w:rFonts w:hint="eastAsia" w:cs="Times New Roman"/>
                <w:color w:val="auto"/>
                <w:sz w:val="21"/>
                <w:szCs w:val="21"/>
                <w:lang w:val="en-US" w:eastAsia="zh-CN"/>
              </w:rPr>
              <w:t>排放</w:t>
            </w:r>
            <w:r>
              <w:rPr>
                <w:rFonts w:hint="default" w:ascii="Times New Roman" w:hAnsi="Times New Roman" w:eastAsia="宋体" w:cs="Times New Roman"/>
                <w:color w:val="auto"/>
                <w:sz w:val="21"/>
                <w:szCs w:val="21"/>
                <w:highlight w:val="none"/>
              </w:rPr>
              <w:t>。</w:t>
            </w:r>
          </w:p>
          <w:p w14:paraId="4CC50580">
            <w:pPr>
              <w:keepNext w:val="0"/>
              <w:keepLines w:val="0"/>
              <w:pageBreakBefore w:val="0"/>
              <w:widowControl w:val="0"/>
              <w:kinsoku/>
              <w:overflowPunct/>
              <w:topLinePunct w:val="0"/>
              <w:autoSpaceDE/>
              <w:autoSpaceDN/>
              <w:bidi w:val="0"/>
              <w:adjustRightInd w:val="0"/>
              <w:snapToGrid w:val="0"/>
              <w:spacing w:line="500" w:lineRule="exact"/>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3、噪声</w:t>
            </w:r>
          </w:p>
          <w:p w14:paraId="0BBBFC4D">
            <w:pPr>
              <w:keepNext w:val="0"/>
              <w:keepLines w:val="0"/>
              <w:pageBreakBefore w:val="0"/>
              <w:widowControl w:val="0"/>
              <w:kinsoku/>
              <w:overflowPunct/>
              <w:topLinePunct w:val="0"/>
              <w:autoSpaceDE/>
              <w:autoSpaceDN/>
              <w:bidi w:val="0"/>
              <w:adjustRightInd w:val="0"/>
              <w:snapToGrid w:val="0"/>
              <w:spacing w:line="500" w:lineRule="exact"/>
              <w:ind w:firstLine="420" w:firstLineChars="200"/>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项目东、南厂界噪声排放执行《</w:t>
            </w:r>
            <w:r>
              <w:rPr>
                <w:rFonts w:hint="default" w:ascii="Times New Roman" w:hAnsi="Times New Roman" w:eastAsia="宋体" w:cs="Times New Roman"/>
                <w:color w:val="auto"/>
                <w:sz w:val="21"/>
                <w:szCs w:val="21"/>
              </w:rPr>
              <w:t>工业企业厂界环境噪声排放标准</w:t>
            </w:r>
            <w:r>
              <w:rPr>
                <w:rFonts w:hint="eastAsia" w:ascii="Times New Roman" w:hAnsi="Times New Roman" w:eastAsia="宋体" w:cs="Times New Roman"/>
                <w:color w:val="auto"/>
                <w:sz w:val="21"/>
                <w:szCs w:val="21"/>
                <w:lang w:val="en-US" w:eastAsia="zh-CN"/>
              </w:rPr>
              <w:t>》（GB12348-2008）表1中3类标准；项目西厂界临复兴路、北厂界临鑫城大道，故西厂界、北厂界噪声排放执行《</w:t>
            </w:r>
            <w:r>
              <w:rPr>
                <w:rFonts w:hint="default" w:ascii="Times New Roman" w:hAnsi="Times New Roman" w:eastAsia="宋体" w:cs="Times New Roman"/>
                <w:color w:val="auto"/>
                <w:sz w:val="21"/>
                <w:szCs w:val="21"/>
              </w:rPr>
              <w:t>工业企业厂界环境噪声排放标准</w:t>
            </w:r>
            <w:r>
              <w:rPr>
                <w:rFonts w:hint="eastAsia" w:ascii="Times New Roman" w:hAnsi="Times New Roman" w:eastAsia="宋体" w:cs="Times New Roman"/>
                <w:color w:val="auto"/>
                <w:sz w:val="21"/>
                <w:szCs w:val="21"/>
                <w:lang w:val="en-US" w:eastAsia="zh-CN"/>
              </w:rPr>
              <w:t>》（GB12348-2008）表1中4类标准</w:t>
            </w:r>
            <w:r>
              <w:rPr>
                <w:rFonts w:hint="eastAsia" w:cs="Times New Roman"/>
                <w:color w:val="auto"/>
                <w:sz w:val="21"/>
                <w:szCs w:val="21"/>
                <w:lang w:eastAsia="zh-CN"/>
              </w:rPr>
              <w:t>。</w:t>
            </w:r>
          </w:p>
          <w:p w14:paraId="711992F4">
            <w:pPr>
              <w:keepNext w:val="0"/>
              <w:keepLines w:val="0"/>
              <w:pageBreakBefore w:val="0"/>
              <w:widowControl w:val="0"/>
              <w:kinsoku/>
              <w:wordWrap w:val="0"/>
              <w:overflowPunct/>
              <w:topLinePunct w:val="0"/>
              <w:autoSpaceDE/>
              <w:autoSpaceDN/>
              <w:bidi w:val="0"/>
              <w:adjustRightInd w:val="0"/>
              <w:snapToGrid w:val="0"/>
              <w:spacing w:line="50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表3-</w:t>
            </w:r>
            <w:r>
              <w:rPr>
                <w:rFonts w:hint="eastAsia" w:cs="Times New Roman"/>
                <w:b/>
                <w:bCs/>
                <w:color w:val="auto"/>
                <w:sz w:val="21"/>
                <w:szCs w:val="21"/>
                <w:lang w:val="en-US" w:eastAsia="zh-CN"/>
              </w:rPr>
              <w:t>9</w:t>
            </w:r>
            <w:r>
              <w:rPr>
                <w:rFonts w:hint="default" w:ascii="Times New Roman" w:hAnsi="Times New Roman" w:cs="Times New Roman"/>
                <w:b/>
                <w:bCs/>
                <w:color w:val="auto"/>
                <w:sz w:val="21"/>
                <w:szCs w:val="21"/>
              </w:rPr>
              <w:t>营运期噪声排放标准</w:t>
            </w:r>
          </w:p>
          <w:tbl>
            <w:tblPr>
              <w:tblStyle w:val="31"/>
              <w:tblW w:w="5000" w:type="pct"/>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5"/>
              <w:gridCol w:w="2387"/>
              <w:gridCol w:w="1689"/>
              <w:gridCol w:w="1820"/>
            </w:tblGrid>
            <w:tr w14:paraId="7B6F65AD">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83" w:type="pct"/>
                  <w:vAlign w:val="center"/>
                </w:tcPr>
                <w:p w14:paraId="7C4313BC">
                  <w:pPr>
                    <w:adjustRightIn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声环境功能类别</w:t>
                  </w:r>
                </w:p>
              </w:tc>
              <w:tc>
                <w:tcPr>
                  <w:tcW w:w="1505" w:type="pct"/>
                  <w:vAlign w:val="center"/>
                </w:tcPr>
                <w:p w14:paraId="27135F1B">
                  <w:pPr>
                    <w:adjustRightIn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昼间</w:t>
                  </w:r>
                </w:p>
              </w:tc>
              <w:tc>
                <w:tcPr>
                  <w:tcW w:w="1065" w:type="pct"/>
                  <w:vAlign w:val="center"/>
                </w:tcPr>
                <w:p w14:paraId="64689381">
                  <w:pPr>
                    <w:adjustRightIn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夜间</w:t>
                  </w:r>
                </w:p>
              </w:tc>
              <w:tc>
                <w:tcPr>
                  <w:tcW w:w="1147" w:type="pct"/>
                  <w:tcBorders>
                    <w:right w:val="nil"/>
                  </w:tcBorders>
                  <w:vAlign w:val="center"/>
                </w:tcPr>
                <w:p w14:paraId="5CA0F262">
                  <w:pPr>
                    <w:adjustRightIn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执行区域</w:t>
                  </w:r>
                </w:p>
              </w:tc>
            </w:tr>
            <w:tr w14:paraId="2BDB1D36">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83" w:type="pct"/>
                  <w:vAlign w:val="center"/>
                </w:tcPr>
                <w:p w14:paraId="2AA72476">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类</w:t>
                  </w:r>
                </w:p>
              </w:tc>
              <w:tc>
                <w:tcPr>
                  <w:tcW w:w="1505" w:type="pct"/>
                  <w:vAlign w:val="center"/>
                </w:tcPr>
                <w:p w14:paraId="44CD738B">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r>
                    <w:rPr>
                      <w:rFonts w:hint="default"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dB（A）</w:t>
                  </w:r>
                </w:p>
              </w:tc>
              <w:tc>
                <w:tcPr>
                  <w:tcW w:w="1065" w:type="pct"/>
                  <w:vAlign w:val="center"/>
                </w:tcPr>
                <w:p w14:paraId="48610CBE">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r>
                    <w:rPr>
                      <w:rFonts w:hint="default"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dB（A）</w:t>
                  </w:r>
                </w:p>
              </w:tc>
              <w:tc>
                <w:tcPr>
                  <w:tcW w:w="1147" w:type="pct"/>
                  <w:tcBorders>
                    <w:right w:val="nil"/>
                  </w:tcBorders>
                  <w:vAlign w:val="center"/>
                </w:tcPr>
                <w:p w14:paraId="63E16617">
                  <w:pPr>
                    <w:adjustRightInd w:val="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东、南</w:t>
                  </w:r>
                  <w:r>
                    <w:rPr>
                      <w:rFonts w:hint="default" w:ascii="Times New Roman" w:hAnsi="Times New Roman" w:cs="Times New Roman"/>
                      <w:color w:val="auto"/>
                      <w:sz w:val="21"/>
                      <w:szCs w:val="21"/>
                    </w:rPr>
                    <w:t>厂界</w:t>
                  </w:r>
                </w:p>
              </w:tc>
            </w:tr>
            <w:tr w14:paraId="6E5CF3E5">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83" w:type="pct"/>
                  <w:vAlign w:val="center"/>
                </w:tcPr>
                <w:p w14:paraId="66F4A8B8">
                  <w:pPr>
                    <w:adjustRightInd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w:t>
                  </w:r>
                  <w:r>
                    <w:rPr>
                      <w:rFonts w:hint="default" w:ascii="Times New Roman" w:hAnsi="Times New Roman" w:cs="Times New Roman"/>
                      <w:color w:val="auto"/>
                      <w:sz w:val="21"/>
                      <w:szCs w:val="21"/>
                    </w:rPr>
                    <w:t>类</w:t>
                  </w:r>
                </w:p>
              </w:tc>
              <w:tc>
                <w:tcPr>
                  <w:tcW w:w="2387" w:type="dxa"/>
                  <w:vAlign w:val="center"/>
                </w:tcPr>
                <w:p w14:paraId="26740495">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70</w:t>
                  </w:r>
                  <w:r>
                    <w:rPr>
                      <w:rFonts w:hint="default" w:ascii="Times New Roman" w:hAnsi="Times New Roman" w:cs="Times New Roman"/>
                      <w:color w:val="auto"/>
                      <w:sz w:val="21"/>
                      <w:szCs w:val="21"/>
                    </w:rPr>
                    <w:t>dB（A）</w:t>
                  </w:r>
                </w:p>
              </w:tc>
              <w:tc>
                <w:tcPr>
                  <w:tcW w:w="1689" w:type="dxa"/>
                  <w:vAlign w:val="center"/>
                </w:tcPr>
                <w:p w14:paraId="4B026B53">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r>
                    <w:rPr>
                      <w:rFonts w:hint="default"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dB（A）</w:t>
                  </w:r>
                </w:p>
              </w:tc>
              <w:tc>
                <w:tcPr>
                  <w:tcW w:w="1147" w:type="pct"/>
                  <w:tcBorders>
                    <w:right w:val="nil"/>
                  </w:tcBorders>
                  <w:vAlign w:val="center"/>
                </w:tcPr>
                <w:p w14:paraId="5C34483C">
                  <w:pPr>
                    <w:adjustRightInd w:val="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西、北</w:t>
                  </w:r>
                  <w:r>
                    <w:rPr>
                      <w:rFonts w:hint="default" w:ascii="Times New Roman" w:hAnsi="Times New Roman" w:cs="Times New Roman"/>
                      <w:color w:val="auto"/>
                      <w:sz w:val="21"/>
                      <w:szCs w:val="21"/>
                    </w:rPr>
                    <w:t>厂界</w:t>
                  </w:r>
                </w:p>
              </w:tc>
            </w:tr>
          </w:tbl>
          <w:p w14:paraId="137F2B53">
            <w:pPr>
              <w:adjustRightInd w:val="0"/>
              <w:snapToGrid w:val="0"/>
              <w:spacing w:line="500" w:lineRule="exact"/>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4、固废</w:t>
            </w:r>
          </w:p>
          <w:p w14:paraId="2C2AB13A">
            <w:pPr>
              <w:widowControl/>
              <w:adjustRightInd w:val="0"/>
              <w:snapToGrid w:val="0"/>
              <w:spacing w:line="500" w:lineRule="exact"/>
              <w:ind w:firstLine="420" w:firstLineChars="20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（1）一般固废</w:t>
            </w:r>
            <w:r>
              <w:rPr>
                <w:rFonts w:hint="eastAsia" w:ascii="Times New Roman" w:hAnsi="Times New Roman" w:eastAsia="宋体" w:cs="Times New Roman"/>
                <w:bCs/>
                <w:color w:val="auto"/>
                <w:sz w:val="21"/>
                <w:szCs w:val="21"/>
                <w:lang w:val="en-US" w:eastAsia="zh-CN"/>
              </w:rPr>
              <w:t>满足防渗漏、防雨淋、防扬尘的环境管理要求</w:t>
            </w:r>
            <w:r>
              <w:rPr>
                <w:rFonts w:hint="default" w:ascii="Times New Roman" w:hAnsi="Times New Roman" w:eastAsia="宋体" w:cs="Times New Roman"/>
                <w:bCs/>
                <w:color w:val="auto"/>
                <w:sz w:val="21"/>
                <w:szCs w:val="21"/>
                <w:lang w:val="en-US" w:eastAsia="zh-CN"/>
              </w:rPr>
              <w:t>；</w:t>
            </w:r>
          </w:p>
          <w:p w14:paraId="059D6F3E">
            <w:pPr>
              <w:widowControl/>
              <w:adjustRightInd w:val="0"/>
              <w:snapToGrid w:val="0"/>
              <w:spacing w:line="500" w:lineRule="exact"/>
              <w:ind w:firstLine="420" w:firstLineChars="200"/>
              <w:rPr>
                <w:rFonts w:hint="default" w:ascii="Times New Roman" w:hAnsi="Times New Roman" w:cs="Times New Roman"/>
                <w:bCs/>
                <w:color w:val="auto"/>
                <w:sz w:val="21"/>
                <w:szCs w:val="21"/>
              </w:rPr>
            </w:pPr>
            <w:r>
              <w:rPr>
                <w:rFonts w:hint="default" w:ascii="Times New Roman" w:hAnsi="Times New Roman" w:eastAsia="宋体" w:cs="Times New Roman"/>
                <w:bCs/>
                <w:color w:val="auto"/>
                <w:sz w:val="21"/>
                <w:szCs w:val="21"/>
                <w:lang w:val="en-US" w:eastAsia="zh-CN"/>
              </w:rPr>
              <w:t>（2）危险废物执行《危险废物贮存污染控制标准》（GB18597-20</w:t>
            </w:r>
            <w:r>
              <w:rPr>
                <w:rFonts w:hint="eastAsia" w:ascii="Times New Roman" w:hAnsi="Times New Roman" w:eastAsia="宋体" w:cs="Times New Roman"/>
                <w:bCs/>
                <w:color w:val="auto"/>
                <w:sz w:val="21"/>
                <w:szCs w:val="21"/>
                <w:lang w:val="en-US" w:eastAsia="zh-CN"/>
              </w:rPr>
              <w:t>23</w:t>
            </w:r>
            <w:r>
              <w:rPr>
                <w:rFonts w:hint="default" w:ascii="Times New Roman" w:hAnsi="Times New Roman" w:eastAsia="宋体" w:cs="Times New Roman"/>
                <w:bCs/>
                <w:color w:val="auto"/>
                <w:sz w:val="21"/>
                <w:szCs w:val="21"/>
                <w:lang w:val="en-US" w:eastAsia="zh-CN"/>
              </w:rPr>
              <w:t>），同时执行</w:t>
            </w:r>
            <w:r>
              <w:rPr>
                <w:rFonts w:hint="eastAsia" w:ascii="Times New Roman" w:hAnsi="Times New Roman" w:eastAsia="宋体" w:cs="Times New Roman"/>
                <w:bCs/>
                <w:color w:val="auto"/>
                <w:sz w:val="21"/>
                <w:szCs w:val="21"/>
                <w:lang w:val="en-US" w:eastAsia="zh-CN"/>
              </w:rPr>
              <w:t>《关于印发</w:t>
            </w:r>
            <w:r>
              <w:rPr>
                <w:rFonts w:hint="default" w:ascii="Times New Roman" w:hAnsi="Times New Roman" w:eastAsia="宋体" w:cs="Times New Roman"/>
                <w:bCs/>
                <w:color w:val="auto"/>
                <w:sz w:val="21"/>
                <w:szCs w:val="21"/>
                <w:lang w:val="en-US" w:eastAsia="zh-CN"/>
              </w:rPr>
              <w:t>&lt;</w:t>
            </w:r>
            <w:r>
              <w:rPr>
                <w:rFonts w:hint="eastAsia" w:ascii="Times New Roman" w:hAnsi="Times New Roman" w:eastAsia="宋体" w:cs="Times New Roman"/>
                <w:bCs/>
                <w:color w:val="auto"/>
                <w:sz w:val="21"/>
                <w:szCs w:val="21"/>
                <w:lang w:val="en-US" w:eastAsia="zh-CN"/>
              </w:rPr>
              <w:t>江苏省固体废物全过程环境监管工作意见</w:t>
            </w:r>
            <w:r>
              <w:rPr>
                <w:rFonts w:hint="default" w:ascii="Times New Roman" w:hAnsi="Times New Roman" w:eastAsia="宋体" w:cs="Times New Roman"/>
                <w:bCs/>
                <w:color w:val="auto"/>
                <w:sz w:val="21"/>
                <w:szCs w:val="21"/>
                <w:lang w:val="en-US" w:eastAsia="zh-CN"/>
              </w:rPr>
              <w:t>&gt;</w:t>
            </w:r>
            <w:r>
              <w:rPr>
                <w:rFonts w:hint="eastAsia" w:ascii="Times New Roman" w:hAnsi="Times New Roman" w:eastAsia="宋体" w:cs="Times New Roman"/>
                <w:bCs/>
                <w:color w:val="auto"/>
                <w:sz w:val="21"/>
                <w:szCs w:val="21"/>
                <w:lang w:val="en-US" w:eastAsia="zh-CN"/>
              </w:rPr>
              <w:t>的通知》（苏环办〔2024〕16号）</w:t>
            </w:r>
            <w:r>
              <w:rPr>
                <w:rFonts w:hint="default" w:ascii="Times New Roman" w:hAnsi="Times New Roman" w:eastAsia="宋体" w:cs="Times New Roman"/>
                <w:bCs/>
                <w:color w:val="auto"/>
                <w:sz w:val="21"/>
                <w:szCs w:val="21"/>
                <w:lang w:val="en-US" w:eastAsia="zh-CN"/>
              </w:rPr>
              <w:t>的要求。</w:t>
            </w:r>
          </w:p>
        </w:tc>
      </w:tr>
      <w:tr w14:paraId="66813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4" w:hRule="atLeast"/>
          <w:jc w:val="center"/>
        </w:trPr>
        <w:tc>
          <w:tcPr>
            <w:tcW w:w="832" w:type="dxa"/>
            <w:tcMar>
              <w:left w:w="28" w:type="dxa"/>
              <w:right w:w="28" w:type="dxa"/>
            </w:tcMar>
            <w:vAlign w:val="center"/>
          </w:tcPr>
          <w:p w14:paraId="4716CD76">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总量</w:t>
            </w:r>
          </w:p>
          <w:p w14:paraId="36164D00">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控制</w:t>
            </w:r>
          </w:p>
          <w:p w14:paraId="1A5C076B">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指标</w:t>
            </w:r>
          </w:p>
        </w:tc>
        <w:tc>
          <w:tcPr>
            <w:tcW w:w="8152" w:type="dxa"/>
            <w:vAlign w:val="center"/>
          </w:tcPr>
          <w:p w14:paraId="34E3293C">
            <w:pPr>
              <w:keepNext w:val="0"/>
              <w:keepLines w:val="0"/>
              <w:pageBreakBefore w:val="0"/>
              <w:kinsoku/>
              <w:wordWrap/>
              <w:overflowPunct w:val="0"/>
              <w:topLinePunct w:val="0"/>
              <w:autoSpaceDE/>
              <w:autoSpaceDN/>
              <w:bidi w:val="0"/>
              <w:adjustRightInd w:val="0"/>
              <w:snapToGrid w:val="0"/>
              <w:spacing w:line="500" w:lineRule="exact"/>
              <w:ind w:firstLine="422" w:firstLineChars="200"/>
              <w:textAlignment w:val="auto"/>
              <w:rPr>
                <w:rFonts w:hint="default" w:ascii="Times New Roman" w:hAnsi="Times New Roman" w:cs="Times New Roman"/>
                <w:b/>
                <w:bCs/>
                <w:color w:val="auto"/>
                <w:sz w:val="21"/>
                <w:szCs w:val="21"/>
              </w:rPr>
            </w:pPr>
            <w:r>
              <w:rPr>
                <w:rFonts w:hint="eastAsia" w:cs="Times New Roman"/>
                <w:b/>
                <w:bCs/>
                <w:color w:val="auto"/>
                <w:sz w:val="21"/>
                <w:szCs w:val="21"/>
                <w:lang w:val="en-US" w:eastAsia="zh-CN"/>
              </w:rPr>
              <w:t>1</w:t>
            </w:r>
            <w:r>
              <w:rPr>
                <w:rFonts w:hint="default" w:ascii="Times New Roman" w:hAnsi="Times New Roman" w:cs="Times New Roman"/>
                <w:b/>
                <w:bCs/>
                <w:color w:val="auto"/>
                <w:sz w:val="21"/>
                <w:szCs w:val="21"/>
              </w:rPr>
              <w:t>、总量控制指标</w:t>
            </w:r>
          </w:p>
          <w:p w14:paraId="4B8F6758">
            <w:pPr>
              <w:keepNext w:val="0"/>
              <w:keepLines w:val="0"/>
              <w:pageBreakBefore w:val="0"/>
              <w:kinsoku/>
              <w:wordWrap/>
              <w:topLinePunct w:val="0"/>
              <w:autoSpaceDE/>
              <w:autoSpaceDN/>
              <w:bidi w:val="0"/>
              <w:adjustRightInd w:val="0"/>
              <w:snapToGrid w:val="0"/>
              <w:spacing w:line="500" w:lineRule="exact"/>
              <w:ind w:firstLine="457" w:firstLineChars="218"/>
              <w:jc w:val="left"/>
              <w:textAlignment w:val="auto"/>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本项目</w:t>
            </w:r>
            <w:r>
              <w:rPr>
                <w:rFonts w:hint="default" w:ascii="Times New Roman" w:hAnsi="Times New Roman" w:cs="Times New Roman"/>
                <w:color w:val="auto"/>
                <w:sz w:val="21"/>
                <w:szCs w:val="21"/>
              </w:rPr>
              <w:t>污染物总量控制指标及来源途径见</w:t>
            </w:r>
            <w:r>
              <w:rPr>
                <w:rFonts w:hint="default" w:ascii="Times New Roman" w:hAnsi="Times New Roman" w:cs="Times New Roman"/>
                <w:color w:val="auto"/>
                <w:sz w:val="21"/>
                <w:szCs w:val="21"/>
                <w:lang w:val="en-US" w:eastAsia="zh-CN"/>
              </w:rPr>
              <w:t>下</w:t>
            </w:r>
            <w:r>
              <w:rPr>
                <w:rFonts w:hint="default" w:ascii="Times New Roman" w:hAnsi="Times New Roman" w:cs="Times New Roman"/>
                <w:color w:val="auto"/>
                <w:sz w:val="21"/>
                <w:szCs w:val="21"/>
              </w:rPr>
              <w:t>表</w:t>
            </w:r>
            <w:r>
              <w:rPr>
                <w:rFonts w:hint="default" w:ascii="Times New Roman" w:hAnsi="Times New Roman" w:cs="Times New Roman"/>
                <w:color w:val="auto"/>
                <w:sz w:val="21"/>
                <w:szCs w:val="21"/>
                <w:lang w:eastAsia="zh-CN"/>
              </w:rPr>
              <w:t>。</w:t>
            </w:r>
          </w:p>
          <w:p w14:paraId="53061C32">
            <w:pPr>
              <w:adjustRightInd w:val="0"/>
              <w:snapToGrid w:val="0"/>
              <w:spacing w:line="500" w:lineRule="exact"/>
              <w:ind w:left="0" w:leftChars="0" w:firstLine="0"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表3-</w:t>
            </w:r>
            <w:r>
              <w:rPr>
                <w:rFonts w:hint="eastAsia" w:cs="Times New Roman"/>
                <w:b/>
                <w:bCs/>
                <w:color w:val="auto"/>
                <w:sz w:val="21"/>
                <w:szCs w:val="21"/>
                <w:lang w:val="en-US" w:eastAsia="zh-CN"/>
              </w:rPr>
              <w:t>10 本项目</w:t>
            </w:r>
            <w:r>
              <w:rPr>
                <w:rFonts w:hint="default" w:ascii="Times New Roman" w:hAnsi="Times New Roman" w:cs="Times New Roman"/>
                <w:b/>
                <w:bCs/>
                <w:color w:val="auto"/>
                <w:sz w:val="21"/>
                <w:szCs w:val="21"/>
                <w:lang w:val="en-US" w:eastAsia="zh-CN"/>
              </w:rPr>
              <w:t>污染物排放情况一览表(t/a)</w:t>
            </w:r>
          </w:p>
          <w:tbl>
            <w:tblPr>
              <w:tblStyle w:val="31"/>
              <w:tblW w:w="4998" w:type="pct"/>
              <w:jc w:val="center"/>
              <w:tblBorders>
                <w:top w:val="single" w:color="auto" w:sz="4" w:space="0"/>
                <w:left w:val="none" w:color="auto" w:sz="0" w:space="0"/>
                <w:bottom w:val="single" w:color="auto" w:sz="4"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266"/>
              <w:gridCol w:w="319"/>
              <w:gridCol w:w="773"/>
              <w:gridCol w:w="641"/>
              <w:gridCol w:w="751"/>
              <w:gridCol w:w="708"/>
              <w:gridCol w:w="875"/>
              <w:gridCol w:w="638"/>
              <w:gridCol w:w="719"/>
              <w:gridCol w:w="741"/>
              <w:gridCol w:w="751"/>
              <w:gridCol w:w="751"/>
            </w:tblGrid>
            <w:tr w14:paraId="7E4662F3">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368" w:type="pct"/>
                  <w:gridSpan w:val="2"/>
                  <w:vMerge w:val="restart"/>
                  <w:noWrap w:val="0"/>
                  <w:vAlign w:val="center"/>
                </w:tcPr>
                <w:p w14:paraId="5C98B05B">
                  <w:pPr>
                    <w:adjustRightInd w:val="0"/>
                    <w:snapToGrid w:val="0"/>
                    <w:jc w:val="center"/>
                    <w:rPr>
                      <w:rFonts w:hint="eastAsia" w:eastAsia="宋体"/>
                      <w:b/>
                      <w:bCs/>
                      <w:color w:val="auto"/>
                      <w:szCs w:val="21"/>
                      <w:lang w:eastAsia="zh-CN"/>
                    </w:rPr>
                  </w:pPr>
                  <w:r>
                    <w:rPr>
                      <w:rFonts w:hint="eastAsia"/>
                      <w:b/>
                      <w:bCs/>
                      <w:color w:val="auto"/>
                      <w:szCs w:val="21"/>
                      <w:lang w:val="en-US" w:eastAsia="zh-CN"/>
                    </w:rPr>
                    <w:t>种类</w:t>
                  </w:r>
                </w:p>
              </w:tc>
              <w:tc>
                <w:tcPr>
                  <w:tcW w:w="487" w:type="pct"/>
                  <w:vMerge w:val="restart"/>
                  <w:noWrap w:val="0"/>
                  <w:vAlign w:val="center"/>
                </w:tcPr>
                <w:p w14:paraId="09989C49">
                  <w:pPr>
                    <w:adjustRightInd w:val="0"/>
                    <w:snapToGrid w:val="0"/>
                    <w:jc w:val="center"/>
                    <w:rPr>
                      <w:b/>
                      <w:bCs/>
                      <w:color w:val="auto"/>
                      <w:szCs w:val="21"/>
                    </w:rPr>
                  </w:pPr>
                  <w:r>
                    <w:rPr>
                      <w:b/>
                      <w:bCs/>
                      <w:color w:val="auto"/>
                      <w:szCs w:val="21"/>
                    </w:rPr>
                    <w:t>污染物名称</w:t>
                  </w:r>
                </w:p>
              </w:tc>
              <w:tc>
                <w:tcPr>
                  <w:tcW w:w="877" w:type="pct"/>
                  <w:gridSpan w:val="2"/>
                  <w:noWrap w:val="0"/>
                  <w:vAlign w:val="center"/>
                </w:tcPr>
                <w:p w14:paraId="4848DF8E">
                  <w:pPr>
                    <w:adjustRightInd w:val="0"/>
                    <w:snapToGrid w:val="0"/>
                    <w:jc w:val="center"/>
                    <w:rPr>
                      <w:b/>
                      <w:bCs/>
                      <w:color w:val="auto"/>
                      <w:szCs w:val="21"/>
                    </w:rPr>
                  </w:pPr>
                  <w:r>
                    <w:rPr>
                      <w:rFonts w:hint="eastAsia"/>
                      <w:b/>
                      <w:bCs/>
                      <w:color w:val="auto"/>
                      <w:szCs w:val="21"/>
                      <w:lang w:val="en-US" w:eastAsia="zh-CN"/>
                    </w:rPr>
                    <w:t>现有</w:t>
                  </w:r>
                  <w:r>
                    <w:rPr>
                      <w:b/>
                      <w:bCs/>
                      <w:color w:val="auto"/>
                      <w:szCs w:val="21"/>
                    </w:rPr>
                    <w:t>项目</w:t>
                  </w:r>
                </w:p>
              </w:tc>
              <w:tc>
                <w:tcPr>
                  <w:tcW w:w="1399" w:type="pct"/>
                  <w:gridSpan w:val="3"/>
                  <w:noWrap w:val="0"/>
                  <w:vAlign w:val="center"/>
                </w:tcPr>
                <w:p w14:paraId="205C905F">
                  <w:pPr>
                    <w:adjustRightInd w:val="0"/>
                    <w:snapToGrid w:val="0"/>
                    <w:jc w:val="center"/>
                    <w:rPr>
                      <w:b/>
                      <w:bCs/>
                      <w:color w:val="auto"/>
                      <w:szCs w:val="21"/>
                    </w:rPr>
                  </w:pPr>
                  <w:r>
                    <w:rPr>
                      <w:rFonts w:hint="eastAsia"/>
                      <w:b/>
                      <w:bCs/>
                      <w:color w:val="auto"/>
                      <w:szCs w:val="21"/>
                      <w:lang w:val="en-US" w:eastAsia="zh-CN"/>
                    </w:rPr>
                    <w:t>技改</w:t>
                  </w:r>
                  <w:r>
                    <w:rPr>
                      <w:b/>
                      <w:bCs/>
                      <w:color w:val="auto"/>
                      <w:szCs w:val="21"/>
                    </w:rPr>
                    <w:t>项目</w:t>
                  </w:r>
                </w:p>
              </w:tc>
              <w:tc>
                <w:tcPr>
                  <w:tcW w:w="453" w:type="pct"/>
                  <w:vMerge w:val="restart"/>
                  <w:noWrap w:val="0"/>
                  <w:vAlign w:val="center"/>
                </w:tcPr>
                <w:p w14:paraId="4C4E08B5">
                  <w:pPr>
                    <w:adjustRightInd w:val="0"/>
                    <w:snapToGrid w:val="0"/>
                    <w:jc w:val="center"/>
                    <w:rPr>
                      <w:b/>
                      <w:bCs/>
                      <w:color w:val="auto"/>
                      <w:szCs w:val="21"/>
                    </w:rPr>
                  </w:pPr>
                  <w:r>
                    <w:rPr>
                      <w:b/>
                      <w:bCs/>
                      <w:color w:val="auto"/>
                      <w:szCs w:val="21"/>
                    </w:rPr>
                    <w:t>以新带老削减量</w:t>
                  </w:r>
                  <w:r>
                    <w:rPr>
                      <w:rFonts w:hint="eastAsia"/>
                      <w:b/>
                      <w:color w:val="auto"/>
                      <w:szCs w:val="21"/>
                    </w:rPr>
                    <w:t>t/a</w:t>
                  </w:r>
                </w:p>
              </w:tc>
              <w:tc>
                <w:tcPr>
                  <w:tcW w:w="467" w:type="pct"/>
                  <w:vMerge w:val="restart"/>
                  <w:noWrap w:val="0"/>
                  <w:vAlign w:val="center"/>
                </w:tcPr>
                <w:p w14:paraId="47CC7443">
                  <w:pPr>
                    <w:adjustRightInd w:val="0"/>
                    <w:snapToGrid w:val="0"/>
                    <w:jc w:val="center"/>
                    <w:rPr>
                      <w:b/>
                      <w:bCs/>
                      <w:color w:val="auto"/>
                      <w:szCs w:val="21"/>
                    </w:rPr>
                  </w:pPr>
                  <w:r>
                    <w:rPr>
                      <w:rFonts w:hint="eastAsia"/>
                      <w:b/>
                      <w:bCs/>
                      <w:color w:val="auto"/>
                      <w:szCs w:val="21"/>
                      <w:lang w:val="en-US" w:eastAsia="zh-CN"/>
                    </w:rPr>
                    <w:t>技改</w:t>
                  </w:r>
                  <w:r>
                    <w:rPr>
                      <w:b/>
                      <w:bCs/>
                      <w:color w:val="auto"/>
                      <w:szCs w:val="21"/>
                    </w:rPr>
                    <w:t>后全厂排放量</w:t>
                  </w:r>
                  <w:r>
                    <w:rPr>
                      <w:rFonts w:hint="eastAsia"/>
                      <w:b/>
                      <w:color w:val="auto"/>
                      <w:szCs w:val="21"/>
                    </w:rPr>
                    <w:t>t/a</w:t>
                  </w:r>
                </w:p>
              </w:tc>
              <w:tc>
                <w:tcPr>
                  <w:tcW w:w="473" w:type="pct"/>
                  <w:vMerge w:val="restart"/>
                  <w:noWrap w:val="0"/>
                  <w:vAlign w:val="center"/>
                </w:tcPr>
                <w:p w14:paraId="24AFDCCC">
                  <w:pPr>
                    <w:adjustRightInd w:val="0"/>
                    <w:snapToGrid w:val="0"/>
                    <w:jc w:val="center"/>
                    <w:rPr>
                      <w:b/>
                      <w:bCs/>
                      <w:color w:val="auto"/>
                      <w:szCs w:val="21"/>
                    </w:rPr>
                  </w:pPr>
                  <w:r>
                    <w:rPr>
                      <w:b/>
                      <w:bCs/>
                      <w:color w:val="auto"/>
                      <w:szCs w:val="21"/>
                    </w:rPr>
                    <w:t>排放增减量</w:t>
                  </w:r>
                  <w:r>
                    <w:rPr>
                      <w:rFonts w:hint="eastAsia"/>
                      <w:b/>
                      <w:color w:val="auto"/>
                      <w:szCs w:val="21"/>
                    </w:rPr>
                    <w:t>t/a</w:t>
                  </w:r>
                </w:p>
              </w:tc>
              <w:tc>
                <w:tcPr>
                  <w:tcW w:w="473" w:type="pct"/>
                  <w:vMerge w:val="restart"/>
                  <w:noWrap w:val="0"/>
                  <w:vAlign w:val="center"/>
                </w:tcPr>
                <w:p w14:paraId="20F13F95">
                  <w:pPr>
                    <w:adjustRightInd w:val="0"/>
                    <w:snapToGrid w:val="0"/>
                    <w:jc w:val="center"/>
                    <w:rPr>
                      <w:rFonts w:hint="eastAsia" w:eastAsia="宋体"/>
                      <w:b/>
                      <w:bCs/>
                      <w:color w:val="auto"/>
                      <w:szCs w:val="21"/>
                      <w:lang w:eastAsia="zh-CN"/>
                    </w:rPr>
                  </w:pPr>
                  <w:r>
                    <w:rPr>
                      <w:b/>
                      <w:bCs/>
                      <w:color w:val="auto"/>
                      <w:szCs w:val="21"/>
                    </w:rPr>
                    <w:t>申请</w:t>
                  </w:r>
                  <w:r>
                    <w:rPr>
                      <w:rFonts w:hint="eastAsia"/>
                      <w:b/>
                      <w:bCs/>
                      <w:color w:val="auto"/>
                      <w:szCs w:val="21"/>
                      <w:lang w:val="en-US" w:eastAsia="zh-CN"/>
                    </w:rPr>
                    <w:t>总量</w:t>
                  </w:r>
                  <w:r>
                    <w:rPr>
                      <w:rFonts w:hint="eastAsia"/>
                      <w:b/>
                      <w:color w:val="auto"/>
                      <w:szCs w:val="21"/>
                    </w:rPr>
                    <w:t>t/a</w:t>
                  </w:r>
                </w:p>
              </w:tc>
            </w:tr>
            <w:tr w14:paraId="119312F5">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514" w:hRule="atLeast"/>
                <w:jc w:val="center"/>
              </w:trPr>
              <w:tc>
                <w:tcPr>
                  <w:tcW w:w="368" w:type="pct"/>
                  <w:gridSpan w:val="2"/>
                  <w:vMerge w:val="continue"/>
                  <w:noWrap w:val="0"/>
                  <w:vAlign w:val="center"/>
                </w:tcPr>
                <w:p w14:paraId="239EBC4B">
                  <w:pPr>
                    <w:jc w:val="center"/>
                    <w:rPr>
                      <w:color w:val="auto"/>
                      <w:szCs w:val="21"/>
                    </w:rPr>
                  </w:pPr>
                </w:p>
              </w:tc>
              <w:tc>
                <w:tcPr>
                  <w:tcW w:w="487" w:type="pct"/>
                  <w:vMerge w:val="continue"/>
                  <w:noWrap w:val="0"/>
                  <w:vAlign w:val="center"/>
                </w:tcPr>
                <w:p w14:paraId="79EF4338">
                  <w:pPr>
                    <w:jc w:val="center"/>
                    <w:rPr>
                      <w:color w:val="auto"/>
                      <w:szCs w:val="21"/>
                    </w:rPr>
                  </w:pPr>
                </w:p>
              </w:tc>
              <w:tc>
                <w:tcPr>
                  <w:tcW w:w="404" w:type="pct"/>
                  <w:noWrap w:val="0"/>
                  <w:vAlign w:val="center"/>
                </w:tcPr>
                <w:p w14:paraId="18A2901A">
                  <w:pPr>
                    <w:jc w:val="center"/>
                    <w:rPr>
                      <w:b/>
                      <w:bCs/>
                      <w:color w:val="auto"/>
                      <w:szCs w:val="21"/>
                    </w:rPr>
                  </w:pPr>
                  <w:r>
                    <w:rPr>
                      <w:rFonts w:hint="eastAsia"/>
                      <w:b/>
                      <w:color w:val="auto"/>
                      <w:szCs w:val="21"/>
                    </w:rPr>
                    <w:t>现有实际排放量t/a</w:t>
                  </w:r>
                </w:p>
              </w:tc>
              <w:tc>
                <w:tcPr>
                  <w:tcW w:w="473" w:type="pct"/>
                  <w:noWrap w:val="0"/>
                  <w:vAlign w:val="center"/>
                </w:tcPr>
                <w:p w14:paraId="720F45DE">
                  <w:pPr>
                    <w:jc w:val="center"/>
                    <w:rPr>
                      <w:b/>
                      <w:bCs/>
                      <w:color w:val="auto"/>
                      <w:szCs w:val="21"/>
                    </w:rPr>
                  </w:pPr>
                  <w:r>
                    <w:rPr>
                      <w:rFonts w:hint="eastAsia"/>
                      <w:b/>
                      <w:color w:val="auto"/>
                      <w:szCs w:val="21"/>
                    </w:rPr>
                    <w:t>现有</w:t>
                  </w:r>
                  <w:r>
                    <w:rPr>
                      <w:b/>
                      <w:color w:val="auto"/>
                      <w:szCs w:val="21"/>
                    </w:rPr>
                    <w:t>环评批复量</w:t>
                  </w:r>
                  <w:r>
                    <w:rPr>
                      <w:rFonts w:hint="eastAsia"/>
                      <w:b/>
                      <w:color w:val="auto"/>
                      <w:szCs w:val="21"/>
                    </w:rPr>
                    <w:t>t/a</w:t>
                  </w:r>
                </w:p>
              </w:tc>
              <w:tc>
                <w:tcPr>
                  <w:tcW w:w="446" w:type="pct"/>
                  <w:noWrap w:val="0"/>
                  <w:vAlign w:val="center"/>
                </w:tcPr>
                <w:p w14:paraId="55D3D876">
                  <w:pPr>
                    <w:adjustRightInd w:val="0"/>
                    <w:snapToGrid w:val="0"/>
                    <w:jc w:val="center"/>
                    <w:rPr>
                      <w:b/>
                      <w:bCs/>
                      <w:color w:val="auto"/>
                      <w:szCs w:val="21"/>
                    </w:rPr>
                  </w:pPr>
                  <w:r>
                    <w:rPr>
                      <w:b/>
                      <w:bCs/>
                      <w:color w:val="auto"/>
                      <w:szCs w:val="21"/>
                    </w:rPr>
                    <w:t>产生量</w:t>
                  </w:r>
                  <w:r>
                    <w:rPr>
                      <w:rFonts w:hint="eastAsia"/>
                      <w:b/>
                      <w:color w:val="auto"/>
                      <w:szCs w:val="21"/>
                    </w:rPr>
                    <w:t>t/a</w:t>
                  </w:r>
                </w:p>
              </w:tc>
              <w:tc>
                <w:tcPr>
                  <w:tcW w:w="551" w:type="pct"/>
                  <w:noWrap w:val="0"/>
                  <w:vAlign w:val="center"/>
                </w:tcPr>
                <w:p w14:paraId="02F42A0D">
                  <w:pPr>
                    <w:adjustRightInd w:val="0"/>
                    <w:snapToGrid w:val="0"/>
                    <w:jc w:val="center"/>
                    <w:rPr>
                      <w:b/>
                      <w:bCs/>
                      <w:color w:val="auto"/>
                      <w:szCs w:val="21"/>
                    </w:rPr>
                  </w:pPr>
                  <w:r>
                    <w:rPr>
                      <w:b/>
                      <w:bCs/>
                      <w:color w:val="auto"/>
                      <w:szCs w:val="21"/>
                    </w:rPr>
                    <w:t>削减量</w:t>
                  </w:r>
                  <w:r>
                    <w:rPr>
                      <w:rFonts w:hint="eastAsia"/>
                      <w:b/>
                      <w:color w:val="auto"/>
                      <w:szCs w:val="21"/>
                    </w:rPr>
                    <w:t>t/a</w:t>
                  </w:r>
                </w:p>
              </w:tc>
              <w:tc>
                <w:tcPr>
                  <w:tcW w:w="402" w:type="pct"/>
                  <w:noWrap w:val="0"/>
                  <w:vAlign w:val="center"/>
                </w:tcPr>
                <w:p w14:paraId="7DD31220">
                  <w:pPr>
                    <w:adjustRightInd w:val="0"/>
                    <w:snapToGrid w:val="0"/>
                    <w:jc w:val="center"/>
                    <w:rPr>
                      <w:b/>
                      <w:bCs/>
                      <w:color w:val="auto"/>
                      <w:szCs w:val="21"/>
                    </w:rPr>
                  </w:pPr>
                  <w:r>
                    <w:rPr>
                      <w:b/>
                      <w:bCs/>
                      <w:color w:val="auto"/>
                      <w:szCs w:val="21"/>
                    </w:rPr>
                    <w:t>排放量</w:t>
                  </w:r>
                  <w:r>
                    <w:rPr>
                      <w:rFonts w:hint="eastAsia"/>
                      <w:b/>
                      <w:color w:val="auto"/>
                      <w:szCs w:val="21"/>
                    </w:rPr>
                    <w:t>t/a</w:t>
                  </w:r>
                </w:p>
              </w:tc>
              <w:tc>
                <w:tcPr>
                  <w:tcW w:w="453" w:type="pct"/>
                  <w:vMerge w:val="continue"/>
                  <w:noWrap w:val="0"/>
                  <w:vAlign w:val="center"/>
                </w:tcPr>
                <w:p w14:paraId="0ED81500">
                  <w:pPr>
                    <w:jc w:val="center"/>
                    <w:rPr>
                      <w:color w:val="auto"/>
                      <w:szCs w:val="21"/>
                    </w:rPr>
                  </w:pPr>
                </w:p>
              </w:tc>
              <w:tc>
                <w:tcPr>
                  <w:tcW w:w="467" w:type="pct"/>
                  <w:vMerge w:val="continue"/>
                  <w:noWrap w:val="0"/>
                  <w:vAlign w:val="center"/>
                </w:tcPr>
                <w:p w14:paraId="47B7C3EB">
                  <w:pPr>
                    <w:adjustRightInd w:val="0"/>
                    <w:snapToGrid w:val="0"/>
                    <w:jc w:val="center"/>
                    <w:rPr>
                      <w:color w:val="auto"/>
                      <w:szCs w:val="21"/>
                    </w:rPr>
                  </w:pPr>
                </w:p>
              </w:tc>
              <w:tc>
                <w:tcPr>
                  <w:tcW w:w="473" w:type="pct"/>
                  <w:vMerge w:val="continue"/>
                  <w:noWrap w:val="0"/>
                  <w:vAlign w:val="center"/>
                </w:tcPr>
                <w:p w14:paraId="4E7F8125">
                  <w:pPr>
                    <w:adjustRightInd w:val="0"/>
                    <w:snapToGrid w:val="0"/>
                    <w:jc w:val="center"/>
                    <w:rPr>
                      <w:color w:val="auto"/>
                      <w:szCs w:val="21"/>
                    </w:rPr>
                  </w:pPr>
                </w:p>
              </w:tc>
              <w:tc>
                <w:tcPr>
                  <w:tcW w:w="473" w:type="pct"/>
                  <w:vMerge w:val="continue"/>
                  <w:noWrap w:val="0"/>
                  <w:vAlign w:val="center"/>
                </w:tcPr>
                <w:p w14:paraId="57ABFC32">
                  <w:pPr>
                    <w:keepNext/>
                    <w:keepLines/>
                    <w:widowControl/>
                    <w:wordWrap w:val="0"/>
                    <w:adjustRightInd w:val="0"/>
                    <w:snapToGrid w:val="0"/>
                    <w:spacing w:line="320" w:lineRule="exact"/>
                    <w:jc w:val="center"/>
                    <w:rPr>
                      <w:b/>
                      <w:bCs/>
                      <w:color w:val="auto"/>
                      <w:szCs w:val="21"/>
                    </w:rPr>
                  </w:pPr>
                </w:p>
              </w:tc>
            </w:tr>
            <w:tr w14:paraId="2B7AE086">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167" w:type="pct"/>
                  <w:vMerge w:val="restart"/>
                  <w:noWrap w:val="0"/>
                  <w:vAlign w:val="center"/>
                </w:tcPr>
                <w:p w14:paraId="04990226">
                  <w:pPr>
                    <w:snapToGrid w:val="0"/>
                    <w:jc w:val="center"/>
                    <w:rPr>
                      <w:color w:val="auto"/>
                      <w:szCs w:val="21"/>
                    </w:rPr>
                  </w:pPr>
                  <w:r>
                    <w:rPr>
                      <w:color w:val="auto"/>
                      <w:szCs w:val="21"/>
                    </w:rPr>
                    <w:t>废气</w:t>
                  </w:r>
                </w:p>
              </w:tc>
              <w:tc>
                <w:tcPr>
                  <w:tcW w:w="201" w:type="pct"/>
                  <w:noWrap w:val="0"/>
                  <w:vAlign w:val="center"/>
                </w:tcPr>
                <w:p w14:paraId="37A32A74">
                  <w:pPr>
                    <w:snapToGrid w:val="0"/>
                    <w:jc w:val="center"/>
                    <w:rPr>
                      <w:color w:val="auto"/>
                      <w:kern w:val="0"/>
                      <w:szCs w:val="21"/>
                    </w:rPr>
                  </w:pPr>
                  <w:r>
                    <w:rPr>
                      <w:color w:val="auto"/>
                      <w:szCs w:val="21"/>
                    </w:rPr>
                    <w:t>有组织</w:t>
                  </w:r>
                </w:p>
              </w:tc>
              <w:tc>
                <w:tcPr>
                  <w:tcW w:w="487" w:type="pct"/>
                  <w:noWrap w:val="0"/>
                  <w:vAlign w:val="center"/>
                </w:tcPr>
                <w:p w14:paraId="4060102A">
                  <w:pPr>
                    <w:tabs>
                      <w:tab w:val="left" w:pos="210"/>
                    </w:tabs>
                    <w:spacing w:line="240" w:lineRule="auto"/>
                    <w:jc w:val="center"/>
                    <w:outlineLvl w:val="0"/>
                    <w:rPr>
                      <w:rFonts w:ascii="Times New Roman" w:hAnsi="Times New Roman"/>
                      <w:snapToGrid w:val="0"/>
                      <w:color w:val="auto"/>
                      <w:sz w:val="21"/>
                      <w:szCs w:val="21"/>
                      <w:lang w:val="en-US" w:eastAsia="zh-CN"/>
                    </w:rPr>
                  </w:pPr>
                  <w:r>
                    <w:rPr>
                      <w:rFonts w:hint="eastAsia" w:ascii="Times New Roman" w:hAnsi="Times New Roman"/>
                      <w:color w:val="auto"/>
                      <w:sz w:val="21"/>
                      <w:szCs w:val="21"/>
                      <w:highlight w:val="none"/>
                    </w:rPr>
                    <w:t>非甲烷总烃</w:t>
                  </w:r>
                </w:p>
              </w:tc>
              <w:tc>
                <w:tcPr>
                  <w:tcW w:w="641" w:type="dxa"/>
                  <w:noWrap w:val="0"/>
                  <w:vAlign w:val="center"/>
                </w:tcPr>
                <w:p w14:paraId="1B80B8AA">
                  <w:pPr>
                    <w:jc w:val="center"/>
                    <w:rPr>
                      <w:rFonts w:hint="default"/>
                      <w:snapToGrid w:val="0"/>
                      <w:color w:val="FF0000"/>
                      <w:sz w:val="21"/>
                      <w:szCs w:val="21"/>
                      <w:lang w:val="en-US" w:eastAsia="zh-CN"/>
                    </w:rPr>
                  </w:pPr>
                  <w:r>
                    <w:rPr>
                      <w:rFonts w:hint="eastAsia"/>
                      <w:color w:val="FF0000"/>
                      <w:kern w:val="0"/>
                      <w:sz w:val="21"/>
                      <w:szCs w:val="21"/>
                      <w:lang w:val="en-US" w:eastAsia="zh-CN"/>
                    </w:rPr>
                    <w:t>0.9495</w:t>
                  </w:r>
                </w:p>
              </w:tc>
              <w:tc>
                <w:tcPr>
                  <w:tcW w:w="751" w:type="dxa"/>
                  <w:noWrap w:val="0"/>
                  <w:vAlign w:val="center"/>
                </w:tcPr>
                <w:p w14:paraId="20E9E6E4">
                  <w:pPr>
                    <w:keepNext w:val="0"/>
                    <w:keepLines w:val="0"/>
                    <w:widowControl/>
                    <w:suppressLineNumbers w:val="0"/>
                    <w:jc w:val="center"/>
                    <w:textAlignment w:val="center"/>
                    <w:rPr>
                      <w:snapToGrid w:val="0"/>
                      <w:color w:val="auto"/>
                      <w:sz w:val="21"/>
                      <w:szCs w:val="21"/>
                      <w:lang w:val="en-US" w:eastAsia="zh-CN"/>
                    </w:rPr>
                  </w:pPr>
                  <w:r>
                    <w:rPr>
                      <w:rFonts w:hint="eastAsia" w:cs="Times New Roman"/>
                      <w:i w:val="0"/>
                      <w:iCs w:val="0"/>
                      <w:color w:val="auto"/>
                      <w:kern w:val="0"/>
                      <w:sz w:val="21"/>
                      <w:szCs w:val="21"/>
                      <w:u w:val="none"/>
                      <w:lang w:val="en-US" w:eastAsia="zh-CN" w:bidi="ar"/>
                    </w:rPr>
                    <w:t>2.683</w:t>
                  </w:r>
                </w:p>
              </w:tc>
              <w:tc>
                <w:tcPr>
                  <w:tcW w:w="446" w:type="pct"/>
                  <w:noWrap w:val="0"/>
                  <w:vAlign w:val="center"/>
                </w:tcPr>
                <w:p w14:paraId="1B341E96">
                  <w:pPr>
                    <w:widowControl/>
                    <w:jc w:val="center"/>
                    <w:textAlignment w:val="center"/>
                    <w:rPr>
                      <w:rFonts w:hint="default" w:eastAsia="宋体"/>
                      <w:color w:val="auto"/>
                      <w:kern w:val="0"/>
                      <w:szCs w:val="21"/>
                      <w:lang w:val="en-US" w:eastAsia="zh-CN"/>
                    </w:rPr>
                  </w:pPr>
                  <w:r>
                    <w:rPr>
                      <w:rFonts w:hint="eastAsia" w:cs="Times New Roman"/>
                      <w:color w:val="auto"/>
                      <w:kern w:val="2"/>
                      <w:sz w:val="21"/>
                      <w:szCs w:val="21"/>
                      <w:lang w:val="en-US" w:eastAsia="zh-CN" w:bidi="ar-SA"/>
                    </w:rPr>
                    <w:t>2.119</w:t>
                  </w:r>
                </w:p>
              </w:tc>
              <w:tc>
                <w:tcPr>
                  <w:tcW w:w="551" w:type="pct"/>
                  <w:noWrap w:val="0"/>
                  <w:vAlign w:val="center"/>
                </w:tcPr>
                <w:p w14:paraId="052F3C72">
                  <w:pPr>
                    <w:widowControl/>
                    <w:jc w:val="center"/>
                    <w:textAlignment w:val="center"/>
                    <w:rPr>
                      <w:rFonts w:hint="default" w:eastAsia="宋体"/>
                      <w:color w:val="auto"/>
                      <w:kern w:val="0"/>
                      <w:szCs w:val="21"/>
                      <w:lang w:val="en-US" w:eastAsia="zh-CN"/>
                    </w:rPr>
                  </w:pPr>
                  <w:r>
                    <w:rPr>
                      <w:rFonts w:hint="eastAsia"/>
                      <w:color w:val="auto"/>
                      <w:kern w:val="0"/>
                      <w:szCs w:val="21"/>
                      <w:lang w:val="en-US" w:eastAsia="zh-CN"/>
                    </w:rPr>
                    <w:t>1.907</w:t>
                  </w:r>
                </w:p>
              </w:tc>
              <w:tc>
                <w:tcPr>
                  <w:tcW w:w="402" w:type="pct"/>
                  <w:noWrap w:val="0"/>
                  <w:vAlign w:val="center"/>
                </w:tcPr>
                <w:p w14:paraId="50873391">
                  <w:pPr>
                    <w:adjustRightInd w:val="0"/>
                    <w:snapToGrid w:val="0"/>
                    <w:spacing w:before="0" w:beforeAutospacing="0" w:after="0" w:afterAutospacing="0"/>
                    <w:jc w:val="center"/>
                    <w:rPr>
                      <w:rFonts w:hint="default" w:ascii="Times New Roman" w:hAnsi="Times New Roman"/>
                      <w:snapToGrid w:val="0"/>
                      <w:color w:val="auto"/>
                      <w:sz w:val="21"/>
                      <w:szCs w:val="21"/>
                      <w:lang w:val="en-US" w:eastAsia="zh-CN"/>
                    </w:rPr>
                  </w:pPr>
                  <w:r>
                    <w:rPr>
                      <w:rFonts w:hint="eastAsia" w:cs="Times New Roman"/>
                      <w:color w:val="auto"/>
                      <w:kern w:val="44"/>
                      <w:sz w:val="21"/>
                      <w:szCs w:val="21"/>
                      <w:lang w:val="en-US" w:eastAsia="zh-CN" w:bidi="ar-SA"/>
                    </w:rPr>
                    <w:t>0.212</w:t>
                  </w:r>
                </w:p>
              </w:tc>
              <w:tc>
                <w:tcPr>
                  <w:tcW w:w="719" w:type="dxa"/>
                  <w:noWrap w:val="0"/>
                  <w:vAlign w:val="center"/>
                </w:tcPr>
                <w:p w14:paraId="58B5FB6E">
                  <w:pPr>
                    <w:tabs>
                      <w:tab w:val="left" w:pos="210"/>
                    </w:tabs>
                    <w:spacing w:line="240" w:lineRule="auto"/>
                    <w:jc w:val="center"/>
                    <w:outlineLvl w:val="0"/>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0.177</w:t>
                  </w:r>
                </w:p>
              </w:tc>
              <w:tc>
                <w:tcPr>
                  <w:tcW w:w="741" w:type="dxa"/>
                  <w:noWrap w:val="0"/>
                  <w:vAlign w:val="center"/>
                </w:tcPr>
                <w:p w14:paraId="786D6425">
                  <w:pPr>
                    <w:tabs>
                      <w:tab w:val="left" w:pos="210"/>
                    </w:tabs>
                    <w:spacing w:line="240" w:lineRule="auto"/>
                    <w:jc w:val="center"/>
                    <w:outlineLvl w:val="0"/>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2.718</w:t>
                  </w:r>
                </w:p>
              </w:tc>
              <w:tc>
                <w:tcPr>
                  <w:tcW w:w="751" w:type="dxa"/>
                  <w:noWrap w:val="0"/>
                  <w:vAlign w:val="center"/>
                </w:tcPr>
                <w:p w14:paraId="319B2049">
                  <w:pPr>
                    <w:tabs>
                      <w:tab w:val="left" w:pos="210"/>
                    </w:tabs>
                    <w:spacing w:line="240" w:lineRule="auto"/>
                    <w:jc w:val="center"/>
                    <w:outlineLvl w:val="0"/>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+0.035</w:t>
                  </w:r>
                </w:p>
              </w:tc>
              <w:tc>
                <w:tcPr>
                  <w:tcW w:w="473" w:type="pct"/>
                  <w:noWrap w:val="0"/>
                  <w:vAlign w:val="center"/>
                </w:tcPr>
                <w:p w14:paraId="1EA14DC2">
                  <w:pPr>
                    <w:pStyle w:val="25"/>
                    <w:adjustRightInd w:val="0"/>
                    <w:snapToGrid w:val="0"/>
                    <w:spacing w:before="0" w:beforeAutospacing="0" w:after="0" w:afterAutospacing="0"/>
                    <w:jc w:val="center"/>
                    <w:rPr>
                      <w:rFonts w:hint="default" w:ascii="Times New Roman" w:hAnsi="Times New Roman"/>
                      <w:snapToGrid w:val="0"/>
                      <w:color w:val="auto"/>
                      <w:sz w:val="21"/>
                      <w:szCs w:val="21"/>
                      <w:lang w:val="en-US" w:eastAsia="zh-CN"/>
                    </w:rPr>
                  </w:pPr>
                  <w:r>
                    <w:rPr>
                      <w:rFonts w:hint="eastAsia" w:ascii="Times New Roman" w:hAnsi="Times New Roman"/>
                      <w:snapToGrid w:val="0"/>
                      <w:color w:val="auto"/>
                      <w:sz w:val="21"/>
                      <w:szCs w:val="21"/>
                      <w:lang w:val="en-US" w:eastAsia="zh-CN"/>
                    </w:rPr>
                    <w:t>/</w:t>
                  </w:r>
                </w:p>
              </w:tc>
            </w:tr>
            <w:tr w14:paraId="048BC9FD">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167" w:type="pct"/>
                  <w:vMerge w:val="continue"/>
                  <w:noWrap w:val="0"/>
                  <w:vAlign w:val="center"/>
                </w:tcPr>
                <w:p w14:paraId="1729ABC5">
                  <w:pPr>
                    <w:snapToGrid w:val="0"/>
                    <w:jc w:val="center"/>
                    <w:rPr>
                      <w:color w:val="auto"/>
                      <w:kern w:val="0"/>
                      <w:szCs w:val="21"/>
                    </w:rPr>
                  </w:pPr>
                </w:p>
              </w:tc>
              <w:tc>
                <w:tcPr>
                  <w:tcW w:w="201" w:type="pct"/>
                  <w:noWrap w:val="0"/>
                  <w:vAlign w:val="center"/>
                </w:tcPr>
                <w:p w14:paraId="7C46D9A2">
                  <w:pPr>
                    <w:snapToGrid w:val="0"/>
                    <w:jc w:val="center"/>
                    <w:rPr>
                      <w:color w:val="auto"/>
                      <w:kern w:val="0"/>
                      <w:szCs w:val="21"/>
                    </w:rPr>
                  </w:pPr>
                  <w:r>
                    <w:rPr>
                      <w:color w:val="auto"/>
                      <w:szCs w:val="21"/>
                    </w:rPr>
                    <w:t>无组织</w:t>
                  </w:r>
                </w:p>
              </w:tc>
              <w:tc>
                <w:tcPr>
                  <w:tcW w:w="487" w:type="pct"/>
                  <w:noWrap w:val="0"/>
                  <w:vAlign w:val="center"/>
                </w:tcPr>
                <w:p w14:paraId="23E439AF">
                  <w:pPr>
                    <w:pStyle w:val="62"/>
                    <w:spacing w:before="48" w:beforeLines="20" w:after="48" w:afterLines="20"/>
                    <w:ind w:right="0" w:rightChars="0"/>
                    <w:rPr>
                      <w:rFonts w:ascii="Times New Roman" w:hAnsi="Times New Roman"/>
                      <w:snapToGrid w:val="0"/>
                      <w:color w:val="auto"/>
                      <w:sz w:val="21"/>
                      <w:szCs w:val="21"/>
                      <w:lang w:val="en-US" w:eastAsia="zh-CN"/>
                    </w:rPr>
                  </w:pPr>
                  <w:r>
                    <w:rPr>
                      <w:rFonts w:hint="eastAsia" w:ascii="Times New Roman" w:hAnsi="Times New Roman"/>
                      <w:color w:val="auto"/>
                      <w:sz w:val="21"/>
                      <w:szCs w:val="21"/>
                      <w:highlight w:val="none"/>
                    </w:rPr>
                    <w:t>非甲烷总烃</w:t>
                  </w:r>
                </w:p>
              </w:tc>
              <w:tc>
                <w:tcPr>
                  <w:tcW w:w="641" w:type="dxa"/>
                  <w:noWrap w:val="0"/>
                  <w:vAlign w:val="center"/>
                </w:tcPr>
                <w:p w14:paraId="66A662D1">
                  <w:pPr>
                    <w:jc w:val="center"/>
                    <w:rPr>
                      <w:rFonts w:hint="default"/>
                      <w:snapToGrid w:val="0"/>
                      <w:color w:val="FF0000"/>
                      <w:sz w:val="21"/>
                      <w:szCs w:val="21"/>
                      <w:lang w:val="en-US" w:eastAsia="zh-CN"/>
                    </w:rPr>
                  </w:pPr>
                  <w:r>
                    <w:rPr>
                      <w:rFonts w:hint="eastAsia"/>
                      <w:color w:val="FF0000"/>
                      <w:kern w:val="0"/>
                      <w:sz w:val="21"/>
                      <w:szCs w:val="21"/>
                      <w:lang w:val="en-US" w:eastAsia="zh-CN"/>
                    </w:rPr>
                    <w:t>0.965</w:t>
                  </w:r>
                </w:p>
              </w:tc>
              <w:tc>
                <w:tcPr>
                  <w:tcW w:w="751" w:type="dxa"/>
                  <w:noWrap w:val="0"/>
                  <w:vAlign w:val="center"/>
                </w:tcPr>
                <w:p w14:paraId="0BD5D99C">
                  <w:pPr>
                    <w:keepNext w:val="0"/>
                    <w:keepLines w:val="0"/>
                    <w:widowControl/>
                    <w:suppressLineNumbers w:val="0"/>
                    <w:jc w:val="center"/>
                    <w:textAlignment w:val="center"/>
                    <w:rPr>
                      <w:color w:val="auto"/>
                      <w:sz w:val="21"/>
                      <w:szCs w:val="21"/>
                      <w:lang w:val="en-US" w:eastAsia="zh-CN"/>
                    </w:rPr>
                  </w:pPr>
                  <w:r>
                    <w:rPr>
                      <w:rFonts w:hint="eastAsia" w:cs="Times New Roman"/>
                      <w:i w:val="0"/>
                      <w:iCs w:val="0"/>
                      <w:color w:val="auto"/>
                      <w:kern w:val="0"/>
                      <w:sz w:val="21"/>
                      <w:szCs w:val="21"/>
                      <w:u w:val="none"/>
                      <w:lang w:val="en-US" w:eastAsia="zh-CN" w:bidi="ar"/>
                    </w:rPr>
                    <w:t>2.891</w:t>
                  </w:r>
                </w:p>
              </w:tc>
              <w:tc>
                <w:tcPr>
                  <w:tcW w:w="446" w:type="pct"/>
                  <w:noWrap w:val="0"/>
                  <w:vAlign w:val="center"/>
                </w:tcPr>
                <w:p w14:paraId="69757F09">
                  <w:pPr>
                    <w:tabs>
                      <w:tab w:val="left" w:pos="210"/>
                    </w:tabs>
                    <w:spacing w:line="240" w:lineRule="auto"/>
                    <w:jc w:val="center"/>
                    <w:outlineLvl w:val="0"/>
                    <w:rPr>
                      <w:rFonts w:hint="default" w:ascii="Times New Roman" w:hAnsi="Times New Roman" w:eastAsia="宋体" w:cs="Times New Roman"/>
                      <w:b w:val="0"/>
                      <w:bCs/>
                      <w:color w:val="auto"/>
                      <w:szCs w:val="21"/>
                      <w:lang w:val="en-US" w:eastAsia="zh-CN"/>
                    </w:rPr>
                  </w:pPr>
                  <w:r>
                    <w:rPr>
                      <w:rFonts w:hint="eastAsia" w:cs="Times New Roman"/>
                      <w:color w:val="auto"/>
                      <w:kern w:val="2"/>
                      <w:sz w:val="21"/>
                      <w:szCs w:val="21"/>
                      <w:lang w:val="en-US" w:eastAsia="zh-CN" w:bidi="ar-SA"/>
                    </w:rPr>
                    <w:t>0.235</w:t>
                  </w:r>
                </w:p>
              </w:tc>
              <w:tc>
                <w:tcPr>
                  <w:tcW w:w="551" w:type="pct"/>
                  <w:noWrap w:val="0"/>
                  <w:vAlign w:val="center"/>
                </w:tcPr>
                <w:p w14:paraId="21D9D923">
                  <w:pPr>
                    <w:tabs>
                      <w:tab w:val="left" w:pos="210"/>
                    </w:tabs>
                    <w:spacing w:line="240" w:lineRule="auto"/>
                    <w:jc w:val="center"/>
                    <w:outlineLvl w:val="0"/>
                    <w:rPr>
                      <w:rFonts w:hint="default" w:ascii="Times New Roman" w:hAnsi="Times New Roman" w:eastAsia="宋体" w:cs="Times New Roman"/>
                      <w:b w:val="0"/>
                      <w:bCs/>
                      <w:color w:val="auto"/>
                      <w:szCs w:val="21"/>
                      <w:lang w:val="en-US" w:eastAsia="zh-CN"/>
                    </w:rPr>
                  </w:pPr>
                  <w:r>
                    <w:rPr>
                      <w:rFonts w:hint="eastAsia" w:cs="Times New Roman"/>
                      <w:b w:val="0"/>
                      <w:bCs/>
                      <w:color w:val="auto"/>
                      <w:szCs w:val="21"/>
                      <w:lang w:val="en-US" w:eastAsia="zh-CN"/>
                    </w:rPr>
                    <w:t>0</w:t>
                  </w:r>
                </w:p>
              </w:tc>
              <w:tc>
                <w:tcPr>
                  <w:tcW w:w="402" w:type="pct"/>
                  <w:noWrap w:val="0"/>
                  <w:vAlign w:val="center"/>
                </w:tcPr>
                <w:p w14:paraId="5AC7715F">
                  <w:pPr>
                    <w:tabs>
                      <w:tab w:val="left" w:pos="210"/>
                    </w:tabs>
                    <w:spacing w:line="240" w:lineRule="auto"/>
                    <w:jc w:val="center"/>
                    <w:outlineLvl w:val="0"/>
                    <w:rPr>
                      <w:rFonts w:hint="default" w:ascii="Times New Roman" w:hAnsi="Times New Roman" w:eastAsia="宋体" w:cs="Times New Roman"/>
                      <w:b w:val="0"/>
                      <w:bCs/>
                      <w:color w:val="auto"/>
                      <w:szCs w:val="21"/>
                      <w:lang w:val="en-US" w:eastAsia="zh-CN"/>
                    </w:rPr>
                  </w:pPr>
                  <w:r>
                    <w:rPr>
                      <w:rFonts w:hint="eastAsia" w:cs="Times New Roman"/>
                      <w:color w:val="auto"/>
                      <w:kern w:val="2"/>
                      <w:sz w:val="21"/>
                      <w:szCs w:val="21"/>
                      <w:lang w:val="en-US" w:eastAsia="zh-CN" w:bidi="ar-SA"/>
                    </w:rPr>
                    <w:t>0.235</w:t>
                  </w:r>
                </w:p>
              </w:tc>
              <w:tc>
                <w:tcPr>
                  <w:tcW w:w="719" w:type="dxa"/>
                  <w:noWrap w:val="0"/>
                  <w:vAlign w:val="center"/>
                </w:tcPr>
                <w:p w14:paraId="79C34A5E">
                  <w:pPr>
                    <w:tabs>
                      <w:tab w:val="left" w:pos="210"/>
                    </w:tabs>
                    <w:spacing w:line="240" w:lineRule="auto"/>
                    <w:jc w:val="center"/>
                    <w:outlineLvl w:val="0"/>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0.196</w:t>
                  </w:r>
                </w:p>
              </w:tc>
              <w:tc>
                <w:tcPr>
                  <w:tcW w:w="741" w:type="dxa"/>
                  <w:noWrap w:val="0"/>
                  <w:vAlign w:val="center"/>
                </w:tcPr>
                <w:p w14:paraId="03834724">
                  <w:pPr>
                    <w:tabs>
                      <w:tab w:val="left" w:pos="210"/>
                    </w:tabs>
                    <w:spacing w:line="240" w:lineRule="auto"/>
                    <w:jc w:val="center"/>
                    <w:outlineLvl w:val="0"/>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2.93</w:t>
                  </w:r>
                </w:p>
              </w:tc>
              <w:tc>
                <w:tcPr>
                  <w:tcW w:w="751" w:type="dxa"/>
                  <w:noWrap w:val="0"/>
                  <w:vAlign w:val="center"/>
                </w:tcPr>
                <w:p w14:paraId="2AF0C59F">
                  <w:pPr>
                    <w:tabs>
                      <w:tab w:val="left" w:pos="210"/>
                    </w:tabs>
                    <w:spacing w:line="240" w:lineRule="auto"/>
                    <w:jc w:val="center"/>
                    <w:outlineLvl w:val="0"/>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+0.039</w:t>
                  </w:r>
                </w:p>
              </w:tc>
              <w:tc>
                <w:tcPr>
                  <w:tcW w:w="473" w:type="pct"/>
                  <w:noWrap w:val="0"/>
                  <w:vAlign w:val="center"/>
                </w:tcPr>
                <w:p w14:paraId="57E2B167">
                  <w:pPr>
                    <w:adjustRightInd w:val="0"/>
                    <w:snapToGrid w:val="0"/>
                    <w:spacing w:before="0" w:beforeAutospacing="0" w:after="0" w:afterAutospacing="0"/>
                    <w:jc w:val="center"/>
                    <w:rPr>
                      <w:rFonts w:hint="default" w:ascii="Times New Roman" w:hAnsi="Times New Roman"/>
                      <w:snapToGrid w:val="0"/>
                      <w:color w:val="auto"/>
                      <w:sz w:val="21"/>
                      <w:szCs w:val="21"/>
                      <w:lang w:val="en-US" w:eastAsia="zh-CN"/>
                    </w:rPr>
                  </w:pPr>
                  <w:r>
                    <w:rPr>
                      <w:rFonts w:hint="eastAsia" w:ascii="Times New Roman" w:hAnsi="Times New Roman"/>
                      <w:snapToGrid w:val="0"/>
                      <w:color w:val="auto"/>
                      <w:sz w:val="21"/>
                      <w:szCs w:val="21"/>
                      <w:lang w:val="en-US" w:eastAsia="zh-CN"/>
                    </w:rPr>
                    <w:t>/</w:t>
                  </w:r>
                </w:p>
              </w:tc>
            </w:tr>
            <w:tr w14:paraId="671DB58B">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368" w:type="pct"/>
                  <w:gridSpan w:val="2"/>
                  <w:vMerge w:val="restart"/>
                  <w:noWrap w:val="0"/>
                  <w:vAlign w:val="center"/>
                </w:tcPr>
                <w:p w14:paraId="6206F1DB">
                  <w:pPr>
                    <w:snapToGrid w:val="0"/>
                    <w:jc w:val="center"/>
                    <w:rPr>
                      <w:color w:val="auto"/>
                      <w:kern w:val="0"/>
                      <w:szCs w:val="21"/>
                    </w:rPr>
                  </w:pPr>
                  <w:r>
                    <w:rPr>
                      <w:color w:val="auto"/>
                      <w:szCs w:val="21"/>
                    </w:rPr>
                    <w:t>废水</w:t>
                  </w:r>
                </w:p>
              </w:tc>
              <w:tc>
                <w:tcPr>
                  <w:tcW w:w="487" w:type="pct"/>
                  <w:noWrap w:val="0"/>
                  <w:vAlign w:val="center"/>
                </w:tcPr>
                <w:p w14:paraId="66EB7C3B">
                  <w:pPr>
                    <w:jc w:val="center"/>
                    <w:rPr>
                      <w:color w:val="auto"/>
                      <w:kern w:val="0"/>
                      <w:sz w:val="21"/>
                      <w:szCs w:val="21"/>
                      <w:lang w:val="en-US" w:eastAsia="zh-CN" w:bidi="ar-SA"/>
                    </w:rPr>
                  </w:pPr>
                  <w:r>
                    <w:rPr>
                      <w:color w:val="auto"/>
                      <w:szCs w:val="21"/>
                    </w:rPr>
                    <w:t>废水量</w:t>
                  </w:r>
                </w:p>
              </w:tc>
              <w:tc>
                <w:tcPr>
                  <w:tcW w:w="641" w:type="dxa"/>
                  <w:noWrap w:val="0"/>
                  <w:vAlign w:val="center"/>
                </w:tcPr>
                <w:p w14:paraId="301C08F7">
                  <w:pPr>
                    <w:jc w:val="center"/>
                    <w:rPr>
                      <w:rFonts w:hint="default" w:ascii="Times New Roman" w:hAnsi="Times New Roman" w:eastAsia="宋体" w:cs="Times New Roman"/>
                      <w:b w:val="0"/>
                      <w:bCs/>
                      <w:color w:val="FF0000"/>
                      <w:szCs w:val="21"/>
                      <w:highlight w:val="none"/>
                      <w:lang w:val="en-US" w:eastAsia="zh-CN"/>
                    </w:rPr>
                  </w:pPr>
                  <w:r>
                    <w:rPr>
                      <w:rFonts w:hint="eastAsia" w:ascii="Times New Roman" w:hAnsi="Times New Roman" w:eastAsia="宋体" w:cs="Times New Roman"/>
                      <w:color w:val="FF0000"/>
                      <w:kern w:val="0"/>
                      <w:sz w:val="21"/>
                      <w:szCs w:val="21"/>
                      <w:lang w:val="en-US" w:eastAsia="zh-CN"/>
                    </w:rPr>
                    <w:t>10470</w:t>
                  </w:r>
                </w:p>
              </w:tc>
              <w:tc>
                <w:tcPr>
                  <w:tcW w:w="751" w:type="dxa"/>
                  <w:noWrap w:val="0"/>
                  <w:vAlign w:val="center"/>
                </w:tcPr>
                <w:p w14:paraId="1FA3B989">
                  <w:pPr>
                    <w:snapToGrid w:val="0"/>
                    <w:jc w:val="center"/>
                    <w:rPr>
                      <w:rFonts w:hint="eastAsia" w:ascii="Times New Roman" w:hAnsi="Times New Roman" w:eastAsia="宋体" w:cs="Times New Roman"/>
                      <w:b w:val="0"/>
                      <w:bCs/>
                      <w:color w:val="auto"/>
                      <w:szCs w:val="21"/>
                      <w:highlight w:val="none"/>
                      <w:lang w:val="en-US" w:eastAsia="zh-CN"/>
                    </w:rPr>
                  </w:pPr>
                  <w:r>
                    <w:rPr>
                      <w:rFonts w:hint="eastAsia"/>
                      <w:color w:val="auto"/>
                      <w:szCs w:val="21"/>
                    </w:rPr>
                    <w:t>17682</w:t>
                  </w:r>
                </w:p>
              </w:tc>
              <w:tc>
                <w:tcPr>
                  <w:tcW w:w="446" w:type="pct"/>
                  <w:noWrap w:val="0"/>
                  <w:vAlign w:val="center"/>
                </w:tcPr>
                <w:p w14:paraId="55421613">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551" w:type="pct"/>
                  <w:noWrap w:val="0"/>
                  <w:vAlign w:val="center"/>
                </w:tcPr>
                <w:p w14:paraId="5B4183F5">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402" w:type="pct"/>
                  <w:noWrap w:val="0"/>
                  <w:vAlign w:val="center"/>
                </w:tcPr>
                <w:p w14:paraId="5A9602FA">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453" w:type="pct"/>
                  <w:noWrap w:val="0"/>
                  <w:vAlign w:val="center"/>
                </w:tcPr>
                <w:p w14:paraId="2A629F8C">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741" w:type="dxa"/>
                  <w:noWrap w:val="0"/>
                  <w:vAlign w:val="center"/>
                </w:tcPr>
                <w:p w14:paraId="08EC0250">
                  <w:pPr>
                    <w:snapToGrid w:val="0"/>
                    <w:jc w:val="center"/>
                    <w:rPr>
                      <w:rFonts w:hint="default" w:ascii="Times New Roman" w:hAnsi="Times New Roman" w:eastAsia="宋体" w:cs="Times New Roman"/>
                      <w:color w:val="auto"/>
                      <w:sz w:val="21"/>
                      <w:szCs w:val="21"/>
                      <w:lang w:val="en-US" w:eastAsia="zh-CN"/>
                    </w:rPr>
                  </w:pPr>
                  <w:r>
                    <w:rPr>
                      <w:rFonts w:hint="eastAsia"/>
                      <w:color w:val="auto"/>
                      <w:szCs w:val="21"/>
                    </w:rPr>
                    <w:t>17682</w:t>
                  </w:r>
                </w:p>
              </w:tc>
              <w:tc>
                <w:tcPr>
                  <w:tcW w:w="473" w:type="pct"/>
                  <w:noWrap w:val="0"/>
                  <w:vAlign w:val="center"/>
                </w:tcPr>
                <w:p w14:paraId="56B8862E">
                  <w:pPr>
                    <w:adjustRightInd w:val="0"/>
                    <w:snapToGrid w:val="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w:t>
                  </w:r>
                </w:p>
              </w:tc>
              <w:tc>
                <w:tcPr>
                  <w:tcW w:w="473" w:type="pct"/>
                  <w:noWrap w:val="0"/>
                  <w:vAlign w:val="center"/>
                </w:tcPr>
                <w:p w14:paraId="39383206">
                  <w:pPr>
                    <w:widowControl/>
                    <w:jc w:val="center"/>
                    <w:textAlignment w:val="center"/>
                    <w:rPr>
                      <w:rFonts w:hint="eastAsia" w:eastAsia="宋体"/>
                      <w:color w:val="auto"/>
                      <w:kern w:val="0"/>
                      <w:szCs w:val="21"/>
                      <w:lang w:val="en-US" w:eastAsia="zh-CN"/>
                    </w:rPr>
                  </w:pPr>
                  <w:r>
                    <w:rPr>
                      <w:rFonts w:hint="eastAsia" w:ascii="Times New Roman" w:hAnsi="Times New Roman"/>
                      <w:snapToGrid w:val="0"/>
                      <w:color w:val="auto"/>
                      <w:sz w:val="21"/>
                      <w:szCs w:val="21"/>
                      <w:lang w:val="en-US" w:eastAsia="zh-CN"/>
                    </w:rPr>
                    <w:t>/</w:t>
                  </w:r>
                </w:p>
              </w:tc>
            </w:tr>
            <w:tr w14:paraId="74D42669">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368" w:type="pct"/>
                  <w:gridSpan w:val="2"/>
                  <w:vMerge w:val="continue"/>
                  <w:noWrap w:val="0"/>
                  <w:vAlign w:val="center"/>
                </w:tcPr>
                <w:p w14:paraId="462B84B9">
                  <w:pPr>
                    <w:widowControl/>
                    <w:jc w:val="center"/>
                    <w:rPr>
                      <w:color w:val="auto"/>
                      <w:szCs w:val="21"/>
                    </w:rPr>
                  </w:pPr>
                </w:p>
              </w:tc>
              <w:tc>
                <w:tcPr>
                  <w:tcW w:w="487" w:type="pct"/>
                  <w:noWrap w:val="0"/>
                  <w:vAlign w:val="center"/>
                </w:tcPr>
                <w:p w14:paraId="0E0304CC">
                  <w:pPr>
                    <w:widowControl/>
                    <w:jc w:val="center"/>
                    <w:rPr>
                      <w:color w:val="auto"/>
                      <w:kern w:val="2"/>
                      <w:sz w:val="21"/>
                      <w:szCs w:val="21"/>
                      <w:lang w:val="en-US" w:eastAsia="zh-CN" w:bidi="ar-SA"/>
                    </w:rPr>
                  </w:pPr>
                  <w:r>
                    <w:rPr>
                      <w:bCs/>
                      <w:color w:val="auto"/>
                      <w:kern w:val="0"/>
                      <w:szCs w:val="21"/>
                    </w:rPr>
                    <w:t>COD</w:t>
                  </w:r>
                </w:p>
              </w:tc>
              <w:tc>
                <w:tcPr>
                  <w:tcW w:w="641" w:type="dxa"/>
                  <w:noWrap w:val="0"/>
                  <w:vAlign w:val="center"/>
                </w:tcPr>
                <w:p w14:paraId="4FFC1E78">
                  <w:pPr>
                    <w:jc w:val="center"/>
                    <w:rPr>
                      <w:rFonts w:hint="default" w:ascii="Times New Roman" w:hAnsi="Times New Roman" w:eastAsia="宋体" w:cs="Times New Roman"/>
                      <w:b w:val="0"/>
                      <w:bCs/>
                      <w:color w:val="FF0000"/>
                      <w:szCs w:val="21"/>
                      <w:highlight w:val="none"/>
                      <w:lang w:val="en-US" w:eastAsia="zh-CN"/>
                    </w:rPr>
                  </w:pPr>
                  <w:r>
                    <w:rPr>
                      <w:rFonts w:hint="eastAsia" w:ascii="Times New Roman" w:hAnsi="Times New Roman" w:eastAsia="宋体" w:cs="Times New Roman"/>
                      <w:color w:val="FF0000"/>
                      <w:kern w:val="0"/>
                      <w:sz w:val="21"/>
                      <w:szCs w:val="21"/>
                      <w:lang w:val="en-US" w:eastAsia="zh-CN"/>
                    </w:rPr>
                    <w:t>4.188</w:t>
                  </w:r>
                </w:p>
              </w:tc>
              <w:tc>
                <w:tcPr>
                  <w:tcW w:w="751" w:type="dxa"/>
                  <w:noWrap w:val="0"/>
                  <w:vAlign w:val="center"/>
                </w:tcPr>
                <w:p w14:paraId="108BCA54">
                  <w:pPr>
                    <w:snapToGrid w:val="0"/>
                    <w:jc w:val="center"/>
                    <w:rPr>
                      <w:rFonts w:hint="eastAsia" w:ascii="Times New Roman" w:hAnsi="Times New Roman" w:eastAsia="宋体" w:cs="Times New Roman"/>
                      <w:b w:val="0"/>
                      <w:bCs/>
                      <w:color w:val="auto"/>
                      <w:szCs w:val="21"/>
                      <w:highlight w:val="none"/>
                      <w:lang w:val="en-US" w:eastAsia="zh-CN"/>
                    </w:rPr>
                  </w:pPr>
                  <w:r>
                    <w:rPr>
                      <w:rFonts w:hint="eastAsia"/>
                      <w:color w:val="auto"/>
                      <w:szCs w:val="21"/>
                    </w:rPr>
                    <w:t>7.0728</w:t>
                  </w:r>
                </w:p>
              </w:tc>
              <w:tc>
                <w:tcPr>
                  <w:tcW w:w="446" w:type="pct"/>
                  <w:noWrap w:val="0"/>
                  <w:vAlign w:val="center"/>
                </w:tcPr>
                <w:p w14:paraId="671579ED">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551" w:type="pct"/>
                  <w:noWrap w:val="0"/>
                  <w:vAlign w:val="center"/>
                </w:tcPr>
                <w:p w14:paraId="59004826">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402" w:type="pct"/>
                  <w:noWrap w:val="0"/>
                  <w:vAlign w:val="center"/>
                </w:tcPr>
                <w:p w14:paraId="41D01160">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453" w:type="pct"/>
                  <w:noWrap w:val="0"/>
                  <w:vAlign w:val="center"/>
                </w:tcPr>
                <w:p w14:paraId="55F63DBD">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741" w:type="dxa"/>
                  <w:noWrap w:val="0"/>
                  <w:vAlign w:val="center"/>
                </w:tcPr>
                <w:p w14:paraId="40CB6925">
                  <w:pPr>
                    <w:snapToGrid w:val="0"/>
                    <w:jc w:val="center"/>
                    <w:rPr>
                      <w:rFonts w:hint="default" w:ascii="Times New Roman" w:hAnsi="Times New Roman" w:eastAsia="宋体" w:cs="Times New Roman"/>
                      <w:color w:val="auto"/>
                      <w:sz w:val="21"/>
                      <w:szCs w:val="21"/>
                      <w:lang w:val="en-US" w:eastAsia="zh-CN"/>
                    </w:rPr>
                  </w:pPr>
                  <w:r>
                    <w:rPr>
                      <w:rFonts w:hint="eastAsia"/>
                      <w:color w:val="auto"/>
                      <w:szCs w:val="21"/>
                    </w:rPr>
                    <w:t>7.0728</w:t>
                  </w:r>
                </w:p>
              </w:tc>
              <w:tc>
                <w:tcPr>
                  <w:tcW w:w="473" w:type="pct"/>
                  <w:noWrap w:val="0"/>
                  <w:vAlign w:val="center"/>
                </w:tcPr>
                <w:p w14:paraId="3BBE5FE0">
                  <w:pPr>
                    <w:adjustRightInd w:val="0"/>
                    <w:snapToGrid w:val="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w:t>
                  </w:r>
                </w:p>
              </w:tc>
              <w:tc>
                <w:tcPr>
                  <w:tcW w:w="473" w:type="pct"/>
                  <w:noWrap w:val="0"/>
                  <w:vAlign w:val="center"/>
                </w:tcPr>
                <w:p w14:paraId="65C6AE9A">
                  <w:pPr>
                    <w:jc w:val="center"/>
                    <w:rPr>
                      <w:rFonts w:hint="eastAsia" w:eastAsia="宋体"/>
                      <w:color w:val="auto"/>
                      <w:szCs w:val="21"/>
                      <w:lang w:val="en-US" w:eastAsia="zh-CN"/>
                    </w:rPr>
                  </w:pPr>
                  <w:r>
                    <w:rPr>
                      <w:rFonts w:hint="eastAsia" w:ascii="Times New Roman" w:hAnsi="Times New Roman"/>
                      <w:snapToGrid w:val="0"/>
                      <w:color w:val="auto"/>
                      <w:sz w:val="21"/>
                      <w:szCs w:val="21"/>
                      <w:lang w:val="en-US" w:eastAsia="zh-CN"/>
                    </w:rPr>
                    <w:t>/</w:t>
                  </w:r>
                </w:p>
              </w:tc>
            </w:tr>
            <w:tr w14:paraId="71F382D2">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368" w:type="pct"/>
                  <w:gridSpan w:val="2"/>
                  <w:vMerge w:val="continue"/>
                  <w:noWrap w:val="0"/>
                  <w:vAlign w:val="center"/>
                </w:tcPr>
                <w:p w14:paraId="3FE57D53">
                  <w:pPr>
                    <w:widowControl/>
                    <w:jc w:val="center"/>
                    <w:rPr>
                      <w:color w:val="auto"/>
                      <w:kern w:val="0"/>
                      <w:szCs w:val="21"/>
                    </w:rPr>
                  </w:pPr>
                </w:p>
              </w:tc>
              <w:tc>
                <w:tcPr>
                  <w:tcW w:w="487" w:type="pct"/>
                  <w:noWrap w:val="0"/>
                  <w:vAlign w:val="center"/>
                </w:tcPr>
                <w:p w14:paraId="76A5BD77">
                  <w:pPr>
                    <w:widowControl/>
                    <w:jc w:val="center"/>
                    <w:rPr>
                      <w:color w:val="auto"/>
                      <w:kern w:val="0"/>
                      <w:sz w:val="21"/>
                      <w:szCs w:val="21"/>
                      <w:lang w:val="en-US" w:eastAsia="zh-CN" w:bidi="ar-SA"/>
                    </w:rPr>
                  </w:pPr>
                  <w:r>
                    <w:rPr>
                      <w:bCs/>
                      <w:color w:val="auto"/>
                      <w:szCs w:val="21"/>
                    </w:rPr>
                    <w:t>SS</w:t>
                  </w:r>
                </w:p>
              </w:tc>
              <w:tc>
                <w:tcPr>
                  <w:tcW w:w="641" w:type="dxa"/>
                  <w:noWrap w:val="0"/>
                  <w:vAlign w:val="center"/>
                </w:tcPr>
                <w:p w14:paraId="421F654E">
                  <w:pPr>
                    <w:jc w:val="center"/>
                    <w:rPr>
                      <w:rFonts w:hint="default" w:ascii="Times New Roman" w:hAnsi="Times New Roman" w:eastAsia="宋体" w:cs="Times New Roman"/>
                      <w:b w:val="0"/>
                      <w:bCs/>
                      <w:color w:val="FF0000"/>
                      <w:szCs w:val="21"/>
                      <w:highlight w:val="none"/>
                      <w:lang w:val="en-US" w:eastAsia="zh-CN"/>
                    </w:rPr>
                  </w:pPr>
                  <w:r>
                    <w:rPr>
                      <w:rFonts w:hint="eastAsia" w:ascii="Times New Roman" w:hAnsi="Times New Roman" w:eastAsia="宋体" w:cs="Times New Roman"/>
                      <w:color w:val="FF0000"/>
                      <w:kern w:val="0"/>
                      <w:sz w:val="21"/>
                      <w:szCs w:val="21"/>
                      <w:lang w:val="en-US" w:eastAsia="zh-CN"/>
                    </w:rPr>
                    <w:t>2.618</w:t>
                  </w:r>
                </w:p>
              </w:tc>
              <w:tc>
                <w:tcPr>
                  <w:tcW w:w="751" w:type="dxa"/>
                  <w:noWrap w:val="0"/>
                  <w:vAlign w:val="center"/>
                </w:tcPr>
                <w:p w14:paraId="5437AE70">
                  <w:pPr>
                    <w:snapToGrid w:val="0"/>
                    <w:jc w:val="center"/>
                    <w:rPr>
                      <w:rFonts w:hint="eastAsia" w:ascii="Times New Roman" w:hAnsi="Times New Roman" w:eastAsia="宋体" w:cs="Times New Roman"/>
                      <w:b w:val="0"/>
                      <w:bCs/>
                      <w:color w:val="auto"/>
                      <w:szCs w:val="21"/>
                      <w:highlight w:val="none"/>
                      <w:lang w:val="en-US" w:eastAsia="zh-CN"/>
                    </w:rPr>
                  </w:pPr>
                  <w:r>
                    <w:rPr>
                      <w:rFonts w:hint="eastAsia"/>
                      <w:color w:val="auto"/>
                      <w:szCs w:val="21"/>
                    </w:rPr>
                    <w:t>4.418</w:t>
                  </w:r>
                </w:p>
              </w:tc>
              <w:tc>
                <w:tcPr>
                  <w:tcW w:w="446" w:type="pct"/>
                  <w:noWrap w:val="0"/>
                  <w:vAlign w:val="center"/>
                </w:tcPr>
                <w:p w14:paraId="7D684ED7">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551" w:type="pct"/>
                  <w:noWrap w:val="0"/>
                  <w:vAlign w:val="center"/>
                </w:tcPr>
                <w:p w14:paraId="3F12D8E4">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402" w:type="pct"/>
                  <w:noWrap w:val="0"/>
                  <w:vAlign w:val="center"/>
                </w:tcPr>
                <w:p w14:paraId="558E2532">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453" w:type="pct"/>
                  <w:noWrap w:val="0"/>
                  <w:vAlign w:val="center"/>
                </w:tcPr>
                <w:p w14:paraId="51F01305">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741" w:type="dxa"/>
                  <w:noWrap w:val="0"/>
                  <w:vAlign w:val="center"/>
                </w:tcPr>
                <w:p w14:paraId="3A104DAD">
                  <w:pPr>
                    <w:snapToGrid w:val="0"/>
                    <w:jc w:val="center"/>
                    <w:rPr>
                      <w:rFonts w:hint="default" w:ascii="Times New Roman" w:hAnsi="Times New Roman" w:eastAsia="宋体" w:cs="Times New Roman"/>
                      <w:color w:val="auto"/>
                      <w:sz w:val="21"/>
                      <w:szCs w:val="21"/>
                      <w:lang w:val="en-US" w:eastAsia="zh-CN"/>
                    </w:rPr>
                  </w:pPr>
                  <w:r>
                    <w:rPr>
                      <w:rFonts w:hint="eastAsia"/>
                      <w:color w:val="auto"/>
                      <w:szCs w:val="21"/>
                    </w:rPr>
                    <w:t>4.418</w:t>
                  </w:r>
                </w:p>
              </w:tc>
              <w:tc>
                <w:tcPr>
                  <w:tcW w:w="473" w:type="pct"/>
                  <w:noWrap w:val="0"/>
                  <w:vAlign w:val="center"/>
                </w:tcPr>
                <w:p w14:paraId="5988B85A">
                  <w:pPr>
                    <w:adjustRightInd w:val="0"/>
                    <w:snapToGrid w:val="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w:t>
                  </w:r>
                </w:p>
              </w:tc>
              <w:tc>
                <w:tcPr>
                  <w:tcW w:w="473" w:type="pct"/>
                  <w:noWrap w:val="0"/>
                  <w:vAlign w:val="center"/>
                </w:tcPr>
                <w:p w14:paraId="0E334019">
                  <w:pPr>
                    <w:jc w:val="center"/>
                    <w:rPr>
                      <w:rFonts w:hint="eastAsia" w:eastAsia="宋体"/>
                      <w:color w:val="auto"/>
                      <w:szCs w:val="21"/>
                      <w:lang w:val="en-US" w:eastAsia="zh-CN"/>
                    </w:rPr>
                  </w:pPr>
                  <w:r>
                    <w:rPr>
                      <w:rFonts w:hint="eastAsia" w:ascii="Times New Roman" w:hAnsi="Times New Roman"/>
                      <w:snapToGrid w:val="0"/>
                      <w:color w:val="auto"/>
                      <w:sz w:val="21"/>
                      <w:szCs w:val="21"/>
                      <w:lang w:val="en-US" w:eastAsia="zh-CN"/>
                    </w:rPr>
                    <w:t>/</w:t>
                  </w:r>
                </w:p>
              </w:tc>
            </w:tr>
            <w:tr w14:paraId="23DF99BE">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368" w:type="pct"/>
                  <w:gridSpan w:val="2"/>
                  <w:vMerge w:val="continue"/>
                  <w:noWrap w:val="0"/>
                  <w:vAlign w:val="center"/>
                </w:tcPr>
                <w:p w14:paraId="7AC63AC1">
                  <w:pPr>
                    <w:widowControl/>
                    <w:jc w:val="center"/>
                    <w:rPr>
                      <w:color w:val="auto"/>
                      <w:szCs w:val="21"/>
                    </w:rPr>
                  </w:pPr>
                </w:p>
              </w:tc>
              <w:tc>
                <w:tcPr>
                  <w:tcW w:w="487" w:type="pct"/>
                  <w:noWrap w:val="0"/>
                  <w:vAlign w:val="center"/>
                </w:tcPr>
                <w:p w14:paraId="0D081B7D">
                  <w:pPr>
                    <w:widowControl/>
                    <w:jc w:val="center"/>
                    <w:rPr>
                      <w:color w:val="auto"/>
                      <w:kern w:val="2"/>
                      <w:sz w:val="21"/>
                      <w:szCs w:val="21"/>
                      <w:lang w:val="en-US" w:eastAsia="zh-CN" w:bidi="ar-SA"/>
                    </w:rPr>
                  </w:pPr>
                  <w:r>
                    <w:rPr>
                      <w:bCs/>
                      <w:color w:val="auto"/>
                      <w:szCs w:val="21"/>
                    </w:rPr>
                    <w:t>NH</w:t>
                  </w:r>
                  <w:r>
                    <w:rPr>
                      <w:bCs/>
                      <w:color w:val="auto"/>
                      <w:szCs w:val="21"/>
                      <w:vertAlign w:val="subscript"/>
                    </w:rPr>
                    <w:t>3</w:t>
                  </w:r>
                  <w:r>
                    <w:rPr>
                      <w:bCs/>
                      <w:color w:val="auto"/>
                      <w:szCs w:val="21"/>
                    </w:rPr>
                    <w:t>-N</w:t>
                  </w:r>
                </w:p>
              </w:tc>
              <w:tc>
                <w:tcPr>
                  <w:tcW w:w="641" w:type="dxa"/>
                  <w:noWrap w:val="0"/>
                  <w:vAlign w:val="center"/>
                </w:tcPr>
                <w:p w14:paraId="39914D84">
                  <w:pPr>
                    <w:jc w:val="center"/>
                    <w:rPr>
                      <w:rFonts w:hint="default" w:ascii="Times New Roman" w:hAnsi="Times New Roman" w:eastAsia="宋体" w:cs="Times New Roman"/>
                      <w:b w:val="0"/>
                      <w:bCs/>
                      <w:color w:val="FF0000"/>
                      <w:szCs w:val="21"/>
                      <w:highlight w:val="none"/>
                      <w:lang w:val="en-US" w:eastAsia="zh-CN"/>
                    </w:rPr>
                  </w:pPr>
                  <w:r>
                    <w:rPr>
                      <w:rFonts w:hint="eastAsia" w:ascii="Times New Roman" w:hAnsi="Times New Roman" w:eastAsia="宋体" w:cs="Times New Roman"/>
                      <w:color w:val="FF0000"/>
                      <w:kern w:val="0"/>
                      <w:sz w:val="21"/>
                      <w:szCs w:val="21"/>
                      <w:lang w:val="en-US" w:eastAsia="zh-CN"/>
                    </w:rPr>
                    <w:t>0.3141</w:t>
                  </w:r>
                </w:p>
              </w:tc>
              <w:tc>
                <w:tcPr>
                  <w:tcW w:w="751" w:type="dxa"/>
                  <w:noWrap w:val="0"/>
                  <w:vAlign w:val="center"/>
                </w:tcPr>
                <w:p w14:paraId="45FC103B">
                  <w:pPr>
                    <w:snapToGrid w:val="0"/>
                    <w:jc w:val="center"/>
                    <w:rPr>
                      <w:rFonts w:hint="eastAsia" w:ascii="Times New Roman" w:hAnsi="Times New Roman" w:eastAsia="宋体" w:cs="Times New Roman"/>
                      <w:b w:val="0"/>
                      <w:bCs/>
                      <w:color w:val="auto"/>
                      <w:szCs w:val="21"/>
                      <w:highlight w:val="none"/>
                      <w:lang w:val="en-US" w:eastAsia="zh-CN"/>
                    </w:rPr>
                  </w:pPr>
                  <w:r>
                    <w:rPr>
                      <w:rFonts w:hint="eastAsia"/>
                      <w:color w:val="auto"/>
                      <w:szCs w:val="21"/>
                    </w:rPr>
                    <w:t>0.533</w:t>
                  </w:r>
                </w:p>
              </w:tc>
              <w:tc>
                <w:tcPr>
                  <w:tcW w:w="446" w:type="pct"/>
                  <w:noWrap w:val="0"/>
                  <w:vAlign w:val="center"/>
                </w:tcPr>
                <w:p w14:paraId="39B06ECA">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551" w:type="pct"/>
                  <w:noWrap w:val="0"/>
                  <w:vAlign w:val="center"/>
                </w:tcPr>
                <w:p w14:paraId="1B9CDB4D">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402" w:type="pct"/>
                  <w:noWrap w:val="0"/>
                  <w:vAlign w:val="center"/>
                </w:tcPr>
                <w:p w14:paraId="2F9AE49D">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453" w:type="pct"/>
                  <w:noWrap w:val="0"/>
                  <w:vAlign w:val="center"/>
                </w:tcPr>
                <w:p w14:paraId="697C6DFA">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741" w:type="dxa"/>
                  <w:noWrap w:val="0"/>
                  <w:vAlign w:val="center"/>
                </w:tcPr>
                <w:p w14:paraId="0093F735">
                  <w:pPr>
                    <w:snapToGrid w:val="0"/>
                    <w:jc w:val="center"/>
                    <w:rPr>
                      <w:rFonts w:hint="default" w:ascii="Times New Roman" w:hAnsi="Times New Roman" w:eastAsia="宋体" w:cs="Times New Roman"/>
                      <w:color w:val="auto"/>
                      <w:sz w:val="21"/>
                      <w:szCs w:val="21"/>
                      <w:lang w:val="en-US" w:eastAsia="zh-CN"/>
                    </w:rPr>
                  </w:pPr>
                  <w:r>
                    <w:rPr>
                      <w:rFonts w:hint="eastAsia"/>
                      <w:color w:val="auto"/>
                      <w:szCs w:val="21"/>
                    </w:rPr>
                    <w:t>0.533</w:t>
                  </w:r>
                </w:p>
              </w:tc>
              <w:tc>
                <w:tcPr>
                  <w:tcW w:w="473" w:type="pct"/>
                  <w:noWrap w:val="0"/>
                  <w:vAlign w:val="center"/>
                </w:tcPr>
                <w:p w14:paraId="51211169">
                  <w:pPr>
                    <w:adjustRightInd w:val="0"/>
                    <w:snapToGrid w:val="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w:t>
                  </w:r>
                </w:p>
              </w:tc>
              <w:tc>
                <w:tcPr>
                  <w:tcW w:w="473" w:type="pct"/>
                  <w:noWrap w:val="0"/>
                  <w:vAlign w:val="center"/>
                </w:tcPr>
                <w:p w14:paraId="3E63DD2A">
                  <w:pPr>
                    <w:jc w:val="center"/>
                    <w:rPr>
                      <w:rFonts w:hint="default" w:eastAsia="宋体"/>
                      <w:color w:val="auto"/>
                      <w:szCs w:val="21"/>
                      <w:lang w:val="en-US" w:eastAsia="zh-CN"/>
                    </w:rPr>
                  </w:pPr>
                  <w:r>
                    <w:rPr>
                      <w:rFonts w:hint="eastAsia" w:ascii="Times New Roman" w:hAnsi="Times New Roman"/>
                      <w:snapToGrid w:val="0"/>
                      <w:color w:val="auto"/>
                      <w:sz w:val="21"/>
                      <w:szCs w:val="21"/>
                      <w:lang w:val="en-US" w:eastAsia="zh-CN"/>
                    </w:rPr>
                    <w:t>/</w:t>
                  </w:r>
                </w:p>
              </w:tc>
            </w:tr>
            <w:tr w14:paraId="2CAE14DE">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368" w:type="pct"/>
                  <w:gridSpan w:val="2"/>
                  <w:vMerge w:val="continue"/>
                  <w:noWrap w:val="0"/>
                  <w:vAlign w:val="center"/>
                </w:tcPr>
                <w:p w14:paraId="2F48B894">
                  <w:pPr>
                    <w:jc w:val="center"/>
                    <w:rPr>
                      <w:color w:val="auto"/>
                      <w:kern w:val="0"/>
                      <w:szCs w:val="21"/>
                    </w:rPr>
                  </w:pPr>
                </w:p>
              </w:tc>
              <w:tc>
                <w:tcPr>
                  <w:tcW w:w="487" w:type="pct"/>
                  <w:noWrap w:val="0"/>
                  <w:vAlign w:val="center"/>
                </w:tcPr>
                <w:p w14:paraId="7C11209E">
                  <w:pPr>
                    <w:widowControl/>
                    <w:jc w:val="center"/>
                    <w:rPr>
                      <w:color w:val="auto"/>
                      <w:kern w:val="0"/>
                      <w:sz w:val="21"/>
                      <w:szCs w:val="21"/>
                      <w:lang w:val="en-US" w:eastAsia="zh-CN" w:bidi="ar-SA"/>
                    </w:rPr>
                  </w:pPr>
                  <w:r>
                    <w:rPr>
                      <w:bCs/>
                      <w:color w:val="auto"/>
                      <w:szCs w:val="21"/>
                    </w:rPr>
                    <w:t>TN</w:t>
                  </w:r>
                </w:p>
              </w:tc>
              <w:tc>
                <w:tcPr>
                  <w:tcW w:w="641" w:type="dxa"/>
                  <w:noWrap w:val="0"/>
                  <w:vAlign w:val="center"/>
                </w:tcPr>
                <w:p w14:paraId="69E5AB42">
                  <w:pPr>
                    <w:jc w:val="center"/>
                    <w:rPr>
                      <w:rFonts w:hint="default" w:ascii="Times New Roman" w:hAnsi="Times New Roman" w:eastAsia="宋体" w:cs="Times New Roman"/>
                      <w:b w:val="0"/>
                      <w:bCs/>
                      <w:color w:val="FF0000"/>
                      <w:szCs w:val="21"/>
                      <w:highlight w:val="none"/>
                      <w:lang w:val="en-US" w:eastAsia="zh-CN"/>
                    </w:rPr>
                  </w:pPr>
                  <w:r>
                    <w:rPr>
                      <w:rFonts w:hint="eastAsia" w:ascii="Times New Roman" w:hAnsi="Times New Roman" w:eastAsia="宋体" w:cs="Times New Roman"/>
                      <w:color w:val="FF0000"/>
                      <w:kern w:val="0"/>
                      <w:sz w:val="21"/>
                      <w:szCs w:val="21"/>
                      <w:lang w:val="en-US" w:eastAsia="zh-CN"/>
                    </w:rPr>
                    <w:t>0.4188</w:t>
                  </w:r>
                </w:p>
              </w:tc>
              <w:tc>
                <w:tcPr>
                  <w:tcW w:w="751" w:type="dxa"/>
                  <w:noWrap w:val="0"/>
                  <w:vAlign w:val="center"/>
                </w:tcPr>
                <w:p w14:paraId="43D02922">
                  <w:pPr>
                    <w:snapToGrid w:val="0"/>
                    <w:jc w:val="center"/>
                    <w:rPr>
                      <w:rFonts w:hint="eastAsia" w:ascii="Times New Roman" w:hAnsi="Times New Roman" w:eastAsia="宋体" w:cs="Times New Roman"/>
                      <w:b w:val="0"/>
                      <w:bCs/>
                      <w:color w:val="auto"/>
                      <w:szCs w:val="21"/>
                      <w:highlight w:val="none"/>
                      <w:lang w:val="en-US" w:eastAsia="zh-CN"/>
                    </w:rPr>
                  </w:pPr>
                  <w:r>
                    <w:rPr>
                      <w:rFonts w:hint="eastAsia"/>
                      <w:color w:val="auto"/>
                      <w:szCs w:val="21"/>
                      <w:lang w:eastAsia="zh-CN"/>
                    </w:rPr>
                    <w:t>0.7073</w:t>
                  </w:r>
                </w:p>
              </w:tc>
              <w:tc>
                <w:tcPr>
                  <w:tcW w:w="446" w:type="pct"/>
                  <w:noWrap w:val="0"/>
                  <w:vAlign w:val="center"/>
                </w:tcPr>
                <w:p w14:paraId="1BE2C865">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551" w:type="pct"/>
                  <w:noWrap w:val="0"/>
                  <w:vAlign w:val="center"/>
                </w:tcPr>
                <w:p w14:paraId="79E4A6BF">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402" w:type="pct"/>
                  <w:noWrap w:val="0"/>
                  <w:vAlign w:val="center"/>
                </w:tcPr>
                <w:p w14:paraId="68B8D668">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453" w:type="pct"/>
                  <w:noWrap w:val="0"/>
                  <w:vAlign w:val="center"/>
                </w:tcPr>
                <w:p w14:paraId="11337341">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741" w:type="dxa"/>
                  <w:noWrap w:val="0"/>
                  <w:vAlign w:val="center"/>
                </w:tcPr>
                <w:p w14:paraId="6F11AE7C">
                  <w:pPr>
                    <w:snapToGrid w:val="0"/>
                    <w:jc w:val="center"/>
                    <w:rPr>
                      <w:rFonts w:hint="default" w:ascii="Times New Roman" w:hAnsi="Times New Roman" w:eastAsia="宋体" w:cs="Times New Roman"/>
                      <w:color w:val="auto"/>
                      <w:sz w:val="21"/>
                      <w:szCs w:val="21"/>
                      <w:lang w:val="en-US" w:eastAsia="zh-CN"/>
                    </w:rPr>
                  </w:pPr>
                  <w:r>
                    <w:rPr>
                      <w:rFonts w:hint="eastAsia"/>
                      <w:color w:val="auto"/>
                      <w:szCs w:val="21"/>
                      <w:lang w:eastAsia="zh-CN"/>
                    </w:rPr>
                    <w:t>0.7073</w:t>
                  </w:r>
                </w:p>
              </w:tc>
              <w:tc>
                <w:tcPr>
                  <w:tcW w:w="473" w:type="pct"/>
                  <w:noWrap w:val="0"/>
                  <w:vAlign w:val="center"/>
                </w:tcPr>
                <w:p w14:paraId="742B9B37">
                  <w:pPr>
                    <w:adjustRightInd w:val="0"/>
                    <w:snapToGrid w:val="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w:t>
                  </w:r>
                </w:p>
              </w:tc>
              <w:tc>
                <w:tcPr>
                  <w:tcW w:w="473" w:type="pct"/>
                  <w:noWrap w:val="0"/>
                  <w:vAlign w:val="center"/>
                </w:tcPr>
                <w:p w14:paraId="27D95A65">
                  <w:pPr>
                    <w:widowControl/>
                    <w:jc w:val="center"/>
                    <w:textAlignment w:val="center"/>
                    <w:rPr>
                      <w:rFonts w:hint="default" w:ascii="Times New Roman" w:hAnsi="Times New Roman" w:eastAsia="宋体" w:cs="Times New Roman"/>
                      <w:color w:val="auto"/>
                      <w:sz w:val="21"/>
                      <w:szCs w:val="24"/>
                      <w:lang w:val="en-US" w:eastAsia="zh-CN"/>
                    </w:rPr>
                  </w:pPr>
                  <w:r>
                    <w:rPr>
                      <w:rFonts w:hint="eastAsia" w:ascii="Times New Roman" w:hAnsi="Times New Roman"/>
                      <w:snapToGrid w:val="0"/>
                      <w:color w:val="auto"/>
                      <w:sz w:val="21"/>
                      <w:szCs w:val="21"/>
                      <w:lang w:val="en-US" w:eastAsia="zh-CN"/>
                    </w:rPr>
                    <w:t>/</w:t>
                  </w:r>
                </w:p>
              </w:tc>
            </w:tr>
            <w:tr w14:paraId="7FF3F25D">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368" w:type="pct"/>
                  <w:gridSpan w:val="2"/>
                  <w:vMerge w:val="continue"/>
                  <w:noWrap w:val="0"/>
                  <w:vAlign w:val="center"/>
                </w:tcPr>
                <w:p w14:paraId="33EE4363">
                  <w:pPr>
                    <w:widowControl/>
                    <w:jc w:val="center"/>
                    <w:rPr>
                      <w:color w:val="auto"/>
                      <w:szCs w:val="21"/>
                    </w:rPr>
                  </w:pPr>
                </w:p>
              </w:tc>
              <w:tc>
                <w:tcPr>
                  <w:tcW w:w="487" w:type="pct"/>
                  <w:noWrap w:val="0"/>
                  <w:vAlign w:val="center"/>
                </w:tcPr>
                <w:p w14:paraId="54EE8783">
                  <w:pPr>
                    <w:widowControl/>
                    <w:jc w:val="center"/>
                    <w:rPr>
                      <w:color w:val="auto"/>
                      <w:kern w:val="0"/>
                      <w:szCs w:val="21"/>
                    </w:rPr>
                  </w:pPr>
                  <w:r>
                    <w:rPr>
                      <w:bCs/>
                      <w:color w:val="auto"/>
                      <w:szCs w:val="21"/>
                    </w:rPr>
                    <w:t>TP</w:t>
                  </w:r>
                </w:p>
              </w:tc>
              <w:tc>
                <w:tcPr>
                  <w:tcW w:w="641" w:type="dxa"/>
                  <w:noWrap w:val="0"/>
                  <w:vAlign w:val="center"/>
                </w:tcPr>
                <w:p w14:paraId="36D72F9C">
                  <w:pPr>
                    <w:jc w:val="center"/>
                    <w:rPr>
                      <w:rFonts w:hint="default" w:ascii="Times New Roman" w:hAnsi="Times New Roman" w:eastAsia="宋体" w:cs="Times New Roman"/>
                      <w:b w:val="0"/>
                      <w:bCs/>
                      <w:color w:val="FF0000"/>
                      <w:szCs w:val="21"/>
                      <w:highlight w:val="none"/>
                      <w:lang w:val="en-US" w:eastAsia="zh-CN"/>
                    </w:rPr>
                  </w:pPr>
                  <w:r>
                    <w:rPr>
                      <w:rFonts w:hint="eastAsia" w:ascii="Times New Roman" w:hAnsi="Times New Roman" w:eastAsia="宋体" w:cs="Times New Roman"/>
                      <w:color w:val="FF0000"/>
                      <w:kern w:val="0"/>
                      <w:sz w:val="21"/>
                      <w:szCs w:val="21"/>
                      <w:lang w:val="en-US" w:eastAsia="zh-CN"/>
                    </w:rPr>
                    <w:t>0.0314</w:t>
                  </w:r>
                </w:p>
              </w:tc>
              <w:tc>
                <w:tcPr>
                  <w:tcW w:w="751" w:type="dxa"/>
                  <w:noWrap w:val="0"/>
                  <w:vAlign w:val="center"/>
                </w:tcPr>
                <w:p w14:paraId="2D2183F6">
                  <w:pPr>
                    <w:snapToGrid w:val="0"/>
                    <w:jc w:val="center"/>
                    <w:rPr>
                      <w:rFonts w:hint="default" w:ascii="Times New Roman" w:hAnsi="Times New Roman" w:eastAsia="宋体" w:cs="Times New Roman"/>
                      <w:b w:val="0"/>
                      <w:bCs/>
                      <w:color w:val="auto"/>
                      <w:szCs w:val="21"/>
                      <w:highlight w:val="none"/>
                      <w:lang w:val="en-US" w:eastAsia="zh-CN"/>
                    </w:rPr>
                  </w:pPr>
                  <w:r>
                    <w:rPr>
                      <w:rFonts w:hint="eastAsia"/>
                      <w:color w:val="auto"/>
                      <w:szCs w:val="21"/>
                    </w:rPr>
                    <w:t>0.0513</w:t>
                  </w:r>
                </w:p>
              </w:tc>
              <w:tc>
                <w:tcPr>
                  <w:tcW w:w="446" w:type="pct"/>
                  <w:noWrap w:val="0"/>
                  <w:vAlign w:val="center"/>
                </w:tcPr>
                <w:p w14:paraId="3068F210">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551" w:type="pct"/>
                  <w:noWrap w:val="0"/>
                  <w:vAlign w:val="center"/>
                </w:tcPr>
                <w:p w14:paraId="0E6910BB">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402" w:type="pct"/>
                  <w:noWrap w:val="0"/>
                  <w:vAlign w:val="center"/>
                </w:tcPr>
                <w:p w14:paraId="7B71C92C">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453" w:type="pct"/>
                  <w:noWrap w:val="0"/>
                  <w:vAlign w:val="center"/>
                </w:tcPr>
                <w:p w14:paraId="364B0E63">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741" w:type="dxa"/>
                  <w:noWrap w:val="0"/>
                  <w:vAlign w:val="center"/>
                </w:tcPr>
                <w:p w14:paraId="05ADD330">
                  <w:pPr>
                    <w:snapToGrid w:val="0"/>
                    <w:jc w:val="center"/>
                    <w:rPr>
                      <w:rFonts w:hint="eastAsia" w:ascii="Times New Roman" w:hAnsi="Times New Roman" w:eastAsia="宋体" w:cs="Times New Roman"/>
                      <w:color w:val="auto"/>
                      <w:sz w:val="21"/>
                      <w:szCs w:val="21"/>
                      <w:lang w:val="en-US" w:eastAsia="zh-CN"/>
                    </w:rPr>
                  </w:pPr>
                  <w:r>
                    <w:rPr>
                      <w:rFonts w:hint="eastAsia"/>
                      <w:color w:val="auto"/>
                      <w:szCs w:val="21"/>
                    </w:rPr>
                    <w:t>0.0513</w:t>
                  </w:r>
                </w:p>
              </w:tc>
              <w:tc>
                <w:tcPr>
                  <w:tcW w:w="473" w:type="pct"/>
                  <w:noWrap w:val="0"/>
                  <w:vAlign w:val="center"/>
                </w:tcPr>
                <w:p w14:paraId="57F694AD">
                  <w:pPr>
                    <w:adjustRightInd w:val="0"/>
                    <w:snapToGrid w:val="0"/>
                    <w:jc w:val="center"/>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w:t>
                  </w:r>
                </w:p>
              </w:tc>
              <w:tc>
                <w:tcPr>
                  <w:tcW w:w="473" w:type="pct"/>
                  <w:noWrap w:val="0"/>
                  <w:vAlign w:val="center"/>
                </w:tcPr>
                <w:p w14:paraId="17908D23">
                  <w:pPr>
                    <w:jc w:val="center"/>
                    <w:rPr>
                      <w:rFonts w:hint="eastAsia"/>
                      <w:color w:val="auto"/>
                      <w:szCs w:val="21"/>
                      <w:lang w:val="en-US" w:eastAsia="zh-CN"/>
                    </w:rPr>
                  </w:pPr>
                  <w:r>
                    <w:rPr>
                      <w:rFonts w:hint="eastAsia" w:ascii="Times New Roman" w:hAnsi="Times New Roman"/>
                      <w:snapToGrid w:val="0"/>
                      <w:color w:val="auto"/>
                      <w:sz w:val="21"/>
                      <w:szCs w:val="21"/>
                      <w:lang w:val="en-US" w:eastAsia="zh-CN"/>
                    </w:rPr>
                    <w:t>/</w:t>
                  </w:r>
                </w:p>
              </w:tc>
            </w:tr>
            <w:tr w14:paraId="18FD080D">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368" w:type="pct"/>
                  <w:gridSpan w:val="2"/>
                  <w:vMerge w:val="continue"/>
                  <w:noWrap w:val="0"/>
                  <w:vAlign w:val="center"/>
                </w:tcPr>
                <w:p w14:paraId="28FEC3D5">
                  <w:pPr>
                    <w:widowControl/>
                    <w:jc w:val="center"/>
                    <w:rPr>
                      <w:color w:val="auto"/>
                      <w:szCs w:val="21"/>
                    </w:rPr>
                  </w:pPr>
                </w:p>
              </w:tc>
              <w:tc>
                <w:tcPr>
                  <w:tcW w:w="487" w:type="pct"/>
                  <w:noWrap w:val="0"/>
                  <w:vAlign w:val="center"/>
                </w:tcPr>
                <w:p w14:paraId="2768F2B8">
                  <w:pPr>
                    <w:widowControl/>
                    <w:jc w:val="center"/>
                    <w:rPr>
                      <w:rFonts w:hint="eastAsia"/>
                      <w:color w:val="auto"/>
                      <w:sz w:val="21"/>
                      <w:szCs w:val="24"/>
                      <w:lang w:val="en-US" w:eastAsia="zh-CN"/>
                    </w:rPr>
                  </w:pPr>
                  <w:r>
                    <w:rPr>
                      <w:color w:val="auto"/>
                      <w:szCs w:val="21"/>
                    </w:rPr>
                    <w:t>动植物油</w:t>
                  </w:r>
                </w:p>
              </w:tc>
              <w:tc>
                <w:tcPr>
                  <w:tcW w:w="641" w:type="dxa"/>
                  <w:noWrap w:val="0"/>
                  <w:vAlign w:val="center"/>
                </w:tcPr>
                <w:p w14:paraId="028FEB36">
                  <w:pPr>
                    <w:jc w:val="center"/>
                    <w:rPr>
                      <w:rFonts w:hint="eastAsia" w:ascii="Times New Roman" w:hAnsi="Times New Roman" w:eastAsia="宋体" w:cs="Times New Roman"/>
                      <w:b w:val="0"/>
                      <w:bCs/>
                      <w:color w:val="FF0000"/>
                      <w:szCs w:val="21"/>
                      <w:highlight w:val="none"/>
                      <w:lang w:val="en-US" w:eastAsia="zh-CN"/>
                    </w:rPr>
                  </w:pPr>
                  <w:r>
                    <w:rPr>
                      <w:rFonts w:hint="eastAsia" w:ascii="Times New Roman" w:hAnsi="Times New Roman" w:eastAsia="宋体" w:cs="Times New Roman"/>
                      <w:color w:val="FF0000"/>
                      <w:kern w:val="0"/>
                      <w:sz w:val="21"/>
                      <w:szCs w:val="21"/>
                      <w:lang w:val="en-US" w:eastAsia="zh-CN"/>
                    </w:rPr>
                    <w:t>0.6701</w:t>
                  </w:r>
                </w:p>
              </w:tc>
              <w:tc>
                <w:tcPr>
                  <w:tcW w:w="751" w:type="dxa"/>
                  <w:noWrap w:val="0"/>
                  <w:vAlign w:val="center"/>
                </w:tcPr>
                <w:p w14:paraId="24ED2BBD">
                  <w:pPr>
                    <w:snapToGrid w:val="0"/>
                    <w:jc w:val="center"/>
                    <w:rPr>
                      <w:rFonts w:hint="eastAsia" w:ascii="Times New Roman" w:hAnsi="Times New Roman" w:eastAsia="宋体" w:cs="Times New Roman"/>
                      <w:b w:val="0"/>
                      <w:bCs/>
                      <w:color w:val="auto"/>
                      <w:szCs w:val="21"/>
                      <w:highlight w:val="none"/>
                      <w:lang w:val="en-US" w:eastAsia="zh-CN"/>
                    </w:rPr>
                  </w:pPr>
                  <w:r>
                    <w:rPr>
                      <w:rFonts w:hint="eastAsia"/>
                      <w:color w:val="auto"/>
                      <w:szCs w:val="21"/>
                    </w:rPr>
                    <w:t>1.1317</w:t>
                  </w:r>
                </w:p>
              </w:tc>
              <w:tc>
                <w:tcPr>
                  <w:tcW w:w="708" w:type="dxa"/>
                  <w:noWrap w:val="0"/>
                  <w:vAlign w:val="center"/>
                </w:tcPr>
                <w:p w14:paraId="4E2F890C">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875" w:type="dxa"/>
                  <w:noWrap w:val="0"/>
                  <w:vAlign w:val="center"/>
                </w:tcPr>
                <w:p w14:paraId="7AD2A350">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638" w:type="dxa"/>
                  <w:noWrap w:val="0"/>
                  <w:vAlign w:val="center"/>
                </w:tcPr>
                <w:p w14:paraId="1CF881A0">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719" w:type="dxa"/>
                  <w:noWrap w:val="0"/>
                  <w:vAlign w:val="center"/>
                </w:tcPr>
                <w:p w14:paraId="6E441C27">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741" w:type="dxa"/>
                  <w:noWrap w:val="0"/>
                  <w:vAlign w:val="center"/>
                </w:tcPr>
                <w:p w14:paraId="220FDB9A">
                  <w:pPr>
                    <w:snapToGrid w:val="0"/>
                    <w:jc w:val="center"/>
                    <w:rPr>
                      <w:rFonts w:hint="eastAsia" w:ascii="Times New Roman" w:hAnsi="Times New Roman" w:eastAsia="宋体" w:cs="Times New Roman"/>
                      <w:b w:val="0"/>
                      <w:bCs/>
                      <w:color w:val="auto"/>
                      <w:szCs w:val="21"/>
                      <w:highlight w:val="none"/>
                      <w:lang w:val="en-US" w:eastAsia="zh-CN"/>
                    </w:rPr>
                  </w:pPr>
                  <w:r>
                    <w:rPr>
                      <w:rFonts w:hint="eastAsia"/>
                      <w:color w:val="auto"/>
                      <w:szCs w:val="21"/>
                    </w:rPr>
                    <w:t>1.1317</w:t>
                  </w:r>
                </w:p>
              </w:tc>
              <w:tc>
                <w:tcPr>
                  <w:tcW w:w="751" w:type="dxa"/>
                  <w:noWrap w:val="0"/>
                  <w:vAlign w:val="center"/>
                </w:tcPr>
                <w:p w14:paraId="213367AC">
                  <w:pPr>
                    <w:adjustRightInd w:val="0"/>
                    <w:snapToGrid w:val="0"/>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+0</w:t>
                  </w:r>
                </w:p>
              </w:tc>
              <w:tc>
                <w:tcPr>
                  <w:tcW w:w="751" w:type="dxa"/>
                  <w:noWrap w:val="0"/>
                  <w:vAlign w:val="center"/>
                </w:tcPr>
                <w:p w14:paraId="52EC4C24">
                  <w:pPr>
                    <w:widowControl/>
                    <w:jc w:val="center"/>
                    <w:textAlignment w:val="center"/>
                    <w:rPr>
                      <w:rFonts w:hint="eastAsia" w:ascii="Times New Roman" w:hAnsi="Times New Roman"/>
                      <w:snapToGrid w:val="0"/>
                      <w:color w:val="auto"/>
                      <w:sz w:val="21"/>
                      <w:szCs w:val="21"/>
                      <w:lang w:val="en-US" w:eastAsia="zh-CN"/>
                    </w:rPr>
                  </w:pPr>
                  <w:r>
                    <w:rPr>
                      <w:rFonts w:hint="eastAsia" w:ascii="Times New Roman" w:hAnsi="Times New Roman"/>
                      <w:snapToGrid w:val="0"/>
                      <w:color w:val="auto"/>
                      <w:sz w:val="21"/>
                      <w:szCs w:val="21"/>
                      <w:lang w:val="en-US" w:eastAsia="zh-CN"/>
                    </w:rPr>
                    <w:t>/</w:t>
                  </w:r>
                </w:p>
              </w:tc>
            </w:tr>
            <w:tr w14:paraId="66C8FCEC">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368" w:type="pct"/>
                  <w:gridSpan w:val="2"/>
                  <w:vMerge w:val="restart"/>
                  <w:noWrap w:val="0"/>
                  <w:vAlign w:val="center"/>
                </w:tcPr>
                <w:p w14:paraId="1E196A7F">
                  <w:pPr>
                    <w:widowControl/>
                    <w:jc w:val="center"/>
                    <w:rPr>
                      <w:color w:val="auto"/>
                      <w:kern w:val="0"/>
                      <w:szCs w:val="21"/>
                    </w:rPr>
                  </w:pPr>
                  <w:r>
                    <w:rPr>
                      <w:color w:val="auto"/>
                      <w:szCs w:val="21"/>
                    </w:rPr>
                    <w:t>固废</w:t>
                  </w:r>
                </w:p>
              </w:tc>
              <w:tc>
                <w:tcPr>
                  <w:tcW w:w="487" w:type="pct"/>
                  <w:noWrap w:val="0"/>
                  <w:vAlign w:val="center"/>
                </w:tcPr>
                <w:p w14:paraId="7DB1F1D9">
                  <w:pPr>
                    <w:widowControl/>
                    <w:jc w:val="center"/>
                    <w:rPr>
                      <w:color w:val="auto"/>
                      <w:kern w:val="0"/>
                      <w:sz w:val="21"/>
                      <w:szCs w:val="21"/>
                      <w:lang w:val="en-US" w:eastAsia="zh-CN" w:bidi="ar-SA"/>
                    </w:rPr>
                  </w:pPr>
                  <w:r>
                    <w:rPr>
                      <w:color w:val="auto"/>
                      <w:kern w:val="0"/>
                      <w:szCs w:val="21"/>
                    </w:rPr>
                    <w:t>一般固废</w:t>
                  </w:r>
                </w:p>
              </w:tc>
              <w:tc>
                <w:tcPr>
                  <w:tcW w:w="404" w:type="pct"/>
                  <w:noWrap w:val="0"/>
                  <w:vAlign w:val="center"/>
                </w:tcPr>
                <w:p w14:paraId="7E9168C2">
                  <w:pPr>
                    <w:jc w:val="center"/>
                    <w:rPr>
                      <w:color w:val="auto"/>
                      <w:kern w:val="0"/>
                      <w:szCs w:val="21"/>
                    </w:rPr>
                  </w:pPr>
                  <w:r>
                    <w:rPr>
                      <w:color w:val="auto"/>
                      <w:kern w:val="0"/>
                      <w:szCs w:val="21"/>
                    </w:rPr>
                    <w:t>0</w:t>
                  </w:r>
                </w:p>
              </w:tc>
              <w:tc>
                <w:tcPr>
                  <w:tcW w:w="473" w:type="pct"/>
                  <w:noWrap w:val="0"/>
                  <w:vAlign w:val="center"/>
                </w:tcPr>
                <w:p w14:paraId="2E4C5BA2">
                  <w:pPr>
                    <w:jc w:val="center"/>
                    <w:rPr>
                      <w:color w:val="auto"/>
                      <w:kern w:val="0"/>
                      <w:szCs w:val="21"/>
                    </w:rPr>
                  </w:pPr>
                  <w:r>
                    <w:rPr>
                      <w:color w:val="auto"/>
                      <w:kern w:val="0"/>
                      <w:szCs w:val="21"/>
                    </w:rPr>
                    <w:t>0</w:t>
                  </w:r>
                </w:p>
              </w:tc>
              <w:tc>
                <w:tcPr>
                  <w:tcW w:w="446" w:type="pct"/>
                  <w:noWrap w:val="0"/>
                  <w:vAlign w:val="center"/>
                </w:tcPr>
                <w:p w14:paraId="2EC5C27A">
                  <w:pPr>
                    <w:widowControl/>
                    <w:jc w:val="center"/>
                    <w:textAlignment w:val="center"/>
                    <w:rPr>
                      <w:rFonts w:hint="default" w:eastAsia="宋体"/>
                      <w:color w:val="auto"/>
                      <w:kern w:val="0"/>
                      <w:szCs w:val="21"/>
                      <w:lang w:val="en-US" w:eastAsia="zh-CN"/>
                    </w:rPr>
                  </w:pPr>
                  <w:r>
                    <w:rPr>
                      <w:rFonts w:hint="eastAsia" w:cs="Times New Roman"/>
                      <w:bCs/>
                      <w:color w:val="auto"/>
                      <w:kern w:val="2"/>
                      <w:sz w:val="21"/>
                      <w:szCs w:val="21"/>
                      <w:lang w:val="en-US" w:eastAsia="zh-CN" w:bidi="ar-SA"/>
                    </w:rPr>
                    <w:t>24</w:t>
                  </w:r>
                </w:p>
              </w:tc>
              <w:tc>
                <w:tcPr>
                  <w:tcW w:w="551" w:type="pct"/>
                  <w:noWrap w:val="0"/>
                  <w:vAlign w:val="center"/>
                </w:tcPr>
                <w:p w14:paraId="3A49AC97">
                  <w:pPr>
                    <w:widowControl/>
                    <w:jc w:val="center"/>
                    <w:textAlignment w:val="center"/>
                    <w:rPr>
                      <w:rFonts w:hint="default" w:eastAsia="宋体"/>
                      <w:color w:val="auto"/>
                      <w:kern w:val="0"/>
                      <w:sz w:val="21"/>
                      <w:szCs w:val="21"/>
                      <w:lang w:val="en-US" w:eastAsia="zh-CN" w:bidi="ar-SA"/>
                    </w:rPr>
                  </w:pPr>
                  <w:r>
                    <w:rPr>
                      <w:rFonts w:hint="eastAsia" w:cs="Times New Roman"/>
                      <w:bCs/>
                      <w:color w:val="auto"/>
                      <w:kern w:val="2"/>
                      <w:sz w:val="21"/>
                      <w:szCs w:val="21"/>
                      <w:lang w:val="en-US" w:eastAsia="zh-CN" w:bidi="ar-SA"/>
                    </w:rPr>
                    <w:t>24</w:t>
                  </w:r>
                </w:p>
              </w:tc>
              <w:tc>
                <w:tcPr>
                  <w:tcW w:w="402" w:type="pct"/>
                  <w:noWrap w:val="0"/>
                  <w:vAlign w:val="center"/>
                </w:tcPr>
                <w:p w14:paraId="6FBF9EF3">
                  <w:pPr>
                    <w:jc w:val="center"/>
                    <w:rPr>
                      <w:rFonts w:hint="eastAsia" w:eastAsia="宋体"/>
                      <w:color w:val="auto"/>
                      <w:kern w:val="0"/>
                      <w:szCs w:val="21"/>
                      <w:lang w:val="en-US" w:eastAsia="zh-CN"/>
                    </w:rPr>
                  </w:pPr>
                  <w:r>
                    <w:rPr>
                      <w:rFonts w:hint="eastAsia"/>
                      <w:color w:val="auto"/>
                      <w:kern w:val="0"/>
                      <w:szCs w:val="21"/>
                      <w:lang w:val="en-US" w:eastAsia="zh-CN"/>
                    </w:rPr>
                    <w:t>0</w:t>
                  </w:r>
                </w:p>
              </w:tc>
              <w:tc>
                <w:tcPr>
                  <w:tcW w:w="453" w:type="pct"/>
                  <w:noWrap w:val="0"/>
                  <w:vAlign w:val="center"/>
                </w:tcPr>
                <w:p w14:paraId="33F6F730">
                  <w:pPr>
                    <w:jc w:val="center"/>
                    <w:rPr>
                      <w:rFonts w:hint="eastAsia" w:eastAsia="宋体"/>
                      <w:color w:val="auto"/>
                      <w:kern w:val="0"/>
                      <w:szCs w:val="21"/>
                      <w:lang w:val="en-US" w:eastAsia="zh-CN"/>
                    </w:rPr>
                  </w:pPr>
                  <w:r>
                    <w:rPr>
                      <w:rFonts w:hint="eastAsia"/>
                      <w:color w:val="auto"/>
                      <w:kern w:val="0"/>
                      <w:szCs w:val="21"/>
                      <w:lang w:val="en-US" w:eastAsia="zh-CN"/>
                    </w:rPr>
                    <w:t>/</w:t>
                  </w:r>
                </w:p>
              </w:tc>
              <w:tc>
                <w:tcPr>
                  <w:tcW w:w="467" w:type="pct"/>
                  <w:noWrap w:val="0"/>
                  <w:vAlign w:val="center"/>
                </w:tcPr>
                <w:p w14:paraId="12F07EBF">
                  <w:pPr>
                    <w:jc w:val="center"/>
                    <w:rPr>
                      <w:rFonts w:hint="eastAsia" w:eastAsia="宋体"/>
                      <w:color w:val="auto"/>
                      <w:kern w:val="0"/>
                      <w:szCs w:val="21"/>
                      <w:lang w:val="en-US" w:eastAsia="zh-CN"/>
                    </w:rPr>
                  </w:pPr>
                  <w:r>
                    <w:rPr>
                      <w:rFonts w:hint="eastAsia"/>
                      <w:color w:val="auto"/>
                      <w:kern w:val="0"/>
                      <w:szCs w:val="21"/>
                      <w:lang w:val="en-US" w:eastAsia="zh-CN"/>
                    </w:rPr>
                    <w:t>/</w:t>
                  </w:r>
                </w:p>
              </w:tc>
              <w:tc>
                <w:tcPr>
                  <w:tcW w:w="473" w:type="pct"/>
                  <w:noWrap w:val="0"/>
                  <w:vAlign w:val="center"/>
                </w:tcPr>
                <w:p w14:paraId="33C7DE48">
                  <w:pPr>
                    <w:jc w:val="center"/>
                    <w:rPr>
                      <w:rFonts w:hint="eastAsia" w:eastAsia="宋体"/>
                      <w:color w:val="auto"/>
                      <w:kern w:val="0"/>
                      <w:szCs w:val="21"/>
                      <w:lang w:val="en-US" w:eastAsia="zh-CN"/>
                    </w:rPr>
                  </w:pPr>
                  <w:r>
                    <w:rPr>
                      <w:rFonts w:hint="eastAsia"/>
                      <w:color w:val="auto"/>
                      <w:kern w:val="0"/>
                      <w:szCs w:val="21"/>
                      <w:lang w:val="en-US" w:eastAsia="zh-CN"/>
                    </w:rPr>
                    <w:t>/</w:t>
                  </w:r>
                </w:p>
              </w:tc>
              <w:tc>
                <w:tcPr>
                  <w:tcW w:w="473" w:type="pct"/>
                  <w:noWrap w:val="0"/>
                  <w:vAlign w:val="center"/>
                </w:tcPr>
                <w:p w14:paraId="4D176610">
                  <w:pPr>
                    <w:jc w:val="center"/>
                    <w:rPr>
                      <w:rFonts w:hint="eastAsia" w:eastAsia="宋体"/>
                      <w:color w:val="auto"/>
                      <w:kern w:val="0"/>
                      <w:szCs w:val="21"/>
                      <w:lang w:val="en-US" w:eastAsia="zh-CN"/>
                    </w:rPr>
                  </w:pPr>
                  <w:r>
                    <w:rPr>
                      <w:rFonts w:hint="eastAsia"/>
                      <w:color w:val="auto"/>
                      <w:kern w:val="0"/>
                      <w:szCs w:val="21"/>
                      <w:lang w:val="en-US" w:eastAsia="zh-CN"/>
                    </w:rPr>
                    <w:t>/</w:t>
                  </w:r>
                </w:p>
              </w:tc>
            </w:tr>
            <w:tr w14:paraId="79CEF4A9">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368" w:type="pct"/>
                  <w:gridSpan w:val="2"/>
                  <w:vMerge w:val="continue"/>
                  <w:noWrap w:val="0"/>
                  <w:vAlign w:val="center"/>
                </w:tcPr>
                <w:p w14:paraId="3B21F4AE">
                  <w:pPr>
                    <w:widowControl/>
                    <w:jc w:val="center"/>
                    <w:rPr>
                      <w:color w:val="auto"/>
                      <w:kern w:val="0"/>
                      <w:szCs w:val="21"/>
                    </w:rPr>
                  </w:pPr>
                </w:p>
              </w:tc>
              <w:tc>
                <w:tcPr>
                  <w:tcW w:w="487" w:type="pct"/>
                  <w:noWrap w:val="0"/>
                  <w:vAlign w:val="center"/>
                </w:tcPr>
                <w:p w14:paraId="48460E9F">
                  <w:pPr>
                    <w:widowControl/>
                    <w:jc w:val="center"/>
                    <w:rPr>
                      <w:color w:val="auto"/>
                      <w:kern w:val="0"/>
                      <w:sz w:val="21"/>
                      <w:szCs w:val="21"/>
                      <w:lang w:val="en-US" w:eastAsia="zh-CN" w:bidi="ar-SA"/>
                    </w:rPr>
                  </w:pPr>
                  <w:r>
                    <w:rPr>
                      <w:color w:val="auto"/>
                      <w:kern w:val="0"/>
                      <w:szCs w:val="21"/>
                    </w:rPr>
                    <w:t>危险废物</w:t>
                  </w:r>
                </w:p>
              </w:tc>
              <w:tc>
                <w:tcPr>
                  <w:tcW w:w="404" w:type="pct"/>
                  <w:noWrap w:val="0"/>
                  <w:vAlign w:val="center"/>
                </w:tcPr>
                <w:p w14:paraId="03782B89">
                  <w:pPr>
                    <w:jc w:val="center"/>
                    <w:rPr>
                      <w:color w:val="auto"/>
                      <w:kern w:val="0"/>
                      <w:szCs w:val="21"/>
                    </w:rPr>
                  </w:pPr>
                  <w:r>
                    <w:rPr>
                      <w:color w:val="auto"/>
                      <w:kern w:val="0"/>
                      <w:szCs w:val="21"/>
                    </w:rPr>
                    <w:t>0</w:t>
                  </w:r>
                </w:p>
              </w:tc>
              <w:tc>
                <w:tcPr>
                  <w:tcW w:w="473" w:type="pct"/>
                  <w:noWrap w:val="0"/>
                  <w:vAlign w:val="center"/>
                </w:tcPr>
                <w:p w14:paraId="7B8B306D">
                  <w:pPr>
                    <w:jc w:val="center"/>
                    <w:rPr>
                      <w:color w:val="auto"/>
                      <w:kern w:val="0"/>
                      <w:szCs w:val="21"/>
                    </w:rPr>
                  </w:pPr>
                  <w:r>
                    <w:rPr>
                      <w:color w:val="auto"/>
                      <w:kern w:val="0"/>
                      <w:szCs w:val="21"/>
                    </w:rPr>
                    <w:t>0</w:t>
                  </w:r>
                </w:p>
              </w:tc>
              <w:tc>
                <w:tcPr>
                  <w:tcW w:w="446" w:type="pct"/>
                  <w:noWrap w:val="0"/>
                  <w:vAlign w:val="center"/>
                </w:tcPr>
                <w:p w14:paraId="023E324E">
                  <w:pPr>
                    <w:widowControl/>
                    <w:jc w:val="center"/>
                    <w:textAlignment w:val="center"/>
                    <w:rPr>
                      <w:rFonts w:hint="default" w:eastAsia="宋体"/>
                      <w:color w:val="auto"/>
                      <w:kern w:val="0"/>
                      <w:szCs w:val="21"/>
                      <w:lang w:val="en-US" w:eastAsia="zh-CN"/>
                    </w:rPr>
                  </w:pPr>
                  <w:r>
                    <w:rPr>
                      <w:rFonts w:hint="eastAsia"/>
                      <w:color w:val="auto"/>
                      <w:kern w:val="0"/>
                      <w:szCs w:val="21"/>
                      <w:lang w:val="en-US" w:eastAsia="zh-CN"/>
                    </w:rPr>
                    <w:t>13.697</w:t>
                  </w:r>
                </w:p>
              </w:tc>
              <w:tc>
                <w:tcPr>
                  <w:tcW w:w="551" w:type="pct"/>
                  <w:noWrap w:val="0"/>
                  <w:vAlign w:val="center"/>
                </w:tcPr>
                <w:p w14:paraId="56337483">
                  <w:pPr>
                    <w:widowControl/>
                    <w:jc w:val="center"/>
                    <w:textAlignment w:val="center"/>
                    <w:rPr>
                      <w:rFonts w:hint="default" w:eastAsia="宋体"/>
                      <w:color w:val="auto"/>
                      <w:kern w:val="0"/>
                      <w:sz w:val="21"/>
                      <w:szCs w:val="21"/>
                      <w:lang w:val="en-US" w:eastAsia="zh-CN" w:bidi="ar-SA"/>
                    </w:rPr>
                  </w:pPr>
                  <w:r>
                    <w:rPr>
                      <w:rFonts w:hint="eastAsia"/>
                      <w:color w:val="auto"/>
                      <w:kern w:val="0"/>
                      <w:szCs w:val="21"/>
                      <w:lang w:val="en-US" w:eastAsia="zh-CN"/>
                    </w:rPr>
                    <w:t>13.697</w:t>
                  </w:r>
                </w:p>
              </w:tc>
              <w:tc>
                <w:tcPr>
                  <w:tcW w:w="402" w:type="pct"/>
                  <w:noWrap w:val="0"/>
                  <w:vAlign w:val="center"/>
                </w:tcPr>
                <w:p w14:paraId="1928C5BB">
                  <w:pPr>
                    <w:jc w:val="center"/>
                    <w:rPr>
                      <w:rFonts w:hint="eastAsia" w:eastAsia="宋体"/>
                      <w:color w:val="auto"/>
                      <w:kern w:val="0"/>
                      <w:szCs w:val="21"/>
                      <w:lang w:val="en-US" w:eastAsia="zh-CN"/>
                    </w:rPr>
                  </w:pPr>
                  <w:r>
                    <w:rPr>
                      <w:rFonts w:hint="eastAsia"/>
                      <w:color w:val="auto"/>
                      <w:kern w:val="0"/>
                      <w:szCs w:val="21"/>
                      <w:lang w:val="en-US" w:eastAsia="zh-CN"/>
                    </w:rPr>
                    <w:t>0</w:t>
                  </w:r>
                </w:p>
              </w:tc>
              <w:tc>
                <w:tcPr>
                  <w:tcW w:w="453" w:type="pct"/>
                  <w:noWrap w:val="0"/>
                  <w:vAlign w:val="center"/>
                </w:tcPr>
                <w:p w14:paraId="6D9A8943">
                  <w:pPr>
                    <w:jc w:val="center"/>
                    <w:rPr>
                      <w:rFonts w:hint="eastAsia" w:eastAsia="宋体"/>
                      <w:color w:val="auto"/>
                      <w:kern w:val="0"/>
                      <w:szCs w:val="21"/>
                      <w:lang w:val="en-US" w:eastAsia="zh-CN"/>
                    </w:rPr>
                  </w:pPr>
                  <w:r>
                    <w:rPr>
                      <w:rFonts w:hint="eastAsia"/>
                      <w:color w:val="auto"/>
                      <w:kern w:val="0"/>
                      <w:szCs w:val="21"/>
                      <w:lang w:val="en-US" w:eastAsia="zh-CN"/>
                    </w:rPr>
                    <w:t>/</w:t>
                  </w:r>
                </w:p>
              </w:tc>
              <w:tc>
                <w:tcPr>
                  <w:tcW w:w="467" w:type="pct"/>
                  <w:noWrap w:val="0"/>
                  <w:vAlign w:val="center"/>
                </w:tcPr>
                <w:p w14:paraId="5AEF447E">
                  <w:pPr>
                    <w:jc w:val="center"/>
                    <w:rPr>
                      <w:rFonts w:hint="eastAsia" w:eastAsia="宋体"/>
                      <w:color w:val="auto"/>
                      <w:kern w:val="0"/>
                      <w:szCs w:val="21"/>
                      <w:lang w:val="en-US" w:eastAsia="zh-CN"/>
                    </w:rPr>
                  </w:pPr>
                  <w:r>
                    <w:rPr>
                      <w:rFonts w:hint="eastAsia"/>
                      <w:color w:val="auto"/>
                      <w:kern w:val="0"/>
                      <w:szCs w:val="21"/>
                      <w:lang w:val="en-US" w:eastAsia="zh-CN"/>
                    </w:rPr>
                    <w:t>/</w:t>
                  </w:r>
                </w:p>
              </w:tc>
              <w:tc>
                <w:tcPr>
                  <w:tcW w:w="473" w:type="pct"/>
                  <w:noWrap w:val="0"/>
                  <w:vAlign w:val="center"/>
                </w:tcPr>
                <w:p w14:paraId="491C2AEB">
                  <w:pPr>
                    <w:jc w:val="center"/>
                    <w:rPr>
                      <w:rFonts w:hint="eastAsia" w:eastAsia="宋体"/>
                      <w:color w:val="auto"/>
                      <w:kern w:val="0"/>
                      <w:szCs w:val="21"/>
                      <w:lang w:val="en-US" w:eastAsia="zh-CN"/>
                    </w:rPr>
                  </w:pPr>
                  <w:r>
                    <w:rPr>
                      <w:rFonts w:hint="eastAsia"/>
                      <w:color w:val="auto"/>
                      <w:kern w:val="0"/>
                      <w:szCs w:val="21"/>
                      <w:lang w:val="en-US" w:eastAsia="zh-CN"/>
                    </w:rPr>
                    <w:t>/</w:t>
                  </w:r>
                </w:p>
              </w:tc>
              <w:tc>
                <w:tcPr>
                  <w:tcW w:w="473" w:type="pct"/>
                  <w:noWrap w:val="0"/>
                  <w:vAlign w:val="center"/>
                </w:tcPr>
                <w:p w14:paraId="01AC9A97">
                  <w:pPr>
                    <w:jc w:val="center"/>
                    <w:rPr>
                      <w:rFonts w:hint="eastAsia" w:eastAsia="宋体"/>
                      <w:color w:val="auto"/>
                      <w:kern w:val="0"/>
                      <w:szCs w:val="21"/>
                      <w:lang w:val="en-US" w:eastAsia="zh-CN"/>
                    </w:rPr>
                  </w:pPr>
                  <w:r>
                    <w:rPr>
                      <w:rFonts w:hint="eastAsia"/>
                      <w:color w:val="auto"/>
                      <w:kern w:val="0"/>
                      <w:szCs w:val="21"/>
                      <w:lang w:val="en-US" w:eastAsia="zh-CN"/>
                    </w:rPr>
                    <w:t>/</w:t>
                  </w:r>
                </w:p>
              </w:tc>
            </w:tr>
          </w:tbl>
          <w:p w14:paraId="7425CF2D">
            <w:pPr>
              <w:keepNext w:val="0"/>
              <w:keepLines w:val="0"/>
              <w:pageBreakBefore w:val="0"/>
              <w:widowControl w:val="0"/>
              <w:kinsoku/>
              <w:wordWrap/>
              <w:overflowPunct/>
              <w:topLinePunct w:val="0"/>
              <w:autoSpaceDE/>
              <w:autoSpaceDN/>
              <w:bidi w:val="0"/>
              <w:adjustRightInd w:val="0"/>
              <w:snapToGrid w:val="0"/>
              <w:spacing w:line="500" w:lineRule="exact"/>
              <w:ind w:firstLine="422" w:firstLineChars="200"/>
              <w:jc w:val="left"/>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2、总量平衡方案</w:t>
            </w:r>
          </w:p>
          <w:p w14:paraId="2CDF292D">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jc w:val="left"/>
              <w:textAlignment w:val="auto"/>
              <w:rPr>
                <w:rFonts w:hint="default" w:ascii="Times New Roman" w:hAnsi="Times New Roman" w:eastAsia="宋体" w:cs="Times New Roman"/>
                <w:bCs/>
                <w:color w:val="auto"/>
                <w:sz w:val="21"/>
                <w:szCs w:val="21"/>
                <w:lang w:eastAsia="zh-CN"/>
              </w:rPr>
            </w:pPr>
            <w:r>
              <w:rPr>
                <w:rFonts w:hint="default" w:cs="Times New Roman"/>
                <w:bCs/>
                <w:color w:val="auto"/>
                <w:sz w:val="21"/>
                <w:szCs w:val="21"/>
                <w:lang w:val="en-US" w:eastAsia="zh-CN"/>
              </w:rPr>
              <w:t>废气：</w:t>
            </w:r>
            <w:r>
              <w:rPr>
                <w:rFonts w:hint="default" w:ascii="Times New Roman" w:hAnsi="Times New Roman" w:eastAsia="宋体" w:cs="Times New Roman"/>
                <w:bCs/>
                <w:color w:val="auto"/>
                <w:sz w:val="21"/>
                <w:szCs w:val="21"/>
                <w:lang w:val="en-US" w:eastAsia="zh-CN"/>
              </w:rPr>
              <w:t>本项目新增</w:t>
            </w:r>
            <w:r>
              <w:rPr>
                <w:rFonts w:hint="default" w:ascii="Times New Roman" w:hAnsi="Times New Roman" w:eastAsia="宋体" w:cs="Times New Roman"/>
                <w:bCs/>
                <w:color w:val="auto"/>
                <w:sz w:val="21"/>
                <w:szCs w:val="21"/>
              </w:rPr>
              <w:t>排放</w:t>
            </w:r>
            <w:r>
              <w:rPr>
                <w:rFonts w:hint="eastAsia" w:ascii="Times New Roman" w:hAnsi="Times New Roman" w:eastAsia="宋体" w:cs="Times New Roman"/>
                <w:bCs/>
                <w:color w:val="auto"/>
                <w:sz w:val="21"/>
                <w:szCs w:val="21"/>
                <w:lang w:val="en-US" w:eastAsia="zh-CN"/>
              </w:rPr>
              <w:t>非甲烷总烃</w:t>
            </w:r>
            <w:r>
              <w:rPr>
                <w:rFonts w:hint="default" w:ascii="Times New Roman" w:hAnsi="Times New Roman" w:eastAsia="宋体" w:cs="Times New Roman"/>
                <w:bCs/>
                <w:color w:val="auto"/>
                <w:sz w:val="21"/>
                <w:szCs w:val="21"/>
              </w:rPr>
              <w:t xml:space="preserve"> </w:t>
            </w:r>
            <w:r>
              <w:rPr>
                <w:rFonts w:hint="eastAsia" w:ascii="Times New Roman" w:hAnsi="Times New Roman" w:eastAsia="宋体" w:cs="Times New Roman"/>
                <w:bCs/>
                <w:color w:val="auto"/>
                <w:sz w:val="21"/>
                <w:szCs w:val="21"/>
                <w:lang w:eastAsia="zh-CN"/>
              </w:rPr>
              <w:t>0.</w:t>
            </w:r>
            <w:r>
              <w:rPr>
                <w:rFonts w:hint="eastAsia" w:cs="Times New Roman"/>
                <w:bCs/>
                <w:color w:val="auto"/>
                <w:sz w:val="21"/>
                <w:szCs w:val="21"/>
                <w:lang w:val="en-US" w:eastAsia="zh-CN"/>
              </w:rPr>
              <w:t>074</w:t>
            </w:r>
            <w:r>
              <w:rPr>
                <w:rFonts w:hint="default" w:ascii="Times New Roman" w:hAnsi="Times New Roman" w:eastAsia="宋体" w:cs="Times New Roman"/>
                <w:bCs/>
                <w:color w:val="auto"/>
                <w:sz w:val="21"/>
                <w:szCs w:val="21"/>
                <w:lang w:val="en-US" w:eastAsia="zh-CN"/>
              </w:rPr>
              <w:t>t/a</w:t>
            </w:r>
            <w:r>
              <w:rPr>
                <w:rFonts w:hint="eastAsia"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在</w:t>
            </w:r>
            <w:r>
              <w:rPr>
                <w:rFonts w:hint="default" w:ascii="Times New Roman" w:hAnsi="Times New Roman" w:eastAsia="宋体" w:cs="Times New Roman"/>
                <w:bCs/>
                <w:color w:val="auto"/>
                <w:sz w:val="21"/>
                <w:szCs w:val="21"/>
                <w:lang w:eastAsia="zh-CN"/>
              </w:rPr>
              <w:t>金坛区</w:t>
            </w:r>
            <w:r>
              <w:rPr>
                <w:rFonts w:hint="default" w:ascii="Times New Roman" w:hAnsi="Times New Roman" w:eastAsia="宋体" w:cs="Times New Roman"/>
                <w:bCs/>
                <w:color w:val="auto"/>
                <w:sz w:val="21"/>
                <w:szCs w:val="21"/>
              </w:rPr>
              <w:t>范围内平衡</w:t>
            </w:r>
            <w:r>
              <w:rPr>
                <w:rFonts w:hint="eastAsia" w:ascii="Times New Roman" w:hAnsi="Times New Roman" w:eastAsia="宋体" w:cs="Times New Roman"/>
                <w:bCs/>
                <w:color w:val="auto"/>
                <w:sz w:val="21"/>
                <w:szCs w:val="21"/>
                <w:lang w:val="en-US" w:eastAsia="zh-CN"/>
              </w:rPr>
              <w:t>。</w:t>
            </w:r>
          </w:p>
          <w:p w14:paraId="2FA7D075">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jc w:val="left"/>
              <w:textAlignment w:val="auto"/>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z w:val="21"/>
                <w:szCs w:val="21"/>
                <w:lang w:eastAsia="zh-CN"/>
              </w:rPr>
              <w:t>废水：</w:t>
            </w:r>
            <w:r>
              <w:rPr>
                <w:rFonts w:hint="default" w:ascii="Times New Roman" w:hAnsi="Times New Roman" w:cs="Times New Roman"/>
                <w:bCs/>
                <w:color w:val="auto"/>
                <w:sz w:val="21"/>
                <w:szCs w:val="21"/>
                <w:lang w:val="en-US" w:eastAsia="zh-CN"/>
              </w:rPr>
              <w:t>本项目</w:t>
            </w:r>
            <w:r>
              <w:rPr>
                <w:rFonts w:hint="eastAsia" w:cs="Times New Roman"/>
                <w:bCs/>
                <w:color w:val="auto"/>
                <w:sz w:val="21"/>
                <w:szCs w:val="21"/>
                <w:lang w:val="en-US" w:eastAsia="zh-CN"/>
              </w:rPr>
              <w:t>不新增废水排放</w:t>
            </w:r>
            <w:r>
              <w:rPr>
                <w:rFonts w:hint="default" w:ascii="Times New Roman" w:hAnsi="Times New Roman" w:cs="Times New Roman"/>
                <w:bCs/>
                <w:color w:val="auto"/>
                <w:sz w:val="21"/>
                <w:szCs w:val="21"/>
                <w:lang w:eastAsia="zh-CN"/>
              </w:rPr>
              <w:t>。</w:t>
            </w:r>
          </w:p>
          <w:p w14:paraId="2F233928">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jc w:val="left"/>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固体废物：</w:t>
            </w:r>
            <w:r>
              <w:rPr>
                <w:rFonts w:hint="default" w:ascii="Times New Roman" w:hAnsi="Times New Roman" w:eastAsia="宋体" w:cs="Times New Roman"/>
                <w:bCs/>
                <w:color w:val="auto"/>
                <w:sz w:val="21"/>
                <w:szCs w:val="21"/>
              </w:rPr>
              <w:t>本项目产生的固体废物均进行合理处置，实现固体废物100%处置，</w:t>
            </w:r>
            <w:r>
              <w:rPr>
                <w:rFonts w:hint="eastAsia" w:cs="Times New Roman"/>
                <w:bCs/>
                <w:color w:val="auto"/>
                <w:sz w:val="21"/>
                <w:szCs w:val="21"/>
                <w:lang w:eastAsia="zh-CN"/>
              </w:rPr>
              <w:t>无须</w:t>
            </w:r>
            <w:r>
              <w:rPr>
                <w:rFonts w:hint="default" w:ascii="Times New Roman" w:hAnsi="Times New Roman" w:eastAsia="宋体" w:cs="Times New Roman"/>
                <w:bCs/>
                <w:color w:val="auto"/>
                <w:sz w:val="21"/>
                <w:szCs w:val="21"/>
              </w:rPr>
              <w:t>申请总</w:t>
            </w:r>
            <w:r>
              <w:rPr>
                <w:rFonts w:hint="eastAsia" w:ascii="Times New Roman" w:hAnsi="Times New Roman" w:eastAsia="宋体" w:cs="Times New Roman"/>
                <w:bCs/>
                <w:color w:val="auto"/>
                <w:sz w:val="21"/>
                <w:szCs w:val="21"/>
                <w:lang w:val="en-US" w:eastAsia="zh-CN"/>
              </w:rPr>
              <w:t>量。</w:t>
            </w:r>
          </w:p>
          <w:p w14:paraId="6D07EFA5">
            <w:pPr>
              <w:pStyle w:val="14"/>
              <w:widowControl w:val="0"/>
              <w:numPr>
                <w:ilvl w:val="0"/>
                <w:numId w:val="0"/>
              </w:numPr>
              <w:jc w:val="both"/>
              <w:rPr>
                <w:rFonts w:hint="eastAsia" w:ascii="Times New Roman" w:hAnsi="Times New Roman" w:eastAsia="宋体" w:cs="Times New Roman"/>
                <w:bCs/>
                <w:color w:val="auto"/>
                <w:sz w:val="21"/>
                <w:szCs w:val="21"/>
                <w:lang w:val="en-US" w:eastAsia="zh-CN"/>
              </w:rPr>
            </w:pPr>
          </w:p>
          <w:p w14:paraId="5409B508">
            <w:pPr>
              <w:pStyle w:val="14"/>
              <w:widowControl w:val="0"/>
              <w:numPr>
                <w:ilvl w:val="0"/>
                <w:numId w:val="0"/>
              </w:numPr>
              <w:jc w:val="both"/>
              <w:rPr>
                <w:rFonts w:hint="eastAsia" w:ascii="Times New Roman" w:hAnsi="Times New Roman" w:eastAsia="宋体" w:cs="Times New Roman"/>
                <w:bCs/>
                <w:color w:val="auto"/>
                <w:sz w:val="21"/>
                <w:szCs w:val="21"/>
                <w:lang w:val="en-US" w:eastAsia="zh-CN"/>
              </w:rPr>
            </w:pPr>
          </w:p>
          <w:p w14:paraId="68683B74">
            <w:pPr>
              <w:pStyle w:val="14"/>
              <w:widowControl w:val="0"/>
              <w:numPr>
                <w:ilvl w:val="0"/>
                <w:numId w:val="0"/>
              </w:numPr>
              <w:jc w:val="both"/>
              <w:rPr>
                <w:rFonts w:hint="eastAsia" w:ascii="Times New Roman" w:hAnsi="Times New Roman" w:eastAsia="宋体" w:cs="Times New Roman"/>
                <w:bCs/>
                <w:color w:val="auto"/>
                <w:sz w:val="21"/>
                <w:szCs w:val="21"/>
                <w:lang w:val="en-US" w:eastAsia="zh-CN"/>
              </w:rPr>
            </w:pPr>
          </w:p>
          <w:p w14:paraId="4F8091D7">
            <w:pPr>
              <w:pStyle w:val="14"/>
              <w:widowControl w:val="0"/>
              <w:numPr>
                <w:ilvl w:val="0"/>
                <w:numId w:val="0"/>
              </w:numPr>
              <w:jc w:val="both"/>
              <w:rPr>
                <w:rFonts w:hint="eastAsia" w:ascii="Times New Roman" w:hAnsi="Times New Roman" w:eastAsia="宋体" w:cs="Times New Roman"/>
                <w:bCs/>
                <w:color w:val="auto"/>
                <w:sz w:val="21"/>
                <w:szCs w:val="21"/>
                <w:lang w:val="en-US" w:eastAsia="zh-CN"/>
              </w:rPr>
            </w:pPr>
          </w:p>
          <w:p w14:paraId="2FE313C3">
            <w:pPr>
              <w:pStyle w:val="14"/>
              <w:widowControl w:val="0"/>
              <w:numPr>
                <w:ilvl w:val="0"/>
                <w:numId w:val="0"/>
              </w:numPr>
              <w:jc w:val="both"/>
              <w:rPr>
                <w:rFonts w:hint="eastAsia" w:ascii="Times New Roman" w:hAnsi="Times New Roman" w:eastAsia="宋体" w:cs="Times New Roman"/>
                <w:bCs/>
                <w:color w:val="auto"/>
                <w:sz w:val="21"/>
                <w:szCs w:val="21"/>
                <w:lang w:val="en-US" w:eastAsia="zh-CN"/>
              </w:rPr>
            </w:pPr>
          </w:p>
          <w:p w14:paraId="5CB3C0F4">
            <w:pPr>
              <w:pStyle w:val="14"/>
              <w:widowControl w:val="0"/>
              <w:numPr>
                <w:ilvl w:val="0"/>
                <w:numId w:val="0"/>
              </w:numPr>
              <w:jc w:val="both"/>
              <w:rPr>
                <w:rFonts w:hint="eastAsia" w:ascii="Times New Roman" w:hAnsi="Times New Roman" w:eastAsia="宋体" w:cs="Times New Roman"/>
                <w:bCs/>
                <w:color w:val="auto"/>
                <w:sz w:val="21"/>
                <w:szCs w:val="21"/>
                <w:lang w:val="en-US" w:eastAsia="zh-CN"/>
              </w:rPr>
            </w:pPr>
          </w:p>
          <w:p w14:paraId="1C9C358F">
            <w:pPr>
              <w:pStyle w:val="14"/>
              <w:widowControl w:val="0"/>
              <w:numPr>
                <w:ilvl w:val="0"/>
                <w:numId w:val="0"/>
              </w:numPr>
              <w:jc w:val="both"/>
              <w:rPr>
                <w:rFonts w:hint="default" w:ascii="Times New Roman" w:hAnsi="Times New Roman" w:eastAsia="宋体" w:cs="Times New Roman"/>
                <w:bCs/>
                <w:color w:val="auto"/>
                <w:sz w:val="21"/>
                <w:szCs w:val="21"/>
                <w:lang w:val="en-US" w:eastAsia="zh-CN"/>
              </w:rPr>
            </w:pPr>
          </w:p>
        </w:tc>
      </w:tr>
    </w:tbl>
    <w:p w14:paraId="49C91B0B">
      <w:pPr>
        <w:pStyle w:val="25"/>
        <w:keepNext w:val="0"/>
        <w:keepLines w:val="0"/>
        <w:pageBreakBefore/>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rPr>
      </w:pPr>
      <w:bookmarkStart w:id="7" w:name="_Toc6576"/>
      <w:r>
        <w:rPr>
          <w:rFonts w:hint="default" w:ascii="Times New Roman" w:hAnsi="Times New Roman" w:eastAsia="黑体" w:cs="Times New Roman"/>
          <w:snapToGrid w:val="0"/>
          <w:color w:val="auto"/>
          <w:sz w:val="30"/>
          <w:szCs w:val="30"/>
        </w:rPr>
        <w:t>四、主要环境影响和保护措施</w:t>
      </w:r>
      <w:bookmarkEnd w:id="6"/>
      <w:bookmarkEnd w:id="7"/>
    </w:p>
    <w:tbl>
      <w:tblPr>
        <w:tblStyle w:val="31"/>
        <w:tblpPr w:leftFromText="180" w:rightFromText="180" w:vertAnchor="text" w:tblpXSpec="center" w:tblpY="1"/>
        <w:tblOverlap w:val="never"/>
        <w:tblW w:w="91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
        <w:gridCol w:w="8943"/>
      </w:tblGrid>
      <w:tr w14:paraId="2175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trPr>
        <w:tc>
          <w:tcPr>
            <w:tcW w:w="876" w:type="dxa"/>
            <w:tcMar>
              <w:left w:w="28" w:type="dxa"/>
              <w:right w:w="28" w:type="dxa"/>
            </w:tcMar>
            <w:vAlign w:val="center"/>
          </w:tcPr>
          <w:p w14:paraId="49BF4432">
            <w:pPr>
              <w:pStyle w:val="25"/>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施工</w:t>
            </w:r>
          </w:p>
          <w:p w14:paraId="4B62F8CD">
            <w:pPr>
              <w:pStyle w:val="25"/>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期环</w:t>
            </w:r>
          </w:p>
          <w:p w14:paraId="062DDE30">
            <w:pPr>
              <w:pStyle w:val="25"/>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境保</w:t>
            </w:r>
          </w:p>
          <w:p w14:paraId="40F2E719">
            <w:pPr>
              <w:pStyle w:val="25"/>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护措</w:t>
            </w:r>
          </w:p>
          <w:p w14:paraId="7DDD90A3">
            <w:pPr>
              <w:pStyle w:val="25"/>
              <w:adjustRightInd w:val="0"/>
              <w:snapToGrid w:val="0"/>
              <w:spacing w:before="0" w:beforeAutospacing="0" w:after="0" w:afterAutospacing="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施</w:t>
            </w:r>
          </w:p>
        </w:tc>
        <w:tc>
          <w:tcPr>
            <w:tcW w:w="8273" w:type="dxa"/>
            <w:vAlign w:val="center"/>
          </w:tcPr>
          <w:p w14:paraId="47C9E015">
            <w:pPr>
              <w:pStyle w:val="9"/>
              <w:keepNext w:val="0"/>
              <w:keepLines w:val="0"/>
              <w:pageBreakBefore w:val="0"/>
              <w:widowControl/>
              <w:kinsoku/>
              <w:wordWrap/>
              <w:overflowPunct/>
              <w:topLinePunct w:val="0"/>
              <w:autoSpaceDE/>
              <w:autoSpaceDN/>
              <w:bidi w:val="0"/>
              <w:adjustRightInd/>
              <w:snapToGrid w:val="0"/>
              <w:spacing w:before="0" w:after="0" w:line="500" w:lineRule="exact"/>
              <w:ind w:right="0" w:firstLine="420" w:firstLineChars="200"/>
              <w:textAlignment w:val="auto"/>
              <w:rPr>
                <w:rFonts w:hint="default"/>
                <w:color w:val="auto"/>
                <w:sz w:val="21"/>
                <w:szCs w:val="21"/>
                <w:lang w:val="en-US"/>
              </w:rPr>
            </w:pPr>
            <w:r>
              <w:rPr>
                <w:rFonts w:hint="default" w:ascii="Times New Roman" w:hAnsi="Times New Roman" w:cs="Times New Roman"/>
                <w:color w:val="auto"/>
                <w:sz w:val="21"/>
                <w:szCs w:val="21"/>
              </w:rPr>
              <w:t>本项目</w:t>
            </w:r>
            <w:r>
              <w:rPr>
                <w:rFonts w:hint="eastAsia" w:cs="Times New Roman"/>
                <w:color w:val="auto"/>
                <w:sz w:val="21"/>
                <w:szCs w:val="21"/>
                <w:lang w:val="en-US" w:eastAsia="zh-CN"/>
              </w:rPr>
              <w:t>利用现有</w:t>
            </w:r>
            <w:r>
              <w:rPr>
                <w:rFonts w:hint="default" w:ascii="Times New Roman" w:hAnsi="Times New Roman" w:cs="Times New Roman"/>
                <w:color w:val="auto"/>
                <w:sz w:val="21"/>
                <w:szCs w:val="21"/>
              </w:rPr>
              <w:t>厂房</w:t>
            </w:r>
            <w:r>
              <w:rPr>
                <w:rFonts w:hint="eastAsia" w:cs="Times New Roman"/>
                <w:color w:val="auto"/>
                <w:sz w:val="21"/>
                <w:szCs w:val="21"/>
                <w:lang w:val="en-US" w:eastAsia="zh-CN"/>
              </w:rPr>
              <w:t>建设</w:t>
            </w:r>
            <w:r>
              <w:rPr>
                <w:rFonts w:hint="default" w:ascii="Times New Roman" w:hAnsi="Times New Roman" w:cs="Times New Roman"/>
                <w:color w:val="auto"/>
                <w:sz w:val="21"/>
                <w:szCs w:val="21"/>
              </w:rPr>
              <w:t>，包括后期设备安装等，不涉及土建，对周围环境影响较小，故本次环评不再对施工期环境影响进行分析</w:t>
            </w:r>
            <w:r>
              <w:rPr>
                <w:rFonts w:hint="eastAsia" w:ascii="Times New Roman" w:hAnsi="Times New Roman" w:eastAsia="宋体" w:cs="Times New Roman"/>
                <w:bCs/>
                <w:color w:val="auto"/>
                <w:kern w:val="2"/>
                <w:sz w:val="21"/>
                <w:szCs w:val="21"/>
                <w:lang w:val="en-US" w:eastAsia="zh-CN" w:bidi="ar-SA"/>
              </w:rPr>
              <w:t>。</w:t>
            </w:r>
          </w:p>
        </w:tc>
      </w:tr>
      <w:tr w14:paraId="16C65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trPr>
        <w:tc>
          <w:tcPr>
            <w:tcW w:w="876" w:type="dxa"/>
            <w:tcMar>
              <w:left w:w="28" w:type="dxa"/>
              <w:right w:w="28" w:type="dxa"/>
            </w:tcMar>
            <w:vAlign w:val="center"/>
          </w:tcPr>
          <w:p w14:paraId="1CE89235">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运营</w:t>
            </w:r>
          </w:p>
          <w:p w14:paraId="5F5301B6">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期环</w:t>
            </w:r>
          </w:p>
          <w:p w14:paraId="4E6093EC">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境影</w:t>
            </w:r>
          </w:p>
          <w:p w14:paraId="125FBFB7">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响和</w:t>
            </w:r>
          </w:p>
          <w:p w14:paraId="49DD6DCD">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保护</w:t>
            </w:r>
          </w:p>
          <w:p w14:paraId="69CC6934">
            <w:pPr>
              <w:pStyle w:val="25"/>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bCs/>
                <w:color w:val="auto"/>
                <w:sz w:val="21"/>
                <w:szCs w:val="21"/>
              </w:rPr>
              <w:t>措施</w:t>
            </w:r>
          </w:p>
        </w:tc>
        <w:tc>
          <w:tcPr>
            <w:tcW w:w="8273" w:type="dxa"/>
            <w:vAlign w:val="center"/>
          </w:tcPr>
          <w:p w14:paraId="55E7FA40">
            <w:pPr>
              <w:keepNext w:val="0"/>
              <w:keepLines w:val="0"/>
              <w:pageBreakBefore w:val="0"/>
              <w:kinsoku/>
              <w:wordWrap/>
              <w:overflowPunct/>
              <w:topLinePunct w:val="0"/>
              <w:autoSpaceDE/>
              <w:autoSpaceDN/>
              <w:bidi w:val="0"/>
              <w:adjustRightInd w:val="0"/>
              <w:snapToGrid w:val="0"/>
              <w:spacing w:line="500" w:lineRule="exact"/>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eastAsia="zh-CN"/>
              </w:rPr>
              <w:t>一</w:t>
            </w:r>
            <w:r>
              <w:rPr>
                <w:rFonts w:hint="default" w:ascii="Times New Roman" w:hAnsi="Times New Roman" w:cs="Times New Roman"/>
                <w:b/>
                <w:color w:val="auto"/>
                <w:sz w:val="21"/>
                <w:szCs w:val="21"/>
              </w:rPr>
              <w:t>、废气</w:t>
            </w:r>
          </w:p>
          <w:p w14:paraId="41DB4294">
            <w:pPr>
              <w:keepNext w:val="0"/>
              <w:keepLines w:val="0"/>
              <w:pageBreakBefore w:val="0"/>
              <w:kinsoku/>
              <w:wordWrap/>
              <w:overflowPunct/>
              <w:topLinePunct w:val="0"/>
              <w:autoSpaceDE/>
              <w:autoSpaceDN/>
              <w:bidi w:val="0"/>
              <w:adjustRightInd w:val="0"/>
              <w:snapToGrid w:val="0"/>
              <w:spacing w:line="500" w:lineRule="exact"/>
              <w:ind w:firstLine="422" w:firstLineChars="200"/>
              <w:textAlignment w:val="auto"/>
              <w:rPr>
                <w:rFonts w:hint="default" w:ascii="Times New Roman" w:hAnsi="Times New Roman" w:cs="Times New Roman"/>
                <w:b/>
                <w:bCs/>
                <w:color w:val="auto"/>
                <w:sz w:val="21"/>
                <w:szCs w:val="21"/>
                <w:lang w:val="en-US"/>
              </w:rPr>
            </w:pPr>
            <w:r>
              <w:rPr>
                <w:rFonts w:hint="default" w:ascii="Times New Roman" w:hAnsi="Times New Roman" w:cs="Times New Roman"/>
                <w:b/>
                <w:bCs/>
                <w:color w:val="auto"/>
                <w:sz w:val="21"/>
                <w:szCs w:val="21"/>
                <w:lang w:val="en-US" w:eastAsia="zh-CN"/>
              </w:rPr>
              <w:t>1、废气产生情况</w:t>
            </w:r>
          </w:p>
          <w:p w14:paraId="77B44A29">
            <w:pPr>
              <w:pStyle w:val="25"/>
              <w:keepNext w:val="0"/>
              <w:keepLines w:val="0"/>
              <w:pageBreakBefore w:val="0"/>
              <w:kinsoku/>
              <w:wordWrap/>
              <w:overflowPunct/>
              <w:topLinePunct w:val="0"/>
              <w:autoSpaceDE/>
              <w:autoSpaceDN/>
              <w:bidi w:val="0"/>
              <w:adjustRightInd w:val="0"/>
              <w:snapToGrid w:val="0"/>
              <w:spacing w:before="0" w:beforeAutospacing="0" w:after="0" w:afterAutospacing="0" w:line="500" w:lineRule="exact"/>
              <w:ind w:firstLine="420" w:firstLineChars="200"/>
              <w:jc w:val="both"/>
              <w:textAlignment w:val="auto"/>
              <w:rPr>
                <w:rFonts w:hint="eastAsia" w:ascii="Times New Roman" w:hAnsi="Times New Roman" w:eastAsia="宋体" w:cs="Times New Roman"/>
                <w:bCs/>
                <w:color w:val="FF0000"/>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流延成型废气：项目EVA胶膜流延成型工段采用电加热，EVA粒子</w:t>
            </w:r>
            <w:r>
              <w:rPr>
                <w:rFonts w:hint="eastAsia" w:ascii="Times New Roman" w:hAnsi="Times New Roman" w:cs="Times New Roman"/>
                <w:bCs/>
                <w:color w:val="auto"/>
                <w:kern w:val="2"/>
                <w:sz w:val="21"/>
                <w:szCs w:val="21"/>
                <w:lang w:val="en-US" w:eastAsia="zh-CN" w:bidi="ar-SA"/>
              </w:rPr>
              <w:t>及助剂</w:t>
            </w:r>
            <w:r>
              <w:rPr>
                <w:rFonts w:hint="eastAsia" w:ascii="Times New Roman" w:hAnsi="Times New Roman" w:eastAsia="宋体" w:cs="Times New Roman"/>
                <w:bCs/>
                <w:color w:val="auto"/>
                <w:kern w:val="2"/>
                <w:sz w:val="21"/>
                <w:szCs w:val="21"/>
                <w:lang w:val="en-US" w:eastAsia="zh-CN" w:bidi="ar-SA"/>
              </w:rPr>
              <w:t>中部分分解温度低的反应单体从粒子中分解出来产生有机废气，以非甲烷总烃计。参考现有项目废气源强，塑料粒子挤出过程挥发性有机物产</w:t>
            </w:r>
            <w:r>
              <w:rPr>
                <w:rFonts w:hint="eastAsia" w:ascii="Times New Roman" w:hAnsi="Times New Roman" w:cs="Times New Roman"/>
                <w:bCs/>
                <w:color w:val="auto"/>
                <w:kern w:val="2"/>
                <w:sz w:val="21"/>
                <w:szCs w:val="21"/>
                <w:lang w:val="en-US" w:eastAsia="zh-CN" w:bidi="ar-SA"/>
              </w:rPr>
              <w:t>污</w:t>
            </w:r>
            <w:r>
              <w:rPr>
                <w:rFonts w:hint="eastAsia" w:ascii="Times New Roman" w:hAnsi="Times New Roman" w:eastAsia="宋体" w:cs="Times New Roman"/>
                <w:bCs/>
                <w:color w:val="auto"/>
                <w:kern w:val="2"/>
                <w:sz w:val="21"/>
                <w:szCs w:val="21"/>
                <w:lang w:val="en-US" w:eastAsia="zh-CN" w:bidi="ar-SA"/>
              </w:rPr>
              <w:t>系数为</w:t>
            </w:r>
            <w:r>
              <w:rPr>
                <w:rFonts w:hint="default" w:ascii="Times New Roman" w:hAnsi="Times New Roman" w:eastAsia="宋体" w:cs="Times New Roman"/>
                <w:bCs/>
                <w:color w:val="auto"/>
                <w:kern w:val="2"/>
                <w:sz w:val="21"/>
                <w:szCs w:val="21"/>
                <w:lang w:val="en-US" w:eastAsia="zh-CN" w:bidi="ar-SA"/>
              </w:rPr>
              <w:t>0.35kg/t-</w:t>
            </w:r>
            <w:r>
              <w:rPr>
                <w:rFonts w:hint="eastAsia" w:ascii="Times New Roman" w:hAnsi="Times New Roman" w:eastAsia="宋体" w:cs="Times New Roman"/>
                <w:bCs/>
                <w:color w:val="auto"/>
                <w:kern w:val="2"/>
                <w:sz w:val="21"/>
                <w:szCs w:val="21"/>
                <w:lang w:val="en-US" w:eastAsia="zh-CN" w:bidi="ar-SA"/>
              </w:rPr>
              <w:t>原料，技改后</w:t>
            </w:r>
            <w:r>
              <w:rPr>
                <w:rFonts w:hint="eastAsia" w:cs="Times New Roman"/>
                <w:bCs/>
                <w:color w:val="auto"/>
                <w:kern w:val="2"/>
                <w:sz w:val="21"/>
                <w:szCs w:val="21"/>
                <w:lang w:val="en-US" w:eastAsia="zh-CN" w:bidi="ar-SA"/>
              </w:rPr>
              <w:t>车间四</w:t>
            </w:r>
            <w:r>
              <w:rPr>
                <w:rFonts w:hint="eastAsia" w:ascii="Times New Roman" w:hAnsi="Times New Roman" w:eastAsia="宋体" w:cs="Times New Roman"/>
                <w:bCs/>
                <w:color w:val="auto"/>
                <w:kern w:val="2"/>
                <w:sz w:val="21"/>
                <w:szCs w:val="21"/>
                <w:lang w:val="en-US" w:eastAsia="zh-CN" w:bidi="ar-SA"/>
              </w:rPr>
              <w:t>4条EVA胶膜生产线（1#-4#）产能为年产EVA胶膜3000万m</w:t>
            </w:r>
            <w:r>
              <w:rPr>
                <w:rFonts w:hint="eastAsia" w:ascii="Times New Roman" w:hAnsi="Times New Roman" w:eastAsia="宋体" w:cs="Times New Roman"/>
                <w:bCs/>
                <w:color w:val="auto"/>
                <w:kern w:val="2"/>
                <w:sz w:val="21"/>
                <w:szCs w:val="21"/>
                <w:vertAlign w:val="superscript"/>
                <w:lang w:val="en-US" w:eastAsia="zh-CN" w:bidi="ar-SA"/>
              </w:rPr>
              <w:t>2</w:t>
            </w:r>
            <w:r>
              <w:rPr>
                <w:rFonts w:hint="eastAsia" w:ascii="Times New Roman" w:hAnsi="Times New Roman" w:eastAsia="宋体" w:cs="Times New Roman"/>
                <w:bCs/>
                <w:color w:val="auto"/>
                <w:kern w:val="2"/>
                <w:sz w:val="21"/>
                <w:szCs w:val="21"/>
                <w:lang w:val="en-US" w:eastAsia="zh-CN" w:bidi="ar-SA"/>
              </w:rPr>
              <w:t>/a，使用EVA粒子、交联剂、耐紫外光助剂、偶联剂约</w:t>
            </w:r>
            <w:r>
              <w:rPr>
                <w:rFonts w:hint="eastAsia" w:ascii="Times New Roman" w:hAnsi="Times New Roman" w:cs="Times New Roman"/>
                <w:bCs/>
                <w:color w:val="auto"/>
                <w:kern w:val="2"/>
                <w:sz w:val="21"/>
                <w:szCs w:val="21"/>
                <w:lang w:val="en-US" w:eastAsia="zh-CN" w:bidi="ar-SA"/>
              </w:rPr>
              <w:t>6726</w:t>
            </w:r>
            <w:r>
              <w:rPr>
                <w:rFonts w:hint="eastAsia" w:ascii="Times New Roman" w:hAnsi="Times New Roman" w:eastAsia="宋体" w:cs="Times New Roman"/>
                <w:bCs/>
                <w:color w:val="auto"/>
                <w:kern w:val="2"/>
                <w:sz w:val="21"/>
                <w:szCs w:val="21"/>
                <w:lang w:val="en-US" w:eastAsia="zh-CN" w:bidi="ar-SA"/>
              </w:rPr>
              <w:t>t/a（包括现有的</w:t>
            </w:r>
            <w:r>
              <w:rPr>
                <w:rFonts w:hint="eastAsia" w:ascii="Times New Roman" w:hAnsi="Times New Roman" w:cs="Times New Roman"/>
                <w:bCs/>
                <w:color w:val="auto"/>
                <w:kern w:val="2"/>
                <w:sz w:val="21"/>
                <w:szCs w:val="21"/>
                <w:lang w:val="en-US" w:eastAsia="zh-CN" w:bidi="ar-SA"/>
              </w:rPr>
              <w:t>5605</w:t>
            </w:r>
            <w:r>
              <w:rPr>
                <w:rFonts w:hint="eastAsia" w:ascii="Times New Roman" w:hAnsi="Times New Roman" w:eastAsia="宋体" w:cs="Times New Roman"/>
                <w:bCs/>
                <w:color w:val="auto"/>
                <w:kern w:val="2"/>
                <w:sz w:val="21"/>
                <w:szCs w:val="21"/>
                <w:lang w:val="en-US" w:eastAsia="zh-CN" w:bidi="ar-SA"/>
              </w:rPr>
              <w:t>t/a和本次新增的</w:t>
            </w:r>
            <w:r>
              <w:rPr>
                <w:rFonts w:hint="eastAsia" w:ascii="Times New Roman" w:hAnsi="Times New Roman" w:cs="Times New Roman"/>
                <w:bCs/>
                <w:color w:val="auto"/>
                <w:kern w:val="2"/>
                <w:sz w:val="21"/>
                <w:szCs w:val="21"/>
                <w:lang w:val="en-US" w:eastAsia="zh-CN" w:bidi="ar-SA"/>
              </w:rPr>
              <w:t>1121</w:t>
            </w:r>
            <w:r>
              <w:rPr>
                <w:rFonts w:hint="eastAsia" w:ascii="Times New Roman" w:hAnsi="Times New Roman" w:eastAsia="宋体" w:cs="Times New Roman"/>
                <w:bCs/>
                <w:color w:val="auto"/>
                <w:kern w:val="2"/>
                <w:sz w:val="21"/>
                <w:szCs w:val="21"/>
                <w:lang w:val="en-US" w:eastAsia="zh-CN" w:bidi="ar-SA"/>
              </w:rPr>
              <w:t>t/a），则4条EVA胶膜生产线（1#-4#）流延成型工段</w:t>
            </w:r>
            <w:r>
              <w:rPr>
                <w:rFonts w:hint="eastAsia" w:ascii="Times New Roman" w:hAnsi="Times New Roman" w:cs="Times New Roman"/>
                <w:bCs/>
                <w:color w:val="auto"/>
                <w:kern w:val="2"/>
                <w:sz w:val="21"/>
                <w:szCs w:val="21"/>
                <w:lang w:val="en-US" w:eastAsia="zh-CN" w:bidi="ar-SA"/>
              </w:rPr>
              <w:t>废气</w:t>
            </w:r>
            <w:r>
              <w:rPr>
                <w:rFonts w:hint="eastAsia" w:ascii="Times New Roman" w:hAnsi="Times New Roman" w:eastAsia="宋体" w:cs="Times New Roman"/>
                <w:bCs/>
                <w:color w:val="auto"/>
                <w:kern w:val="2"/>
                <w:sz w:val="21"/>
                <w:szCs w:val="21"/>
                <w:lang w:val="en-US" w:eastAsia="zh-CN" w:bidi="ar-SA"/>
              </w:rPr>
              <w:t>非甲烷总烃产生量约</w:t>
            </w:r>
            <w:r>
              <w:rPr>
                <w:rFonts w:hint="eastAsia" w:ascii="Times New Roman" w:hAnsi="Times New Roman" w:cs="Times New Roman"/>
                <w:bCs/>
                <w:color w:val="auto"/>
                <w:kern w:val="2"/>
                <w:sz w:val="21"/>
                <w:szCs w:val="21"/>
                <w:lang w:val="en-US" w:eastAsia="zh-CN" w:bidi="ar-SA"/>
              </w:rPr>
              <w:t>2.354</w:t>
            </w:r>
            <w:r>
              <w:rPr>
                <w:rFonts w:hint="eastAsia" w:ascii="Times New Roman" w:hAnsi="Times New Roman" w:eastAsia="宋体" w:cs="Times New Roman"/>
                <w:bCs/>
                <w:color w:val="auto"/>
                <w:kern w:val="2"/>
                <w:sz w:val="21"/>
                <w:szCs w:val="21"/>
                <w:lang w:val="en-US" w:eastAsia="zh-CN" w:bidi="ar-SA"/>
              </w:rPr>
              <w:t>t/a。</w:t>
            </w:r>
          </w:p>
          <w:p w14:paraId="5805EF4D">
            <w:pPr>
              <w:adjustRightInd w:val="0"/>
              <w:snapToGrid w:val="0"/>
              <w:spacing w:line="500" w:lineRule="exact"/>
              <w:ind w:firstLine="422" w:firstLineChars="200"/>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2、</w:t>
            </w:r>
            <w:r>
              <w:rPr>
                <w:rFonts w:hint="default" w:ascii="Times New Roman" w:hAnsi="Times New Roman" w:cs="Times New Roman"/>
                <w:b/>
                <w:bCs/>
                <w:color w:val="auto"/>
                <w:sz w:val="21"/>
                <w:szCs w:val="21"/>
                <w:lang w:val="en-US" w:eastAsia="zh-CN"/>
              </w:rPr>
              <w:t>污染</w:t>
            </w:r>
            <w:r>
              <w:rPr>
                <w:rFonts w:hint="default" w:ascii="Times New Roman" w:hAnsi="Times New Roman" w:cs="Times New Roman"/>
                <w:b/>
                <w:bCs/>
                <w:color w:val="auto"/>
                <w:sz w:val="21"/>
                <w:szCs w:val="21"/>
              </w:rPr>
              <w:t>防治措施</w:t>
            </w:r>
          </w:p>
          <w:p w14:paraId="6AFB01F7">
            <w:pPr>
              <w:adjustRightInd w:val="0"/>
              <w:snapToGrid w:val="0"/>
              <w:spacing w:line="500" w:lineRule="exact"/>
              <w:ind w:firstLine="420" w:firstLineChars="200"/>
              <w:jc w:val="left"/>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1）有组织废气</w:t>
            </w:r>
          </w:p>
          <w:p w14:paraId="7CF617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drawing>
                <wp:inline distT="0" distB="0" distL="114300" distR="114300">
                  <wp:extent cx="5551805" cy="845185"/>
                  <wp:effectExtent l="0" t="0" r="10795" b="1206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9"/>
                          <a:stretch>
                            <a:fillRect/>
                          </a:stretch>
                        </pic:blipFill>
                        <pic:spPr>
                          <a:xfrm>
                            <a:off x="0" y="0"/>
                            <a:ext cx="5551805" cy="845185"/>
                          </a:xfrm>
                          <a:prstGeom prst="rect">
                            <a:avLst/>
                          </a:prstGeom>
                          <a:noFill/>
                          <a:ln>
                            <a:noFill/>
                          </a:ln>
                        </pic:spPr>
                      </pic:pic>
                    </a:graphicData>
                  </a:graphic>
                </wp:inline>
              </w:drawing>
            </w:r>
          </w:p>
          <w:p w14:paraId="6409782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lang w:eastAsia="zh-CN"/>
              </w:rPr>
              <w:t>图4-1项目废气治理措施示意图</w:t>
            </w:r>
          </w:p>
        </w:tc>
      </w:tr>
      <w:tr w14:paraId="2EBD7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6" w:hRule="atLeast"/>
        </w:trPr>
        <w:tc>
          <w:tcPr>
            <w:tcW w:w="876" w:type="dxa"/>
            <w:tcMar>
              <w:left w:w="28" w:type="dxa"/>
              <w:right w:w="28" w:type="dxa"/>
            </w:tcMar>
            <w:vAlign w:val="center"/>
          </w:tcPr>
          <w:p w14:paraId="68A1052F">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运营</w:t>
            </w:r>
          </w:p>
          <w:p w14:paraId="5BFA2353">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期环</w:t>
            </w:r>
          </w:p>
          <w:p w14:paraId="00122FD7">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境影</w:t>
            </w:r>
          </w:p>
          <w:p w14:paraId="0E12B6AD">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响和</w:t>
            </w:r>
          </w:p>
          <w:p w14:paraId="660B52F3">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保护</w:t>
            </w:r>
          </w:p>
          <w:p w14:paraId="2603CE9D">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措施</w:t>
            </w:r>
          </w:p>
        </w:tc>
        <w:tc>
          <w:tcPr>
            <w:tcW w:w="8273" w:type="dxa"/>
            <w:vAlign w:val="center"/>
          </w:tcPr>
          <w:p w14:paraId="12EFAFD1">
            <w:pPr>
              <w:pStyle w:val="25"/>
              <w:keepNext w:val="0"/>
              <w:keepLines w:val="0"/>
              <w:pageBreakBefore w:val="0"/>
              <w:kinsoku/>
              <w:wordWrap/>
              <w:overflowPunct/>
              <w:topLinePunct w:val="0"/>
              <w:autoSpaceDE/>
              <w:autoSpaceDN/>
              <w:bidi w:val="0"/>
              <w:adjustRightInd w:val="0"/>
              <w:snapToGrid w:val="0"/>
              <w:spacing w:before="0" w:beforeAutospacing="0" w:after="0" w:afterAutospacing="0" w:line="500" w:lineRule="exact"/>
              <w:ind w:left="0" w:leftChars="0"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①废气收集系统风量核算</w:t>
            </w:r>
          </w:p>
          <w:p w14:paraId="4FB62599">
            <w:pPr>
              <w:keepNext w:val="0"/>
              <w:keepLines w:val="0"/>
              <w:pageBreakBefore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kern w:val="2"/>
                <w:sz w:val="21"/>
                <w:szCs w:val="21"/>
                <w:lang w:val="en-US" w:eastAsia="zh-CN" w:bidi="ar-SA"/>
              </w:rPr>
              <w:t>结合生产工艺、设备配置情况，</w:t>
            </w:r>
            <w:r>
              <w:rPr>
                <w:rFonts w:hint="eastAsia" w:ascii="Times New Roman" w:hAnsi="Times New Roman" w:eastAsia="宋体" w:cs="Times New Roman"/>
                <w:color w:val="auto"/>
                <w:kern w:val="2"/>
                <w:sz w:val="21"/>
                <w:szCs w:val="21"/>
                <w:lang w:val="en-US" w:eastAsia="zh-CN" w:bidi="ar-SA"/>
              </w:rPr>
              <w:t>项目</w:t>
            </w:r>
            <w:r>
              <w:rPr>
                <w:rFonts w:hint="eastAsia" w:cs="Times New Roman"/>
                <w:color w:val="auto"/>
                <w:kern w:val="2"/>
                <w:sz w:val="21"/>
                <w:szCs w:val="21"/>
                <w:lang w:val="en-US" w:eastAsia="zh-CN" w:bidi="ar-SA"/>
              </w:rPr>
              <w:t>流延成型</w:t>
            </w:r>
            <w:r>
              <w:rPr>
                <w:rFonts w:hint="eastAsia" w:ascii="Times New Roman" w:hAnsi="Times New Roman" w:eastAsia="宋体" w:cs="Times New Roman"/>
                <w:color w:val="auto"/>
                <w:kern w:val="2"/>
                <w:sz w:val="21"/>
                <w:szCs w:val="21"/>
                <w:lang w:val="en-US" w:eastAsia="zh-CN" w:bidi="ar-SA"/>
              </w:rPr>
              <w:t>废气采取</w:t>
            </w:r>
            <w:r>
              <w:rPr>
                <w:rFonts w:hint="eastAsia" w:cs="Times New Roman"/>
                <w:color w:val="auto"/>
                <w:kern w:val="2"/>
                <w:sz w:val="21"/>
                <w:szCs w:val="21"/>
                <w:lang w:val="en-US" w:eastAsia="zh-CN" w:bidi="ar-SA"/>
              </w:rPr>
              <w:t>集气罩</w:t>
            </w:r>
            <w:r>
              <w:rPr>
                <w:rFonts w:hint="eastAsia" w:ascii="Times New Roman" w:hAnsi="Times New Roman" w:eastAsia="宋体" w:cs="Times New Roman"/>
                <w:color w:val="auto"/>
                <w:kern w:val="2"/>
                <w:sz w:val="21"/>
                <w:szCs w:val="21"/>
                <w:lang w:val="en-US" w:eastAsia="zh-CN" w:bidi="ar-SA"/>
              </w:rPr>
              <w:t>收集，废气</w:t>
            </w:r>
            <w:r>
              <w:rPr>
                <w:rFonts w:hint="default" w:ascii="Times New Roman" w:hAnsi="Times New Roman" w:eastAsia="宋体" w:cs="Times New Roman"/>
                <w:color w:val="auto"/>
                <w:kern w:val="2"/>
                <w:sz w:val="21"/>
                <w:szCs w:val="21"/>
                <w:lang w:val="en-US" w:eastAsia="zh-CN" w:bidi="ar-SA"/>
              </w:rPr>
              <w:t>捕集率可达9</w:t>
            </w:r>
            <w:r>
              <w:rPr>
                <w:rFonts w:hint="eastAsia" w:cs="Times New Roman"/>
                <w:color w:val="auto"/>
                <w:kern w:val="2"/>
                <w:sz w:val="21"/>
                <w:szCs w:val="21"/>
                <w:lang w:val="en-US" w:eastAsia="zh-CN" w:bidi="ar-SA"/>
              </w:rPr>
              <w:t>0</w:t>
            </w:r>
            <w:r>
              <w:rPr>
                <w:rFonts w:hint="default"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0"/>
                <w:sz w:val="21"/>
                <w:szCs w:val="24"/>
                <w:lang w:val="en-US" w:eastAsia="zh-CN" w:bidi="ar-SA"/>
              </w:rPr>
              <w:t>集气罩安装需符合《排风罩的分类及技术条件》（GB/T 16758-2008）要求，同时参考《废气处理工程技术手册》P106，式(4-8)中相关内容，按照以下经验公式可计算得出各设备所需风量：</w:t>
            </w:r>
            <w:r>
              <w:rPr>
                <w:rFonts w:hint="default" w:ascii="Times New Roman" w:hAnsi="Times New Roman" w:eastAsia="宋体" w:cs="Times New Roman"/>
                <w:b w:val="0"/>
                <w:bCs/>
                <w:color w:val="auto"/>
                <w:sz w:val="21"/>
                <w:szCs w:val="21"/>
                <w:highlight w:val="none"/>
              </w:rPr>
              <w:t>L=K·P·H·Vx*3600</w:t>
            </w:r>
          </w:p>
          <w:p w14:paraId="2861B1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20" w:firstLineChars="200"/>
              <w:jc w:val="left"/>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式中：L——集气罩排风量，m</w:t>
            </w:r>
            <w:r>
              <w:rPr>
                <w:rFonts w:hint="default" w:ascii="Times New Roman" w:hAnsi="Times New Roman" w:eastAsia="宋体" w:cs="Times New Roman"/>
                <w:b w:val="0"/>
                <w:bCs/>
                <w:color w:val="auto"/>
                <w:sz w:val="21"/>
                <w:szCs w:val="21"/>
                <w:highlight w:val="none"/>
                <w:vertAlign w:val="superscript"/>
              </w:rPr>
              <w:t>3</w:t>
            </w:r>
            <w:r>
              <w:rPr>
                <w:rFonts w:hint="default" w:ascii="Times New Roman" w:hAnsi="Times New Roman" w:eastAsia="宋体" w:cs="Times New Roman"/>
                <w:b w:val="0"/>
                <w:bCs/>
                <w:color w:val="auto"/>
                <w:sz w:val="21"/>
                <w:szCs w:val="21"/>
                <w:highlight w:val="none"/>
              </w:rPr>
              <w:t>/h，</w:t>
            </w:r>
          </w:p>
          <w:p w14:paraId="5B89BF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1050" w:firstLineChars="500"/>
              <w:jc w:val="left"/>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rPr>
              <w:t>K——安全系数，通常取1.4</w:t>
            </w:r>
            <w:r>
              <w:rPr>
                <w:rFonts w:hint="default" w:ascii="Times New Roman" w:hAnsi="Times New Roman" w:eastAsia="宋体" w:cs="Times New Roman"/>
                <w:b w:val="0"/>
                <w:bCs/>
                <w:color w:val="auto"/>
                <w:sz w:val="21"/>
                <w:szCs w:val="21"/>
                <w:highlight w:val="none"/>
                <w:lang w:eastAsia="zh-CN"/>
              </w:rPr>
              <w:t>；</w:t>
            </w:r>
          </w:p>
          <w:p w14:paraId="6AD2C8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1050" w:firstLineChars="500"/>
              <w:jc w:val="left"/>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rPr>
              <w:t>P——排风罩口敞口面的周长</w:t>
            </w:r>
            <w:r>
              <w:rPr>
                <w:rFonts w:hint="default" w:ascii="Times New Roman" w:hAnsi="Times New Roman" w:eastAsia="宋体" w:cs="Times New Roman"/>
                <w:b w:val="0"/>
                <w:bCs/>
                <w:color w:val="auto"/>
                <w:sz w:val="21"/>
                <w:szCs w:val="21"/>
                <w:highlight w:val="none"/>
                <w:lang w:eastAsia="zh-CN"/>
              </w:rPr>
              <w:t>；</w:t>
            </w:r>
          </w:p>
          <w:p w14:paraId="0B1284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1050" w:firstLineChars="500"/>
              <w:jc w:val="left"/>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rPr>
              <w:t>H——污染源至罩口距离</w:t>
            </w:r>
            <w:r>
              <w:rPr>
                <w:rFonts w:hint="default" w:ascii="Times New Roman" w:hAnsi="Times New Roman" w:eastAsia="宋体" w:cs="Times New Roman"/>
                <w:b w:val="0"/>
                <w:bCs/>
                <w:color w:val="auto"/>
                <w:sz w:val="21"/>
                <w:szCs w:val="21"/>
                <w:highlight w:val="none"/>
                <w:lang w:eastAsia="zh-CN"/>
              </w:rPr>
              <w:t>；</w:t>
            </w:r>
          </w:p>
          <w:p w14:paraId="444FB5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1050" w:firstLineChars="5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highlight w:val="none"/>
              </w:rPr>
              <w:t>Vx——污染源气体流速，m/s，一般在</w:t>
            </w:r>
            <w:r>
              <w:rPr>
                <w:rFonts w:hint="default" w:ascii="Times New Roman" w:hAnsi="Times New Roman" w:eastAsia="宋体" w:cs="Times New Roman"/>
                <w:b w:val="0"/>
                <w:bCs/>
                <w:color w:val="auto"/>
                <w:sz w:val="21"/>
                <w:szCs w:val="21"/>
                <w:highlight w:val="none"/>
                <w:lang w:val="en-US" w:eastAsia="zh-CN"/>
              </w:rPr>
              <w:t>0.2~2</w:t>
            </w:r>
            <w:r>
              <w:rPr>
                <w:rFonts w:hint="default" w:ascii="Times New Roman" w:hAnsi="Times New Roman" w:eastAsia="宋体" w:cs="Times New Roman"/>
                <w:b w:val="0"/>
                <w:bCs/>
                <w:color w:val="auto"/>
                <w:sz w:val="21"/>
                <w:szCs w:val="21"/>
                <w:highlight w:val="none"/>
              </w:rPr>
              <w:t>m/s。</w:t>
            </w:r>
          </w:p>
          <w:p w14:paraId="45512274">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cs="Times New Roman"/>
                <w:b/>
                <w:bCs/>
                <w:color w:val="auto"/>
                <w:sz w:val="21"/>
                <w:szCs w:val="21"/>
              </w:rPr>
            </w:pPr>
            <w:r>
              <w:rPr>
                <w:rFonts w:hint="default" w:ascii="Times New Roman" w:hAnsi="Times New Roman" w:eastAsia="宋体" w:cs="Times New Roman"/>
                <w:color w:val="auto"/>
                <w:sz w:val="21"/>
                <w:szCs w:val="21"/>
              </w:rPr>
              <w:t>根据以上内容，计算各废气处理系统处理风量结果如下表所示：</w:t>
            </w:r>
          </w:p>
          <w:p w14:paraId="7BF79A36">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表4</w:t>
            </w:r>
            <w:r>
              <w:rPr>
                <w:rFonts w:hint="default" w:ascii="Times New Roman" w:hAnsi="Times New Roman" w:cs="Times New Roman"/>
                <w:b/>
                <w:bCs/>
                <w:color w:val="auto"/>
                <w:sz w:val="21"/>
                <w:szCs w:val="21"/>
                <w:lang w:val="en-US" w:eastAsia="zh-CN"/>
              </w:rPr>
              <w:t xml:space="preserve">-1 </w:t>
            </w:r>
            <w:r>
              <w:rPr>
                <w:rFonts w:hint="eastAsia" w:ascii="Times New Roman" w:hAnsi="Times New Roman" w:cs="Times New Roman"/>
                <w:b/>
                <w:bCs/>
                <w:color w:val="auto"/>
                <w:sz w:val="21"/>
                <w:szCs w:val="21"/>
                <w:lang w:val="en-US" w:eastAsia="zh-CN"/>
              </w:rPr>
              <w:t xml:space="preserve"> </w:t>
            </w:r>
            <w:r>
              <w:rPr>
                <w:rFonts w:hint="eastAsia" w:cs="Times New Roman"/>
                <w:b/>
                <w:bCs/>
                <w:color w:val="auto"/>
                <w:sz w:val="21"/>
                <w:szCs w:val="21"/>
                <w:lang w:val="en-US" w:eastAsia="zh-CN"/>
              </w:rPr>
              <w:t>项目</w:t>
            </w:r>
            <w:r>
              <w:rPr>
                <w:rFonts w:hint="default" w:ascii="Times New Roman" w:hAnsi="Times New Roman" w:cs="Times New Roman"/>
                <w:b/>
                <w:bCs/>
                <w:color w:val="auto"/>
                <w:sz w:val="21"/>
                <w:szCs w:val="21"/>
              </w:rPr>
              <w:t>废气收集系统风量核算表</w:t>
            </w:r>
          </w:p>
          <w:tbl>
            <w:tblPr>
              <w:tblStyle w:val="3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3"/>
              <w:gridCol w:w="1613"/>
              <w:gridCol w:w="878"/>
              <w:gridCol w:w="1135"/>
              <w:gridCol w:w="880"/>
              <w:gridCol w:w="1030"/>
              <w:gridCol w:w="1142"/>
              <w:gridCol w:w="1143"/>
            </w:tblGrid>
            <w:tr w14:paraId="44AE97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pct"/>
                  <w:vMerge w:val="restart"/>
                  <w:tcBorders>
                    <w:tl2br w:val="nil"/>
                    <w:tr2bl w:val="nil"/>
                  </w:tcBorders>
                  <w:vAlign w:val="center"/>
                </w:tcPr>
                <w:p w14:paraId="57695D75">
                  <w:pPr>
                    <w:adjustRightInd w:val="0"/>
                    <w:snapToGrid w:val="0"/>
                    <w:jc w:val="center"/>
                    <w:rPr>
                      <w:b/>
                      <w:bCs/>
                      <w:color w:val="auto"/>
                      <w:sz w:val="21"/>
                      <w:szCs w:val="21"/>
                    </w:rPr>
                  </w:pPr>
                  <w:r>
                    <w:rPr>
                      <w:rFonts w:hint="eastAsia"/>
                      <w:b/>
                      <w:bCs/>
                      <w:color w:val="auto"/>
                      <w:sz w:val="21"/>
                      <w:szCs w:val="21"/>
                    </w:rPr>
                    <w:t>排气筒编号</w:t>
                  </w:r>
                </w:p>
              </w:tc>
              <w:tc>
                <w:tcPr>
                  <w:tcW w:w="924" w:type="pct"/>
                  <w:vMerge w:val="restart"/>
                  <w:tcBorders>
                    <w:tl2br w:val="nil"/>
                    <w:tr2bl w:val="nil"/>
                  </w:tcBorders>
                  <w:vAlign w:val="center"/>
                </w:tcPr>
                <w:p w14:paraId="4826AA0B">
                  <w:pPr>
                    <w:adjustRightInd w:val="0"/>
                    <w:snapToGrid w:val="0"/>
                    <w:jc w:val="center"/>
                    <w:rPr>
                      <w:b/>
                      <w:bCs/>
                      <w:color w:val="auto"/>
                      <w:sz w:val="21"/>
                      <w:szCs w:val="21"/>
                    </w:rPr>
                  </w:pPr>
                  <w:r>
                    <w:rPr>
                      <w:rFonts w:hint="eastAsia"/>
                      <w:b/>
                      <w:bCs/>
                      <w:color w:val="auto"/>
                      <w:sz w:val="21"/>
                      <w:szCs w:val="21"/>
                    </w:rPr>
                    <w:t>设备</w:t>
                  </w:r>
                </w:p>
              </w:tc>
              <w:tc>
                <w:tcPr>
                  <w:tcW w:w="503" w:type="pct"/>
                  <w:vMerge w:val="restart"/>
                  <w:tcBorders>
                    <w:tl2br w:val="nil"/>
                    <w:tr2bl w:val="nil"/>
                  </w:tcBorders>
                  <w:vAlign w:val="center"/>
                </w:tcPr>
                <w:p w14:paraId="593B69AC">
                  <w:pPr>
                    <w:adjustRightInd w:val="0"/>
                    <w:snapToGrid w:val="0"/>
                    <w:jc w:val="center"/>
                    <w:rPr>
                      <w:b/>
                      <w:bCs/>
                      <w:color w:val="auto"/>
                      <w:sz w:val="21"/>
                      <w:szCs w:val="21"/>
                    </w:rPr>
                  </w:pPr>
                  <w:r>
                    <w:rPr>
                      <w:rFonts w:hint="eastAsia"/>
                      <w:b/>
                      <w:bCs/>
                      <w:color w:val="auto"/>
                      <w:sz w:val="21"/>
                      <w:szCs w:val="21"/>
                    </w:rPr>
                    <w:t>H（m）</w:t>
                  </w:r>
                </w:p>
              </w:tc>
              <w:tc>
                <w:tcPr>
                  <w:tcW w:w="1154" w:type="pct"/>
                  <w:gridSpan w:val="2"/>
                  <w:tcBorders>
                    <w:tl2br w:val="nil"/>
                    <w:tr2bl w:val="nil"/>
                  </w:tcBorders>
                  <w:vAlign w:val="center"/>
                </w:tcPr>
                <w:p w14:paraId="3147675B">
                  <w:pPr>
                    <w:adjustRightInd w:val="0"/>
                    <w:snapToGrid w:val="0"/>
                    <w:jc w:val="center"/>
                    <w:rPr>
                      <w:b/>
                      <w:bCs/>
                      <w:color w:val="auto"/>
                      <w:sz w:val="21"/>
                      <w:szCs w:val="21"/>
                    </w:rPr>
                  </w:pPr>
                  <w:r>
                    <w:rPr>
                      <w:rFonts w:hint="eastAsia"/>
                      <w:b/>
                      <w:bCs/>
                      <w:color w:val="auto"/>
                      <w:sz w:val="21"/>
                      <w:szCs w:val="21"/>
                    </w:rPr>
                    <w:t>罩口参数</w:t>
                  </w:r>
                </w:p>
              </w:tc>
              <w:tc>
                <w:tcPr>
                  <w:tcW w:w="590" w:type="pct"/>
                  <w:vMerge w:val="restart"/>
                  <w:tcBorders>
                    <w:tl2br w:val="nil"/>
                    <w:tr2bl w:val="nil"/>
                  </w:tcBorders>
                  <w:vAlign w:val="center"/>
                </w:tcPr>
                <w:p w14:paraId="0C04DD2E">
                  <w:pPr>
                    <w:adjustRightInd w:val="0"/>
                    <w:snapToGrid w:val="0"/>
                    <w:jc w:val="center"/>
                    <w:rPr>
                      <w:b/>
                      <w:bCs/>
                      <w:color w:val="auto"/>
                      <w:sz w:val="21"/>
                      <w:szCs w:val="21"/>
                    </w:rPr>
                  </w:pPr>
                  <w:r>
                    <w:rPr>
                      <w:rFonts w:hint="eastAsia"/>
                      <w:b/>
                      <w:bCs/>
                      <w:color w:val="auto"/>
                      <w:sz w:val="21"/>
                      <w:szCs w:val="21"/>
                    </w:rPr>
                    <w:t>Vx（m/s）</w:t>
                  </w:r>
                </w:p>
              </w:tc>
              <w:tc>
                <w:tcPr>
                  <w:tcW w:w="654" w:type="pct"/>
                  <w:vMerge w:val="restart"/>
                  <w:tcBorders>
                    <w:tl2br w:val="nil"/>
                    <w:tr2bl w:val="nil"/>
                  </w:tcBorders>
                  <w:vAlign w:val="center"/>
                </w:tcPr>
                <w:p w14:paraId="70C7EBD3">
                  <w:pPr>
                    <w:adjustRightInd w:val="0"/>
                    <w:snapToGrid w:val="0"/>
                    <w:jc w:val="center"/>
                    <w:rPr>
                      <w:b/>
                      <w:bCs/>
                      <w:color w:val="auto"/>
                      <w:sz w:val="21"/>
                      <w:szCs w:val="21"/>
                    </w:rPr>
                  </w:pPr>
                  <w:r>
                    <w:rPr>
                      <w:rFonts w:hint="eastAsia"/>
                      <w:b/>
                      <w:bCs/>
                      <w:color w:val="auto"/>
                      <w:sz w:val="21"/>
                      <w:szCs w:val="21"/>
                    </w:rPr>
                    <w:t>Q（m</w:t>
                  </w:r>
                  <w:r>
                    <w:rPr>
                      <w:rFonts w:hint="eastAsia"/>
                      <w:b/>
                      <w:bCs/>
                      <w:color w:val="auto"/>
                      <w:sz w:val="21"/>
                      <w:szCs w:val="21"/>
                      <w:vertAlign w:val="superscript"/>
                    </w:rPr>
                    <w:t>3</w:t>
                  </w:r>
                  <w:r>
                    <w:rPr>
                      <w:rFonts w:hint="eastAsia"/>
                      <w:b/>
                      <w:bCs/>
                      <w:color w:val="auto"/>
                      <w:sz w:val="21"/>
                      <w:szCs w:val="21"/>
                    </w:rPr>
                    <w:t>/h）</w:t>
                  </w:r>
                </w:p>
              </w:tc>
              <w:tc>
                <w:tcPr>
                  <w:tcW w:w="655" w:type="pct"/>
                  <w:vMerge w:val="restart"/>
                  <w:tcBorders>
                    <w:tl2br w:val="nil"/>
                    <w:tr2bl w:val="nil"/>
                  </w:tcBorders>
                  <w:vAlign w:val="center"/>
                </w:tcPr>
                <w:p w14:paraId="5CA02ACC">
                  <w:pPr>
                    <w:adjustRightInd w:val="0"/>
                    <w:snapToGrid w:val="0"/>
                    <w:jc w:val="center"/>
                    <w:rPr>
                      <w:b/>
                      <w:bCs/>
                      <w:color w:val="auto"/>
                      <w:sz w:val="21"/>
                      <w:szCs w:val="21"/>
                    </w:rPr>
                  </w:pPr>
                  <w:r>
                    <w:rPr>
                      <w:rFonts w:hint="eastAsia"/>
                      <w:b/>
                      <w:bCs/>
                      <w:color w:val="auto"/>
                      <w:sz w:val="21"/>
                      <w:szCs w:val="21"/>
                    </w:rPr>
                    <w:t>设计风量（m</w:t>
                  </w:r>
                  <w:r>
                    <w:rPr>
                      <w:rFonts w:hint="eastAsia"/>
                      <w:b/>
                      <w:bCs/>
                      <w:color w:val="auto"/>
                      <w:sz w:val="21"/>
                      <w:szCs w:val="21"/>
                      <w:vertAlign w:val="superscript"/>
                    </w:rPr>
                    <w:t>3</w:t>
                  </w:r>
                  <w:r>
                    <w:rPr>
                      <w:rFonts w:hint="eastAsia"/>
                      <w:b/>
                      <w:bCs/>
                      <w:color w:val="auto"/>
                      <w:sz w:val="21"/>
                      <w:szCs w:val="21"/>
                    </w:rPr>
                    <w:t>/h）</w:t>
                  </w:r>
                </w:p>
              </w:tc>
            </w:tr>
            <w:tr w14:paraId="7AEEB6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pct"/>
                  <w:vMerge w:val="continue"/>
                  <w:tcBorders>
                    <w:tl2br w:val="nil"/>
                    <w:tr2bl w:val="nil"/>
                  </w:tcBorders>
                  <w:vAlign w:val="center"/>
                </w:tcPr>
                <w:p w14:paraId="1F8EDE18">
                  <w:pPr>
                    <w:adjustRightInd w:val="0"/>
                    <w:snapToGrid w:val="0"/>
                    <w:jc w:val="center"/>
                    <w:rPr>
                      <w:color w:val="auto"/>
                      <w:sz w:val="21"/>
                      <w:szCs w:val="21"/>
                    </w:rPr>
                  </w:pPr>
                </w:p>
              </w:tc>
              <w:tc>
                <w:tcPr>
                  <w:tcW w:w="924" w:type="pct"/>
                  <w:vMerge w:val="continue"/>
                  <w:tcBorders>
                    <w:tl2br w:val="nil"/>
                    <w:tr2bl w:val="nil"/>
                  </w:tcBorders>
                  <w:vAlign w:val="center"/>
                </w:tcPr>
                <w:p w14:paraId="47173B01">
                  <w:pPr>
                    <w:adjustRightInd w:val="0"/>
                    <w:snapToGrid w:val="0"/>
                    <w:jc w:val="center"/>
                    <w:rPr>
                      <w:color w:val="auto"/>
                      <w:sz w:val="21"/>
                      <w:szCs w:val="21"/>
                    </w:rPr>
                  </w:pPr>
                </w:p>
              </w:tc>
              <w:tc>
                <w:tcPr>
                  <w:tcW w:w="503" w:type="pct"/>
                  <w:vMerge w:val="continue"/>
                  <w:tcBorders>
                    <w:tl2br w:val="nil"/>
                    <w:tr2bl w:val="nil"/>
                  </w:tcBorders>
                  <w:vAlign w:val="center"/>
                </w:tcPr>
                <w:p w14:paraId="765549DF">
                  <w:pPr>
                    <w:adjustRightInd w:val="0"/>
                    <w:snapToGrid w:val="0"/>
                    <w:jc w:val="center"/>
                    <w:rPr>
                      <w:color w:val="auto"/>
                      <w:sz w:val="21"/>
                      <w:szCs w:val="21"/>
                    </w:rPr>
                  </w:pPr>
                </w:p>
              </w:tc>
              <w:tc>
                <w:tcPr>
                  <w:tcW w:w="650" w:type="pct"/>
                  <w:tcBorders>
                    <w:tl2br w:val="nil"/>
                    <w:tr2bl w:val="nil"/>
                  </w:tcBorders>
                  <w:vAlign w:val="center"/>
                </w:tcPr>
                <w:p w14:paraId="678E9DC2">
                  <w:pPr>
                    <w:adjustRightInd w:val="0"/>
                    <w:snapToGrid w:val="0"/>
                    <w:jc w:val="center"/>
                    <w:rPr>
                      <w:b/>
                      <w:bCs/>
                      <w:color w:val="auto"/>
                      <w:sz w:val="21"/>
                      <w:szCs w:val="21"/>
                    </w:rPr>
                  </w:pPr>
                  <w:r>
                    <w:rPr>
                      <w:rFonts w:hint="eastAsia"/>
                      <w:b/>
                      <w:bCs/>
                      <w:color w:val="auto"/>
                      <w:sz w:val="21"/>
                      <w:szCs w:val="21"/>
                    </w:rPr>
                    <w:t>数量（个）</w:t>
                  </w:r>
                </w:p>
              </w:tc>
              <w:tc>
                <w:tcPr>
                  <w:tcW w:w="504" w:type="pct"/>
                  <w:tcBorders>
                    <w:tl2br w:val="nil"/>
                    <w:tr2bl w:val="nil"/>
                  </w:tcBorders>
                  <w:vAlign w:val="center"/>
                </w:tcPr>
                <w:p w14:paraId="38CC5456">
                  <w:pPr>
                    <w:adjustRightInd w:val="0"/>
                    <w:snapToGrid w:val="0"/>
                    <w:jc w:val="center"/>
                    <w:rPr>
                      <w:b/>
                      <w:bCs/>
                      <w:color w:val="auto"/>
                      <w:sz w:val="21"/>
                      <w:szCs w:val="21"/>
                    </w:rPr>
                  </w:pPr>
                  <w:r>
                    <w:rPr>
                      <w:rFonts w:hint="eastAsia"/>
                      <w:b/>
                      <w:bCs/>
                      <w:color w:val="auto"/>
                      <w:sz w:val="21"/>
                      <w:szCs w:val="21"/>
                    </w:rPr>
                    <w:t>P（m）</w:t>
                  </w:r>
                </w:p>
              </w:tc>
              <w:tc>
                <w:tcPr>
                  <w:tcW w:w="590" w:type="pct"/>
                  <w:vMerge w:val="continue"/>
                  <w:tcBorders>
                    <w:tl2br w:val="nil"/>
                    <w:tr2bl w:val="nil"/>
                  </w:tcBorders>
                  <w:vAlign w:val="center"/>
                </w:tcPr>
                <w:p w14:paraId="231E02C4">
                  <w:pPr>
                    <w:adjustRightInd w:val="0"/>
                    <w:snapToGrid w:val="0"/>
                    <w:jc w:val="center"/>
                    <w:rPr>
                      <w:b/>
                      <w:bCs/>
                      <w:color w:val="auto"/>
                      <w:sz w:val="21"/>
                      <w:szCs w:val="21"/>
                    </w:rPr>
                  </w:pPr>
                </w:p>
              </w:tc>
              <w:tc>
                <w:tcPr>
                  <w:tcW w:w="654" w:type="pct"/>
                  <w:vMerge w:val="continue"/>
                  <w:tcBorders>
                    <w:tl2br w:val="nil"/>
                    <w:tr2bl w:val="nil"/>
                  </w:tcBorders>
                  <w:vAlign w:val="center"/>
                </w:tcPr>
                <w:p w14:paraId="10BBECE5">
                  <w:pPr>
                    <w:adjustRightInd w:val="0"/>
                    <w:snapToGrid w:val="0"/>
                    <w:jc w:val="center"/>
                    <w:rPr>
                      <w:b/>
                      <w:bCs/>
                      <w:color w:val="auto"/>
                      <w:sz w:val="21"/>
                      <w:szCs w:val="21"/>
                    </w:rPr>
                  </w:pPr>
                </w:p>
              </w:tc>
              <w:tc>
                <w:tcPr>
                  <w:tcW w:w="655" w:type="pct"/>
                  <w:vMerge w:val="continue"/>
                  <w:tcBorders>
                    <w:tl2br w:val="nil"/>
                    <w:tr2bl w:val="nil"/>
                  </w:tcBorders>
                  <w:vAlign w:val="center"/>
                </w:tcPr>
                <w:p w14:paraId="73B93FA7">
                  <w:pPr>
                    <w:adjustRightInd w:val="0"/>
                    <w:snapToGrid w:val="0"/>
                    <w:jc w:val="center"/>
                    <w:rPr>
                      <w:b/>
                      <w:bCs/>
                      <w:color w:val="auto"/>
                      <w:sz w:val="21"/>
                      <w:szCs w:val="21"/>
                    </w:rPr>
                  </w:pPr>
                </w:p>
              </w:tc>
            </w:tr>
            <w:tr w14:paraId="6F6875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pct"/>
                  <w:tcBorders>
                    <w:tl2br w:val="nil"/>
                    <w:tr2bl w:val="nil"/>
                  </w:tcBorders>
                  <w:vAlign w:val="center"/>
                </w:tcPr>
                <w:p w14:paraId="59978396">
                  <w:pPr>
                    <w:adjustRightInd w:val="0"/>
                    <w:snapToGrid w:val="0"/>
                    <w:jc w:val="center"/>
                    <w:rPr>
                      <w:rFonts w:hint="default" w:ascii="宋体" w:hAnsi="宋体" w:eastAsia="宋体" w:cs="宋体"/>
                      <w:color w:val="auto"/>
                      <w:sz w:val="21"/>
                      <w:szCs w:val="21"/>
                      <w:lang w:val="en-US" w:eastAsia="zh-CN"/>
                    </w:rPr>
                  </w:pPr>
                  <w:r>
                    <w:rPr>
                      <w:rFonts w:hint="eastAsia"/>
                      <w:color w:val="auto"/>
                      <w:sz w:val="21"/>
                      <w:szCs w:val="21"/>
                      <w:lang w:val="en-US" w:eastAsia="zh-CN"/>
                    </w:rPr>
                    <w:t>P4</w:t>
                  </w:r>
                </w:p>
              </w:tc>
              <w:tc>
                <w:tcPr>
                  <w:tcW w:w="924" w:type="pct"/>
                  <w:tcBorders>
                    <w:tl2br w:val="nil"/>
                    <w:tr2bl w:val="nil"/>
                  </w:tcBorders>
                  <w:vAlign w:val="center"/>
                </w:tcPr>
                <w:p w14:paraId="6E6D0CDF">
                  <w:pPr>
                    <w:adjustRightInd w:val="0"/>
                    <w:snapToGrid w:val="0"/>
                    <w:jc w:val="center"/>
                    <w:rPr>
                      <w:rFonts w:hint="default" w:cs="Times New Roman"/>
                      <w:color w:val="auto"/>
                      <w:kern w:val="2"/>
                      <w:sz w:val="21"/>
                      <w:szCs w:val="21"/>
                      <w:highlight w:val="none"/>
                      <w:lang w:val="en-US" w:eastAsia="zh-CN" w:bidi="ar-SA"/>
                    </w:rPr>
                  </w:pPr>
                  <w:r>
                    <w:rPr>
                      <w:color w:val="auto"/>
                    </w:rPr>
                    <w:t>EVA光电胶膜生产机组</w:t>
                  </w:r>
                </w:p>
              </w:tc>
              <w:tc>
                <w:tcPr>
                  <w:tcW w:w="503" w:type="pct"/>
                  <w:tcBorders>
                    <w:tl2br w:val="nil"/>
                    <w:tr2bl w:val="nil"/>
                  </w:tcBorders>
                  <w:vAlign w:val="center"/>
                </w:tcPr>
                <w:p w14:paraId="57936B68">
                  <w:pPr>
                    <w:adjustRightInd w:val="0"/>
                    <w:snapToGrid w:val="0"/>
                    <w:jc w:val="center"/>
                    <w:rPr>
                      <w:rFonts w:hint="default"/>
                      <w:color w:val="auto"/>
                      <w:sz w:val="21"/>
                      <w:szCs w:val="21"/>
                      <w:lang w:val="en-US" w:eastAsia="zh-CN"/>
                    </w:rPr>
                  </w:pPr>
                  <w:r>
                    <w:rPr>
                      <w:rFonts w:hint="eastAsia"/>
                      <w:color w:val="auto"/>
                      <w:sz w:val="21"/>
                      <w:szCs w:val="21"/>
                      <w:lang w:val="en-US" w:eastAsia="zh-CN"/>
                    </w:rPr>
                    <w:t>0.3</w:t>
                  </w:r>
                </w:p>
              </w:tc>
              <w:tc>
                <w:tcPr>
                  <w:tcW w:w="650" w:type="pct"/>
                  <w:tcBorders>
                    <w:tl2br w:val="nil"/>
                    <w:tr2bl w:val="nil"/>
                  </w:tcBorders>
                  <w:vAlign w:val="center"/>
                </w:tcPr>
                <w:p w14:paraId="24AEE1B7">
                  <w:pPr>
                    <w:adjustRightInd w:val="0"/>
                    <w:snapToGrid w:val="0"/>
                    <w:jc w:val="center"/>
                    <w:rPr>
                      <w:rFonts w:hint="default"/>
                      <w:color w:val="auto"/>
                      <w:sz w:val="21"/>
                      <w:szCs w:val="21"/>
                      <w:lang w:val="en-US" w:eastAsia="zh-CN"/>
                    </w:rPr>
                  </w:pPr>
                  <w:r>
                    <w:rPr>
                      <w:rFonts w:hint="eastAsia"/>
                      <w:color w:val="auto"/>
                      <w:sz w:val="21"/>
                      <w:szCs w:val="21"/>
                      <w:lang w:val="en-US" w:eastAsia="zh-CN"/>
                    </w:rPr>
                    <w:t>4</w:t>
                  </w:r>
                </w:p>
              </w:tc>
              <w:tc>
                <w:tcPr>
                  <w:tcW w:w="504" w:type="pct"/>
                  <w:tcBorders>
                    <w:tl2br w:val="nil"/>
                    <w:tr2bl w:val="nil"/>
                  </w:tcBorders>
                  <w:vAlign w:val="center"/>
                </w:tcPr>
                <w:p w14:paraId="6243CFF8">
                  <w:pPr>
                    <w:adjustRightInd w:val="0"/>
                    <w:snapToGrid w:val="0"/>
                    <w:jc w:val="center"/>
                    <w:rPr>
                      <w:rFonts w:hint="default"/>
                      <w:color w:val="auto"/>
                      <w:sz w:val="21"/>
                      <w:szCs w:val="21"/>
                      <w:lang w:val="en-US" w:eastAsia="zh-CN"/>
                    </w:rPr>
                  </w:pPr>
                  <w:r>
                    <w:rPr>
                      <w:rFonts w:hint="eastAsia"/>
                      <w:color w:val="auto"/>
                      <w:sz w:val="21"/>
                      <w:szCs w:val="21"/>
                      <w:lang w:val="en-US" w:eastAsia="zh-CN"/>
                    </w:rPr>
                    <w:t>2.2</w:t>
                  </w:r>
                </w:p>
              </w:tc>
              <w:tc>
                <w:tcPr>
                  <w:tcW w:w="590" w:type="pct"/>
                  <w:tcBorders>
                    <w:tl2br w:val="nil"/>
                    <w:tr2bl w:val="nil"/>
                  </w:tcBorders>
                  <w:vAlign w:val="center"/>
                </w:tcPr>
                <w:p w14:paraId="2B0F9215">
                  <w:pPr>
                    <w:adjustRightInd w:val="0"/>
                    <w:snapToGrid w:val="0"/>
                    <w:jc w:val="center"/>
                    <w:rPr>
                      <w:rFonts w:hint="default"/>
                      <w:color w:val="auto"/>
                      <w:sz w:val="21"/>
                      <w:szCs w:val="21"/>
                      <w:lang w:val="en-US" w:eastAsia="zh-CN"/>
                    </w:rPr>
                  </w:pPr>
                  <w:r>
                    <w:rPr>
                      <w:rFonts w:hint="eastAsia"/>
                      <w:color w:val="auto"/>
                      <w:sz w:val="21"/>
                      <w:szCs w:val="21"/>
                      <w:lang w:val="en-US" w:eastAsia="zh-CN"/>
                    </w:rPr>
                    <w:t>0.5</w:t>
                  </w:r>
                </w:p>
              </w:tc>
              <w:tc>
                <w:tcPr>
                  <w:tcW w:w="654" w:type="pct"/>
                  <w:tcBorders>
                    <w:tl2br w:val="nil"/>
                    <w:tr2bl w:val="nil"/>
                  </w:tcBorders>
                  <w:vAlign w:val="center"/>
                </w:tcPr>
                <w:p w14:paraId="50BE38CF">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6652</w:t>
                  </w:r>
                </w:p>
              </w:tc>
              <w:tc>
                <w:tcPr>
                  <w:tcW w:w="655" w:type="pct"/>
                  <w:tcBorders>
                    <w:tl2br w:val="nil"/>
                    <w:tr2bl w:val="nil"/>
                  </w:tcBorders>
                  <w:vAlign w:val="center"/>
                </w:tcPr>
                <w:p w14:paraId="3AA864BF">
                  <w:pPr>
                    <w:adjustRightInd w:val="0"/>
                    <w:snapToGrid w:val="0"/>
                    <w:jc w:val="center"/>
                    <w:rPr>
                      <w:rFonts w:hint="eastAsia"/>
                      <w:color w:val="auto"/>
                      <w:sz w:val="21"/>
                      <w:szCs w:val="21"/>
                      <w:lang w:val="en-US" w:eastAsia="zh-CN"/>
                    </w:rPr>
                  </w:pPr>
                  <w:r>
                    <w:rPr>
                      <w:rFonts w:hint="eastAsia"/>
                      <w:color w:val="auto"/>
                      <w:sz w:val="21"/>
                      <w:szCs w:val="21"/>
                      <w:lang w:val="en-US" w:eastAsia="zh-CN"/>
                    </w:rPr>
                    <w:t>7000</w:t>
                  </w:r>
                </w:p>
              </w:tc>
            </w:tr>
          </w:tbl>
          <w:p w14:paraId="0D79AE72">
            <w:pPr>
              <w:keepNext w:val="0"/>
              <w:keepLines w:val="0"/>
              <w:pageBreakBefore w:val="0"/>
              <w:widowControl w:val="0"/>
              <w:kinsoku/>
              <w:wordWrap/>
              <w:topLinePunct w:val="0"/>
              <w:autoSpaceDN/>
              <w:bidi w:val="0"/>
              <w:adjustRightInd w:val="0"/>
              <w:snapToGrid w:val="0"/>
              <w:spacing w:line="50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由上表可知，</w:t>
            </w:r>
            <w:r>
              <w:rPr>
                <w:rFonts w:hint="eastAsia" w:ascii="Times New Roman" w:hAnsi="Times New Roman" w:eastAsia="宋体" w:cs="Times New Roman"/>
                <w:color w:val="auto"/>
                <w:sz w:val="21"/>
                <w:szCs w:val="21"/>
                <w:highlight w:val="none"/>
                <w:lang w:val="en-US" w:eastAsia="zh-CN"/>
              </w:rPr>
              <w:t>本次</w:t>
            </w:r>
            <w:r>
              <w:rPr>
                <w:rFonts w:hint="eastAsia"/>
                <w:color w:val="auto"/>
                <w:sz w:val="21"/>
                <w:szCs w:val="21"/>
                <w:lang w:val="en-US" w:eastAsia="zh-CN"/>
              </w:rPr>
              <w:t>P4</w:t>
            </w:r>
            <w:r>
              <w:rPr>
                <w:rFonts w:hint="default" w:ascii="Times New Roman" w:hAnsi="Times New Roman" w:eastAsia="宋体" w:cs="Times New Roman"/>
                <w:color w:val="auto"/>
                <w:sz w:val="21"/>
                <w:szCs w:val="21"/>
                <w:highlight w:val="none"/>
                <w:lang w:eastAsia="zh-CN"/>
              </w:rPr>
              <w:t>排气筒</w:t>
            </w:r>
            <w:r>
              <w:rPr>
                <w:rFonts w:hint="default" w:ascii="Times New Roman" w:hAnsi="Times New Roman" w:eastAsia="宋体" w:cs="Times New Roman"/>
                <w:bCs/>
                <w:color w:val="auto"/>
                <w:sz w:val="21"/>
                <w:szCs w:val="21"/>
                <w:highlight w:val="none"/>
              </w:rPr>
              <w:t>设计风量为</w:t>
            </w:r>
            <w:r>
              <w:rPr>
                <w:rFonts w:hint="eastAsia" w:cs="Times New Roman"/>
                <w:bCs/>
                <w:color w:val="auto"/>
                <w:sz w:val="21"/>
                <w:szCs w:val="21"/>
                <w:highlight w:val="none"/>
                <w:lang w:val="en-US" w:eastAsia="zh-CN"/>
              </w:rPr>
              <w:t>7000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eastAsia" w:cs="Times New Roman"/>
                <w:color w:val="auto"/>
                <w:sz w:val="21"/>
                <w:szCs w:val="21"/>
                <w:lang w:eastAsia="zh-CN"/>
              </w:rPr>
              <w:t>。</w:t>
            </w:r>
          </w:p>
          <w:p w14:paraId="7AB35A8D">
            <w:pPr>
              <w:adjustRightInd w:val="0"/>
              <w:snapToGrid w:val="0"/>
              <w:spacing w:line="50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②废气污染防治措施概述</w:t>
            </w:r>
          </w:p>
          <w:p w14:paraId="05BF762D">
            <w:pPr>
              <w:adjustRightInd w:val="0"/>
              <w:snapToGrid w:val="0"/>
              <w:spacing w:line="50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w:t>
            </w:r>
            <w:r>
              <w:rPr>
                <w:rFonts w:hint="eastAsia" w:ascii="Times New Roman" w:hAnsi="Times New Roman" w:eastAsia="宋体" w:cs="Times New Roman"/>
                <w:color w:val="auto"/>
                <w:sz w:val="21"/>
                <w:szCs w:val="21"/>
                <w:highlight w:val="none"/>
                <w:lang w:val="en-US" w:eastAsia="zh-CN"/>
              </w:rPr>
              <w:t>车间</w:t>
            </w:r>
            <w:r>
              <w:rPr>
                <w:rFonts w:hint="eastAsia" w:cs="Times New Roman"/>
                <w:color w:val="auto"/>
                <w:sz w:val="21"/>
                <w:szCs w:val="21"/>
                <w:highlight w:val="none"/>
                <w:lang w:val="en-US" w:eastAsia="zh-CN"/>
              </w:rPr>
              <w:t>四</w:t>
            </w:r>
            <w:r>
              <w:rPr>
                <w:rFonts w:hint="eastAsia" w:ascii="Times New Roman" w:hAnsi="Times New Roman" w:eastAsia="宋体" w:cs="Times New Roman"/>
                <w:bCs/>
                <w:color w:val="auto"/>
                <w:kern w:val="2"/>
                <w:sz w:val="21"/>
                <w:szCs w:val="21"/>
                <w:lang w:val="en-US" w:eastAsia="zh-CN" w:bidi="ar-SA"/>
              </w:rPr>
              <w:t>4条EVA胶膜生产线</w:t>
            </w:r>
            <w:r>
              <w:rPr>
                <w:rFonts w:hint="eastAsia" w:cs="Times New Roman"/>
                <w:bCs/>
                <w:color w:val="auto"/>
                <w:kern w:val="2"/>
                <w:sz w:val="21"/>
                <w:szCs w:val="21"/>
                <w:lang w:val="en-US" w:eastAsia="zh-CN" w:bidi="ar-SA"/>
              </w:rPr>
              <w:t>（1#-4#）</w:t>
            </w:r>
            <w:r>
              <w:rPr>
                <w:rFonts w:hint="eastAsia" w:cs="Times New Roman"/>
                <w:color w:val="auto"/>
                <w:sz w:val="21"/>
                <w:szCs w:val="21"/>
                <w:highlight w:val="none"/>
                <w:lang w:val="en-US" w:eastAsia="zh-CN"/>
              </w:rPr>
              <w:t>流延成型</w:t>
            </w:r>
            <w:r>
              <w:rPr>
                <w:rFonts w:hint="eastAsia" w:ascii="Times New Roman" w:hAnsi="Times New Roman" w:eastAsia="宋体" w:cs="Times New Roman"/>
                <w:color w:val="auto"/>
                <w:sz w:val="21"/>
                <w:szCs w:val="21"/>
                <w:highlight w:val="none"/>
                <w:lang w:val="en-US" w:eastAsia="zh-CN"/>
              </w:rPr>
              <w:t>废气</w:t>
            </w:r>
            <w:r>
              <w:rPr>
                <w:rFonts w:hint="default" w:ascii="Times New Roman" w:hAnsi="Times New Roman" w:eastAsia="宋体" w:cs="Times New Roman"/>
                <w:color w:val="auto"/>
                <w:sz w:val="21"/>
                <w:szCs w:val="21"/>
                <w:highlight w:val="none"/>
                <w:lang w:val="en-US" w:eastAsia="zh-CN"/>
              </w:rPr>
              <w:t>采用</w:t>
            </w:r>
            <w:r>
              <w:rPr>
                <w:rFonts w:hint="eastAsia" w:ascii="Times New Roman" w:hAnsi="Times New Roman" w:eastAsia="宋体" w:cs="Times New Roman"/>
                <w:color w:val="auto"/>
                <w:sz w:val="21"/>
                <w:szCs w:val="21"/>
                <w:highlight w:val="none"/>
                <w:lang w:val="en-US" w:eastAsia="zh-CN"/>
              </w:rPr>
              <w:t>集气罩</w:t>
            </w:r>
            <w:r>
              <w:rPr>
                <w:rFonts w:hint="default" w:ascii="Times New Roman" w:hAnsi="Times New Roman" w:eastAsia="宋体" w:cs="Times New Roman"/>
                <w:color w:val="auto"/>
                <w:sz w:val="21"/>
                <w:szCs w:val="21"/>
                <w:highlight w:val="none"/>
                <w:lang w:val="en-US" w:eastAsia="zh-CN"/>
              </w:rPr>
              <w:t>收集后</w:t>
            </w:r>
            <w:r>
              <w:rPr>
                <w:rFonts w:hint="eastAsia" w:ascii="Times New Roman" w:hAnsi="Times New Roman" w:eastAsia="宋体" w:cs="Times New Roman"/>
                <w:color w:val="auto"/>
                <w:sz w:val="21"/>
                <w:szCs w:val="21"/>
                <w:highlight w:val="none"/>
                <w:lang w:val="en-US" w:eastAsia="zh-CN"/>
              </w:rPr>
              <w:t>进入</w:t>
            </w:r>
            <w:r>
              <w:rPr>
                <w:rFonts w:hint="eastAsia" w:cs="Times New Roman" w:eastAsiaTheme="minorEastAsia"/>
                <w:bCs/>
                <w:color w:val="auto"/>
                <w:sz w:val="21"/>
                <w:szCs w:val="21"/>
                <w:lang w:val="en-US" w:eastAsia="zh-CN"/>
              </w:rPr>
              <w:t>二级活性炭吸附装置</w:t>
            </w:r>
            <w:r>
              <w:rPr>
                <w:rFonts w:hint="eastAsia" w:ascii="Times New Roman" w:hAnsi="Times New Roman" w:eastAsia="宋体" w:cs="Times New Roman"/>
                <w:color w:val="auto"/>
                <w:sz w:val="21"/>
                <w:szCs w:val="21"/>
                <w:highlight w:val="none"/>
                <w:lang w:val="en-US" w:eastAsia="zh-CN"/>
              </w:rPr>
              <w:t>处理，尾气通过1根</w:t>
            </w:r>
            <w:r>
              <w:rPr>
                <w:rFonts w:hint="eastAsia"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5m高的排气筒(P</w:t>
            </w:r>
            <w:r>
              <w:rPr>
                <w:rFonts w:hint="eastAsia" w:cs="Times New Roman"/>
                <w:color w:val="auto"/>
                <w:sz w:val="21"/>
                <w:szCs w:val="21"/>
                <w:highlight w:val="none"/>
                <w:lang w:val="en-US" w:eastAsia="zh-CN"/>
              </w:rPr>
              <w:t>4</w:t>
            </w:r>
            <w:r>
              <w:rPr>
                <w:rFonts w:hint="eastAsia" w:ascii="Times New Roman" w:hAnsi="Times New Roman" w:eastAsia="宋体" w:cs="Times New Roman"/>
                <w:color w:val="auto"/>
                <w:sz w:val="21"/>
                <w:szCs w:val="21"/>
                <w:highlight w:val="none"/>
                <w:lang w:val="en-US" w:eastAsia="zh-CN"/>
              </w:rPr>
              <w:t>)排放,,二级活性炭吸附装置</w:t>
            </w:r>
            <w:r>
              <w:rPr>
                <w:rFonts w:hint="default" w:ascii="Times New Roman" w:hAnsi="Times New Roman" w:eastAsia="宋体" w:cs="Times New Roman"/>
                <w:color w:val="auto"/>
                <w:sz w:val="21"/>
                <w:szCs w:val="21"/>
                <w:highlight w:val="none"/>
                <w:lang w:val="en-US" w:eastAsia="zh-CN"/>
              </w:rPr>
              <w:t>处理效率以</w:t>
            </w:r>
            <w:r>
              <w:rPr>
                <w:rFonts w:hint="eastAsia" w:ascii="Times New Roman" w:hAnsi="Times New Roman" w:eastAsia="宋体" w:cs="Times New Roman"/>
                <w:color w:val="auto"/>
                <w:sz w:val="21"/>
                <w:szCs w:val="21"/>
                <w:highlight w:val="none"/>
                <w:lang w:val="en-US" w:eastAsia="zh-CN"/>
              </w:rPr>
              <w:t>90</w:t>
            </w:r>
            <w:r>
              <w:rPr>
                <w:rFonts w:hint="default" w:ascii="Times New Roman" w:hAnsi="Times New Roman" w:eastAsia="宋体" w:cs="Times New Roman"/>
                <w:color w:val="auto"/>
                <w:sz w:val="21"/>
                <w:szCs w:val="21"/>
                <w:highlight w:val="none"/>
                <w:lang w:val="en-US" w:eastAsia="zh-CN"/>
              </w:rPr>
              <w:t>%计。</w:t>
            </w:r>
          </w:p>
          <w:p w14:paraId="7D6BD8F7">
            <w:pPr>
              <w:keepNext w:val="0"/>
              <w:keepLines w:val="0"/>
              <w:pageBreakBefore w:val="0"/>
              <w:kinsoku/>
              <w:wordWrap/>
              <w:overflowPunct/>
              <w:topLinePunct w:val="0"/>
              <w:autoSpaceDE/>
              <w:autoSpaceDN/>
              <w:bidi w:val="0"/>
              <w:snapToGrid w:val="0"/>
              <w:spacing w:line="500" w:lineRule="exact"/>
              <w:ind w:firstLine="422" w:firstLineChars="20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rPr>
              <w:t>活性炭吸附装置工作原理：</w:t>
            </w:r>
          </w:p>
          <w:p w14:paraId="63075422">
            <w:pPr>
              <w:keepNext w:val="0"/>
              <w:keepLines w:val="0"/>
              <w:pageBreakBefore w:val="0"/>
              <w:kinsoku/>
              <w:wordWrap/>
              <w:overflowPunct/>
              <w:topLinePunct w:val="0"/>
              <w:autoSpaceDE/>
              <w:autoSpaceDN/>
              <w:bidi w:val="0"/>
              <w:snapToGrid w:val="0"/>
              <w:spacing w:line="500" w:lineRule="exact"/>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活性炭是一种多孔性质的含炭物质，它具有高度发达的孔隙结构，活性炭的多孔结构为其提供了大量的表面积，能与气体（杂质）充分接触，从而赋予了活性炭所特有的吸附功能，使其非常容易达到吸收收集杂质的目的，就像磁力一样，所有的分子间都具有相互引力。正因为如此，活性炭孔壁上的大量的分子可以产生强大的引力，从而达到将有害的杂质吸引到孔径中的目的。</w:t>
            </w:r>
          </w:p>
          <w:p w14:paraId="7F1DBBBE">
            <w:pPr>
              <w:keepNext w:val="0"/>
              <w:keepLines w:val="0"/>
              <w:pageBreakBefore w:val="0"/>
              <w:kinsoku/>
              <w:wordWrap/>
              <w:overflowPunct/>
              <w:topLinePunct w:val="0"/>
              <w:autoSpaceDE/>
              <w:autoSpaceDN/>
              <w:bidi w:val="0"/>
              <w:snapToGrid w:val="0"/>
              <w:spacing w:line="500" w:lineRule="exact"/>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活性炭具有微晶结构，微晶排列完全不规则，晶体中有微孔、过渡孔（半径20～1000）、大孔（半径1000～100000），使它具有很大的内表面，比表面积为500～1700m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g。这决定了活性炭具有良好的吸附性，可以吸附废水和废气中的金属离子、有害气体、有机污染物、色素等。工业上应用活性炭还要求机械强度大、耐磨性能好，它的结构力求稳定，吸附所需能量小，以有利于再生。</w:t>
            </w:r>
          </w:p>
          <w:p w14:paraId="45F2349A">
            <w:pPr>
              <w:keepNext w:val="0"/>
              <w:keepLines w:val="0"/>
              <w:pageBreakBefore w:val="0"/>
              <w:kinsoku/>
              <w:wordWrap/>
              <w:overflowPunct/>
              <w:topLinePunct w:val="0"/>
              <w:autoSpaceDE/>
              <w:autoSpaceDN/>
              <w:bidi w:val="0"/>
              <w:snapToGrid w:val="0"/>
              <w:spacing w:line="50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活性炭吸附法适用于大风量、低浓度、温度不高的有机废气治理，其能耗低、工艺成熟，效果可靠，是治理有机废气较为理想的方案。根据《大气中VOCs的污染现状及治理技术研究进展》（环境科学与管理，2012年第37卷第6期，曲茉莉）中数据，活性炭吸附对有机废气等的去除效率可达</w:t>
            </w:r>
            <w:r>
              <w:rPr>
                <w:rFonts w:hint="eastAsia" w:cs="Times New Roman"/>
                <w:color w:val="auto"/>
                <w:sz w:val="21"/>
                <w:szCs w:val="21"/>
                <w:lang w:val="en-US" w:eastAsia="zh-CN"/>
              </w:rPr>
              <w:t>80</w:t>
            </w:r>
            <w:r>
              <w:rPr>
                <w:rFonts w:hint="default" w:ascii="Times New Roman" w:hAnsi="Times New Roman" w:eastAsia="宋体" w:cs="Times New Roman"/>
                <w:color w:val="auto"/>
                <w:sz w:val="21"/>
                <w:szCs w:val="21"/>
                <w:lang w:val="en-US" w:eastAsia="zh-CN"/>
              </w:rPr>
              <w:t>%以上。</w:t>
            </w:r>
            <w:r>
              <w:rPr>
                <w:rFonts w:hint="default" w:ascii="Times New Roman" w:hAnsi="Times New Roman" w:cs="Times New Roman"/>
                <w:color w:val="auto"/>
                <w:sz w:val="21"/>
                <w:szCs w:val="21"/>
                <w:lang w:val="en-US" w:eastAsia="zh-CN"/>
              </w:rPr>
              <w:t>本项目采用二级活性炭，处理效率可达90%以上。</w:t>
            </w:r>
          </w:p>
          <w:p w14:paraId="64248CA3">
            <w:pPr>
              <w:keepNext w:val="0"/>
              <w:keepLines w:val="0"/>
              <w:pageBreakBefore w:val="0"/>
              <w:kinsoku/>
              <w:wordWrap/>
              <w:overflowPunct/>
              <w:topLinePunct w:val="0"/>
              <w:autoSpaceDE/>
              <w:autoSpaceDN/>
              <w:bidi w:val="0"/>
              <w:snapToGrid w:val="0"/>
              <w:spacing w:line="50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依据《省生态环境厅关于深入开展涉VOCs治理重点工作核查的通知》（苏环办</w:t>
            </w:r>
            <w:r>
              <w:rPr>
                <w:rFonts w:hint="default" w:ascii="Times New Roman" w:hAnsi="Times New Roman" w:eastAsia="宋体" w:cs="Times New Roman"/>
                <w:color w:val="auto"/>
                <w:sz w:val="21"/>
                <w:szCs w:val="21"/>
              </w:rPr>
              <w:t>〔202</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218号）文件，本项目使用的活性炭常规技术指标如下表所示</w:t>
            </w:r>
            <w:r>
              <w:rPr>
                <w:rFonts w:hint="eastAsia" w:cs="Times New Roman"/>
                <w:color w:val="auto"/>
                <w:sz w:val="21"/>
                <w:szCs w:val="21"/>
                <w:lang w:val="en-US" w:eastAsia="zh-CN"/>
              </w:rPr>
              <w:t>。</w:t>
            </w:r>
          </w:p>
          <w:p w14:paraId="2342C6DB">
            <w:pPr>
              <w:keepNext w:val="0"/>
              <w:keepLines w:val="0"/>
              <w:pageBreakBefore w:val="0"/>
              <w:widowControl w:val="0"/>
              <w:kinsoku/>
              <w:wordWrap/>
              <w:overflowPunct/>
              <w:topLinePunct w:val="0"/>
              <w:autoSpaceDE w:val="0"/>
              <w:autoSpaceDN w:val="0"/>
              <w:bidi w:val="0"/>
              <w:adjustRightInd w:val="0"/>
              <w:snapToGrid w:val="0"/>
              <w:spacing w:line="500" w:lineRule="exact"/>
              <w:jc w:val="center"/>
              <w:textAlignment w:val="auto"/>
              <w:rPr>
                <w:rFonts w:hint="default" w:ascii="Times New Roman" w:hAnsi="Times New Roman" w:cs="Times New Roman" w:eastAsiaTheme="minorEastAsia"/>
                <w:b/>
                <w:color w:val="auto"/>
                <w:kern w:val="0"/>
                <w:sz w:val="21"/>
                <w:szCs w:val="21"/>
              </w:rPr>
            </w:pPr>
            <w:r>
              <w:rPr>
                <w:rFonts w:hint="default" w:ascii="Times New Roman" w:hAnsi="Times New Roman" w:cs="Times New Roman" w:eastAsiaTheme="minorEastAsia"/>
                <w:b/>
                <w:color w:val="auto"/>
                <w:kern w:val="0"/>
                <w:sz w:val="21"/>
                <w:szCs w:val="21"/>
              </w:rPr>
              <w:t>表4-</w:t>
            </w:r>
            <w:r>
              <w:rPr>
                <w:rFonts w:hint="default" w:ascii="Times New Roman" w:hAnsi="Times New Roman" w:cs="Times New Roman" w:eastAsiaTheme="minorEastAsia"/>
                <w:b/>
                <w:color w:val="auto"/>
                <w:kern w:val="0"/>
                <w:sz w:val="21"/>
                <w:szCs w:val="21"/>
                <w:lang w:val="en-US" w:eastAsia="zh-CN"/>
              </w:rPr>
              <w:t>2</w:t>
            </w:r>
            <w:r>
              <w:rPr>
                <w:rFonts w:hint="default" w:ascii="Times New Roman" w:hAnsi="Times New Roman" w:cs="Times New Roman" w:eastAsiaTheme="minorEastAsia"/>
                <w:b/>
                <w:color w:val="auto"/>
                <w:kern w:val="0"/>
                <w:sz w:val="21"/>
                <w:szCs w:val="21"/>
              </w:rPr>
              <w:t xml:space="preserve">  </w:t>
            </w:r>
            <w:r>
              <w:rPr>
                <w:rFonts w:hint="default" w:ascii="Times New Roman" w:hAnsi="Times New Roman" w:cs="Times New Roman" w:eastAsiaTheme="minorEastAsia"/>
                <w:b/>
                <w:color w:val="auto"/>
                <w:kern w:val="0"/>
                <w:sz w:val="21"/>
                <w:szCs w:val="21"/>
                <w:lang w:val="en-US" w:eastAsia="zh-CN"/>
              </w:rPr>
              <w:t>废气设施</w:t>
            </w:r>
            <w:r>
              <w:rPr>
                <w:rFonts w:hint="default" w:ascii="Times New Roman" w:hAnsi="Times New Roman" w:cs="Times New Roman" w:eastAsiaTheme="minorEastAsia"/>
                <w:b/>
                <w:color w:val="auto"/>
                <w:kern w:val="0"/>
                <w:sz w:val="21"/>
                <w:szCs w:val="21"/>
              </w:rPr>
              <w:t>主要参数</w:t>
            </w:r>
          </w:p>
          <w:tbl>
            <w:tblPr>
              <w:tblStyle w:val="32"/>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862"/>
              <w:gridCol w:w="4863"/>
            </w:tblGrid>
            <w:tr w14:paraId="35D937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3" w:type="pct"/>
                  <w:tcBorders>
                    <w:tl2br w:val="nil"/>
                    <w:tr2bl w:val="nil"/>
                  </w:tcBorders>
                  <w:noWrap w:val="0"/>
                  <w:vAlign w:val="center"/>
                </w:tcPr>
                <w:p w14:paraId="3F12AEFA">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参数类型</w:t>
                  </w:r>
                </w:p>
              </w:tc>
              <w:tc>
                <w:tcPr>
                  <w:tcW w:w="2786" w:type="pct"/>
                  <w:tcBorders>
                    <w:tl2br w:val="nil"/>
                    <w:tr2bl w:val="nil"/>
                  </w:tcBorders>
                  <w:noWrap w:val="0"/>
                  <w:vAlign w:val="center"/>
                </w:tcPr>
                <w:p w14:paraId="17488D31">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活性炭箱</w:t>
                  </w:r>
                  <w:r>
                    <w:rPr>
                      <w:rFonts w:hint="default" w:ascii="Times New Roman" w:hAnsi="Times New Roman" w:cs="Times New Roman" w:eastAsiaTheme="minorEastAsia"/>
                      <w:color w:val="auto"/>
                      <w:sz w:val="21"/>
                      <w:szCs w:val="21"/>
                      <w:lang w:eastAsia="zh-CN"/>
                    </w:rPr>
                    <w:t>（</w:t>
                  </w:r>
                  <w:r>
                    <w:rPr>
                      <w:rFonts w:hint="eastAsia" w:cs="Times New Roman" w:eastAsiaTheme="minorEastAsia"/>
                      <w:color w:val="auto"/>
                      <w:sz w:val="21"/>
                      <w:szCs w:val="21"/>
                      <w:lang w:val="en-US" w:eastAsia="zh-CN"/>
                    </w:rPr>
                    <w:t>P4排气筒</w:t>
                  </w:r>
                  <w:r>
                    <w:rPr>
                      <w:rFonts w:hint="default" w:ascii="Times New Roman" w:hAnsi="Times New Roman" w:cs="Times New Roman" w:eastAsiaTheme="minorEastAsia"/>
                      <w:color w:val="auto"/>
                      <w:sz w:val="21"/>
                      <w:szCs w:val="21"/>
                      <w:lang w:val="en-US" w:eastAsia="zh-CN"/>
                    </w:rPr>
                    <w:t>）</w:t>
                  </w:r>
                </w:p>
              </w:tc>
            </w:tr>
            <w:tr w14:paraId="6272EF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3" w:type="pct"/>
                  <w:tcBorders>
                    <w:tl2br w:val="nil"/>
                    <w:tr2bl w:val="nil"/>
                  </w:tcBorders>
                  <w:noWrap w:val="0"/>
                  <w:vAlign w:val="center"/>
                </w:tcPr>
                <w:p w14:paraId="707A5FD2">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箱体型式</w:t>
                  </w:r>
                </w:p>
              </w:tc>
              <w:tc>
                <w:tcPr>
                  <w:tcW w:w="2786" w:type="pct"/>
                  <w:tcBorders>
                    <w:tl2br w:val="nil"/>
                    <w:tr2bl w:val="nil"/>
                  </w:tcBorders>
                  <w:noWrap w:val="0"/>
                  <w:vAlign w:val="center"/>
                </w:tcPr>
                <w:p w14:paraId="6051D0BB">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卧式活性炭箱</w:t>
                  </w:r>
                </w:p>
              </w:tc>
            </w:tr>
            <w:tr w14:paraId="4EFF13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3" w:type="pct"/>
                  <w:tcBorders>
                    <w:tl2br w:val="nil"/>
                    <w:tr2bl w:val="nil"/>
                  </w:tcBorders>
                  <w:noWrap w:val="0"/>
                  <w:vAlign w:val="center"/>
                </w:tcPr>
                <w:p w14:paraId="72C2B544">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活性炭种类</w:t>
                  </w:r>
                </w:p>
              </w:tc>
              <w:tc>
                <w:tcPr>
                  <w:tcW w:w="2786" w:type="pct"/>
                  <w:tcBorders>
                    <w:tl2br w:val="nil"/>
                    <w:tr2bl w:val="nil"/>
                  </w:tcBorders>
                  <w:noWrap w:val="0"/>
                  <w:vAlign w:val="center"/>
                </w:tcPr>
                <w:p w14:paraId="1E95CA5F">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颗粒活性炭</w:t>
                  </w:r>
                </w:p>
              </w:tc>
            </w:tr>
            <w:tr w14:paraId="7D9862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3" w:type="pct"/>
                  <w:tcBorders>
                    <w:tl2br w:val="nil"/>
                    <w:tr2bl w:val="nil"/>
                  </w:tcBorders>
                  <w:noWrap w:val="0"/>
                  <w:vAlign w:val="center"/>
                </w:tcPr>
                <w:p w14:paraId="7407FEDE">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箱体</w:t>
                  </w:r>
                  <w:r>
                    <w:rPr>
                      <w:rFonts w:hint="default" w:ascii="Times New Roman" w:hAnsi="Times New Roman" w:cs="Times New Roman" w:eastAsiaTheme="minorEastAsia"/>
                      <w:color w:val="auto"/>
                      <w:sz w:val="21"/>
                      <w:szCs w:val="21"/>
                    </w:rPr>
                    <w:t>规格尺寸/mm</w:t>
                  </w:r>
                </w:p>
              </w:tc>
              <w:tc>
                <w:tcPr>
                  <w:tcW w:w="2786" w:type="pct"/>
                  <w:tcBorders>
                    <w:tl2br w:val="nil"/>
                    <w:tr2bl w:val="nil"/>
                  </w:tcBorders>
                  <w:noWrap w:val="0"/>
                  <w:vAlign w:val="center"/>
                </w:tcPr>
                <w:p w14:paraId="34BF766C">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2*（2</w:t>
                  </w:r>
                  <w:r>
                    <w:rPr>
                      <w:rFonts w:hint="eastAsia" w:cs="Times New Roman" w:eastAsiaTheme="minorEastAsia"/>
                      <w:color w:val="auto"/>
                      <w:sz w:val="21"/>
                      <w:szCs w:val="21"/>
                      <w:lang w:val="en-US" w:eastAsia="zh-CN"/>
                    </w:rPr>
                    <w:t>0</w:t>
                  </w:r>
                  <w:r>
                    <w:rPr>
                      <w:rFonts w:hint="default" w:ascii="Times New Roman" w:hAnsi="Times New Roman" w:cs="Times New Roman" w:eastAsiaTheme="minorEastAsia"/>
                      <w:color w:val="auto"/>
                      <w:sz w:val="21"/>
                      <w:szCs w:val="21"/>
                      <w:lang w:val="en-US" w:eastAsia="zh-CN"/>
                    </w:rPr>
                    <w:t>00</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lang w:val="en-US" w:eastAsia="zh-CN"/>
                    </w:rPr>
                    <w:t>0</w:t>
                  </w:r>
                  <w:r>
                    <w:rPr>
                      <w:rFonts w:hint="default" w:ascii="Times New Roman" w:hAnsi="Times New Roman" w:cs="Times New Roman" w:eastAsiaTheme="minorEastAsia"/>
                      <w:color w:val="auto"/>
                      <w:sz w:val="21"/>
                      <w:szCs w:val="21"/>
                    </w:rPr>
                    <w:t>0*</w:t>
                  </w:r>
                  <w:r>
                    <w:rPr>
                      <w:rFonts w:hint="default" w:ascii="Times New Roman" w:hAnsi="Times New Roman" w:cs="Times New Roman" w:eastAsiaTheme="minorEastAsia"/>
                      <w:color w:val="auto"/>
                      <w:sz w:val="21"/>
                      <w:szCs w:val="21"/>
                      <w:lang w:val="en-US" w:eastAsia="zh-CN"/>
                    </w:rPr>
                    <w:t>12</w:t>
                  </w:r>
                  <w:r>
                    <w:rPr>
                      <w:rFonts w:hint="default" w:ascii="Times New Roman" w:hAnsi="Times New Roman" w:cs="Times New Roman" w:eastAsiaTheme="minorEastAsia"/>
                      <w:color w:val="auto"/>
                      <w:sz w:val="21"/>
                      <w:szCs w:val="21"/>
                    </w:rPr>
                    <w:t>0</w:t>
                  </w:r>
                  <w:r>
                    <w:rPr>
                      <w:rFonts w:hint="default" w:ascii="Times New Roman" w:hAnsi="Times New Roman" w:cs="Times New Roman" w:eastAsiaTheme="minorEastAsia"/>
                      <w:color w:val="auto"/>
                      <w:sz w:val="21"/>
                      <w:szCs w:val="21"/>
                      <w:lang w:val="en-US" w:eastAsia="zh-CN"/>
                    </w:rPr>
                    <w:t>0</w:t>
                  </w:r>
                  <w:r>
                    <w:rPr>
                      <w:rFonts w:hint="default" w:ascii="Times New Roman" w:hAnsi="Times New Roman" w:cs="Times New Roman" w:eastAsiaTheme="minorEastAsia"/>
                      <w:color w:val="auto"/>
                      <w:sz w:val="21"/>
                      <w:szCs w:val="21"/>
                    </w:rPr>
                    <w:t>mm</w:t>
                  </w:r>
                  <w:r>
                    <w:rPr>
                      <w:rFonts w:hint="default" w:ascii="Times New Roman" w:hAnsi="Times New Roman" w:cs="Times New Roman" w:eastAsiaTheme="minorEastAsia"/>
                      <w:color w:val="auto"/>
                      <w:sz w:val="21"/>
                      <w:szCs w:val="21"/>
                      <w:lang w:val="en-US" w:eastAsia="zh-CN"/>
                    </w:rPr>
                    <w:t>）</w:t>
                  </w:r>
                </w:p>
              </w:tc>
            </w:tr>
            <w:tr w14:paraId="68A1DC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3" w:type="pct"/>
                  <w:tcBorders>
                    <w:tl2br w:val="nil"/>
                    <w:tr2bl w:val="nil"/>
                  </w:tcBorders>
                  <w:noWrap w:val="0"/>
                  <w:vAlign w:val="center"/>
                </w:tcPr>
                <w:p w14:paraId="1702A9A0">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抽屉数</w:t>
                  </w:r>
                </w:p>
              </w:tc>
              <w:tc>
                <w:tcPr>
                  <w:tcW w:w="2786" w:type="pct"/>
                  <w:tcBorders>
                    <w:tl2br w:val="nil"/>
                    <w:tr2bl w:val="nil"/>
                  </w:tcBorders>
                  <w:noWrap w:val="0"/>
                  <w:vAlign w:val="center"/>
                </w:tcPr>
                <w:p w14:paraId="1280E51C">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12*2</w:t>
                  </w:r>
                </w:p>
              </w:tc>
            </w:tr>
            <w:tr w14:paraId="0B4CE1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3" w:type="pct"/>
                  <w:tcBorders>
                    <w:tl2br w:val="nil"/>
                    <w:tr2bl w:val="nil"/>
                  </w:tcBorders>
                  <w:noWrap w:val="0"/>
                  <w:vAlign w:val="center"/>
                </w:tcPr>
                <w:p w14:paraId="35B1B5A1">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活性炭</w:t>
                  </w:r>
                  <w:r>
                    <w:rPr>
                      <w:rFonts w:hint="default" w:ascii="Times New Roman" w:hAnsi="Times New Roman" w:cs="Times New Roman" w:eastAsiaTheme="minorEastAsia"/>
                      <w:color w:val="auto"/>
                      <w:sz w:val="21"/>
                      <w:szCs w:val="21"/>
                      <w:lang w:val="en-US" w:eastAsia="zh-CN"/>
                    </w:rPr>
                    <w:t>总</w:t>
                  </w:r>
                  <w:r>
                    <w:rPr>
                      <w:rFonts w:hint="default" w:ascii="Times New Roman" w:hAnsi="Times New Roman" w:cs="Times New Roman" w:eastAsiaTheme="minorEastAsia"/>
                      <w:color w:val="auto"/>
                      <w:sz w:val="21"/>
                      <w:szCs w:val="21"/>
                    </w:rPr>
                    <w:t>装填量</w:t>
                  </w:r>
                </w:p>
              </w:tc>
              <w:tc>
                <w:tcPr>
                  <w:tcW w:w="2786" w:type="pct"/>
                  <w:tcBorders>
                    <w:tl2br w:val="nil"/>
                    <w:tr2bl w:val="nil"/>
                  </w:tcBorders>
                  <w:noWrap w:val="0"/>
                  <w:vAlign w:val="center"/>
                </w:tcPr>
                <w:p w14:paraId="11A29F5B">
                  <w:pPr>
                    <w:jc w:val="center"/>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2.4</w:t>
                  </w:r>
                  <w:r>
                    <w:rPr>
                      <w:rFonts w:hint="default" w:ascii="Times New Roman" w:hAnsi="Times New Roman" w:cs="Times New Roman" w:eastAsiaTheme="minorEastAsia"/>
                      <w:color w:val="auto"/>
                      <w:sz w:val="21"/>
                      <w:szCs w:val="21"/>
                      <w:lang w:val="en-US" w:eastAsia="zh-CN"/>
                    </w:rPr>
                    <w:t>m</w:t>
                  </w:r>
                  <w:r>
                    <w:rPr>
                      <w:rFonts w:hint="default" w:ascii="Times New Roman" w:hAnsi="Times New Roman" w:cs="Times New Roman" w:eastAsiaTheme="minorEastAsia"/>
                      <w:color w:val="auto"/>
                      <w:sz w:val="21"/>
                      <w:szCs w:val="21"/>
                      <w:vertAlign w:val="superscript"/>
                      <w:lang w:val="en-US" w:eastAsia="zh-CN"/>
                    </w:rPr>
                    <w:t>3</w:t>
                  </w:r>
                  <w:r>
                    <w:rPr>
                      <w:rFonts w:hint="default" w:ascii="Times New Roman" w:hAnsi="Times New Roman" w:cs="Times New Roman" w:eastAsiaTheme="minorEastAsia"/>
                      <w:color w:val="auto"/>
                      <w:sz w:val="21"/>
                      <w:szCs w:val="21"/>
                      <w:lang w:val="en-US" w:eastAsia="zh-CN"/>
                    </w:rPr>
                    <w:t>（约</w:t>
                  </w:r>
                  <w:r>
                    <w:rPr>
                      <w:rFonts w:hint="eastAsia" w:cs="Times New Roman" w:eastAsiaTheme="minorEastAsia"/>
                      <w:color w:val="auto"/>
                      <w:sz w:val="21"/>
                      <w:szCs w:val="21"/>
                      <w:lang w:val="en-US" w:eastAsia="zh-CN"/>
                    </w:rPr>
                    <w:t>0.96</w:t>
                  </w:r>
                  <w:r>
                    <w:rPr>
                      <w:rFonts w:hint="default" w:ascii="Times New Roman" w:hAnsi="Times New Roman" w:cs="Times New Roman" w:eastAsiaTheme="minorEastAsia"/>
                      <w:color w:val="auto"/>
                      <w:sz w:val="21"/>
                      <w:szCs w:val="21"/>
                      <w:lang w:val="en-US" w:eastAsia="zh-CN"/>
                    </w:rPr>
                    <w:t>t）</w:t>
                  </w:r>
                </w:p>
              </w:tc>
            </w:tr>
            <w:tr w14:paraId="51E179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3" w:type="pct"/>
                  <w:tcBorders>
                    <w:tl2br w:val="nil"/>
                    <w:tr2bl w:val="nil"/>
                  </w:tcBorders>
                  <w:noWrap w:val="0"/>
                  <w:vAlign w:val="center"/>
                </w:tcPr>
                <w:p w14:paraId="7850584A">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活性炭更换周期</w:t>
                  </w:r>
                </w:p>
              </w:tc>
              <w:tc>
                <w:tcPr>
                  <w:tcW w:w="2786" w:type="pct"/>
                  <w:tcBorders>
                    <w:tl2br w:val="nil"/>
                    <w:tr2bl w:val="nil"/>
                  </w:tcBorders>
                  <w:noWrap w:val="0"/>
                  <w:vAlign w:val="center"/>
                </w:tcPr>
                <w:p w14:paraId="497F75AE">
                  <w:pPr>
                    <w:jc w:val="center"/>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12</w:t>
                  </w:r>
                  <w:r>
                    <w:rPr>
                      <w:rFonts w:hint="default" w:ascii="Times New Roman" w:hAnsi="Times New Roman" w:cs="Times New Roman" w:eastAsiaTheme="minorEastAsia"/>
                      <w:color w:val="auto"/>
                      <w:sz w:val="21"/>
                      <w:szCs w:val="21"/>
                    </w:rPr>
                    <w:t>次/</w:t>
                  </w:r>
                  <w:r>
                    <w:rPr>
                      <w:rFonts w:hint="default" w:ascii="Times New Roman" w:hAnsi="Times New Roman" w:cs="Times New Roman" w:eastAsiaTheme="minorEastAsia"/>
                      <w:color w:val="auto"/>
                      <w:sz w:val="21"/>
                      <w:szCs w:val="21"/>
                      <w:lang w:val="en-US" w:eastAsia="zh-CN"/>
                    </w:rPr>
                    <w:t>年</w:t>
                  </w:r>
                </w:p>
              </w:tc>
            </w:tr>
            <w:tr w14:paraId="71B06E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3" w:type="pct"/>
                  <w:tcBorders>
                    <w:tl2br w:val="nil"/>
                    <w:tr2bl w:val="nil"/>
                  </w:tcBorders>
                  <w:noWrap w:val="0"/>
                  <w:vAlign w:val="center"/>
                </w:tcPr>
                <w:p w14:paraId="791DA2CD">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处理风量</w:t>
                  </w:r>
                </w:p>
              </w:tc>
              <w:tc>
                <w:tcPr>
                  <w:tcW w:w="2786" w:type="pct"/>
                  <w:tcBorders>
                    <w:tl2br w:val="nil"/>
                    <w:tr2bl w:val="nil"/>
                  </w:tcBorders>
                  <w:noWrap w:val="0"/>
                  <w:vAlign w:val="center"/>
                </w:tcPr>
                <w:p w14:paraId="0286C115">
                  <w:pPr>
                    <w:jc w:val="center"/>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7000</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/h</w:t>
                  </w:r>
                </w:p>
              </w:tc>
            </w:tr>
            <w:tr w14:paraId="358C42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3" w:type="pct"/>
                  <w:tcBorders>
                    <w:tl2br w:val="nil"/>
                    <w:tr2bl w:val="nil"/>
                  </w:tcBorders>
                  <w:noWrap w:val="0"/>
                  <w:vAlign w:val="center"/>
                </w:tcPr>
                <w:p w14:paraId="6AD8A86E">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空气流速</w:t>
                  </w:r>
                </w:p>
              </w:tc>
              <w:tc>
                <w:tcPr>
                  <w:tcW w:w="2786" w:type="pct"/>
                  <w:tcBorders>
                    <w:tl2br w:val="nil"/>
                    <w:tr2bl w:val="nil"/>
                  </w:tcBorders>
                  <w:noWrap w:val="0"/>
                  <w:vAlign w:val="center"/>
                </w:tcPr>
                <w:p w14:paraId="59ADE124">
                  <w:pPr>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0.6m/s</w:t>
                  </w:r>
                </w:p>
              </w:tc>
            </w:tr>
            <w:tr w14:paraId="024B04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3" w:type="pct"/>
                  <w:tcBorders>
                    <w:tl2br w:val="nil"/>
                    <w:tr2bl w:val="nil"/>
                  </w:tcBorders>
                  <w:noWrap w:val="0"/>
                  <w:vAlign w:val="center"/>
                </w:tcPr>
                <w:p w14:paraId="0713CBC5">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装填密度</w:t>
                  </w:r>
                </w:p>
              </w:tc>
              <w:tc>
                <w:tcPr>
                  <w:tcW w:w="2786" w:type="pct"/>
                  <w:tcBorders>
                    <w:tl2br w:val="nil"/>
                    <w:tr2bl w:val="nil"/>
                  </w:tcBorders>
                  <w:noWrap w:val="0"/>
                  <w:vAlign w:val="center"/>
                </w:tcPr>
                <w:p w14:paraId="29EC85E7">
                  <w:pPr>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0.4g/cm</w:t>
                  </w:r>
                  <w:r>
                    <w:rPr>
                      <w:rFonts w:hint="default" w:ascii="Times New Roman" w:hAnsi="Times New Roman" w:cs="Times New Roman" w:eastAsiaTheme="minorEastAsia"/>
                      <w:color w:val="auto"/>
                      <w:sz w:val="21"/>
                      <w:szCs w:val="21"/>
                      <w:highlight w:val="none"/>
                      <w:vertAlign w:val="superscript"/>
                      <w:lang w:val="en-US" w:eastAsia="zh-CN"/>
                    </w:rPr>
                    <w:t>3</w:t>
                  </w:r>
                </w:p>
              </w:tc>
            </w:tr>
            <w:tr w14:paraId="58EBFB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3" w:type="pct"/>
                  <w:tcBorders>
                    <w:tl2br w:val="nil"/>
                    <w:tr2bl w:val="nil"/>
                  </w:tcBorders>
                  <w:noWrap w:val="0"/>
                  <w:vAlign w:val="center"/>
                </w:tcPr>
                <w:p w14:paraId="3BC0A876">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废气进口温度</w:t>
                  </w:r>
                </w:p>
              </w:tc>
              <w:tc>
                <w:tcPr>
                  <w:tcW w:w="2786" w:type="pct"/>
                  <w:tcBorders>
                    <w:tl2br w:val="nil"/>
                    <w:tr2bl w:val="nil"/>
                  </w:tcBorders>
                  <w:noWrap w:val="0"/>
                  <w:vAlign w:val="center"/>
                </w:tcPr>
                <w:p w14:paraId="1CFC6462">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20</w:t>
                  </w:r>
                  <w:r>
                    <w:rPr>
                      <w:rFonts w:hint="default" w:ascii="Times New Roman" w:hAnsi="Times New Roman" w:cs="Times New Roman" w:eastAsiaTheme="minorEastAsia"/>
                      <w:color w:val="auto"/>
                      <w:sz w:val="21"/>
                      <w:szCs w:val="21"/>
                    </w:rPr>
                    <w:t>℃</w:t>
                  </w:r>
                </w:p>
              </w:tc>
            </w:tr>
            <w:tr w14:paraId="72956C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3" w:type="pct"/>
                  <w:tcBorders>
                    <w:tl2br w:val="nil"/>
                    <w:tr2bl w:val="nil"/>
                  </w:tcBorders>
                  <w:noWrap w:val="0"/>
                  <w:vAlign w:val="center"/>
                </w:tcPr>
                <w:p w14:paraId="0F831EB6">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碘</w:t>
                  </w:r>
                  <w:r>
                    <w:rPr>
                      <w:rFonts w:hint="default" w:ascii="Times New Roman" w:hAnsi="Times New Roman" w:cs="Times New Roman" w:eastAsiaTheme="minorEastAsia"/>
                      <w:color w:val="auto"/>
                      <w:sz w:val="21"/>
                      <w:szCs w:val="21"/>
                      <w:lang w:val="en-US" w:eastAsia="zh-CN"/>
                    </w:rPr>
                    <w:t>吸附</w:t>
                  </w:r>
                  <w:r>
                    <w:rPr>
                      <w:rFonts w:hint="default" w:ascii="Times New Roman" w:hAnsi="Times New Roman" w:cs="Times New Roman" w:eastAsiaTheme="minorEastAsia"/>
                      <w:color w:val="auto"/>
                      <w:sz w:val="21"/>
                      <w:szCs w:val="21"/>
                    </w:rPr>
                    <w:t>值</w:t>
                  </w:r>
                </w:p>
              </w:tc>
              <w:tc>
                <w:tcPr>
                  <w:tcW w:w="2786" w:type="pct"/>
                  <w:tcBorders>
                    <w:tl2br w:val="nil"/>
                    <w:tr2bl w:val="nil"/>
                  </w:tcBorders>
                  <w:noWrap w:val="0"/>
                  <w:vAlign w:val="center"/>
                </w:tcPr>
                <w:p w14:paraId="346DEC2F">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≥800</w:t>
                  </w:r>
                  <w:r>
                    <w:rPr>
                      <w:rFonts w:hint="default" w:ascii="Times New Roman" w:hAnsi="Times New Roman" w:cs="Times New Roman" w:eastAsiaTheme="minorEastAsia"/>
                      <w:color w:val="auto"/>
                      <w:sz w:val="21"/>
                      <w:szCs w:val="21"/>
                    </w:rPr>
                    <w:t>mg/g</w:t>
                  </w:r>
                </w:p>
              </w:tc>
            </w:tr>
            <w:tr w14:paraId="0041C7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3" w:type="pct"/>
                  <w:tcBorders>
                    <w:tl2br w:val="nil"/>
                    <w:tr2bl w:val="nil"/>
                  </w:tcBorders>
                  <w:noWrap w:val="0"/>
                  <w:vAlign w:val="center"/>
                </w:tcPr>
                <w:p w14:paraId="7487F717">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比表面积</w:t>
                  </w:r>
                </w:p>
              </w:tc>
              <w:tc>
                <w:tcPr>
                  <w:tcW w:w="2786" w:type="pct"/>
                  <w:tcBorders>
                    <w:tl2br w:val="nil"/>
                    <w:tr2bl w:val="nil"/>
                  </w:tcBorders>
                  <w:noWrap w:val="0"/>
                  <w:vAlign w:val="center"/>
                </w:tcPr>
                <w:p w14:paraId="226D54A7">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≥850m</w:t>
                  </w:r>
                  <w:r>
                    <w:rPr>
                      <w:rFonts w:hint="default" w:ascii="Times New Roman" w:hAnsi="Times New Roman" w:cs="Times New Roman" w:eastAsiaTheme="minorEastAsia"/>
                      <w:color w:val="auto"/>
                      <w:sz w:val="21"/>
                      <w:szCs w:val="21"/>
                      <w:vertAlign w:val="superscript"/>
                      <w:lang w:val="en-US" w:eastAsia="zh-CN"/>
                    </w:rPr>
                    <w:t>2</w:t>
                  </w:r>
                  <w:r>
                    <w:rPr>
                      <w:rFonts w:hint="default" w:ascii="Times New Roman" w:hAnsi="Times New Roman" w:cs="Times New Roman" w:eastAsiaTheme="minorEastAsia"/>
                      <w:color w:val="auto"/>
                      <w:sz w:val="21"/>
                      <w:szCs w:val="21"/>
                      <w:lang w:val="en-US" w:eastAsia="zh-CN"/>
                    </w:rPr>
                    <w:t>/g</w:t>
                  </w:r>
                </w:p>
              </w:tc>
            </w:tr>
          </w:tbl>
          <w:p w14:paraId="7123B3B2">
            <w:pPr>
              <w:adjustRightInd w:val="0"/>
              <w:snapToGrid w:val="0"/>
              <w:spacing w:line="500" w:lineRule="exact"/>
              <w:ind w:firstLine="420" w:firstLineChars="200"/>
              <w:jc w:val="left"/>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2）无组织废气</w:t>
            </w:r>
          </w:p>
          <w:p w14:paraId="7E39F2AD">
            <w:pPr>
              <w:adjustRightInd w:val="0"/>
              <w:snapToGrid w:val="0"/>
              <w:spacing w:line="500" w:lineRule="exact"/>
              <w:ind w:firstLine="420" w:firstLineChars="200"/>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项目</w:t>
            </w:r>
            <w:r>
              <w:rPr>
                <w:rFonts w:hint="eastAsia" w:ascii="Times New Roman" w:hAnsi="Times New Roman" w:eastAsia="宋体" w:cs="Times New Roman"/>
                <w:bCs/>
                <w:color w:val="auto"/>
                <w:kern w:val="2"/>
                <w:sz w:val="21"/>
                <w:szCs w:val="21"/>
                <w:lang w:val="en-US" w:eastAsia="zh-CN" w:bidi="ar-SA"/>
              </w:rPr>
              <w:t>4条EVA胶膜生产线</w:t>
            </w:r>
            <w:r>
              <w:rPr>
                <w:rFonts w:hint="eastAsia" w:cs="Times New Roman"/>
                <w:bCs/>
                <w:color w:val="auto"/>
                <w:kern w:val="2"/>
                <w:sz w:val="21"/>
                <w:szCs w:val="21"/>
                <w:lang w:val="en-US" w:eastAsia="zh-CN" w:bidi="ar-SA"/>
              </w:rPr>
              <w:t>（1#-4#）</w:t>
            </w:r>
            <w:r>
              <w:rPr>
                <w:rFonts w:hint="default" w:ascii="Times New Roman" w:hAnsi="Times New Roman" w:cs="Times New Roman"/>
                <w:color w:val="auto"/>
                <w:sz w:val="21"/>
                <w:szCs w:val="21"/>
                <w:highlight w:val="none"/>
                <w:lang w:val="en-US" w:eastAsia="zh-CN"/>
              </w:rPr>
              <w:t>未捕集</w:t>
            </w:r>
            <w:r>
              <w:rPr>
                <w:rFonts w:hint="eastAsia" w:cs="Times New Roman"/>
                <w:color w:val="auto"/>
                <w:sz w:val="21"/>
                <w:szCs w:val="21"/>
                <w:highlight w:val="none"/>
                <w:lang w:val="en-US" w:eastAsia="zh-CN"/>
              </w:rPr>
              <w:t>的流延成型</w:t>
            </w:r>
            <w:r>
              <w:rPr>
                <w:rFonts w:hint="eastAsia" w:ascii="Times New Roman" w:hAnsi="Times New Roman" w:eastAsia="宋体" w:cs="Times New Roman"/>
                <w:color w:val="auto"/>
                <w:sz w:val="21"/>
                <w:szCs w:val="21"/>
                <w:highlight w:val="none"/>
                <w:lang w:val="en-US" w:eastAsia="zh-CN"/>
              </w:rPr>
              <w:t>废气</w:t>
            </w:r>
            <w:r>
              <w:rPr>
                <w:rFonts w:hint="eastAsia" w:cs="Times New Roman"/>
                <w:color w:val="auto"/>
                <w:sz w:val="21"/>
                <w:szCs w:val="21"/>
                <w:highlight w:val="none"/>
                <w:lang w:val="en-US" w:eastAsia="zh-CN"/>
              </w:rPr>
              <w:t>在车间四内无组织排放</w:t>
            </w:r>
            <w:r>
              <w:rPr>
                <w:rFonts w:hint="default" w:ascii="Times New Roman" w:hAnsi="Times New Roman" w:cs="Times New Roman"/>
                <w:color w:val="auto"/>
                <w:sz w:val="21"/>
                <w:szCs w:val="21"/>
                <w:highlight w:val="none"/>
              </w:rPr>
              <w:t>。</w:t>
            </w:r>
          </w:p>
          <w:p w14:paraId="1A56DE8A">
            <w:pPr>
              <w:adjustRightInd w:val="0"/>
              <w:snapToGrid w:val="0"/>
              <w:spacing w:line="500" w:lineRule="exact"/>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通过采取以下措施减少废气无组织排放：尽量提高生产设施废气产生工段的密闭性，尽可能多</w:t>
            </w:r>
            <w:r>
              <w:rPr>
                <w:rFonts w:hint="eastAsia" w:cs="Times New Roman"/>
                <w:color w:val="auto"/>
                <w:sz w:val="21"/>
                <w:szCs w:val="21"/>
                <w:highlight w:val="none"/>
                <w:lang w:val="en-US" w:eastAsia="zh-CN"/>
              </w:rPr>
              <w:t>地</w:t>
            </w:r>
            <w:r>
              <w:rPr>
                <w:rFonts w:hint="default" w:ascii="Times New Roman" w:hAnsi="Times New Roman" w:cs="Times New Roman"/>
                <w:color w:val="auto"/>
                <w:sz w:val="21"/>
                <w:szCs w:val="21"/>
                <w:highlight w:val="none"/>
                <w:lang w:val="en-US" w:eastAsia="zh-CN"/>
              </w:rPr>
              <w:t>捕集产生的废气以减少无组织的产生量；选用高质量的设备和管件，提高安装质量，定期对</w:t>
            </w:r>
            <w:r>
              <w:rPr>
                <w:rFonts w:hint="eastAsia" w:cs="Times New Roman"/>
                <w:color w:val="auto"/>
                <w:sz w:val="21"/>
                <w:szCs w:val="21"/>
                <w:highlight w:val="none"/>
                <w:lang w:val="en-US" w:eastAsia="zh-CN"/>
              </w:rPr>
              <w:t>风机、废气管道</w:t>
            </w:r>
            <w:r>
              <w:rPr>
                <w:rFonts w:hint="default" w:ascii="Times New Roman" w:hAnsi="Times New Roman" w:cs="Times New Roman"/>
                <w:color w:val="auto"/>
                <w:sz w:val="21"/>
                <w:szCs w:val="21"/>
                <w:highlight w:val="none"/>
                <w:lang w:val="en-US" w:eastAsia="zh-CN"/>
              </w:rPr>
              <w:t>进行检修维护。</w:t>
            </w:r>
          </w:p>
          <w:p w14:paraId="75905811">
            <w:pPr>
              <w:adjustRightInd w:val="0"/>
              <w:snapToGrid w:val="0"/>
              <w:spacing w:line="500" w:lineRule="exact"/>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3）技术可行性论证</w:t>
            </w:r>
          </w:p>
          <w:p w14:paraId="58C106DA">
            <w:pPr>
              <w:adjustRightInd w:val="0"/>
              <w:snapToGrid w:val="0"/>
              <w:spacing w:line="500" w:lineRule="exact"/>
              <w:ind w:firstLine="420" w:firstLineChars="200"/>
              <w:rPr>
                <w:rFonts w:hint="default" w:ascii="Times New Roman" w:hAnsi="Times New Roman" w:cs="Times New Roman"/>
                <w:bCs/>
                <w:color w:val="auto"/>
                <w:sz w:val="21"/>
                <w:szCs w:val="21"/>
              </w:rPr>
            </w:pPr>
            <w:r>
              <w:rPr>
                <w:rFonts w:hint="eastAsia" w:ascii="Times New Roman" w:hAnsi="Times New Roman" w:cs="Times New Roman"/>
                <w:color w:val="auto"/>
                <w:sz w:val="21"/>
                <w:szCs w:val="21"/>
                <w:highlight w:val="none"/>
                <w:lang w:val="en-US" w:eastAsia="zh-CN"/>
              </w:rPr>
              <w:t>本项目</w:t>
            </w:r>
            <w:r>
              <w:rPr>
                <w:rFonts w:hint="eastAsia" w:cs="Times New Roman"/>
                <w:color w:val="auto"/>
                <w:sz w:val="21"/>
                <w:szCs w:val="21"/>
                <w:highlight w:val="none"/>
                <w:lang w:val="en-US" w:eastAsia="zh-CN"/>
              </w:rPr>
              <w:t>废气主要为</w:t>
            </w:r>
            <w:r>
              <w:rPr>
                <w:rFonts w:hint="eastAsia" w:cs="Times New Roman"/>
                <w:bCs/>
                <w:color w:val="auto"/>
                <w:kern w:val="2"/>
                <w:sz w:val="21"/>
                <w:szCs w:val="21"/>
                <w:lang w:val="en-US" w:eastAsia="zh-CN" w:bidi="ar-SA"/>
              </w:rPr>
              <w:t>非甲烷总烃</w:t>
            </w:r>
            <w:r>
              <w:rPr>
                <w:rFonts w:hint="eastAsia" w:ascii="Times New Roman" w:hAnsi="Times New Roman" w:cs="Times New Roman"/>
                <w:bCs/>
                <w:color w:val="auto"/>
                <w:kern w:val="2"/>
                <w:sz w:val="21"/>
                <w:szCs w:val="21"/>
                <w:lang w:val="en-US" w:eastAsia="zh-CN" w:bidi="ar-SA"/>
              </w:rPr>
              <w:t>废气，</w:t>
            </w:r>
            <w:r>
              <w:rPr>
                <w:rFonts w:hint="eastAsia" w:cs="Times New Roman"/>
                <w:bCs/>
                <w:color w:val="auto"/>
                <w:kern w:val="2"/>
                <w:sz w:val="21"/>
                <w:szCs w:val="21"/>
                <w:lang w:val="en-US" w:eastAsia="zh-CN" w:bidi="ar-SA"/>
              </w:rPr>
              <w:t>参</w:t>
            </w:r>
            <w:r>
              <w:rPr>
                <w:rFonts w:hint="eastAsia" w:ascii="Times New Roman" w:hAnsi="Times New Roman" w:eastAsia="宋体" w:cs="Times New Roman"/>
                <w:color w:val="auto"/>
                <w:sz w:val="21"/>
                <w:szCs w:val="21"/>
                <w:lang w:val="en-US" w:eastAsia="zh-CN"/>
              </w:rPr>
              <w:t>照《排污许可证申请与核发技术规范橡胶和塑料制品工业》（HJ1122-2020）</w:t>
            </w:r>
            <w:r>
              <w:rPr>
                <w:rFonts w:hint="default" w:ascii="Times New Roman" w:hAnsi="Times New Roman" w:eastAsia="宋体" w:cs="Times New Roman"/>
                <w:color w:val="auto"/>
                <w:sz w:val="21"/>
                <w:szCs w:val="21"/>
                <w:lang w:val="en-US" w:eastAsia="zh-CN"/>
              </w:rPr>
              <w:t>中废气污染治理推荐可行技术清单，</w:t>
            </w:r>
            <w:r>
              <w:rPr>
                <w:rFonts w:hint="default" w:ascii="Times New Roman" w:hAnsi="Times New Roman" w:cs="Times New Roman"/>
                <w:color w:val="auto"/>
                <w:sz w:val="21"/>
                <w:szCs w:val="21"/>
                <w:highlight w:val="none"/>
                <w:lang w:val="en-US" w:eastAsia="zh-CN"/>
              </w:rPr>
              <w:t>挥发性有机物采用</w:t>
            </w:r>
            <w:r>
              <w:rPr>
                <w:rFonts w:hint="eastAsia" w:cs="Times New Roman"/>
                <w:color w:val="auto"/>
                <w:sz w:val="21"/>
                <w:szCs w:val="21"/>
                <w:lang w:val="en-US" w:eastAsia="zh-CN"/>
              </w:rPr>
              <w:t>二级活性炭吸附装置处理</w:t>
            </w:r>
            <w:r>
              <w:rPr>
                <w:rFonts w:hint="default" w:ascii="Times New Roman" w:hAnsi="Times New Roman" w:cs="Times New Roman"/>
                <w:color w:val="auto"/>
                <w:sz w:val="21"/>
                <w:szCs w:val="21"/>
                <w:lang w:val="en-US" w:eastAsia="zh-CN"/>
              </w:rPr>
              <w:t>为可行技术</w:t>
            </w:r>
            <w:r>
              <w:rPr>
                <w:rFonts w:hint="default" w:ascii="Times New Roman" w:hAnsi="Times New Roman" w:eastAsia="宋体" w:cs="Times New Roman"/>
                <w:color w:val="auto"/>
                <w:sz w:val="21"/>
                <w:szCs w:val="21"/>
                <w:lang w:val="en-US" w:eastAsia="zh-CN"/>
              </w:rPr>
              <w:t>。因</w:t>
            </w:r>
            <w:r>
              <w:rPr>
                <w:rFonts w:hint="default" w:ascii="Times New Roman" w:hAnsi="Times New Roman" w:cs="Times New Roman"/>
                <w:color w:val="auto"/>
                <w:sz w:val="21"/>
                <w:szCs w:val="21"/>
                <w:lang w:val="en-US" w:eastAsia="zh-CN"/>
              </w:rPr>
              <w:t>此</w:t>
            </w:r>
            <w:r>
              <w:rPr>
                <w:rFonts w:hint="default" w:ascii="Times New Roman" w:hAnsi="Times New Roman" w:cs="Times New Roman"/>
                <w:color w:val="auto"/>
                <w:sz w:val="21"/>
                <w:szCs w:val="21"/>
              </w:rPr>
              <w:t>，本项目拟采取的废气处理措施是可行的。</w:t>
            </w:r>
          </w:p>
        </w:tc>
      </w:tr>
    </w:tbl>
    <w:p w14:paraId="73905F82">
      <w:pPr>
        <w:pStyle w:val="25"/>
        <w:spacing w:before="0" w:beforeAutospacing="0" w:after="0" w:afterAutospacing="0"/>
        <w:jc w:val="center"/>
        <w:outlineLvl w:val="0"/>
        <w:rPr>
          <w:rFonts w:hint="default" w:ascii="Times New Roman" w:hAnsi="Times New Roman" w:eastAsia="黑体" w:cs="Times New Roman"/>
          <w:snapToGrid w:val="0"/>
          <w:color w:val="auto"/>
          <w:sz w:val="30"/>
          <w:szCs w:val="30"/>
        </w:rPr>
        <w:sectPr>
          <w:footerReference r:id="rId7" w:type="default"/>
          <w:pgSz w:w="11906" w:h="16838"/>
          <w:pgMar w:top="1417" w:right="1417" w:bottom="1417" w:left="1417" w:header="851" w:footer="1134" w:gutter="0"/>
          <w:pgBorders>
            <w:top w:val="none" w:sz="0" w:space="0"/>
            <w:left w:val="none" w:sz="0" w:space="0"/>
            <w:bottom w:val="none" w:sz="0" w:space="0"/>
            <w:right w:val="none" w:sz="0" w:space="0"/>
          </w:pgBorders>
          <w:pgNumType w:fmt="decimal"/>
          <w:cols w:space="720" w:num="1"/>
          <w:docGrid w:linePitch="312" w:charSpace="0"/>
        </w:sectPr>
      </w:pPr>
      <w:bookmarkStart w:id="8" w:name="_Toc9211"/>
    </w:p>
    <w:tbl>
      <w:tblPr>
        <w:tblStyle w:val="32"/>
        <w:tblW w:w="13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13175"/>
      </w:tblGrid>
      <w:tr w14:paraId="1C8B9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8" w:hRule="atLeast"/>
          <w:jc w:val="center"/>
        </w:trPr>
        <w:tc>
          <w:tcPr>
            <w:tcW w:w="562" w:type="dxa"/>
            <w:vAlign w:val="center"/>
          </w:tcPr>
          <w:p w14:paraId="762C8494">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运营</w:t>
            </w:r>
          </w:p>
          <w:p w14:paraId="2BB6B070">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期环</w:t>
            </w:r>
          </w:p>
          <w:p w14:paraId="1BF76853">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境影</w:t>
            </w:r>
          </w:p>
          <w:p w14:paraId="18593C3E">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响和</w:t>
            </w:r>
          </w:p>
          <w:p w14:paraId="4C269AE0">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保护</w:t>
            </w:r>
          </w:p>
          <w:p w14:paraId="59D4E977">
            <w:pPr>
              <w:adjustRightInd w:val="0"/>
              <w:snapToGrid w:val="0"/>
              <w:jc w:val="center"/>
              <w:rPr>
                <w:rFonts w:hint="default" w:ascii="Times New Roman" w:hAnsi="Times New Roman" w:eastAsia="黑体" w:cs="Times New Roman"/>
                <w:snapToGrid w:val="0"/>
                <w:color w:val="auto"/>
                <w:sz w:val="21"/>
                <w:szCs w:val="21"/>
                <w:vertAlign w:val="baseline"/>
              </w:rPr>
            </w:pPr>
            <w:r>
              <w:rPr>
                <w:rFonts w:hint="default" w:ascii="Times New Roman" w:hAnsi="Times New Roman" w:cs="Times New Roman"/>
                <w:bCs/>
                <w:color w:val="auto"/>
                <w:sz w:val="21"/>
                <w:szCs w:val="21"/>
              </w:rPr>
              <w:t>措施</w:t>
            </w:r>
          </w:p>
        </w:tc>
        <w:tc>
          <w:tcPr>
            <w:tcW w:w="13175" w:type="dxa"/>
          </w:tcPr>
          <w:p w14:paraId="6733B8F2">
            <w:pPr>
              <w:keepNext w:val="0"/>
              <w:keepLines w:val="0"/>
              <w:pageBreakBefore w:val="0"/>
              <w:widowControl w:val="0"/>
              <w:kinsoku/>
              <w:wordWrap/>
              <w:overflowPunct/>
              <w:topLinePunct w:val="0"/>
              <w:autoSpaceDE/>
              <w:autoSpaceDN/>
              <w:bidi w:val="0"/>
              <w:adjustRightInd w:val="0"/>
              <w:snapToGrid w:val="0"/>
              <w:spacing w:line="500" w:lineRule="exact"/>
              <w:ind w:firstLine="422" w:firstLineChars="200"/>
              <w:textAlignment w:val="auto"/>
              <w:rPr>
                <w:rFonts w:hint="default" w:ascii="Times New Roman" w:hAnsi="Times New Roman" w:cs="Times New Roman"/>
                <w:color w:val="auto"/>
                <w:sz w:val="21"/>
                <w:szCs w:val="21"/>
                <w:lang w:val="en-US"/>
              </w:rPr>
            </w:pPr>
            <w:r>
              <w:rPr>
                <w:rFonts w:hint="default" w:ascii="Times New Roman" w:hAnsi="Times New Roman" w:cs="Times New Roman"/>
                <w:b/>
                <w:bCs/>
                <w:color w:val="auto"/>
                <w:sz w:val="21"/>
                <w:szCs w:val="21"/>
                <w:lang w:val="en-US" w:eastAsia="zh-CN"/>
              </w:rPr>
              <w:t>3、</w:t>
            </w:r>
            <w:r>
              <w:rPr>
                <w:rFonts w:hint="default" w:ascii="Times New Roman" w:hAnsi="Times New Roman" w:eastAsia="宋体" w:cs="Times New Roman"/>
                <w:b/>
                <w:bCs/>
                <w:color w:val="auto"/>
                <w:sz w:val="21"/>
                <w:szCs w:val="21"/>
                <w:lang w:val="en-US" w:eastAsia="zh-CN"/>
              </w:rPr>
              <w:t>废气</w:t>
            </w:r>
            <w:r>
              <w:rPr>
                <w:rFonts w:hint="default" w:ascii="Times New Roman" w:hAnsi="Times New Roman" w:eastAsia="宋体" w:cs="Times New Roman"/>
                <w:b/>
                <w:bCs/>
                <w:color w:val="auto"/>
                <w:sz w:val="21"/>
                <w:szCs w:val="21"/>
              </w:rPr>
              <w:t>排放</w:t>
            </w:r>
            <w:r>
              <w:rPr>
                <w:rFonts w:hint="default" w:ascii="Times New Roman" w:hAnsi="Times New Roman" w:cs="Times New Roman"/>
                <w:b/>
                <w:bCs/>
                <w:color w:val="auto"/>
                <w:sz w:val="21"/>
                <w:szCs w:val="21"/>
                <w:lang w:val="en-US" w:eastAsia="zh-CN"/>
              </w:rPr>
              <w:t>情况及达标情况分析</w:t>
            </w:r>
          </w:p>
          <w:p w14:paraId="13C1C04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rPr>
              <w:t>表4-</w:t>
            </w:r>
            <w:r>
              <w:rPr>
                <w:rFonts w:hint="default" w:ascii="Times New Roman" w:hAnsi="Times New Roman" w:cs="Times New Roman"/>
                <w:b/>
                <w:bCs/>
                <w:color w:val="auto"/>
                <w:sz w:val="21"/>
                <w:szCs w:val="21"/>
                <w:lang w:val="en-US" w:eastAsia="zh-CN"/>
              </w:rPr>
              <w:t>3</w:t>
            </w:r>
            <w:r>
              <w:rPr>
                <w:rFonts w:hint="eastAsia" w:cs="Times New Roman"/>
                <w:b/>
                <w:bCs/>
                <w:color w:val="auto"/>
                <w:sz w:val="21"/>
                <w:szCs w:val="21"/>
                <w:lang w:val="en-US" w:eastAsia="zh-CN"/>
              </w:rPr>
              <w:t xml:space="preserve">  </w:t>
            </w:r>
            <w:r>
              <w:rPr>
                <w:rFonts w:hint="default" w:ascii="Times New Roman" w:hAnsi="Times New Roman" w:cs="Times New Roman"/>
                <w:b/>
                <w:bCs/>
                <w:color w:val="auto"/>
                <w:sz w:val="21"/>
                <w:szCs w:val="21"/>
                <w:lang w:eastAsia="zh-CN"/>
              </w:rPr>
              <w:t>本项目</w:t>
            </w:r>
            <w:r>
              <w:rPr>
                <w:rFonts w:hint="default" w:ascii="Times New Roman" w:hAnsi="Times New Roman" w:cs="Times New Roman"/>
                <w:b/>
                <w:bCs/>
                <w:color w:val="auto"/>
                <w:sz w:val="21"/>
                <w:szCs w:val="21"/>
              </w:rPr>
              <w:t>有组织</w:t>
            </w:r>
            <w:r>
              <w:rPr>
                <w:rFonts w:hint="default" w:ascii="Times New Roman" w:hAnsi="Times New Roman" w:cs="Times New Roman"/>
                <w:b/>
                <w:bCs/>
                <w:color w:val="auto"/>
                <w:sz w:val="21"/>
                <w:szCs w:val="21"/>
                <w:lang w:val="en-US" w:eastAsia="zh-CN"/>
              </w:rPr>
              <w:t>排放大气污染物源强</w:t>
            </w:r>
            <w:r>
              <w:rPr>
                <w:rFonts w:hint="default" w:ascii="Times New Roman" w:hAnsi="Times New Roman" w:cs="Times New Roman"/>
                <w:b/>
                <w:bCs/>
                <w:color w:val="auto"/>
                <w:sz w:val="21"/>
                <w:szCs w:val="21"/>
              </w:rPr>
              <w:t>及排放</w:t>
            </w:r>
            <w:r>
              <w:rPr>
                <w:rFonts w:hint="default" w:ascii="Times New Roman" w:hAnsi="Times New Roman" w:cs="Times New Roman"/>
                <w:b/>
                <w:bCs/>
                <w:color w:val="auto"/>
                <w:sz w:val="21"/>
                <w:szCs w:val="21"/>
                <w:lang w:val="en-US" w:eastAsia="zh-CN"/>
              </w:rPr>
              <w:t>状况表</w:t>
            </w:r>
          </w:p>
          <w:tbl>
            <w:tblPr>
              <w:tblStyle w:val="3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770"/>
              <w:gridCol w:w="1055"/>
              <w:gridCol w:w="866"/>
              <w:gridCol w:w="985"/>
              <w:gridCol w:w="938"/>
              <w:gridCol w:w="915"/>
              <w:gridCol w:w="993"/>
              <w:gridCol w:w="596"/>
              <w:gridCol w:w="736"/>
              <w:gridCol w:w="887"/>
              <w:gridCol w:w="1021"/>
              <w:gridCol w:w="1164"/>
              <w:gridCol w:w="1172"/>
              <w:gridCol w:w="856"/>
            </w:tblGrid>
            <w:tr w14:paraId="4DE6C0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297" w:type="pct"/>
                  <w:vMerge w:val="restart"/>
                  <w:vAlign w:val="center"/>
                </w:tcPr>
                <w:p w14:paraId="2DFD2556">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排气筒编号</w:t>
                  </w:r>
                </w:p>
              </w:tc>
              <w:tc>
                <w:tcPr>
                  <w:tcW w:w="407" w:type="pct"/>
                  <w:vMerge w:val="restart"/>
                  <w:vAlign w:val="center"/>
                </w:tcPr>
                <w:p w14:paraId="27DDB34C">
                  <w:pPr>
                    <w:pStyle w:val="24"/>
                    <w:spacing w:after="0" w:line="240" w:lineRule="auto"/>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产污</w:t>
                  </w:r>
                </w:p>
                <w:p w14:paraId="4ED74535">
                  <w:pPr>
                    <w:pStyle w:val="24"/>
                    <w:spacing w:after="0" w:line="240" w:lineRule="auto"/>
                    <w:jc w:val="center"/>
                    <w:rPr>
                      <w:rFonts w:hint="default" w:ascii="Times New Roman" w:hAnsi="Times New Roman" w:cs="Times New Roman" w:eastAsiaTheme="minorEastAsia"/>
                      <w:b/>
                      <w:bCs/>
                      <w:color w:val="auto"/>
                      <w:sz w:val="21"/>
                      <w:szCs w:val="21"/>
                      <w:lang w:eastAsia="zh-CN"/>
                    </w:rPr>
                  </w:pPr>
                  <w:r>
                    <w:rPr>
                      <w:rFonts w:hint="default" w:ascii="Times New Roman" w:hAnsi="Times New Roman" w:cs="Times New Roman" w:eastAsiaTheme="minorEastAsia"/>
                      <w:b/>
                      <w:bCs/>
                      <w:color w:val="auto"/>
                      <w:sz w:val="21"/>
                      <w:szCs w:val="21"/>
                      <w:lang w:val="en-US" w:eastAsia="zh-CN"/>
                    </w:rPr>
                    <w:t>环节</w:t>
                  </w:r>
                </w:p>
              </w:tc>
              <w:tc>
                <w:tcPr>
                  <w:tcW w:w="334" w:type="pct"/>
                  <w:vMerge w:val="restart"/>
                  <w:vAlign w:val="center"/>
                </w:tcPr>
                <w:p w14:paraId="0C8EAF0A">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污染物名称</w:t>
                  </w:r>
                </w:p>
              </w:tc>
              <w:tc>
                <w:tcPr>
                  <w:tcW w:w="1095" w:type="pct"/>
                  <w:gridSpan w:val="3"/>
                  <w:vAlign w:val="center"/>
                </w:tcPr>
                <w:p w14:paraId="702BC2BB">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产生状况</w:t>
                  </w:r>
                </w:p>
              </w:tc>
              <w:tc>
                <w:tcPr>
                  <w:tcW w:w="1239" w:type="pct"/>
                  <w:gridSpan w:val="4"/>
                  <w:vAlign w:val="center"/>
                </w:tcPr>
                <w:p w14:paraId="742E11DC">
                  <w:pPr>
                    <w:pStyle w:val="24"/>
                    <w:spacing w:after="0" w:line="240" w:lineRule="auto"/>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污染防治措施</w:t>
                  </w:r>
                </w:p>
              </w:tc>
              <w:tc>
                <w:tcPr>
                  <w:tcW w:w="1295" w:type="pct"/>
                  <w:gridSpan w:val="3"/>
                  <w:vAlign w:val="center"/>
                </w:tcPr>
                <w:p w14:paraId="26497F64">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排放状况</w:t>
                  </w:r>
                </w:p>
              </w:tc>
              <w:tc>
                <w:tcPr>
                  <w:tcW w:w="330" w:type="pct"/>
                  <w:vMerge w:val="restart"/>
                  <w:vAlign w:val="center"/>
                </w:tcPr>
                <w:p w14:paraId="3B5C1DCD">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排放</w:t>
                  </w:r>
                </w:p>
                <w:p w14:paraId="2E93BACF">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方式</w:t>
                  </w:r>
                </w:p>
              </w:tc>
            </w:tr>
            <w:tr w14:paraId="29F708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jc w:val="center"/>
              </w:trPr>
              <w:tc>
                <w:tcPr>
                  <w:tcW w:w="297" w:type="pct"/>
                  <w:vMerge w:val="continue"/>
                  <w:tcBorders>
                    <w:bottom w:val="single" w:color="auto" w:sz="4" w:space="0"/>
                  </w:tcBorders>
                  <w:vAlign w:val="center"/>
                </w:tcPr>
                <w:p w14:paraId="581EAA1A">
                  <w:pPr>
                    <w:pStyle w:val="24"/>
                    <w:spacing w:after="0" w:line="240" w:lineRule="auto"/>
                    <w:jc w:val="center"/>
                    <w:rPr>
                      <w:rFonts w:hint="default" w:ascii="Times New Roman" w:hAnsi="Times New Roman" w:cs="Times New Roman" w:eastAsiaTheme="minorEastAsia"/>
                      <w:color w:val="auto"/>
                      <w:sz w:val="21"/>
                      <w:szCs w:val="21"/>
                    </w:rPr>
                  </w:pPr>
                </w:p>
              </w:tc>
              <w:tc>
                <w:tcPr>
                  <w:tcW w:w="407" w:type="pct"/>
                  <w:vMerge w:val="continue"/>
                  <w:tcBorders>
                    <w:bottom w:val="single" w:color="auto" w:sz="4" w:space="0"/>
                  </w:tcBorders>
                  <w:vAlign w:val="center"/>
                </w:tcPr>
                <w:p w14:paraId="4B7A83C6">
                  <w:pPr>
                    <w:pStyle w:val="24"/>
                    <w:spacing w:after="0" w:line="240" w:lineRule="auto"/>
                    <w:jc w:val="center"/>
                    <w:rPr>
                      <w:rFonts w:hint="default" w:ascii="Times New Roman" w:hAnsi="Times New Roman" w:cs="Times New Roman" w:eastAsiaTheme="minorEastAsia"/>
                      <w:color w:val="auto"/>
                      <w:sz w:val="21"/>
                      <w:szCs w:val="21"/>
                    </w:rPr>
                  </w:pPr>
                </w:p>
              </w:tc>
              <w:tc>
                <w:tcPr>
                  <w:tcW w:w="334" w:type="pct"/>
                  <w:vMerge w:val="continue"/>
                  <w:tcBorders>
                    <w:bottom w:val="single" w:color="auto" w:sz="4" w:space="0"/>
                  </w:tcBorders>
                  <w:vAlign w:val="center"/>
                </w:tcPr>
                <w:p w14:paraId="5718FD89">
                  <w:pPr>
                    <w:pStyle w:val="24"/>
                    <w:spacing w:after="0" w:line="240" w:lineRule="auto"/>
                    <w:jc w:val="center"/>
                    <w:rPr>
                      <w:rFonts w:hint="default" w:ascii="Times New Roman" w:hAnsi="Times New Roman" w:cs="Times New Roman" w:eastAsiaTheme="minorEastAsia"/>
                      <w:color w:val="auto"/>
                      <w:sz w:val="21"/>
                      <w:szCs w:val="21"/>
                    </w:rPr>
                  </w:pPr>
                </w:p>
              </w:tc>
              <w:tc>
                <w:tcPr>
                  <w:tcW w:w="380" w:type="pct"/>
                  <w:tcBorders>
                    <w:bottom w:val="single" w:color="auto" w:sz="4" w:space="0"/>
                  </w:tcBorders>
                  <w:vAlign w:val="center"/>
                </w:tcPr>
                <w:p w14:paraId="6CEF94FC">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浓度</w:t>
                  </w:r>
                </w:p>
                <w:p w14:paraId="6D48FC11">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(mg/m</w:t>
                  </w:r>
                  <w:r>
                    <w:rPr>
                      <w:rFonts w:hint="default" w:ascii="Times New Roman" w:hAnsi="Times New Roman" w:cs="Times New Roman" w:eastAsiaTheme="minorEastAsia"/>
                      <w:b/>
                      <w:bCs/>
                      <w:color w:val="auto"/>
                      <w:sz w:val="21"/>
                      <w:szCs w:val="21"/>
                      <w:vertAlign w:val="superscript"/>
                    </w:rPr>
                    <w:t>3</w:t>
                  </w:r>
                  <w:r>
                    <w:rPr>
                      <w:rFonts w:hint="default" w:ascii="Times New Roman" w:hAnsi="Times New Roman" w:cs="Times New Roman" w:eastAsiaTheme="minorEastAsia"/>
                      <w:b/>
                      <w:bCs/>
                      <w:color w:val="auto"/>
                      <w:sz w:val="21"/>
                      <w:szCs w:val="21"/>
                    </w:rPr>
                    <w:t>)</w:t>
                  </w:r>
                </w:p>
              </w:tc>
              <w:tc>
                <w:tcPr>
                  <w:tcW w:w="362" w:type="pct"/>
                  <w:tcBorders>
                    <w:bottom w:val="single" w:color="auto" w:sz="4" w:space="0"/>
                  </w:tcBorders>
                  <w:vAlign w:val="center"/>
                </w:tcPr>
                <w:p w14:paraId="27C4BC7A">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速率</w:t>
                  </w:r>
                </w:p>
                <w:p w14:paraId="7F479272">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(kg/h)</w:t>
                  </w:r>
                </w:p>
              </w:tc>
              <w:tc>
                <w:tcPr>
                  <w:tcW w:w="353" w:type="pct"/>
                  <w:tcBorders>
                    <w:bottom w:val="single" w:color="auto" w:sz="4" w:space="0"/>
                  </w:tcBorders>
                  <w:vAlign w:val="center"/>
                </w:tcPr>
                <w:p w14:paraId="2723EBB8">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产生量</w:t>
                  </w:r>
                </w:p>
                <w:p w14:paraId="440530AE">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(t/a)</w:t>
                  </w:r>
                </w:p>
              </w:tc>
              <w:tc>
                <w:tcPr>
                  <w:tcW w:w="383" w:type="pct"/>
                  <w:tcBorders>
                    <w:bottom w:val="single" w:color="auto" w:sz="4" w:space="0"/>
                  </w:tcBorders>
                  <w:vAlign w:val="center"/>
                </w:tcPr>
                <w:p w14:paraId="3045762D">
                  <w:pPr>
                    <w:pStyle w:val="24"/>
                    <w:spacing w:after="0" w:line="240" w:lineRule="auto"/>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 w:val="21"/>
                      <w:szCs w:val="21"/>
                      <w:lang w:val="en-US" w:eastAsia="zh-CN"/>
                    </w:rPr>
                    <w:t>设施工艺</w:t>
                  </w:r>
                </w:p>
              </w:tc>
              <w:tc>
                <w:tcPr>
                  <w:tcW w:w="230" w:type="pct"/>
                  <w:tcBorders>
                    <w:bottom w:val="single" w:color="auto" w:sz="4" w:space="0"/>
                  </w:tcBorders>
                  <w:vAlign w:val="center"/>
                </w:tcPr>
                <w:p w14:paraId="5139BDD8">
                  <w:pPr>
                    <w:pStyle w:val="24"/>
                    <w:spacing w:after="0" w:line="240" w:lineRule="auto"/>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 w:val="21"/>
                      <w:szCs w:val="21"/>
                    </w:rPr>
                    <w:t>去除</w:t>
                  </w:r>
                  <w:r>
                    <w:rPr>
                      <w:rFonts w:hint="default" w:ascii="Times New Roman" w:hAnsi="Times New Roman" w:cs="Times New Roman" w:eastAsiaTheme="minorEastAsia"/>
                      <w:b/>
                      <w:bCs/>
                      <w:color w:val="auto"/>
                      <w:sz w:val="21"/>
                      <w:szCs w:val="21"/>
                      <w:lang w:val="en-US" w:eastAsia="zh-CN"/>
                    </w:rPr>
                    <w:t>效</w:t>
                  </w:r>
                  <w:r>
                    <w:rPr>
                      <w:rFonts w:hint="default" w:ascii="Times New Roman" w:hAnsi="Times New Roman" w:cs="Times New Roman" w:eastAsiaTheme="minorEastAsia"/>
                      <w:b/>
                      <w:bCs/>
                      <w:color w:val="auto"/>
                      <w:sz w:val="21"/>
                      <w:szCs w:val="21"/>
                    </w:rPr>
                    <w:t>率(%)</w:t>
                  </w:r>
                </w:p>
              </w:tc>
              <w:tc>
                <w:tcPr>
                  <w:tcW w:w="284" w:type="pct"/>
                  <w:tcBorders>
                    <w:bottom w:val="single" w:color="auto" w:sz="4" w:space="0"/>
                  </w:tcBorders>
                  <w:vAlign w:val="center"/>
                </w:tcPr>
                <w:p w14:paraId="0E409D51">
                  <w:pPr>
                    <w:pStyle w:val="24"/>
                    <w:spacing w:after="0" w:line="240" w:lineRule="auto"/>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处理</w:t>
                  </w:r>
                </w:p>
                <w:p w14:paraId="39954ACC">
                  <w:pPr>
                    <w:pStyle w:val="24"/>
                    <w:spacing w:after="0" w:line="240" w:lineRule="auto"/>
                    <w:jc w:val="center"/>
                    <w:rPr>
                      <w:rFonts w:hint="default" w:ascii="Times New Roman" w:hAnsi="Times New Roman" w:cs="Times New Roman" w:eastAsiaTheme="minorEastAsia"/>
                      <w:b/>
                      <w:bCs/>
                      <w:color w:val="auto"/>
                      <w:sz w:val="21"/>
                      <w:szCs w:val="21"/>
                      <w:lang w:eastAsia="zh-CN"/>
                    </w:rPr>
                  </w:pPr>
                  <w:r>
                    <w:rPr>
                      <w:rFonts w:hint="default" w:ascii="Times New Roman" w:hAnsi="Times New Roman" w:cs="Times New Roman" w:eastAsiaTheme="minorEastAsia"/>
                      <w:b/>
                      <w:bCs/>
                      <w:color w:val="auto"/>
                      <w:sz w:val="21"/>
                      <w:szCs w:val="21"/>
                      <w:lang w:val="en-US" w:eastAsia="zh-CN"/>
                    </w:rPr>
                    <w:t>能力</w:t>
                  </w:r>
                </w:p>
                <w:p w14:paraId="4A18A2A7">
                  <w:pPr>
                    <w:pStyle w:val="24"/>
                    <w:spacing w:after="0" w:line="240" w:lineRule="auto"/>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 w:val="21"/>
                      <w:szCs w:val="21"/>
                    </w:rPr>
                    <w:t>(m</w:t>
                  </w:r>
                  <w:r>
                    <w:rPr>
                      <w:rFonts w:hint="default" w:ascii="Times New Roman" w:hAnsi="Times New Roman" w:cs="Times New Roman" w:eastAsiaTheme="minorEastAsia"/>
                      <w:b/>
                      <w:bCs/>
                      <w:color w:val="auto"/>
                      <w:sz w:val="21"/>
                      <w:szCs w:val="21"/>
                      <w:vertAlign w:val="superscript"/>
                    </w:rPr>
                    <w:t>3</w:t>
                  </w:r>
                  <w:r>
                    <w:rPr>
                      <w:rFonts w:hint="default" w:ascii="Times New Roman" w:hAnsi="Times New Roman" w:cs="Times New Roman" w:eastAsiaTheme="minorEastAsia"/>
                      <w:b/>
                      <w:bCs/>
                      <w:color w:val="auto"/>
                      <w:sz w:val="21"/>
                      <w:szCs w:val="21"/>
                    </w:rPr>
                    <w:t>/h)</w:t>
                  </w:r>
                </w:p>
              </w:tc>
              <w:tc>
                <w:tcPr>
                  <w:tcW w:w="342" w:type="pct"/>
                  <w:tcBorders>
                    <w:bottom w:val="single" w:color="auto" w:sz="4" w:space="0"/>
                  </w:tcBorders>
                  <w:vAlign w:val="center"/>
                </w:tcPr>
                <w:p w14:paraId="6905BE48">
                  <w:pPr>
                    <w:pStyle w:val="24"/>
                    <w:spacing w:after="0" w:line="240" w:lineRule="auto"/>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是否为可行技术</w:t>
                  </w:r>
                </w:p>
              </w:tc>
              <w:tc>
                <w:tcPr>
                  <w:tcW w:w="394" w:type="pct"/>
                  <w:tcBorders>
                    <w:bottom w:val="single" w:color="auto" w:sz="4" w:space="0"/>
                  </w:tcBorders>
                  <w:vAlign w:val="center"/>
                </w:tcPr>
                <w:p w14:paraId="7016EF4D">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浓度</w:t>
                  </w:r>
                </w:p>
                <w:p w14:paraId="1B6AC713">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(mg/m</w:t>
                  </w:r>
                  <w:r>
                    <w:rPr>
                      <w:rFonts w:hint="default" w:ascii="Times New Roman" w:hAnsi="Times New Roman" w:cs="Times New Roman" w:eastAsiaTheme="minorEastAsia"/>
                      <w:b/>
                      <w:bCs/>
                      <w:color w:val="auto"/>
                      <w:sz w:val="21"/>
                      <w:szCs w:val="21"/>
                      <w:vertAlign w:val="superscript"/>
                    </w:rPr>
                    <w:t>3</w:t>
                  </w:r>
                  <w:r>
                    <w:rPr>
                      <w:rFonts w:hint="default" w:ascii="Times New Roman" w:hAnsi="Times New Roman" w:cs="Times New Roman" w:eastAsiaTheme="minorEastAsia"/>
                      <w:b/>
                      <w:bCs/>
                      <w:color w:val="auto"/>
                      <w:sz w:val="21"/>
                      <w:szCs w:val="21"/>
                    </w:rPr>
                    <w:t>)</w:t>
                  </w:r>
                </w:p>
              </w:tc>
              <w:tc>
                <w:tcPr>
                  <w:tcW w:w="449" w:type="pct"/>
                  <w:tcBorders>
                    <w:bottom w:val="single" w:color="auto" w:sz="4" w:space="0"/>
                  </w:tcBorders>
                  <w:vAlign w:val="center"/>
                </w:tcPr>
                <w:p w14:paraId="59E94B37">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速率</w:t>
                  </w:r>
                </w:p>
                <w:p w14:paraId="1262060A">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(kg/h)</w:t>
                  </w:r>
                </w:p>
              </w:tc>
              <w:tc>
                <w:tcPr>
                  <w:tcW w:w="452" w:type="pct"/>
                  <w:tcBorders>
                    <w:bottom w:val="single" w:color="auto" w:sz="4" w:space="0"/>
                  </w:tcBorders>
                  <w:vAlign w:val="center"/>
                </w:tcPr>
                <w:p w14:paraId="4F74E7BB">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排放量</w:t>
                  </w:r>
                </w:p>
                <w:p w14:paraId="10ADFB64">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(t/a)</w:t>
                  </w:r>
                </w:p>
              </w:tc>
              <w:tc>
                <w:tcPr>
                  <w:tcW w:w="330" w:type="pct"/>
                  <w:vMerge w:val="continue"/>
                  <w:tcBorders>
                    <w:bottom w:val="single" w:color="auto" w:sz="4" w:space="0"/>
                  </w:tcBorders>
                  <w:vAlign w:val="center"/>
                </w:tcPr>
                <w:p w14:paraId="7BEBB06A">
                  <w:pPr>
                    <w:pStyle w:val="24"/>
                    <w:spacing w:after="0" w:line="240" w:lineRule="auto"/>
                    <w:jc w:val="center"/>
                    <w:rPr>
                      <w:rFonts w:hint="default" w:ascii="Times New Roman" w:hAnsi="Times New Roman" w:cs="Times New Roman" w:eastAsiaTheme="minorEastAsia"/>
                      <w:color w:val="auto"/>
                      <w:sz w:val="21"/>
                      <w:szCs w:val="21"/>
                    </w:rPr>
                  </w:pPr>
                </w:p>
              </w:tc>
            </w:tr>
            <w:tr w14:paraId="7B6BFE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297" w:type="pct"/>
                  <w:vAlign w:val="center"/>
                </w:tcPr>
                <w:p w14:paraId="28BF3C7A">
                  <w:pPr>
                    <w:pStyle w:val="24"/>
                    <w:spacing w:after="0" w:line="240" w:lineRule="auto"/>
                    <w:jc w:val="center"/>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P4</w:t>
                  </w:r>
                </w:p>
              </w:tc>
              <w:tc>
                <w:tcPr>
                  <w:tcW w:w="407" w:type="pct"/>
                  <w:vAlign w:val="center"/>
                </w:tcPr>
                <w:p w14:paraId="79380EBA">
                  <w:pPr>
                    <w:pStyle w:val="24"/>
                    <w:spacing w:after="0" w:line="240" w:lineRule="auto"/>
                    <w:jc w:val="center"/>
                    <w:rPr>
                      <w:rFonts w:hint="default" w:ascii="Times New Roman" w:hAnsi="Times New Roman" w:cs="Times New Roman" w:eastAsiaTheme="minorEastAsia"/>
                      <w:bCs/>
                      <w:color w:val="auto"/>
                      <w:sz w:val="21"/>
                      <w:szCs w:val="21"/>
                      <w:lang w:val="en-US" w:eastAsia="zh-CN"/>
                    </w:rPr>
                  </w:pPr>
                  <w:r>
                    <w:rPr>
                      <w:rFonts w:hint="eastAsia" w:ascii="Times New Roman" w:hAnsi="Times New Roman" w:eastAsia="宋体" w:cs="Times New Roman"/>
                      <w:bCs/>
                      <w:color w:val="auto"/>
                      <w:kern w:val="2"/>
                      <w:sz w:val="21"/>
                      <w:szCs w:val="21"/>
                      <w:lang w:val="en-US" w:eastAsia="zh-CN" w:bidi="ar-SA"/>
                    </w:rPr>
                    <w:t>4条EVA胶膜生产线</w:t>
                  </w:r>
                  <w:r>
                    <w:rPr>
                      <w:rFonts w:hint="eastAsia" w:cs="Times New Roman"/>
                      <w:bCs/>
                      <w:color w:val="auto"/>
                      <w:kern w:val="2"/>
                      <w:sz w:val="21"/>
                      <w:szCs w:val="21"/>
                      <w:lang w:val="en-US" w:eastAsia="zh-CN" w:bidi="ar-SA"/>
                    </w:rPr>
                    <w:t>（1#-4#）</w:t>
                  </w:r>
                  <w:r>
                    <w:rPr>
                      <w:rFonts w:hint="eastAsia" w:cs="Times New Roman"/>
                      <w:color w:val="auto"/>
                      <w:kern w:val="2"/>
                      <w:sz w:val="21"/>
                      <w:szCs w:val="21"/>
                      <w:lang w:val="en-US" w:eastAsia="zh-CN" w:bidi="ar-SA"/>
                    </w:rPr>
                    <w:t>流延成型</w:t>
                  </w:r>
                </w:p>
              </w:tc>
              <w:tc>
                <w:tcPr>
                  <w:tcW w:w="334" w:type="pct"/>
                  <w:vAlign w:val="center"/>
                </w:tcPr>
                <w:p w14:paraId="2634D39F">
                  <w:pPr>
                    <w:pStyle w:val="24"/>
                    <w:spacing w:after="0" w:line="240" w:lineRule="auto"/>
                    <w:jc w:val="center"/>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非甲烷总烃</w:t>
                  </w:r>
                </w:p>
              </w:tc>
              <w:tc>
                <w:tcPr>
                  <w:tcW w:w="380" w:type="pct"/>
                  <w:vAlign w:val="center"/>
                </w:tcPr>
                <w:p w14:paraId="64A67C25">
                  <w:pPr>
                    <w:pStyle w:val="24"/>
                    <w:spacing w:after="0" w:line="240" w:lineRule="auto"/>
                    <w:jc w:val="center"/>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42.04</w:t>
                  </w:r>
                </w:p>
              </w:tc>
              <w:tc>
                <w:tcPr>
                  <w:tcW w:w="362" w:type="pct"/>
                  <w:vAlign w:val="center"/>
                </w:tcPr>
                <w:p w14:paraId="4091EA74">
                  <w:pPr>
                    <w:pStyle w:val="24"/>
                    <w:spacing w:after="0" w:line="240" w:lineRule="auto"/>
                    <w:jc w:val="center"/>
                    <w:rPr>
                      <w:rFonts w:hint="default" w:ascii="Times New Roman" w:hAnsi="Times New Roman" w:cs="Times New Roman" w:eastAsiaTheme="minorEastAsia"/>
                      <w:bCs/>
                      <w:color w:val="auto"/>
                      <w:kern w:val="2"/>
                      <w:sz w:val="21"/>
                      <w:szCs w:val="21"/>
                      <w:lang w:val="en-US" w:eastAsia="zh-CN" w:bidi="ar-SA"/>
                    </w:rPr>
                  </w:pPr>
                  <w:r>
                    <w:rPr>
                      <w:rFonts w:hint="eastAsia" w:cs="Times New Roman" w:eastAsiaTheme="minorEastAsia"/>
                      <w:bCs/>
                      <w:color w:val="auto"/>
                      <w:kern w:val="2"/>
                      <w:sz w:val="21"/>
                      <w:szCs w:val="21"/>
                      <w:lang w:val="en-US" w:eastAsia="zh-CN" w:bidi="ar-SA"/>
                    </w:rPr>
                    <w:t>0.294</w:t>
                  </w:r>
                </w:p>
              </w:tc>
              <w:tc>
                <w:tcPr>
                  <w:tcW w:w="353" w:type="pct"/>
                  <w:vAlign w:val="center"/>
                </w:tcPr>
                <w:p w14:paraId="44FD02D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2.119</w:t>
                  </w:r>
                </w:p>
              </w:tc>
              <w:tc>
                <w:tcPr>
                  <w:tcW w:w="383" w:type="pct"/>
                  <w:vAlign w:val="center"/>
                </w:tcPr>
                <w:p w14:paraId="39A53D62">
                  <w:pPr>
                    <w:pStyle w:val="24"/>
                    <w:spacing w:after="0" w:line="240" w:lineRule="auto"/>
                    <w:jc w:val="center"/>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二级活性炭吸附</w:t>
                  </w:r>
                </w:p>
              </w:tc>
              <w:tc>
                <w:tcPr>
                  <w:tcW w:w="230" w:type="pct"/>
                  <w:vAlign w:val="center"/>
                </w:tcPr>
                <w:p w14:paraId="1DB3D168">
                  <w:pPr>
                    <w:pStyle w:val="24"/>
                    <w:spacing w:after="0" w:line="240" w:lineRule="auto"/>
                    <w:jc w:val="center"/>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90</w:t>
                  </w:r>
                </w:p>
              </w:tc>
              <w:tc>
                <w:tcPr>
                  <w:tcW w:w="284" w:type="pct"/>
                  <w:vAlign w:val="center"/>
                </w:tcPr>
                <w:p w14:paraId="0B777B23">
                  <w:pPr>
                    <w:adjustRightInd w:val="0"/>
                    <w:snapToGrid w:val="0"/>
                    <w:jc w:val="center"/>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7000</w:t>
                  </w:r>
                </w:p>
              </w:tc>
              <w:tc>
                <w:tcPr>
                  <w:tcW w:w="342" w:type="pct"/>
                  <w:vAlign w:val="center"/>
                </w:tcPr>
                <w:p w14:paraId="060BD1F0">
                  <w:pPr>
                    <w:pStyle w:val="24"/>
                    <w:spacing w:after="0" w:line="240" w:lineRule="auto"/>
                    <w:jc w:val="center"/>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是</w:t>
                  </w:r>
                </w:p>
              </w:tc>
              <w:tc>
                <w:tcPr>
                  <w:tcW w:w="394" w:type="pct"/>
                  <w:vAlign w:val="center"/>
                </w:tcPr>
                <w:p w14:paraId="278F62E9">
                  <w:pPr>
                    <w:pStyle w:val="24"/>
                    <w:spacing w:after="0" w:line="240" w:lineRule="auto"/>
                    <w:jc w:val="center"/>
                    <w:rPr>
                      <w:rFonts w:hint="default" w:ascii="Times New Roman" w:hAnsi="Times New Roman" w:cs="Times New Roman" w:eastAsiaTheme="minorEastAsia"/>
                      <w:bCs/>
                      <w:color w:val="auto"/>
                      <w:kern w:val="2"/>
                      <w:sz w:val="21"/>
                      <w:szCs w:val="21"/>
                      <w:lang w:val="en-US" w:eastAsia="zh-CN" w:bidi="ar-SA"/>
                    </w:rPr>
                  </w:pPr>
                  <w:r>
                    <w:rPr>
                      <w:rFonts w:hint="eastAsia" w:cs="Times New Roman" w:eastAsiaTheme="minorEastAsia"/>
                      <w:bCs/>
                      <w:color w:val="auto"/>
                      <w:kern w:val="2"/>
                      <w:sz w:val="21"/>
                      <w:szCs w:val="21"/>
                      <w:lang w:val="en-US" w:eastAsia="zh-CN" w:bidi="ar-SA"/>
                    </w:rPr>
                    <w:t>4.20</w:t>
                  </w:r>
                </w:p>
              </w:tc>
              <w:tc>
                <w:tcPr>
                  <w:tcW w:w="449" w:type="pct"/>
                  <w:vAlign w:val="center"/>
                </w:tcPr>
                <w:p w14:paraId="70A36216">
                  <w:pPr>
                    <w:pStyle w:val="24"/>
                    <w:spacing w:after="0" w:line="240" w:lineRule="auto"/>
                    <w:jc w:val="center"/>
                    <w:rPr>
                      <w:rFonts w:hint="default" w:ascii="Times New Roman" w:hAnsi="Times New Roman" w:cs="Times New Roman" w:eastAsiaTheme="minorEastAsia"/>
                      <w:bCs/>
                      <w:color w:val="auto"/>
                      <w:kern w:val="2"/>
                      <w:sz w:val="21"/>
                      <w:szCs w:val="21"/>
                      <w:lang w:val="en-US" w:eastAsia="zh-CN" w:bidi="ar-SA"/>
                    </w:rPr>
                  </w:pPr>
                  <w:r>
                    <w:rPr>
                      <w:rFonts w:hint="eastAsia" w:cs="Times New Roman" w:eastAsiaTheme="minorEastAsia"/>
                      <w:bCs/>
                      <w:color w:val="auto"/>
                      <w:kern w:val="2"/>
                      <w:sz w:val="21"/>
                      <w:szCs w:val="21"/>
                      <w:lang w:val="en-US" w:eastAsia="zh-CN" w:bidi="ar-SA"/>
                    </w:rPr>
                    <w:t>0.029</w:t>
                  </w:r>
                </w:p>
              </w:tc>
              <w:tc>
                <w:tcPr>
                  <w:tcW w:w="452" w:type="pct"/>
                  <w:vAlign w:val="center"/>
                </w:tcPr>
                <w:p w14:paraId="08552448">
                  <w:pPr>
                    <w:adjustRightInd w:val="0"/>
                    <w:snapToGrid w:val="0"/>
                    <w:jc w:val="center"/>
                    <w:rPr>
                      <w:rFonts w:hint="default" w:ascii="Times New Roman" w:hAnsi="Times New Roman" w:eastAsia="宋体" w:cs="Times New Roman"/>
                      <w:color w:val="auto"/>
                      <w:kern w:val="44"/>
                      <w:sz w:val="21"/>
                      <w:szCs w:val="21"/>
                      <w:lang w:val="en-US" w:eastAsia="zh-CN" w:bidi="ar-SA"/>
                    </w:rPr>
                  </w:pPr>
                  <w:r>
                    <w:rPr>
                      <w:rFonts w:hint="eastAsia" w:cs="Times New Roman"/>
                      <w:color w:val="auto"/>
                      <w:kern w:val="44"/>
                      <w:sz w:val="21"/>
                      <w:szCs w:val="21"/>
                      <w:lang w:val="en-US" w:eastAsia="zh-CN" w:bidi="ar-SA"/>
                    </w:rPr>
                    <w:t>0.212</w:t>
                  </w:r>
                </w:p>
              </w:tc>
              <w:tc>
                <w:tcPr>
                  <w:tcW w:w="330" w:type="pct"/>
                  <w:vAlign w:val="center"/>
                </w:tcPr>
                <w:p w14:paraId="0D431F4F">
                  <w:pPr>
                    <w:pStyle w:val="24"/>
                    <w:spacing w:after="0" w:line="240" w:lineRule="auto"/>
                    <w:jc w:val="center"/>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连续</w:t>
                  </w:r>
                </w:p>
                <w:p w14:paraId="7A026B23">
                  <w:pPr>
                    <w:pStyle w:val="24"/>
                    <w:spacing w:after="0" w:line="240" w:lineRule="auto"/>
                    <w:jc w:val="center"/>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720</w:t>
                  </w:r>
                  <w:r>
                    <w:rPr>
                      <w:rFonts w:hint="default" w:ascii="Times New Roman" w:hAnsi="Times New Roman" w:cs="Times New Roman" w:eastAsiaTheme="minorEastAsia"/>
                      <w:bCs/>
                      <w:color w:val="auto"/>
                      <w:sz w:val="21"/>
                      <w:szCs w:val="21"/>
                      <w:lang w:val="en-US" w:eastAsia="zh-CN"/>
                    </w:rPr>
                    <w:t>0h</w:t>
                  </w:r>
                </w:p>
              </w:tc>
            </w:tr>
          </w:tbl>
          <w:p w14:paraId="00EFDD3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表4-4本项目无组织废气产生及排放源强表</w:t>
            </w:r>
          </w:p>
          <w:tbl>
            <w:tblPr>
              <w:tblStyle w:val="3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1306"/>
              <w:gridCol w:w="2308"/>
              <w:gridCol w:w="1284"/>
              <w:gridCol w:w="1302"/>
              <w:gridCol w:w="1302"/>
              <w:gridCol w:w="1302"/>
              <w:gridCol w:w="1302"/>
              <w:gridCol w:w="1515"/>
              <w:gridCol w:w="1333"/>
            </w:tblGrid>
            <w:tr w14:paraId="45B273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04" w:type="pct"/>
                  <w:vAlign w:val="center"/>
                </w:tcPr>
                <w:p w14:paraId="34A6D074">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工作车间</w:t>
                  </w:r>
                </w:p>
              </w:tc>
              <w:tc>
                <w:tcPr>
                  <w:tcW w:w="890" w:type="pct"/>
                  <w:vAlign w:val="center"/>
                </w:tcPr>
                <w:p w14:paraId="2B93E6B4">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产生环节</w:t>
                  </w:r>
                </w:p>
              </w:tc>
              <w:tc>
                <w:tcPr>
                  <w:tcW w:w="495" w:type="pct"/>
                  <w:vAlign w:val="center"/>
                </w:tcPr>
                <w:p w14:paraId="2835E595">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污染物名称</w:t>
                  </w:r>
                </w:p>
              </w:tc>
              <w:tc>
                <w:tcPr>
                  <w:tcW w:w="502" w:type="pct"/>
                  <w:vAlign w:val="center"/>
                </w:tcPr>
                <w:p w14:paraId="25D9E9DE">
                  <w:pPr>
                    <w:adjustRightInd w:val="0"/>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产生量</w:t>
                  </w:r>
                </w:p>
              </w:tc>
              <w:tc>
                <w:tcPr>
                  <w:tcW w:w="502" w:type="pct"/>
                  <w:vAlign w:val="center"/>
                </w:tcPr>
                <w:p w14:paraId="091118E6">
                  <w:pPr>
                    <w:adjustRightInd w:val="0"/>
                    <w:snapToGrid w:val="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污染防治措施</w:t>
                  </w:r>
                </w:p>
              </w:tc>
              <w:tc>
                <w:tcPr>
                  <w:tcW w:w="502" w:type="pct"/>
                  <w:vAlign w:val="center"/>
                </w:tcPr>
                <w:p w14:paraId="5386B0D1">
                  <w:pPr>
                    <w:pStyle w:val="24"/>
                    <w:spacing w:after="0" w:line="240" w:lineRule="auto"/>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rPr>
                    <w:t>去除</w:t>
                  </w:r>
                  <w:r>
                    <w:rPr>
                      <w:rFonts w:hint="default" w:ascii="Times New Roman" w:hAnsi="Times New Roman" w:cs="Times New Roman" w:eastAsiaTheme="minorEastAsia"/>
                      <w:b/>
                      <w:bCs/>
                      <w:color w:val="auto"/>
                      <w:sz w:val="21"/>
                      <w:szCs w:val="21"/>
                      <w:lang w:val="en-US" w:eastAsia="zh-CN"/>
                    </w:rPr>
                    <w:t>效</w:t>
                  </w:r>
                  <w:r>
                    <w:rPr>
                      <w:rFonts w:hint="default" w:ascii="Times New Roman" w:hAnsi="Times New Roman" w:cs="Times New Roman" w:eastAsiaTheme="minorEastAsia"/>
                      <w:b/>
                      <w:bCs/>
                      <w:color w:val="auto"/>
                      <w:sz w:val="21"/>
                      <w:szCs w:val="21"/>
                    </w:rPr>
                    <w:t>率(%)</w:t>
                  </w:r>
                </w:p>
              </w:tc>
              <w:tc>
                <w:tcPr>
                  <w:tcW w:w="502" w:type="pct"/>
                  <w:vAlign w:val="center"/>
                </w:tcPr>
                <w:p w14:paraId="1A4C9F1D">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排放量t/a</w:t>
                  </w:r>
                </w:p>
              </w:tc>
              <w:tc>
                <w:tcPr>
                  <w:tcW w:w="584" w:type="pct"/>
                  <w:vAlign w:val="center"/>
                </w:tcPr>
                <w:p w14:paraId="5B3AB702">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面源面积m</w:t>
                  </w:r>
                  <w:r>
                    <w:rPr>
                      <w:rFonts w:hint="default" w:ascii="Times New Roman" w:hAnsi="Times New Roman" w:cs="Times New Roman"/>
                      <w:b/>
                      <w:bCs/>
                      <w:color w:val="auto"/>
                      <w:sz w:val="21"/>
                      <w:szCs w:val="21"/>
                      <w:vertAlign w:val="superscript"/>
                    </w:rPr>
                    <w:t>2</w:t>
                  </w:r>
                </w:p>
              </w:tc>
              <w:tc>
                <w:tcPr>
                  <w:tcW w:w="514" w:type="pct"/>
                  <w:vAlign w:val="center"/>
                </w:tcPr>
                <w:p w14:paraId="1E651B8B">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面源高度m</w:t>
                  </w:r>
                </w:p>
              </w:tc>
            </w:tr>
            <w:tr w14:paraId="75B68D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544" w:hRule="atLeast"/>
                <w:jc w:val="center"/>
              </w:trPr>
              <w:tc>
                <w:tcPr>
                  <w:tcW w:w="504" w:type="pct"/>
                  <w:vAlign w:val="center"/>
                </w:tcPr>
                <w:p w14:paraId="0D40FBDF">
                  <w:pPr>
                    <w:adjustRightInd w:val="0"/>
                    <w:snapToGrid w:val="0"/>
                    <w:jc w:val="center"/>
                    <w:rPr>
                      <w:rFonts w:hint="default" w:ascii="Times New Roman" w:hAnsi="Times New Roman" w:eastAsia="宋体" w:cs="Times New Roman"/>
                      <w:color w:val="auto"/>
                      <w:kern w:val="44"/>
                      <w:sz w:val="21"/>
                      <w:szCs w:val="21"/>
                      <w:lang w:val="en-US" w:eastAsia="zh-CN"/>
                    </w:rPr>
                  </w:pPr>
                  <w:r>
                    <w:rPr>
                      <w:rFonts w:hint="default" w:ascii="Times New Roman" w:hAnsi="Times New Roman" w:cs="Times New Roman"/>
                      <w:color w:val="auto"/>
                      <w:kern w:val="44"/>
                      <w:sz w:val="21"/>
                      <w:szCs w:val="21"/>
                      <w:lang w:val="en-US" w:eastAsia="zh-CN"/>
                    </w:rPr>
                    <w:t>车间</w:t>
                  </w:r>
                  <w:r>
                    <w:rPr>
                      <w:rFonts w:hint="eastAsia" w:cs="Times New Roman"/>
                      <w:color w:val="auto"/>
                      <w:kern w:val="44"/>
                      <w:sz w:val="21"/>
                      <w:szCs w:val="21"/>
                      <w:lang w:val="en-US" w:eastAsia="zh-CN"/>
                    </w:rPr>
                    <w:t>四</w:t>
                  </w:r>
                </w:p>
              </w:tc>
              <w:tc>
                <w:tcPr>
                  <w:tcW w:w="890" w:type="pct"/>
                  <w:vAlign w:val="center"/>
                </w:tcPr>
                <w:p w14:paraId="77EE1027">
                  <w:pPr>
                    <w:adjustRightInd w:val="0"/>
                    <w:snapToGrid w:val="0"/>
                    <w:jc w:val="center"/>
                    <w:rPr>
                      <w:rFonts w:hint="default" w:ascii="Times New Roman" w:hAnsi="Times New Roman" w:eastAsia="宋体" w:cs="Times New Roman"/>
                      <w:color w:val="auto"/>
                      <w:kern w:val="44"/>
                      <w:sz w:val="21"/>
                      <w:szCs w:val="21"/>
                      <w:lang w:val="en-US" w:eastAsia="zh-CN"/>
                    </w:rPr>
                  </w:pPr>
                  <w:r>
                    <w:rPr>
                      <w:rFonts w:hint="eastAsia" w:ascii="Times New Roman" w:hAnsi="Times New Roman" w:eastAsia="宋体" w:cs="Times New Roman"/>
                      <w:bCs/>
                      <w:color w:val="auto"/>
                      <w:kern w:val="2"/>
                      <w:sz w:val="21"/>
                      <w:szCs w:val="21"/>
                      <w:lang w:val="en-US" w:eastAsia="zh-CN" w:bidi="ar-SA"/>
                    </w:rPr>
                    <w:t>4条EVA胶膜生产线</w:t>
                  </w:r>
                  <w:r>
                    <w:rPr>
                      <w:rFonts w:hint="eastAsia" w:cs="Times New Roman"/>
                      <w:bCs/>
                      <w:color w:val="auto"/>
                      <w:kern w:val="2"/>
                      <w:sz w:val="21"/>
                      <w:szCs w:val="21"/>
                      <w:lang w:val="en-US" w:eastAsia="zh-CN" w:bidi="ar-SA"/>
                    </w:rPr>
                    <w:t>（1#-4#）</w:t>
                  </w:r>
                  <w:r>
                    <w:rPr>
                      <w:rFonts w:hint="eastAsia" w:cs="Times New Roman"/>
                      <w:color w:val="auto"/>
                      <w:kern w:val="2"/>
                      <w:sz w:val="21"/>
                      <w:szCs w:val="21"/>
                      <w:lang w:val="en-US" w:eastAsia="zh-CN" w:bidi="ar-SA"/>
                    </w:rPr>
                    <w:t>流延成型</w:t>
                  </w:r>
                </w:p>
              </w:tc>
              <w:tc>
                <w:tcPr>
                  <w:tcW w:w="495" w:type="pct"/>
                  <w:vAlign w:val="center"/>
                </w:tcPr>
                <w:p w14:paraId="37185F8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非甲烷总烃</w:t>
                  </w:r>
                </w:p>
              </w:tc>
              <w:tc>
                <w:tcPr>
                  <w:tcW w:w="502" w:type="pct"/>
                  <w:vAlign w:val="center"/>
                </w:tcPr>
                <w:p w14:paraId="5E0EDD0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0.235</w:t>
                  </w:r>
                </w:p>
              </w:tc>
              <w:tc>
                <w:tcPr>
                  <w:tcW w:w="502" w:type="pct"/>
                  <w:vAlign w:val="center"/>
                </w:tcPr>
                <w:p w14:paraId="11DA752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502" w:type="pct"/>
                  <w:vAlign w:val="center"/>
                </w:tcPr>
                <w:p w14:paraId="6BAEA8B5">
                  <w:pPr>
                    <w:pStyle w:val="24"/>
                    <w:spacing w:after="0" w:line="240" w:lineRule="auto"/>
                    <w:jc w:val="center"/>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w:t>
                  </w:r>
                </w:p>
              </w:tc>
              <w:tc>
                <w:tcPr>
                  <w:tcW w:w="502" w:type="pct"/>
                  <w:vAlign w:val="center"/>
                </w:tcPr>
                <w:p w14:paraId="05F26F9D">
                  <w:pPr>
                    <w:adjustRightInd w:val="0"/>
                    <w:snapToGrid w:val="0"/>
                    <w:jc w:val="center"/>
                    <w:rPr>
                      <w:rFonts w:hint="default" w:ascii="Times New Roman" w:hAnsi="Times New Roman" w:eastAsia="宋体" w:cs="Times New Roman"/>
                      <w:color w:val="auto"/>
                      <w:kern w:val="44"/>
                      <w:sz w:val="21"/>
                      <w:szCs w:val="21"/>
                      <w:lang w:val="en-US" w:eastAsia="zh-CN"/>
                    </w:rPr>
                  </w:pPr>
                  <w:r>
                    <w:rPr>
                      <w:rFonts w:hint="eastAsia" w:cs="Times New Roman"/>
                      <w:color w:val="auto"/>
                      <w:kern w:val="2"/>
                      <w:sz w:val="21"/>
                      <w:szCs w:val="21"/>
                      <w:lang w:val="en-US" w:eastAsia="zh-CN" w:bidi="ar-SA"/>
                    </w:rPr>
                    <w:t>0.235</w:t>
                  </w:r>
                </w:p>
              </w:tc>
              <w:tc>
                <w:tcPr>
                  <w:tcW w:w="584" w:type="pct"/>
                  <w:vAlign w:val="center"/>
                </w:tcPr>
                <w:p w14:paraId="1D40F1FE">
                  <w:pPr>
                    <w:adjustRightInd w:val="0"/>
                    <w:snapToGrid w:val="0"/>
                    <w:jc w:val="center"/>
                    <w:rPr>
                      <w:rFonts w:hint="default" w:ascii="Times New Roman" w:hAnsi="Times New Roman" w:cs="Times New Roman"/>
                      <w:color w:val="auto"/>
                      <w:kern w:val="44"/>
                      <w:sz w:val="21"/>
                      <w:szCs w:val="21"/>
                      <w:lang w:val="en-US" w:eastAsia="zh-CN" w:bidi="ar-SA"/>
                    </w:rPr>
                  </w:pPr>
                  <w:r>
                    <w:rPr>
                      <w:rFonts w:hint="eastAsia"/>
                      <w:color w:val="auto"/>
                      <w:kern w:val="0"/>
                      <w:lang w:val="en-US" w:eastAsia="zh-CN"/>
                    </w:rPr>
                    <w:t>4985.3</w:t>
                  </w:r>
                </w:p>
              </w:tc>
              <w:tc>
                <w:tcPr>
                  <w:tcW w:w="514" w:type="pct"/>
                  <w:vAlign w:val="center"/>
                </w:tcPr>
                <w:p w14:paraId="005D1A07">
                  <w:pPr>
                    <w:adjustRightInd w:val="0"/>
                    <w:snapToGrid w:val="0"/>
                    <w:jc w:val="center"/>
                    <w:rPr>
                      <w:rFonts w:hint="default" w:ascii="Times New Roman" w:hAnsi="Times New Roman" w:cs="Times New Roman"/>
                      <w:color w:val="auto"/>
                      <w:kern w:val="44"/>
                      <w:sz w:val="21"/>
                      <w:szCs w:val="21"/>
                      <w:lang w:val="en-US" w:eastAsia="zh-CN"/>
                    </w:rPr>
                  </w:pPr>
                  <w:r>
                    <w:rPr>
                      <w:rFonts w:hint="eastAsia" w:cs="Times New Roman"/>
                      <w:color w:val="auto"/>
                      <w:kern w:val="44"/>
                      <w:sz w:val="21"/>
                      <w:szCs w:val="21"/>
                      <w:lang w:val="en-US" w:eastAsia="zh-CN"/>
                    </w:rPr>
                    <w:t>4</w:t>
                  </w:r>
                </w:p>
              </w:tc>
            </w:tr>
          </w:tbl>
          <w:p w14:paraId="126EF1BC">
            <w:pPr>
              <w:keepNext w:val="0"/>
              <w:keepLines w:val="0"/>
              <w:pageBreakBefore w:val="0"/>
              <w:widowControl w:val="0"/>
              <w:kinsoku/>
              <w:wordWrap/>
              <w:overflowPunct/>
              <w:topLinePunct w:val="0"/>
              <w:autoSpaceDE/>
              <w:autoSpaceDN/>
              <w:bidi w:val="0"/>
              <w:adjustRightInd w:val="0"/>
              <w:snapToGrid w:val="0"/>
              <w:spacing w:line="500" w:lineRule="exact"/>
              <w:ind w:firstLine="422"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cs="Times New Roman"/>
                <w:b/>
                <w:bCs/>
                <w:color w:val="auto"/>
                <w:sz w:val="21"/>
                <w:szCs w:val="21"/>
                <w:lang w:val="en-US" w:eastAsia="zh-CN"/>
              </w:rPr>
              <w:t>4、</w:t>
            </w:r>
            <w:r>
              <w:rPr>
                <w:rFonts w:hint="default" w:ascii="Times New Roman" w:hAnsi="Times New Roman" w:eastAsia="宋体" w:cs="Times New Roman"/>
                <w:b/>
                <w:bCs/>
                <w:color w:val="auto"/>
                <w:sz w:val="21"/>
                <w:szCs w:val="21"/>
              </w:rPr>
              <w:t>非正常工况</w:t>
            </w:r>
          </w:p>
          <w:p w14:paraId="7FC52A3E">
            <w:pPr>
              <w:adjustRightInd w:val="0"/>
              <w:snapToGrid w:val="0"/>
              <w:spacing w:line="500" w:lineRule="exact"/>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建设项目非正常工况是指生产运行阶段的开、停工及维修或环保设施达不到设计规定指标等工况。</w:t>
            </w:r>
          </w:p>
          <w:p w14:paraId="10219768">
            <w:pPr>
              <w:adjustRightInd w:val="0"/>
              <w:snapToGrid w:val="0"/>
              <w:spacing w:line="500" w:lineRule="exact"/>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项目设定有开停工管理制度，每班作业开始或结束时严格按照操作规程，基本无废气产生。不正常操作及设备故障的具体原因有意外负荷跳闸，仪表失灵导致操作失控、误操作等，也可因突然断电等引起。发生不正常操作及设备故障时，将视情况及时停产。</w:t>
            </w:r>
          </w:p>
          <w:p w14:paraId="1C40667F">
            <w:pPr>
              <w:adjustRightInd w:val="0"/>
              <w:snapToGrid w:val="0"/>
              <w:spacing w:line="500" w:lineRule="exact"/>
              <w:ind w:firstLine="420" w:firstLineChars="200"/>
              <w:rPr>
                <w:rFonts w:hint="default" w:ascii="Times New Roman" w:hAnsi="Times New Roman" w:cs="Times New Roman"/>
                <w:b/>
                <w:bCs/>
                <w:color w:val="auto"/>
                <w:sz w:val="21"/>
                <w:szCs w:val="21"/>
                <w:lang w:val="en-US" w:eastAsia="zh-CN"/>
              </w:rPr>
            </w:pPr>
            <w:r>
              <w:rPr>
                <w:rFonts w:hint="default" w:ascii="Times New Roman" w:hAnsi="Times New Roman" w:cs="Times New Roman"/>
                <w:color w:val="auto"/>
                <w:sz w:val="21"/>
                <w:szCs w:val="21"/>
              </w:rPr>
              <w:t>本项目考虑最大风险情况下，废气治理设备出现非正常工况导致有组织废气未经处理直接排放</w:t>
            </w:r>
            <w:r>
              <w:rPr>
                <w:rFonts w:hint="default" w:ascii="Times New Roman" w:hAnsi="Times New Roman" w:cs="Times New Roman"/>
                <w:color w:val="auto"/>
                <w:sz w:val="21"/>
                <w:szCs w:val="21"/>
                <w:lang w:val="en-US" w:eastAsia="zh-CN"/>
              </w:rPr>
              <w:t>的</w:t>
            </w:r>
            <w:r>
              <w:rPr>
                <w:rFonts w:hint="default" w:ascii="Times New Roman" w:hAnsi="Times New Roman" w:cs="Times New Roman"/>
                <w:color w:val="auto"/>
                <w:sz w:val="21"/>
                <w:szCs w:val="21"/>
              </w:rPr>
              <w:t>情况进行分析</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本项目非正常工况时废气源强</w:t>
            </w:r>
            <w:r>
              <w:rPr>
                <w:rFonts w:hint="default" w:ascii="Times New Roman" w:hAnsi="Times New Roman" w:cs="Times New Roman"/>
                <w:color w:val="auto"/>
                <w:sz w:val="21"/>
                <w:szCs w:val="21"/>
                <w:lang w:val="en-US" w:eastAsia="zh-CN"/>
              </w:rPr>
              <w:t>如下表</w:t>
            </w:r>
            <w:r>
              <w:rPr>
                <w:rFonts w:hint="default" w:ascii="Times New Roman" w:hAnsi="Times New Roman" w:cs="Times New Roman"/>
                <w:color w:val="auto"/>
                <w:sz w:val="21"/>
                <w:szCs w:val="21"/>
              </w:rPr>
              <w:t>所示。</w:t>
            </w:r>
          </w:p>
          <w:p w14:paraId="4D569CC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b/>
                <w:bCs/>
                <w:color w:val="auto"/>
                <w:sz w:val="21"/>
                <w:szCs w:val="21"/>
                <w:lang w:val="en-US" w:eastAsia="zh-CN"/>
              </w:rPr>
            </w:pPr>
          </w:p>
          <w:p w14:paraId="224D1BB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b/>
                <w:bCs/>
                <w:color w:val="auto"/>
                <w:sz w:val="21"/>
                <w:szCs w:val="21"/>
                <w:lang w:val="en-US" w:eastAsia="zh-CN"/>
              </w:rPr>
            </w:pPr>
          </w:p>
          <w:p w14:paraId="617200B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表4-5非正常工况时废气排放情况表</w:t>
            </w:r>
          </w:p>
          <w:tbl>
            <w:tblPr>
              <w:tblStyle w:val="32"/>
              <w:tblW w:w="4964"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1138"/>
              <w:gridCol w:w="1061"/>
              <w:gridCol w:w="976"/>
              <w:gridCol w:w="1486"/>
              <w:gridCol w:w="1149"/>
              <w:gridCol w:w="1743"/>
              <w:gridCol w:w="1458"/>
              <w:gridCol w:w="979"/>
              <w:gridCol w:w="1066"/>
              <w:gridCol w:w="1810"/>
            </w:tblGrid>
            <w:tr w14:paraId="79B7E8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442" w:type="pct"/>
                  <w:vMerge w:val="restart"/>
                  <w:vAlign w:val="center"/>
                </w:tcPr>
                <w:p w14:paraId="7F4A7B7B">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排气筒编号</w:t>
                  </w:r>
                </w:p>
              </w:tc>
              <w:tc>
                <w:tcPr>
                  <w:tcW w:w="412" w:type="pct"/>
                  <w:vMerge w:val="restart"/>
                  <w:vAlign w:val="center"/>
                </w:tcPr>
                <w:p w14:paraId="4807AFCC">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排放工序</w:t>
                  </w:r>
                </w:p>
              </w:tc>
              <w:tc>
                <w:tcPr>
                  <w:tcW w:w="379" w:type="pct"/>
                  <w:vMerge w:val="restart"/>
                  <w:vAlign w:val="center"/>
                </w:tcPr>
                <w:p w14:paraId="60C3788F">
                  <w:pPr>
                    <w:widowControl/>
                    <w:jc w:val="center"/>
                    <w:rPr>
                      <w:rFonts w:hint="default" w:ascii="Times New Roman" w:hAnsi="Times New Roman" w:cs="Times New Roman"/>
                      <w:b/>
                      <w:color w:val="auto"/>
                      <w:sz w:val="21"/>
                      <w:szCs w:val="21"/>
                    </w:rPr>
                  </w:pPr>
                  <w:r>
                    <w:rPr>
                      <w:rFonts w:hint="default" w:ascii="Times New Roman" w:hAnsi="Times New Roman" w:eastAsia="CIDFont" w:cs="Times New Roman"/>
                      <w:b/>
                      <w:bCs/>
                      <w:color w:val="auto"/>
                      <w:kern w:val="0"/>
                      <w:sz w:val="21"/>
                      <w:szCs w:val="21"/>
                      <w:lang w:bidi="ar"/>
                    </w:rPr>
                    <w:t>非正常排放原因</w:t>
                  </w:r>
                </w:p>
              </w:tc>
              <w:tc>
                <w:tcPr>
                  <w:tcW w:w="577" w:type="pct"/>
                  <w:vMerge w:val="restart"/>
                  <w:vAlign w:val="center"/>
                </w:tcPr>
                <w:p w14:paraId="3E7D8B16">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排气量（m</w:t>
                  </w:r>
                  <w:r>
                    <w:rPr>
                      <w:rFonts w:hint="default" w:ascii="Times New Roman" w:hAnsi="Times New Roman" w:cs="Times New Roman"/>
                      <w:b/>
                      <w:color w:val="auto"/>
                      <w:sz w:val="21"/>
                      <w:szCs w:val="21"/>
                      <w:vertAlign w:val="superscript"/>
                    </w:rPr>
                    <w:t>3</w:t>
                  </w:r>
                  <w:r>
                    <w:rPr>
                      <w:rFonts w:hint="default" w:ascii="Times New Roman" w:hAnsi="Times New Roman" w:cs="Times New Roman"/>
                      <w:b/>
                      <w:color w:val="auto"/>
                      <w:sz w:val="21"/>
                      <w:szCs w:val="21"/>
                    </w:rPr>
                    <w:t>/h）</w:t>
                  </w:r>
                </w:p>
              </w:tc>
              <w:tc>
                <w:tcPr>
                  <w:tcW w:w="446" w:type="pct"/>
                  <w:vMerge w:val="restart"/>
                  <w:vAlign w:val="center"/>
                </w:tcPr>
                <w:p w14:paraId="31077B4F">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产污及污染物名称</w:t>
                  </w:r>
                </w:p>
              </w:tc>
              <w:tc>
                <w:tcPr>
                  <w:tcW w:w="1243" w:type="pct"/>
                  <w:gridSpan w:val="2"/>
                  <w:vAlign w:val="center"/>
                </w:tcPr>
                <w:p w14:paraId="73EA93D8">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排放情况</w:t>
                  </w:r>
                </w:p>
              </w:tc>
              <w:tc>
                <w:tcPr>
                  <w:tcW w:w="380" w:type="pct"/>
                  <w:vMerge w:val="restart"/>
                  <w:vAlign w:val="center"/>
                </w:tcPr>
                <w:p w14:paraId="274D1362">
                  <w:pPr>
                    <w:widowControl/>
                    <w:jc w:val="center"/>
                    <w:rPr>
                      <w:rFonts w:hint="default" w:ascii="Times New Roman" w:hAnsi="Times New Roman" w:cs="Times New Roman"/>
                      <w:color w:val="auto"/>
                      <w:sz w:val="21"/>
                      <w:szCs w:val="21"/>
                    </w:rPr>
                  </w:pPr>
                  <w:r>
                    <w:rPr>
                      <w:rFonts w:hint="default" w:ascii="Times New Roman" w:hAnsi="Times New Roman" w:eastAsia="CIDFont" w:cs="Times New Roman"/>
                      <w:b/>
                      <w:bCs/>
                      <w:color w:val="auto"/>
                      <w:kern w:val="0"/>
                      <w:sz w:val="21"/>
                      <w:szCs w:val="21"/>
                      <w:lang w:bidi="ar"/>
                    </w:rPr>
                    <w:t>单次持续</w:t>
                  </w:r>
                </w:p>
                <w:p w14:paraId="52C90416">
                  <w:pPr>
                    <w:widowControl/>
                    <w:jc w:val="center"/>
                    <w:rPr>
                      <w:rFonts w:hint="default" w:ascii="Times New Roman" w:hAnsi="Times New Roman" w:cs="Times New Roman"/>
                      <w:b/>
                      <w:color w:val="auto"/>
                      <w:sz w:val="21"/>
                      <w:szCs w:val="21"/>
                    </w:rPr>
                  </w:pPr>
                  <w:r>
                    <w:rPr>
                      <w:rFonts w:hint="default" w:ascii="Times New Roman" w:hAnsi="Times New Roman" w:eastAsia="CIDFont" w:cs="Times New Roman"/>
                      <w:b/>
                      <w:bCs/>
                      <w:color w:val="auto"/>
                      <w:kern w:val="0"/>
                      <w:sz w:val="21"/>
                      <w:szCs w:val="21"/>
                      <w:lang w:bidi="ar"/>
                    </w:rPr>
                    <w:t>时间/h</w:t>
                  </w:r>
                </w:p>
              </w:tc>
              <w:tc>
                <w:tcPr>
                  <w:tcW w:w="414" w:type="pct"/>
                  <w:vMerge w:val="restart"/>
                  <w:vAlign w:val="center"/>
                </w:tcPr>
                <w:p w14:paraId="770F12CE">
                  <w:pPr>
                    <w:widowControl/>
                    <w:jc w:val="center"/>
                    <w:rPr>
                      <w:rFonts w:hint="default" w:ascii="Times New Roman" w:hAnsi="Times New Roman" w:cs="Times New Roman"/>
                      <w:color w:val="auto"/>
                      <w:sz w:val="21"/>
                      <w:szCs w:val="21"/>
                    </w:rPr>
                  </w:pPr>
                  <w:r>
                    <w:rPr>
                      <w:rFonts w:hint="default" w:ascii="Times New Roman" w:hAnsi="Times New Roman" w:eastAsia="CIDFont" w:cs="Times New Roman"/>
                      <w:b/>
                      <w:bCs/>
                      <w:color w:val="auto"/>
                      <w:kern w:val="0"/>
                      <w:sz w:val="21"/>
                      <w:szCs w:val="21"/>
                      <w:lang w:bidi="ar"/>
                    </w:rPr>
                    <w:t>年发生频</w:t>
                  </w:r>
                </w:p>
                <w:p w14:paraId="0E2369B8">
                  <w:pPr>
                    <w:widowControl/>
                    <w:jc w:val="center"/>
                    <w:rPr>
                      <w:rFonts w:hint="default" w:ascii="Times New Roman" w:hAnsi="Times New Roman" w:cs="Times New Roman"/>
                      <w:b/>
                      <w:color w:val="auto"/>
                      <w:sz w:val="21"/>
                      <w:szCs w:val="21"/>
                    </w:rPr>
                  </w:pPr>
                  <w:r>
                    <w:rPr>
                      <w:rFonts w:hint="default" w:ascii="Times New Roman" w:hAnsi="Times New Roman" w:eastAsia="CIDFont" w:cs="Times New Roman"/>
                      <w:b/>
                      <w:bCs/>
                      <w:color w:val="auto"/>
                      <w:kern w:val="0"/>
                      <w:sz w:val="21"/>
                      <w:szCs w:val="21"/>
                      <w:lang w:bidi="ar"/>
                    </w:rPr>
                    <w:t>次/次</w:t>
                  </w:r>
                </w:p>
              </w:tc>
              <w:tc>
                <w:tcPr>
                  <w:tcW w:w="703" w:type="pct"/>
                  <w:vMerge w:val="restart"/>
                  <w:vAlign w:val="center"/>
                </w:tcPr>
                <w:p w14:paraId="3641BCF4">
                  <w:pPr>
                    <w:widowControl/>
                    <w:jc w:val="center"/>
                    <w:rPr>
                      <w:rFonts w:hint="default" w:ascii="Times New Roman" w:hAnsi="Times New Roman" w:cs="Times New Roman"/>
                      <w:b/>
                      <w:color w:val="auto"/>
                      <w:sz w:val="21"/>
                      <w:szCs w:val="21"/>
                    </w:rPr>
                  </w:pPr>
                  <w:r>
                    <w:rPr>
                      <w:rFonts w:hint="default" w:ascii="Times New Roman" w:hAnsi="Times New Roman" w:eastAsia="CIDFont" w:cs="Times New Roman"/>
                      <w:b/>
                      <w:bCs/>
                      <w:color w:val="auto"/>
                      <w:kern w:val="0"/>
                      <w:sz w:val="21"/>
                      <w:szCs w:val="21"/>
                      <w:lang w:bidi="ar"/>
                    </w:rPr>
                    <w:t>应对措施</w:t>
                  </w:r>
                </w:p>
              </w:tc>
            </w:tr>
            <w:tr w14:paraId="4286EB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442" w:type="pct"/>
                  <w:vMerge w:val="continue"/>
                  <w:vAlign w:val="center"/>
                </w:tcPr>
                <w:p w14:paraId="2BB23B96">
                  <w:pPr>
                    <w:adjustRightInd w:val="0"/>
                    <w:snapToGrid w:val="0"/>
                    <w:jc w:val="center"/>
                    <w:rPr>
                      <w:rFonts w:hint="default" w:ascii="Times New Roman" w:hAnsi="Times New Roman" w:cs="Times New Roman"/>
                      <w:b/>
                      <w:color w:val="auto"/>
                      <w:sz w:val="21"/>
                      <w:szCs w:val="21"/>
                    </w:rPr>
                  </w:pPr>
                </w:p>
              </w:tc>
              <w:tc>
                <w:tcPr>
                  <w:tcW w:w="412" w:type="pct"/>
                  <w:vMerge w:val="continue"/>
                  <w:vAlign w:val="center"/>
                </w:tcPr>
                <w:p w14:paraId="4B7B9DB4">
                  <w:pPr>
                    <w:adjustRightInd w:val="0"/>
                    <w:snapToGrid w:val="0"/>
                    <w:jc w:val="center"/>
                    <w:rPr>
                      <w:rFonts w:hint="default" w:ascii="Times New Roman" w:hAnsi="Times New Roman" w:cs="Times New Roman"/>
                      <w:b/>
                      <w:color w:val="auto"/>
                      <w:sz w:val="21"/>
                      <w:szCs w:val="21"/>
                    </w:rPr>
                  </w:pPr>
                </w:p>
              </w:tc>
              <w:tc>
                <w:tcPr>
                  <w:tcW w:w="379" w:type="pct"/>
                  <w:vMerge w:val="continue"/>
                  <w:vAlign w:val="center"/>
                </w:tcPr>
                <w:p w14:paraId="44D8917E">
                  <w:pPr>
                    <w:widowControl/>
                    <w:jc w:val="center"/>
                    <w:rPr>
                      <w:rFonts w:hint="default" w:ascii="Times New Roman" w:hAnsi="Times New Roman" w:eastAsia="CIDFont" w:cs="Times New Roman"/>
                      <w:b/>
                      <w:bCs/>
                      <w:color w:val="auto"/>
                      <w:kern w:val="0"/>
                      <w:sz w:val="21"/>
                      <w:szCs w:val="21"/>
                      <w:lang w:bidi="ar"/>
                    </w:rPr>
                  </w:pPr>
                </w:p>
              </w:tc>
              <w:tc>
                <w:tcPr>
                  <w:tcW w:w="577" w:type="pct"/>
                  <w:vMerge w:val="continue"/>
                  <w:vAlign w:val="center"/>
                </w:tcPr>
                <w:p w14:paraId="5553DF5C">
                  <w:pPr>
                    <w:adjustRightInd w:val="0"/>
                    <w:snapToGrid w:val="0"/>
                    <w:jc w:val="center"/>
                    <w:rPr>
                      <w:rFonts w:hint="default" w:ascii="Times New Roman" w:hAnsi="Times New Roman" w:cs="Times New Roman"/>
                      <w:b/>
                      <w:color w:val="auto"/>
                      <w:sz w:val="21"/>
                      <w:szCs w:val="21"/>
                    </w:rPr>
                  </w:pPr>
                </w:p>
              </w:tc>
              <w:tc>
                <w:tcPr>
                  <w:tcW w:w="446" w:type="pct"/>
                  <w:vMerge w:val="continue"/>
                  <w:vAlign w:val="center"/>
                </w:tcPr>
                <w:p w14:paraId="3C6B9429">
                  <w:pPr>
                    <w:adjustRightInd w:val="0"/>
                    <w:snapToGrid w:val="0"/>
                    <w:jc w:val="center"/>
                    <w:rPr>
                      <w:rFonts w:hint="default" w:ascii="Times New Roman" w:hAnsi="Times New Roman" w:cs="Times New Roman"/>
                      <w:b/>
                      <w:color w:val="auto"/>
                      <w:sz w:val="21"/>
                      <w:szCs w:val="21"/>
                    </w:rPr>
                  </w:pPr>
                </w:p>
              </w:tc>
              <w:tc>
                <w:tcPr>
                  <w:tcW w:w="677" w:type="pct"/>
                  <w:vAlign w:val="center"/>
                </w:tcPr>
                <w:p w14:paraId="3194ACED">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浓度（mg/m</w:t>
                  </w:r>
                  <w:r>
                    <w:rPr>
                      <w:rFonts w:hint="default" w:ascii="Times New Roman" w:hAnsi="Times New Roman" w:cs="Times New Roman"/>
                      <w:b/>
                      <w:color w:val="auto"/>
                      <w:sz w:val="21"/>
                      <w:szCs w:val="21"/>
                      <w:vertAlign w:val="superscript"/>
                    </w:rPr>
                    <w:t>3</w:t>
                  </w:r>
                  <w:r>
                    <w:rPr>
                      <w:rFonts w:hint="default" w:ascii="Times New Roman" w:hAnsi="Times New Roman" w:cs="Times New Roman"/>
                      <w:b/>
                      <w:color w:val="auto"/>
                      <w:sz w:val="21"/>
                      <w:szCs w:val="21"/>
                    </w:rPr>
                    <w:t>）</w:t>
                  </w:r>
                </w:p>
              </w:tc>
              <w:tc>
                <w:tcPr>
                  <w:tcW w:w="566" w:type="pct"/>
                  <w:vAlign w:val="center"/>
                </w:tcPr>
                <w:p w14:paraId="1B069353">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速率（kg/h）</w:t>
                  </w:r>
                </w:p>
              </w:tc>
              <w:tc>
                <w:tcPr>
                  <w:tcW w:w="380" w:type="pct"/>
                  <w:vMerge w:val="continue"/>
                  <w:vAlign w:val="center"/>
                </w:tcPr>
                <w:p w14:paraId="1C6D5938">
                  <w:pPr>
                    <w:adjustRightInd w:val="0"/>
                    <w:snapToGrid w:val="0"/>
                    <w:jc w:val="center"/>
                    <w:rPr>
                      <w:rFonts w:hint="default" w:ascii="Times New Roman" w:hAnsi="Times New Roman" w:cs="Times New Roman"/>
                      <w:b/>
                      <w:color w:val="auto"/>
                      <w:sz w:val="21"/>
                      <w:szCs w:val="21"/>
                    </w:rPr>
                  </w:pPr>
                </w:p>
              </w:tc>
              <w:tc>
                <w:tcPr>
                  <w:tcW w:w="414" w:type="pct"/>
                  <w:vMerge w:val="continue"/>
                  <w:vAlign w:val="center"/>
                </w:tcPr>
                <w:p w14:paraId="03FB645F">
                  <w:pPr>
                    <w:adjustRightInd w:val="0"/>
                    <w:snapToGrid w:val="0"/>
                    <w:jc w:val="center"/>
                    <w:rPr>
                      <w:rFonts w:hint="default" w:ascii="Times New Roman" w:hAnsi="Times New Roman" w:cs="Times New Roman"/>
                      <w:b/>
                      <w:color w:val="auto"/>
                      <w:sz w:val="21"/>
                      <w:szCs w:val="21"/>
                    </w:rPr>
                  </w:pPr>
                </w:p>
              </w:tc>
              <w:tc>
                <w:tcPr>
                  <w:tcW w:w="703" w:type="pct"/>
                  <w:vMerge w:val="continue"/>
                  <w:vAlign w:val="center"/>
                </w:tcPr>
                <w:p w14:paraId="31310F63">
                  <w:pPr>
                    <w:adjustRightInd w:val="0"/>
                    <w:snapToGrid w:val="0"/>
                    <w:jc w:val="center"/>
                    <w:rPr>
                      <w:rFonts w:hint="default" w:ascii="Times New Roman" w:hAnsi="Times New Roman" w:cs="Times New Roman"/>
                      <w:b/>
                      <w:color w:val="auto"/>
                      <w:sz w:val="21"/>
                      <w:szCs w:val="21"/>
                    </w:rPr>
                  </w:pPr>
                </w:p>
              </w:tc>
            </w:tr>
            <w:tr w14:paraId="0CC2B2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442" w:type="pct"/>
                  <w:vAlign w:val="center"/>
                </w:tcPr>
                <w:p w14:paraId="2BECD4D5">
                  <w:pPr>
                    <w:pStyle w:val="24"/>
                    <w:spacing w:after="0" w:line="240" w:lineRule="auto"/>
                    <w:jc w:val="center"/>
                    <w:rPr>
                      <w:rFonts w:hint="default" w:ascii="Times New Roman" w:hAnsi="Times New Roman" w:cs="Times New Roman"/>
                      <w:color w:val="auto"/>
                      <w:sz w:val="21"/>
                      <w:szCs w:val="21"/>
                      <w:lang w:val="en-US" w:eastAsia="zh-CN"/>
                    </w:rPr>
                  </w:pPr>
                  <w:r>
                    <w:rPr>
                      <w:rFonts w:hint="eastAsia" w:cs="Times New Roman" w:eastAsiaTheme="minorEastAsia"/>
                      <w:bCs/>
                      <w:color w:val="auto"/>
                      <w:sz w:val="21"/>
                      <w:szCs w:val="21"/>
                      <w:lang w:val="en-US" w:eastAsia="zh-CN"/>
                    </w:rPr>
                    <w:t>P4</w:t>
                  </w:r>
                </w:p>
              </w:tc>
              <w:tc>
                <w:tcPr>
                  <w:tcW w:w="412" w:type="pct"/>
                  <w:vAlign w:val="center"/>
                </w:tcPr>
                <w:p w14:paraId="6EE2EA5F">
                  <w:pPr>
                    <w:pStyle w:val="24"/>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Cs/>
                      <w:color w:val="auto"/>
                      <w:kern w:val="2"/>
                      <w:sz w:val="21"/>
                      <w:szCs w:val="21"/>
                      <w:lang w:val="en-US" w:eastAsia="zh-CN" w:bidi="ar-SA"/>
                    </w:rPr>
                    <w:t>4条EVA胶膜生产线</w:t>
                  </w:r>
                  <w:r>
                    <w:rPr>
                      <w:rFonts w:hint="eastAsia" w:cs="Times New Roman"/>
                      <w:bCs/>
                      <w:color w:val="auto"/>
                      <w:kern w:val="2"/>
                      <w:sz w:val="21"/>
                      <w:szCs w:val="21"/>
                      <w:lang w:val="en-US" w:eastAsia="zh-CN" w:bidi="ar-SA"/>
                    </w:rPr>
                    <w:t>（1#-4#）</w:t>
                  </w:r>
                  <w:r>
                    <w:rPr>
                      <w:rFonts w:hint="eastAsia" w:cs="Times New Roman"/>
                      <w:color w:val="auto"/>
                      <w:kern w:val="2"/>
                      <w:sz w:val="21"/>
                      <w:szCs w:val="21"/>
                      <w:lang w:val="en-US" w:eastAsia="zh-CN" w:bidi="ar-SA"/>
                    </w:rPr>
                    <w:t>流延成型</w:t>
                  </w:r>
                </w:p>
              </w:tc>
              <w:tc>
                <w:tcPr>
                  <w:tcW w:w="379" w:type="pct"/>
                  <w:vAlign w:val="center"/>
                </w:tcPr>
                <w:p w14:paraId="5A4381D1">
                  <w:pPr>
                    <w:pStyle w:val="24"/>
                    <w:spacing w:after="0" w:line="240" w:lineRule="auto"/>
                    <w:jc w:val="center"/>
                    <w:rPr>
                      <w:rFonts w:hint="default" w:ascii="Times New Roman" w:hAnsi="Times New Roman" w:cs="Times New Roman"/>
                      <w:color w:val="auto"/>
                      <w:sz w:val="21"/>
                      <w:szCs w:val="21"/>
                      <w:lang w:val="en-US"/>
                    </w:rPr>
                  </w:pPr>
                  <w:r>
                    <w:rPr>
                      <w:rFonts w:hint="default" w:ascii="Times New Roman" w:hAnsi="Times New Roman" w:cs="Times New Roman" w:eastAsiaTheme="minorEastAsia"/>
                      <w:bCs/>
                      <w:color w:val="auto"/>
                      <w:sz w:val="21"/>
                      <w:szCs w:val="21"/>
                      <w:lang w:val="en-US" w:eastAsia="zh-CN"/>
                    </w:rPr>
                    <w:t>二级活性炭吸附装置故障</w:t>
                  </w:r>
                </w:p>
              </w:tc>
              <w:tc>
                <w:tcPr>
                  <w:tcW w:w="577" w:type="pct"/>
                  <w:vAlign w:val="center"/>
                </w:tcPr>
                <w:p w14:paraId="520989D9">
                  <w:pPr>
                    <w:adjustRightInd w:val="0"/>
                    <w:snapToGrid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7000</w:t>
                  </w:r>
                </w:p>
              </w:tc>
              <w:tc>
                <w:tcPr>
                  <w:tcW w:w="446" w:type="pct"/>
                  <w:vAlign w:val="center"/>
                </w:tcPr>
                <w:p w14:paraId="4878DD69">
                  <w:pPr>
                    <w:pStyle w:val="24"/>
                    <w:spacing w:after="0"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非甲烷总烃</w:t>
                  </w:r>
                </w:p>
              </w:tc>
              <w:tc>
                <w:tcPr>
                  <w:tcW w:w="1743" w:type="dxa"/>
                  <w:vAlign w:val="center"/>
                </w:tcPr>
                <w:p w14:paraId="492CD7B2">
                  <w:pPr>
                    <w:pStyle w:val="24"/>
                    <w:spacing w:after="0" w:line="240" w:lineRule="auto"/>
                    <w:jc w:val="center"/>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42.04</w:t>
                  </w:r>
                </w:p>
              </w:tc>
              <w:tc>
                <w:tcPr>
                  <w:tcW w:w="1458" w:type="dxa"/>
                  <w:vAlign w:val="center"/>
                </w:tcPr>
                <w:p w14:paraId="154711EA">
                  <w:pPr>
                    <w:pStyle w:val="24"/>
                    <w:spacing w:after="0" w:line="240" w:lineRule="auto"/>
                    <w:jc w:val="center"/>
                    <w:rPr>
                      <w:rFonts w:hint="default" w:ascii="Times New Roman" w:hAnsi="Times New Roman" w:cs="Times New Roman" w:eastAsiaTheme="minorEastAsia"/>
                      <w:bCs/>
                      <w:color w:val="auto"/>
                      <w:kern w:val="2"/>
                      <w:sz w:val="21"/>
                      <w:szCs w:val="21"/>
                      <w:lang w:val="en-US" w:eastAsia="zh-CN" w:bidi="ar-SA"/>
                    </w:rPr>
                  </w:pPr>
                  <w:r>
                    <w:rPr>
                      <w:rFonts w:hint="eastAsia" w:cs="Times New Roman" w:eastAsiaTheme="minorEastAsia"/>
                      <w:bCs/>
                      <w:color w:val="auto"/>
                      <w:kern w:val="2"/>
                      <w:sz w:val="21"/>
                      <w:szCs w:val="21"/>
                      <w:lang w:val="en-US" w:eastAsia="zh-CN" w:bidi="ar-SA"/>
                    </w:rPr>
                    <w:t>0.294</w:t>
                  </w:r>
                </w:p>
              </w:tc>
              <w:tc>
                <w:tcPr>
                  <w:tcW w:w="380" w:type="pct"/>
                  <w:vAlign w:val="center"/>
                </w:tcPr>
                <w:p w14:paraId="4F684DBC">
                  <w:pPr>
                    <w:widowControl/>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CIDFont" w:cs="Times New Roman"/>
                      <w:color w:val="auto"/>
                      <w:kern w:val="0"/>
                      <w:sz w:val="21"/>
                      <w:szCs w:val="21"/>
                      <w:lang w:bidi="ar"/>
                    </w:rPr>
                    <w:t>≤</w:t>
                  </w:r>
                  <w:r>
                    <w:rPr>
                      <w:rFonts w:hint="default" w:ascii="Times New Roman" w:hAnsi="Times New Roman" w:eastAsia="宋体" w:cs="Times New Roman"/>
                      <w:color w:val="auto"/>
                      <w:kern w:val="0"/>
                      <w:sz w:val="21"/>
                      <w:szCs w:val="21"/>
                      <w:lang w:val="en-US" w:eastAsia="zh-CN" w:bidi="ar"/>
                    </w:rPr>
                    <w:t>0.5</w:t>
                  </w:r>
                </w:p>
              </w:tc>
              <w:tc>
                <w:tcPr>
                  <w:tcW w:w="414" w:type="pct"/>
                  <w:vAlign w:val="center"/>
                </w:tcPr>
                <w:p w14:paraId="5041240A">
                  <w:pPr>
                    <w:widowControl/>
                    <w:jc w:val="center"/>
                    <w:rPr>
                      <w:rFonts w:hint="default" w:ascii="Times New Roman" w:hAnsi="Times New Roman" w:eastAsia="CIDFont" w:cs="Times New Roman"/>
                      <w:color w:val="auto"/>
                      <w:kern w:val="0"/>
                      <w:sz w:val="21"/>
                      <w:szCs w:val="21"/>
                      <w:lang w:bidi="ar"/>
                    </w:rPr>
                  </w:pPr>
                  <w:r>
                    <w:rPr>
                      <w:rFonts w:hint="default" w:ascii="Times New Roman" w:hAnsi="Times New Roman" w:eastAsia="CIDFont" w:cs="Times New Roman"/>
                      <w:color w:val="auto"/>
                      <w:kern w:val="0"/>
                      <w:sz w:val="21"/>
                      <w:szCs w:val="21"/>
                      <w:lang w:bidi="ar"/>
                    </w:rPr>
                    <w:t>≤1</w:t>
                  </w:r>
                </w:p>
              </w:tc>
              <w:tc>
                <w:tcPr>
                  <w:tcW w:w="703" w:type="pct"/>
                  <w:vAlign w:val="center"/>
                </w:tcPr>
                <w:p w14:paraId="205112BA">
                  <w:pPr>
                    <w:widowControl/>
                    <w:jc w:val="center"/>
                    <w:rPr>
                      <w:rFonts w:hint="default" w:ascii="Times New Roman" w:hAnsi="Times New Roman" w:cs="Times New Roman"/>
                      <w:color w:val="auto"/>
                      <w:sz w:val="21"/>
                      <w:szCs w:val="21"/>
                    </w:rPr>
                  </w:pPr>
                  <w:r>
                    <w:rPr>
                      <w:rFonts w:hint="default" w:ascii="Times New Roman" w:hAnsi="Times New Roman" w:eastAsia="CIDFont" w:cs="Times New Roman"/>
                      <w:color w:val="auto"/>
                      <w:kern w:val="0"/>
                      <w:sz w:val="21"/>
                      <w:szCs w:val="21"/>
                      <w:lang w:bidi="ar"/>
                    </w:rPr>
                    <w:t>加强维护、选用可靠设备，加强管理</w:t>
                  </w:r>
                </w:p>
              </w:tc>
            </w:tr>
          </w:tbl>
          <w:p w14:paraId="722F3470">
            <w:pPr>
              <w:keepNext w:val="0"/>
              <w:keepLines w:val="0"/>
              <w:pageBreakBefore w:val="0"/>
              <w:widowControl w:val="0"/>
              <w:kinsoku/>
              <w:wordWrap/>
              <w:overflowPunct/>
              <w:topLinePunct w:val="0"/>
              <w:autoSpaceDE/>
              <w:autoSpaceDN/>
              <w:bidi w:val="0"/>
              <w:adjustRightInd w:val="0"/>
              <w:snapToGrid w:val="0"/>
              <w:spacing w:line="500" w:lineRule="exact"/>
              <w:ind w:firstLine="422"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废气</w:t>
            </w:r>
            <w:r>
              <w:rPr>
                <w:rFonts w:hint="default" w:ascii="Times New Roman" w:hAnsi="Times New Roman" w:eastAsia="宋体" w:cs="Times New Roman"/>
                <w:b/>
                <w:bCs/>
                <w:color w:val="auto"/>
                <w:sz w:val="21"/>
                <w:szCs w:val="21"/>
              </w:rPr>
              <w:t>排放口基本情况</w:t>
            </w:r>
            <w:r>
              <w:rPr>
                <w:rFonts w:hint="default" w:ascii="Times New Roman" w:hAnsi="Times New Roman" w:eastAsia="宋体" w:cs="Times New Roman"/>
                <w:b/>
                <w:bCs/>
                <w:color w:val="auto"/>
                <w:sz w:val="21"/>
                <w:szCs w:val="21"/>
                <w:lang w:val="en-US" w:eastAsia="zh-CN"/>
              </w:rPr>
              <w:t>及监测方案</w:t>
            </w:r>
          </w:p>
          <w:p w14:paraId="56160798">
            <w:pPr>
              <w:adjustRightInd w:val="0"/>
              <w:snapToGrid w:val="0"/>
              <w:spacing w:line="500" w:lineRule="exact"/>
              <w:ind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本项目废气排放口基本情况见表4-</w:t>
            </w:r>
            <w:r>
              <w:rPr>
                <w:rFonts w:hint="default" w:ascii="Times New Roman" w:hAnsi="Times New Roman"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，监测方案见表4-</w:t>
            </w:r>
            <w:r>
              <w:rPr>
                <w:rFonts w:hint="default" w:ascii="Times New Roman" w:hAnsi="Times New Roman" w:cs="Times New Roman"/>
                <w:color w:val="auto"/>
                <w:sz w:val="21"/>
                <w:szCs w:val="21"/>
                <w:lang w:val="en-US" w:eastAsia="zh-CN"/>
              </w:rPr>
              <w:t>7</w:t>
            </w:r>
            <w:r>
              <w:rPr>
                <w:rFonts w:hint="default" w:ascii="Times New Roman" w:hAnsi="Times New Roman" w:eastAsia="宋体" w:cs="Times New Roman"/>
                <w:color w:val="auto"/>
                <w:sz w:val="21"/>
                <w:szCs w:val="21"/>
                <w:lang w:val="en-US" w:eastAsia="zh-CN"/>
              </w:rPr>
              <w:t>。</w:t>
            </w:r>
          </w:p>
          <w:p w14:paraId="401524C0">
            <w:pPr>
              <w:keepNext w:val="0"/>
              <w:keepLines w:val="0"/>
              <w:pageBreakBefore w:val="0"/>
              <w:widowControl w:val="0"/>
              <w:kinsoku/>
              <w:wordWrap/>
              <w:overflowPunct/>
              <w:topLinePunct w:val="0"/>
              <w:autoSpaceDE/>
              <w:autoSpaceDN/>
              <w:bidi w:val="0"/>
              <w:snapToGrid w:val="0"/>
              <w:spacing w:line="500" w:lineRule="exact"/>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表4-</w:t>
            </w:r>
            <w:r>
              <w:rPr>
                <w:rFonts w:hint="default" w:ascii="Times New Roman" w:hAnsi="Times New Roman" w:cs="Times New Roman"/>
                <w:b/>
                <w:color w:val="auto"/>
                <w:sz w:val="21"/>
                <w:szCs w:val="21"/>
                <w:lang w:val="en-US" w:eastAsia="zh-CN"/>
              </w:rPr>
              <w:t xml:space="preserve">6 </w:t>
            </w:r>
            <w:r>
              <w:rPr>
                <w:rFonts w:hint="default" w:ascii="Times New Roman" w:hAnsi="Times New Roman" w:cs="Times New Roman"/>
                <w:b/>
                <w:color w:val="auto"/>
                <w:sz w:val="21"/>
                <w:szCs w:val="21"/>
              </w:rPr>
              <w:t>排放口基本情况表</w:t>
            </w:r>
          </w:p>
          <w:tbl>
            <w:tblPr>
              <w:tblStyle w:val="31"/>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806"/>
              <w:gridCol w:w="525"/>
              <w:gridCol w:w="1046"/>
              <w:gridCol w:w="949"/>
              <w:gridCol w:w="977"/>
              <w:gridCol w:w="912"/>
              <w:gridCol w:w="948"/>
              <w:gridCol w:w="1065"/>
              <w:gridCol w:w="3541"/>
              <w:gridCol w:w="941"/>
              <w:gridCol w:w="1249"/>
            </w:tblGrid>
            <w:tr w14:paraId="1B56BA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vMerge w:val="restart"/>
                  <w:vAlign w:val="center"/>
                </w:tcPr>
                <w:p w14:paraId="24DCC8FE">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排气筒编号</w:t>
                  </w:r>
                </w:p>
              </w:tc>
              <w:tc>
                <w:tcPr>
                  <w:tcW w:w="0" w:type="auto"/>
                  <w:vMerge w:val="restart"/>
                  <w:vAlign w:val="center"/>
                </w:tcPr>
                <w:p w14:paraId="13270881">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类型</w:t>
                  </w:r>
                </w:p>
              </w:tc>
              <w:tc>
                <w:tcPr>
                  <w:tcW w:w="0" w:type="auto"/>
                  <w:gridSpan w:val="2"/>
                  <w:vAlign w:val="center"/>
                </w:tcPr>
                <w:p w14:paraId="259FAEDB">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地理坐标</w:t>
                  </w:r>
                </w:p>
              </w:tc>
              <w:tc>
                <w:tcPr>
                  <w:tcW w:w="0" w:type="auto"/>
                  <w:vMerge w:val="restart"/>
                  <w:vAlign w:val="center"/>
                </w:tcPr>
                <w:p w14:paraId="0860B35F">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排气筒高度（m）</w:t>
                  </w:r>
                </w:p>
              </w:tc>
              <w:tc>
                <w:tcPr>
                  <w:tcW w:w="0" w:type="auto"/>
                  <w:vMerge w:val="restart"/>
                  <w:vAlign w:val="center"/>
                </w:tcPr>
                <w:p w14:paraId="3F2784CE">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出口内径（m）</w:t>
                  </w:r>
                </w:p>
              </w:tc>
              <w:tc>
                <w:tcPr>
                  <w:tcW w:w="0" w:type="auto"/>
                  <w:vMerge w:val="restart"/>
                  <w:vAlign w:val="center"/>
                </w:tcPr>
                <w:p w14:paraId="05FC7A7D">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排气温度（℃）</w:t>
                  </w:r>
                </w:p>
              </w:tc>
              <w:tc>
                <w:tcPr>
                  <w:tcW w:w="1065" w:type="dxa"/>
                  <w:vMerge w:val="restart"/>
                  <w:vAlign w:val="center"/>
                </w:tcPr>
                <w:p w14:paraId="4C0D45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bCs/>
                      <w:color w:val="auto"/>
                      <w:sz w:val="21"/>
                      <w:szCs w:val="21"/>
                    </w:rPr>
                    <w:t>污染物类型</w:t>
                  </w:r>
                </w:p>
              </w:tc>
              <w:tc>
                <w:tcPr>
                  <w:tcW w:w="5730" w:type="dxa"/>
                  <w:gridSpan w:val="3"/>
                  <w:vAlign w:val="center"/>
                </w:tcPr>
                <w:p w14:paraId="43515B21">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排放标准</w:t>
                  </w:r>
                </w:p>
              </w:tc>
            </w:tr>
            <w:tr w14:paraId="735FAD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vMerge w:val="continue"/>
                  <w:vAlign w:val="center"/>
                </w:tcPr>
                <w:p w14:paraId="7EDD1858">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color w:val="auto"/>
                      <w:sz w:val="21"/>
                      <w:szCs w:val="21"/>
                    </w:rPr>
                  </w:pPr>
                </w:p>
              </w:tc>
              <w:tc>
                <w:tcPr>
                  <w:tcW w:w="0" w:type="auto"/>
                  <w:vMerge w:val="continue"/>
                  <w:vAlign w:val="center"/>
                </w:tcPr>
                <w:p w14:paraId="2948EE4D">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color w:val="auto"/>
                      <w:sz w:val="21"/>
                      <w:szCs w:val="21"/>
                    </w:rPr>
                  </w:pPr>
                </w:p>
              </w:tc>
              <w:tc>
                <w:tcPr>
                  <w:tcW w:w="0" w:type="auto"/>
                  <w:vAlign w:val="center"/>
                </w:tcPr>
                <w:p w14:paraId="6AAE8EB2">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经度</w:t>
                  </w:r>
                </w:p>
              </w:tc>
              <w:tc>
                <w:tcPr>
                  <w:tcW w:w="0" w:type="auto"/>
                  <w:vAlign w:val="center"/>
                </w:tcPr>
                <w:p w14:paraId="22A09B2E">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纬度</w:t>
                  </w:r>
                </w:p>
              </w:tc>
              <w:tc>
                <w:tcPr>
                  <w:tcW w:w="0" w:type="auto"/>
                  <w:vMerge w:val="continue"/>
                  <w:vAlign w:val="center"/>
                </w:tcPr>
                <w:p w14:paraId="71466BB8">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color w:val="auto"/>
                      <w:sz w:val="21"/>
                      <w:szCs w:val="21"/>
                    </w:rPr>
                  </w:pPr>
                </w:p>
              </w:tc>
              <w:tc>
                <w:tcPr>
                  <w:tcW w:w="0" w:type="auto"/>
                  <w:vMerge w:val="continue"/>
                  <w:vAlign w:val="center"/>
                </w:tcPr>
                <w:p w14:paraId="0EEFDB8D">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color w:val="auto"/>
                      <w:sz w:val="21"/>
                      <w:szCs w:val="21"/>
                    </w:rPr>
                  </w:pPr>
                </w:p>
              </w:tc>
              <w:tc>
                <w:tcPr>
                  <w:tcW w:w="0" w:type="auto"/>
                  <w:vMerge w:val="continue"/>
                  <w:vAlign w:val="center"/>
                </w:tcPr>
                <w:p w14:paraId="42FC1B56">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color w:val="auto"/>
                      <w:sz w:val="21"/>
                      <w:szCs w:val="21"/>
                    </w:rPr>
                  </w:pPr>
                </w:p>
              </w:tc>
              <w:tc>
                <w:tcPr>
                  <w:tcW w:w="1065" w:type="dxa"/>
                  <w:vMerge w:val="continue"/>
                  <w:vAlign w:val="center"/>
                </w:tcPr>
                <w:p w14:paraId="2EDA9EE9">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color w:val="auto"/>
                      <w:sz w:val="21"/>
                      <w:szCs w:val="21"/>
                    </w:rPr>
                  </w:pPr>
                </w:p>
              </w:tc>
              <w:tc>
                <w:tcPr>
                  <w:tcW w:w="3541" w:type="dxa"/>
                  <w:vAlign w:val="center"/>
                </w:tcPr>
                <w:p w14:paraId="6C88944E">
                  <w:pPr>
                    <w:keepNext w:val="0"/>
                    <w:keepLines w:val="0"/>
                    <w:pageBreakBefore w:val="0"/>
                    <w:widowControl w:val="0"/>
                    <w:tabs>
                      <w:tab w:val="left" w:pos="1418"/>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标准名称</w:t>
                  </w:r>
                </w:p>
              </w:tc>
              <w:tc>
                <w:tcPr>
                  <w:tcW w:w="941" w:type="dxa"/>
                  <w:vAlign w:val="center"/>
                </w:tcPr>
                <w:p w14:paraId="49518466">
                  <w:pPr>
                    <w:keepNext w:val="0"/>
                    <w:keepLines w:val="0"/>
                    <w:pageBreakBefore w:val="0"/>
                    <w:widowControl w:val="0"/>
                    <w:tabs>
                      <w:tab w:val="left" w:pos="1418"/>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b/>
                      <w:color w:val="auto"/>
                      <w:sz w:val="21"/>
                      <w:szCs w:val="21"/>
                    </w:rPr>
                    <w:t>浓度</w:t>
                  </w:r>
                  <w:r>
                    <w:rPr>
                      <w:rFonts w:hint="default" w:ascii="Times New Roman" w:hAnsi="Times New Roman" w:cs="Times New Roman"/>
                      <w:b/>
                      <w:color w:val="auto"/>
                      <w:sz w:val="21"/>
                      <w:szCs w:val="21"/>
                      <w:lang w:val="en-US" w:eastAsia="zh-CN"/>
                    </w:rPr>
                    <w:t>(</w:t>
                  </w:r>
                  <w:r>
                    <w:rPr>
                      <w:rFonts w:hint="default" w:ascii="Times New Roman" w:hAnsi="Times New Roman" w:cs="Times New Roman"/>
                      <w:b/>
                      <w:color w:val="auto"/>
                      <w:sz w:val="21"/>
                      <w:szCs w:val="21"/>
                    </w:rPr>
                    <w:t>mg/m</w:t>
                  </w:r>
                  <w:r>
                    <w:rPr>
                      <w:rFonts w:hint="default" w:ascii="Times New Roman" w:hAnsi="Times New Roman" w:cs="Times New Roman"/>
                      <w:b/>
                      <w:color w:val="auto"/>
                      <w:sz w:val="21"/>
                      <w:szCs w:val="21"/>
                      <w:vertAlign w:val="superscript"/>
                    </w:rPr>
                    <w:t>3</w:t>
                  </w:r>
                  <w:r>
                    <w:rPr>
                      <w:rFonts w:hint="default" w:ascii="Times New Roman" w:hAnsi="Times New Roman" w:cs="Times New Roman"/>
                      <w:b/>
                      <w:color w:val="auto"/>
                      <w:sz w:val="21"/>
                      <w:szCs w:val="21"/>
                      <w:lang w:val="en-US" w:eastAsia="zh-CN"/>
                    </w:rPr>
                    <w:t>)</w:t>
                  </w:r>
                </w:p>
              </w:tc>
              <w:tc>
                <w:tcPr>
                  <w:tcW w:w="1248" w:type="dxa"/>
                  <w:vAlign w:val="center"/>
                </w:tcPr>
                <w:p w14:paraId="2A1AAB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速率（kg/h）</w:t>
                  </w:r>
                </w:p>
              </w:tc>
            </w:tr>
            <w:tr w14:paraId="641CE4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08" w:hRule="atLeast"/>
                <w:jc w:val="center"/>
              </w:trPr>
              <w:tc>
                <w:tcPr>
                  <w:tcW w:w="806" w:type="dxa"/>
                  <w:vAlign w:val="center"/>
                </w:tcPr>
                <w:p w14:paraId="7FC7B4E1">
                  <w:pPr>
                    <w:pStyle w:val="24"/>
                    <w:spacing w:after="0" w:line="240" w:lineRule="auto"/>
                    <w:jc w:val="center"/>
                    <w:rPr>
                      <w:rFonts w:hint="default" w:ascii="Times New Roman" w:hAnsi="Times New Roman" w:cs="Times New Roman"/>
                      <w:color w:val="auto"/>
                      <w:sz w:val="21"/>
                      <w:szCs w:val="21"/>
                      <w:lang w:val="en-US" w:eastAsia="zh-CN"/>
                    </w:rPr>
                  </w:pPr>
                  <w:r>
                    <w:rPr>
                      <w:rFonts w:hint="eastAsia" w:cs="Times New Roman" w:eastAsiaTheme="minorEastAsia"/>
                      <w:bCs/>
                      <w:color w:val="auto"/>
                      <w:sz w:val="21"/>
                      <w:szCs w:val="21"/>
                      <w:lang w:val="en-US" w:eastAsia="zh-CN"/>
                    </w:rPr>
                    <w:t>P4</w:t>
                  </w:r>
                </w:p>
              </w:tc>
              <w:tc>
                <w:tcPr>
                  <w:tcW w:w="0" w:type="auto"/>
                  <w:vAlign w:val="center"/>
                </w:tcPr>
                <w:p w14:paraId="562B8EB0">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一般排放口</w:t>
                  </w:r>
                </w:p>
              </w:tc>
              <w:tc>
                <w:tcPr>
                  <w:tcW w:w="0" w:type="auto"/>
                  <w:vAlign w:val="center"/>
                </w:tcPr>
                <w:p w14:paraId="67834A43">
                  <w:pPr>
                    <w:keepNext w:val="0"/>
                    <w:keepLines w:val="0"/>
                    <w:pageBreakBefore w:val="0"/>
                    <w:widowControl w:val="0"/>
                    <w:tabs>
                      <w:tab w:val="left" w:pos="684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119.</w:t>
                  </w:r>
                  <w:r>
                    <w:rPr>
                      <w:rFonts w:hint="eastAsia" w:cs="Times New Roman"/>
                      <w:color w:val="auto"/>
                      <w:sz w:val="21"/>
                      <w:szCs w:val="21"/>
                      <w:lang w:val="en-US" w:eastAsia="zh-CN"/>
                    </w:rPr>
                    <w:t>638956</w:t>
                  </w:r>
                </w:p>
              </w:tc>
              <w:tc>
                <w:tcPr>
                  <w:tcW w:w="0" w:type="auto"/>
                  <w:vAlign w:val="center"/>
                </w:tcPr>
                <w:p w14:paraId="2BD1FF3A">
                  <w:pPr>
                    <w:keepNext w:val="0"/>
                    <w:keepLines w:val="0"/>
                    <w:pageBreakBefore w:val="0"/>
                    <w:widowControl w:val="0"/>
                    <w:tabs>
                      <w:tab w:val="left" w:pos="684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31.</w:t>
                  </w:r>
                  <w:r>
                    <w:rPr>
                      <w:rFonts w:hint="eastAsia" w:cs="Times New Roman"/>
                      <w:color w:val="auto"/>
                      <w:sz w:val="21"/>
                      <w:szCs w:val="21"/>
                      <w:lang w:val="en-US" w:eastAsia="zh-CN"/>
                    </w:rPr>
                    <w:t>734914</w:t>
                  </w:r>
                </w:p>
              </w:tc>
              <w:tc>
                <w:tcPr>
                  <w:tcW w:w="0" w:type="auto"/>
                  <w:vAlign w:val="center"/>
                </w:tcPr>
                <w:p w14:paraId="0B5802D7">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0" w:type="auto"/>
                  <w:vAlign w:val="center"/>
                </w:tcPr>
                <w:p w14:paraId="256DAD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w:t>
                  </w:r>
                </w:p>
              </w:tc>
              <w:tc>
                <w:tcPr>
                  <w:tcW w:w="0" w:type="auto"/>
                  <w:vAlign w:val="center"/>
                </w:tcPr>
                <w:p w14:paraId="42DF9171">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1065" w:type="dxa"/>
                  <w:vAlign w:val="center"/>
                </w:tcPr>
                <w:p w14:paraId="6D2193BC">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非甲烷总烃</w:t>
                  </w:r>
                </w:p>
              </w:tc>
              <w:tc>
                <w:tcPr>
                  <w:tcW w:w="3541" w:type="dxa"/>
                  <w:vAlign w:val="center"/>
                </w:tcPr>
                <w:p w14:paraId="6A958DCC">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eastAsia" w:eastAsia="宋体"/>
                      <w:color w:val="auto"/>
                      <w:sz w:val="21"/>
                      <w:szCs w:val="21"/>
                      <w:highlight w:val="none"/>
                    </w:rPr>
                    <w:t>《合成树脂工业污染物排放标准》（GB 31572-2015，含2024年修改单）</w:t>
                  </w:r>
                </w:p>
              </w:tc>
              <w:tc>
                <w:tcPr>
                  <w:tcW w:w="941" w:type="dxa"/>
                  <w:vAlign w:val="center"/>
                </w:tcPr>
                <w:p w14:paraId="212999E3">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60</w:t>
                  </w:r>
                </w:p>
              </w:tc>
              <w:tc>
                <w:tcPr>
                  <w:tcW w:w="1248" w:type="dxa"/>
                  <w:vAlign w:val="center"/>
                </w:tcPr>
                <w:p w14:paraId="33E4F54A">
                  <w:pPr>
                    <w:pStyle w:val="24"/>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r>
          </w:tbl>
          <w:p w14:paraId="607669DE">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color w:val="auto"/>
                <w:sz w:val="21"/>
                <w:szCs w:val="21"/>
              </w:rPr>
            </w:pPr>
          </w:p>
        </w:tc>
      </w:tr>
    </w:tbl>
    <w:p w14:paraId="4461F161">
      <w:pPr>
        <w:pStyle w:val="25"/>
        <w:spacing w:before="0" w:beforeAutospacing="0" w:after="0" w:afterAutospacing="0"/>
        <w:jc w:val="center"/>
        <w:outlineLvl w:val="0"/>
        <w:rPr>
          <w:rFonts w:hint="default" w:ascii="Times New Roman" w:hAnsi="Times New Roman" w:eastAsia="黑体" w:cs="Times New Roman"/>
          <w:snapToGrid w:val="0"/>
          <w:color w:val="auto"/>
          <w:sz w:val="30"/>
          <w:szCs w:val="30"/>
        </w:rPr>
        <w:sectPr>
          <w:headerReference r:id="rId8" w:type="default"/>
          <w:pgSz w:w="16838" w:h="11906" w:orient="landscape"/>
          <w:pgMar w:top="1417" w:right="1417" w:bottom="1417" w:left="141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1"/>
        <w:tblpPr w:leftFromText="180" w:rightFromText="180" w:vertAnchor="text" w:tblpXSpec="center" w:tblpY="1"/>
        <w:tblOverlap w:val="never"/>
        <w:tblW w:w="91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8425"/>
      </w:tblGrid>
      <w:tr w14:paraId="69FCC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1" w:hRule="atLeast"/>
        </w:trPr>
        <w:tc>
          <w:tcPr>
            <w:tcW w:w="724" w:type="dxa"/>
            <w:tcMar>
              <w:left w:w="28" w:type="dxa"/>
              <w:right w:w="28" w:type="dxa"/>
            </w:tcMar>
            <w:vAlign w:val="center"/>
          </w:tcPr>
          <w:p w14:paraId="5FFBCA5C">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运营</w:t>
            </w:r>
          </w:p>
          <w:p w14:paraId="3257A86A">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期环</w:t>
            </w:r>
          </w:p>
          <w:p w14:paraId="53B6AEA1">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境影</w:t>
            </w:r>
          </w:p>
          <w:p w14:paraId="2F7726C0">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响和</w:t>
            </w:r>
          </w:p>
          <w:p w14:paraId="74674179">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保护</w:t>
            </w:r>
          </w:p>
          <w:p w14:paraId="6C19A51A">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措施</w:t>
            </w:r>
          </w:p>
        </w:tc>
        <w:tc>
          <w:tcPr>
            <w:tcW w:w="8425" w:type="dxa"/>
            <w:vAlign w:val="center"/>
          </w:tcPr>
          <w:p w14:paraId="2CC28E0A">
            <w:pPr>
              <w:adjustRightInd w:val="0"/>
              <w:snapToGrid w:val="0"/>
              <w:spacing w:line="500" w:lineRule="exact"/>
              <w:ind w:firstLine="420" w:firstLineChars="200"/>
              <w:rPr>
                <w:rFonts w:hint="default" w:ascii="Times New Roman" w:hAnsi="Times New Roman" w:cs="Times New Roman"/>
                <w:b/>
                <w:color w:val="auto"/>
                <w:sz w:val="21"/>
                <w:szCs w:val="21"/>
                <w:highlight w:val="none"/>
              </w:rPr>
            </w:pPr>
            <w:r>
              <w:rPr>
                <w:rFonts w:hint="default" w:ascii="Times New Roman" w:hAnsi="Times New Roman" w:cs="Times New Roman"/>
                <w:color w:val="auto"/>
                <w:sz w:val="21"/>
                <w:szCs w:val="21"/>
                <w:highlight w:val="none"/>
                <w:lang w:val="en-US" w:eastAsia="zh-CN"/>
              </w:rPr>
              <w:t>参</w:t>
            </w:r>
            <w:r>
              <w:rPr>
                <w:rFonts w:hint="default" w:ascii="Times New Roman" w:hAnsi="Times New Roman" w:eastAsia="宋体" w:cs="Times New Roman"/>
                <w:color w:val="auto"/>
                <w:sz w:val="21"/>
                <w:szCs w:val="21"/>
                <w:highlight w:val="none"/>
                <w:lang w:val="en-US" w:eastAsia="zh-CN"/>
              </w:rPr>
              <w:t>照</w:t>
            </w:r>
            <w:r>
              <w:rPr>
                <w:rFonts w:hint="default" w:ascii="Times New Roman" w:hAnsi="Times New Roman" w:cs="Times New Roman"/>
                <w:bCs/>
                <w:color w:val="000000" w:themeColor="text1"/>
                <w:sz w:val="21"/>
                <w:szCs w:val="21"/>
                <w:lang w:eastAsia="zh-CN" w:bidi="ar"/>
                <w14:textFill>
                  <w14:solidFill>
                    <w14:schemeClr w14:val="tx1"/>
                  </w14:solidFill>
                </w14:textFill>
              </w:rPr>
              <w:t>《</w:t>
            </w:r>
            <w:r>
              <w:rPr>
                <w:rFonts w:hint="default" w:ascii="Times New Roman" w:hAnsi="Times New Roman" w:cs="Times New Roman"/>
                <w:bCs/>
                <w:color w:val="000000" w:themeColor="text1"/>
                <w:sz w:val="21"/>
                <w:szCs w:val="21"/>
                <w:lang w:bidi="ar"/>
                <w14:textFill>
                  <w14:solidFill>
                    <w14:schemeClr w14:val="tx1"/>
                  </w14:solidFill>
                </w14:textFill>
              </w:rPr>
              <w:t>排污单位自行监测技术指南总则》</w:t>
            </w:r>
            <w:r>
              <w:rPr>
                <w:rFonts w:hint="default" w:ascii="Times New Roman" w:hAnsi="Times New Roman" w:cs="Times New Roman"/>
                <w:bCs/>
                <w:color w:val="000000" w:themeColor="text1"/>
                <w:sz w:val="21"/>
                <w:szCs w:val="21"/>
                <w:lang w:eastAsia="zh-CN" w:bidi="ar"/>
                <w14:textFill>
                  <w14:solidFill>
                    <w14:schemeClr w14:val="tx1"/>
                  </w14:solidFill>
                </w14:textFill>
              </w:rPr>
              <w:t>（</w:t>
            </w:r>
            <w:r>
              <w:rPr>
                <w:rFonts w:hint="default" w:ascii="Times New Roman" w:hAnsi="Times New Roman" w:cs="Times New Roman"/>
                <w:bCs/>
                <w:color w:val="000000" w:themeColor="text1"/>
                <w:sz w:val="21"/>
                <w:szCs w:val="21"/>
                <w:lang w:bidi="ar"/>
                <w14:textFill>
                  <w14:solidFill>
                    <w14:schemeClr w14:val="tx1"/>
                  </w14:solidFill>
                </w14:textFill>
              </w:rPr>
              <w:t>HJ819-201</w:t>
            </w:r>
            <w:r>
              <w:rPr>
                <w:rFonts w:hint="default" w:ascii="Times New Roman" w:hAnsi="Times New Roman" w:cs="Times New Roman"/>
                <w:bCs/>
                <w:color w:val="auto"/>
                <w:sz w:val="21"/>
                <w:szCs w:val="21"/>
                <w:lang w:bidi="ar"/>
              </w:rPr>
              <w:t>7</w:t>
            </w:r>
            <w:r>
              <w:rPr>
                <w:rFonts w:hint="default" w:ascii="Times New Roman" w:hAnsi="Times New Roman" w:cs="Times New Roman"/>
                <w:bCs/>
                <w:color w:val="auto"/>
                <w:sz w:val="21"/>
                <w:szCs w:val="21"/>
                <w:lang w:eastAsia="zh-CN" w:bidi="ar"/>
              </w:rPr>
              <w:t>）</w:t>
            </w:r>
            <w:r>
              <w:rPr>
                <w:rFonts w:hint="default" w:ascii="Times New Roman" w:hAnsi="Times New Roman" w:cs="Times New Roman"/>
                <w:bCs/>
                <w:color w:val="auto"/>
                <w:sz w:val="21"/>
                <w:szCs w:val="21"/>
                <w:lang w:bidi="ar"/>
              </w:rPr>
              <w:t>、</w:t>
            </w:r>
            <w:r>
              <w:rPr>
                <w:rFonts w:hint="eastAsia" w:ascii="Times New Roman" w:hAnsi="Times New Roman" w:eastAsia="宋体" w:cs="Times New Roman"/>
                <w:bCs/>
                <w:color w:val="auto"/>
                <w:sz w:val="21"/>
                <w:szCs w:val="21"/>
                <w:lang w:eastAsia="zh-CN" w:bidi="ar"/>
              </w:rPr>
              <w:t>《排污许可证申请与核发技术规范橡胶和塑料制品工业》（HJ1122-2020）</w:t>
            </w:r>
            <w:r>
              <w:rPr>
                <w:rFonts w:hint="default" w:ascii="Times New Roman" w:hAnsi="Times New Roman" w:eastAsia="宋体" w:cs="Times New Roman"/>
                <w:bCs/>
                <w:color w:val="auto"/>
                <w:sz w:val="21"/>
                <w:szCs w:val="21"/>
                <w:lang w:bidi="ar"/>
              </w:rPr>
              <w:t>及《江</w:t>
            </w:r>
            <w:r>
              <w:rPr>
                <w:rFonts w:hint="default" w:ascii="Times New Roman" w:hAnsi="Times New Roman" w:cs="Times New Roman"/>
                <w:bCs/>
                <w:color w:val="auto"/>
                <w:sz w:val="21"/>
                <w:szCs w:val="21"/>
                <w:lang w:bidi="ar"/>
              </w:rPr>
              <w:t>苏省污染源自动</w:t>
            </w:r>
            <w:r>
              <w:rPr>
                <w:rFonts w:hint="default" w:ascii="Times New Roman" w:hAnsi="Times New Roman" w:cs="Times New Roman"/>
                <w:bCs/>
                <w:color w:val="auto"/>
                <w:sz w:val="21"/>
                <w:szCs w:val="21"/>
                <w:lang w:val="en-US" w:eastAsia="zh-CN" w:bidi="ar"/>
              </w:rPr>
              <w:t>监测</w:t>
            </w:r>
            <w:r>
              <w:rPr>
                <w:rFonts w:hint="default" w:ascii="Times New Roman" w:hAnsi="Times New Roman" w:cs="Times New Roman"/>
                <w:bCs/>
                <w:color w:val="auto"/>
                <w:sz w:val="21"/>
                <w:szCs w:val="21"/>
                <w:lang w:bidi="ar"/>
              </w:rPr>
              <w:t>监控管理办法</w:t>
            </w:r>
            <w:r>
              <w:rPr>
                <w:rFonts w:hint="default" w:ascii="Times New Roman" w:hAnsi="Times New Roman" w:cs="Times New Roman"/>
                <w:bCs/>
                <w:color w:val="auto"/>
                <w:sz w:val="21"/>
                <w:szCs w:val="21"/>
                <w:lang w:eastAsia="zh-CN" w:bidi="ar"/>
              </w:rPr>
              <w:t>（</w:t>
            </w:r>
            <w:r>
              <w:rPr>
                <w:rFonts w:hint="default" w:ascii="Times New Roman" w:hAnsi="Times New Roman" w:cs="Times New Roman"/>
                <w:bCs/>
                <w:color w:val="auto"/>
                <w:sz w:val="21"/>
                <w:szCs w:val="21"/>
                <w:lang w:val="en-US" w:eastAsia="zh-CN" w:bidi="ar"/>
              </w:rPr>
              <w:t>2022年修订</w:t>
            </w:r>
            <w:r>
              <w:rPr>
                <w:rFonts w:hint="default" w:ascii="Times New Roman" w:hAnsi="Times New Roman" w:cs="Times New Roman"/>
                <w:bCs/>
                <w:color w:val="auto"/>
                <w:sz w:val="21"/>
                <w:szCs w:val="21"/>
                <w:lang w:eastAsia="zh-CN" w:bidi="ar"/>
              </w:rPr>
              <w:t>）</w:t>
            </w:r>
            <w:r>
              <w:rPr>
                <w:rFonts w:hint="default" w:ascii="Times New Roman" w:hAnsi="Times New Roman" w:cs="Times New Roman"/>
                <w:bCs/>
                <w:color w:val="auto"/>
                <w:sz w:val="21"/>
                <w:szCs w:val="21"/>
                <w:lang w:bidi="ar"/>
              </w:rPr>
              <w:t>》</w:t>
            </w:r>
            <w:r>
              <w:rPr>
                <w:rFonts w:hint="default" w:ascii="Times New Roman" w:hAnsi="Times New Roman" w:cs="Times New Roman"/>
                <w:bCs/>
                <w:color w:val="auto"/>
                <w:sz w:val="21"/>
                <w:szCs w:val="21"/>
                <w:lang w:eastAsia="zh-CN" w:bidi="ar"/>
              </w:rPr>
              <w:t>（</w:t>
            </w:r>
            <w:r>
              <w:rPr>
                <w:rFonts w:hint="default" w:ascii="Times New Roman" w:hAnsi="Times New Roman" w:cs="Times New Roman"/>
                <w:bCs/>
                <w:color w:val="auto"/>
                <w:sz w:val="21"/>
                <w:szCs w:val="21"/>
                <w:lang w:val="en-US" w:eastAsia="zh-CN" w:bidi="ar"/>
              </w:rPr>
              <w:t>苏环发</w:t>
            </w:r>
            <w:r>
              <w:rPr>
                <w:rFonts w:hint="eastAsia" w:cs="Times New Roman"/>
                <w:bCs/>
                <w:color w:val="auto"/>
                <w:sz w:val="21"/>
                <w:szCs w:val="21"/>
                <w:lang w:val="en-US" w:eastAsia="zh-CN" w:bidi="ar"/>
              </w:rPr>
              <w:t>〔2022〕5号</w:t>
            </w:r>
            <w:r>
              <w:rPr>
                <w:rFonts w:hint="default" w:ascii="Times New Roman" w:hAnsi="Times New Roman" w:cs="Times New Roman"/>
                <w:bCs/>
                <w:color w:val="auto"/>
                <w:sz w:val="21"/>
                <w:szCs w:val="21"/>
                <w:lang w:eastAsia="zh-CN" w:bidi="ar"/>
              </w:rPr>
              <w:t>）</w:t>
            </w:r>
            <w:r>
              <w:rPr>
                <w:rFonts w:hint="default" w:ascii="Times New Roman" w:hAnsi="Times New Roman" w:cs="Times New Roman"/>
                <w:bCs/>
                <w:color w:val="auto"/>
                <w:sz w:val="21"/>
                <w:szCs w:val="21"/>
                <w:lang w:bidi="ar"/>
              </w:rPr>
              <w:t>，本项目废气自行监测方案如下表所示</w:t>
            </w:r>
            <w:r>
              <w:rPr>
                <w:rFonts w:hint="default" w:ascii="Times New Roman" w:hAnsi="Times New Roman" w:eastAsia="宋体" w:cs="Times New Roman"/>
                <w:color w:val="auto"/>
                <w:sz w:val="21"/>
                <w:szCs w:val="21"/>
                <w:highlight w:val="none"/>
                <w:lang w:val="en-US" w:eastAsia="zh-CN"/>
              </w:rPr>
              <w:t>。</w:t>
            </w:r>
          </w:p>
          <w:p w14:paraId="72075B52">
            <w:pPr>
              <w:keepNext w:val="0"/>
              <w:keepLines w:val="0"/>
              <w:pageBreakBefore w:val="0"/>
              <w:widowControl w:val="0"/>
              <w:kinsoku/>
              <w:wordWrap/>
              <w:overflowPunct/>
              <w:topLinePunct w:val="0"/>
              <w:autoSpaceDE/>
              <w:autoSpaceDN/>
              <w:bidi w:val="0"/>
              <w:snapToGrid w:val="0"/>
              <w:spacing w:line="500" w:lineRule="exact"/>
              <w:jc w:val="center"/>
              <w:textAlignment w:val="auto"/>
              <w:rPr>
                <w:rFonts w:hint="default" w:ascii="Times New Roman" w:hAnsi="Times New Roman" w:eastAsia="宋体" w:cs="Times New Roman"/>
                <w:b/>
                <w:color w:val="auto"/>
                <w:sz w:val="21"/>
                <w:szCs w:val="21"/>
                <w:highlight w:val="none"/>
                <w:lang w:eastAsia="zh-CN"/>
              </w:rPr>
            </w:pPr>
            <w:r>
              <w:rPr>
                <w:rFonts w:hint="default" w:ascii="Times New Roman" w:hAnsi="Times New Roman" w:cs="Times New Roman"/>
                <w:b/>
                <w:color w:val="auto"/>
                <w:sz w:val="21"/>
                <w:szCs w:val="21"/>
                <w:highlight w:val="none"/>
              </w:rPr>
              <w:t>表4-</w:t>
            </w:r>
            <w:r>
              <w:rPr>
                <w:rFonts w:hint="eastAsia" w:cs="Times New Roman"/>
                <w:b/>
                <w:color w:val="auto"/>
                <w:sz w:val="21"/>
                <w:szCs w:val="21"/>
                <w:highlight w:val="none"/>
                <w:lang w:val="en-US" w:eastAsia="zh-CN"/>
              </w:rPr>
              <w:t xml:space="preserve">7 </w:t>
            </w:r>
            <w:r>
              <w:rPr>
                <w:rFonts w:hint="default" w:ascii="Times New Roman" w:hAnsi="Times New Roman" w:cs="Times New Roman"/>
                <w:b/>
                <w:color w:val="auto"/>
                <w:sz w:val="21"/>
                <w:szCs w:val="21"/>
                <w:highlight w:val="none"/>
                <w:lang w:val="en-US" w:eastAsia="zh-CN"/>
              </w:rPr>
              <w:t>本项目</w:t>
            </w:r>
            <w:r>
              <w:rPr>
                <w:rFonts w:hint="default" w:ascii="Times New Roman" w:hAnsi="Times New Roman" w:cs="Times New Roman"/>
                <w:b/>
                <w:color w:val="auto"/>
                <w:sz w:val="21"/>
                <w:szCs w:val="21"/>
                <w:highlight w:val="none"/>
              </w:rPr>
              <w:t>废气</w:t>
            </w:r>
            <w:r>
              <w:rPr>
                <w:rFonts w:hint="default" w:ascii="Times New Roman" w:hAnsi="Times New Roman" w:cs="Times New Roman"/>
                <w:b/>
                <w:color w:val="auto"/>
                <w:sz w:val="21"/>
                <w:szCs w:val="21"/>
                <w:highlight w:val="none"/>
                <w:lang w:val="en-US" w:eastAsia="zh-CN"/>
              </w:rPr>
              <w:t>自行</w:t>
            </w:r>
            <w:r>
              <w:rPr>
                <w:rFonts w:hint="default" w:ascii="Times New Roman" w:hAnsi="Times New Roman" w:cs="Times New Roman"/>
                <w:b/>
                <w:color w:val="auto"/>
                <w:sz w:val="21"/>
                <w:szCs w:val="21"/>
                <w:highlight w:val="none"/>
              </w:rPr>
              <w:t>监测</w:t>
            </w:r>
            <w:r>
              <w:rPr>
                <w:rFonts w:hint="default" w:ascii="Times New Roman" w:hAnsi="Times New Roman" w:cs="Times New Roman"/>
                <w:b/>
                <w:color w:val="auto"/>
                <w:sz w:val="21"/>
                <w:szCs w:val="21"/>
                <w:highlight w:val="none"/>
                <w:lang w:val="en-US" w:eastAsia="zh-CN"/>
              </w:rPr>
              <w:t>方案</w:t>
            </w:r>
          </w:p>
          <w:tbl>
            <w:tblPr>
              <w:tblStyle w:val="3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28" w:type="dxa"/>
                <w:left w:w="79" w:type="dxa"/>
                <w:bottom w:w="28" w:type="dxa"/>
                <w:right w:w="79" w:type="dxa"/>
              </w:tblCellMar>
            </w:tblPr>
            <w:tblGrid>
              <w:gridCol w:w="1057"/>
              <w:gridCol w:w="2986"/>
              <w:gridCol w:w="2868"/>
              <w:gridCol w:w="1295"/>
            </w:tblGrid>
            <w:tr w14:paraId="4C655D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79" w:type="dxa"/>
                  <w:bottom w:w="28" w:type="dxa"/>
                  <w:right w:w="79" w:type="dxa"/>
                </w:tblCellMar>
              </w:tblPrEx>
              <w:trPr>
                <w:trHeight w:val="340" w:hRule="atLeast"/>
                <w:jc w:val="center"/>
              </w:trPr>
              <w:tc>
                <w:tcPr>
                  <w:tcW w:w="644" w:type="pct"/>
                  <w:vAlign w:val="center"/>
                </w:tcPr>
                <w:p w14:paraId="2449B7DB">
                  <w:pPr>
                    <w:adjustRightInd w:val="0"/>
                    <w:snapToGrid w:val="0"/>
                    <w:jc w:val="center"/>
                    <w:rPr>
                      <w:rFonts w:hint="default" w:ascii="Times New Roman" w:hAnsi="Times New Roman" w:eastAsia="宋体" w:cs="Times New Roman"/>
                      <w:b/>
                      <w:color w:val="auto"/>
                      <w:sz w:val="21"/>
                      <w:szCs w:val="21"/>
                      <w:lang w:eastAsia="zh-CN"/>
                    </w:rPr>
                  </w:pPr>
                  <w:r>
                    <w:rPr>
                      <w:rFonts w:hint="default" w:ascii="Times New Roman" w:hAnsi="Times New Roman" w:cs="Times New Roman"/>
                      <w:b/>
                      <w:color w:val="auto"/>
                      <w:sz w:val="21"/>
                      <w:szCs w:val="21"/>
                      <w:lang w:val="en-US" w:eastAsia="zh-CN"/>
                    </w:rPr>
                    <w:t>类别</w:t>
                  </w:r>
                </w:p>
              </w:tc>
              <w:tc>
                <w:tcPr>
                  <w:tcW w:w="1819" w:type="pct"/>
                  <w:vAlign w:val="center"/>
                </w:tcPr>
                <w:p w14:paraId="179D6D24">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监测点位</w:t>
                  </w:r>
                </w:p>
              </w:tc>
              <w:tc>
                <w:tcPr>
                  <w:tcW w:w="1747" w:type="pct"/>
                  <w:vAlign w:val="center"/>
                </w:tcPr>
                <w:p w14:paraId="1C56D2E6">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监测项目</w:t>
                  </w:r>
                </w:p>
              </w:tc>
              <w:tc>
                <w:tcPr>
                  <w:tcW w:w="789" w:type="pct"/>
                  <w:vAlign w:val="center"/>
                </w:tcPr>
                <w:p w14:paraId="5351BAB1">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监测频率</w:t>
                  </w:r>
                </w:p>
              </w:tc>
            </w:tr>
            <w:tr w14:paraId="0C2034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79" w:type="dxa"/>
                  <w:bottom w:w="28" w:type="dxa"/>
                  <w:right w:w="79" w:type="dxa"/>
                </w:tblCellMar>
              </w:tblPrEx>
              <w:trPr>
                <w:trHeight w:val="340" w:hRule="atLeast"/>
                <w:jc w:val="center"/>
              </w:trPr>
              <w:tc>
                <w:tcPr>
                  <w:tcW w:w="644" w:type="pct"/>
                  <w:vAlign w:val="center"/>
                </w:tcPr>
                <w:p w14:paraId="31EC3ABF">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有组织</w:t>
                  </w:r>
                </w:p>
              </w:tc>
              <w:tc>
                <w:tcPr>
                  <w:tcW w:w="1819" w:type="pct"/>
                  <w:vAlign w:val="center"/>
                </w:tcPr>
                <w:p w14:paraId="68074E7E">
                  <w:pPr>
                    <w:adjustRightInd w:val="0"/>
                    <w:snapToGrid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P4排气筒</w:t>
                  </w:r>
                </w:p>
              </w:tc>
              <w:tc>
                <w:tcPr>
                  <w:tcW w:w="1747" w:type="pct"/>
                  <w:vAlign w:val="center"/>
                </w:tcPr>
                <w:p w14:paraId="0935C508">
                  <w:pPr>
                    <w:adjustRightInd w:val="0"/>
                    <w:snapToGrid w:val="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w:t>
                  </w:r>
                </w:p>
              </w:tc>
              <w:tc>
                <w:tcPr>
                  <w:tcW w:w="789" w:type="pct"/>
                  <w:vAlign w:val="center"/>
                </w:tcPr>
                <w:p w14:paraId="7BCEF3B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1次/</w:t>
                  </w:r>
                  <w:r>
                    <w:rPr>
                      <w:rFonts w:hint="eastAsia" w:cs="Times New Roman"/>
                      <w:color w:val="auto"/>
                      <w:sz w:val="21"/>
                      <w:szCs w:val="21"/>
                      <w:highlight w:val="none"/>
                      <w:lang w:val="en-US" w:eastAsia="zh-CN"/>
                    </w:rPr>
                    <w:t>半</w:t>
                  </w:r>
                  <w:r>
                    <w:rPr>
                      <w:rFonts w:hint="eastAsia" w:ascii="Times New Roman" w:hAnsi="Times New Roman" w:eastAsia="宋体" w:cs="Times New Roman"/>
                      <w:color w:val="auto"/>
                      <w:sz w:val="21"/>
                      <w:szCs w:val="21"/>
                      <w:highlight w:val="none"/>
                      <w:lang w:val="en-US" w:eastAsia="zh-CN"/>
                    </w:rPr>
                    <w:t>年</w:t>
                  </w:r>
                </w:p>
              </w:tc>
            </w:tr>
            <w:tr w14:paraId="509A22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79" w:type="dxa"/>
                  <w:bottom w:w="28" w:type="dxa"/>
                  <w:right w:w="79" w:type="dxa"/>
                </w:tblCellMar>
              </w:tblPrEx>
              <w:trPr>
                <w:trHeight w:val="324" w:hRule="atLeast"/>
                <w:jc w:val="center"/>
              </w:trPr>
              <w:tc>
                <w:tcPr>
                  <w:tcW w:w="644" w:type="pct"/>
                  <w:vMerge w:val="restart"/>
                  <w:vAlign w:val="center"/>
                </w:tcPr>
                <w:p w14:paraId="23C819A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无组织</w:t>
                  </w:r>
                </w:p>
              </w:tc>
              <w:tc>
                <w:tcPr>
                  <w:tcW w:w="1819" w:type="pct"/>
                  <w:vAlign w:val="center"/>
                </w:tcPr>
                <w:p w14:paraId="3D894F11">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厂界外</w:t>
                  </w:r>
                </w:p>
              </w:tc>
              <w:tc>
                <w:tcPr>
                  <w:tcW w:w="1747" w:type="pct"/>
                  <w:vAlign w:val="center"/>
                </w:tcPr>
                <w:p w14:paraId="17BB6F60">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非甲烷总烃</w:t>
                  </w:r>
                </w:p>
              </w:tc>
              <w:tc>
                <w:tcPr>
                  <w:tcW w:w="789" w:type="pct"/>
                  <w:vAlign w:val="center"/>
                </w:tcPr>
                <w:p w14:paraId="4C09D7A8">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1次/</w:t>
                  </w:r>
                  <w:r>
                    <w:rPr>
                      <w:rFonts w:hint="eastAsia" w:ascii="Times New Roman" w:hAnsi="Times New Roman" w:eastAsia="宋体" w:cs="Times New Roman"/>
                      <w:color w:val="auto"/>
                      <w:sz w:val="21"/>
                      <w:szCs w:val="21"/>
                      <w:highlight w:val="none"/>
                      <w:lang w:val="en-US" w:eastAsia="zh-CN"/>
                    </w:rPr>
                    <w:t>年</w:t>
                  </w:r>
                </w:p>
              </w:tc>
            </w:tr>
            <w:tr w14:paraId="76BE1B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79" w:type="dxa"/>
                  <w:bottom w:w="28" w:type="dxa"/>
                  <w:right w:w="79" w:type="dxa"/>
                </w:tblCellMar>
              </w:tblPrEx>
              <w:trPr>
                <w:trHeight w:val="324" w:hRule="atLeast"/>
                <w:jc w:val="center"/>
              </w:trPr>
              <w:tc>
                <w:tcPr>
                  <w:tcW w:w="644" w:type="pct"/>
                  <w:vMerge w:val="continue"/>
                  <w:vAlign w:val="center"/>
                </w:tcPr>
                <w:p w14:paraId="7F7FD970">
                  <w:pPr>
                    <w:adjustRightInd w:val="0"/>
                    <w:snapToGrid w:val="0"/>
                    <w:jc w:val="center"/>
                    <w:rPr>
                      <w:rFonts w:hint="default" w:ascii="Times New Roman" w:hAnsi="Times New Roman" w:cs="Times New Roman"/>
                      <w:color w:val="auto"/>
                      <w:sz w:val="21"/>
                      <w:szCs w:val="21"/>
                      <w:lang w:val="en-US" w:eastAsia="zh-CN"/>
                    </w:rPr>
                  </w:pPr>
                </w:p>
              </w:tc>
              <w:tc>
                <w:tcPr>
                  <w:tcW w:w="1819" w:type="pct"/>
                  <w:vAlign w:val="center"/>
                </w:tcPr>
                <w:p w14:paraId="4A97D0B1">
                  <w:pPr>
                    <w:adjustRightInd w:val="0"/>
                    <w:snapToGrid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车间四外</w:t>
                  </w:r>
                </w:p>
              </w:tc>
              <w:tc>
                <w:tcPr>
                  <w:tcW w:w="1747" w:type="pct"/>
                  <w:vAlign w:val="center"/>
                </w:tcPr>
                <w:p w14:paraId="66BAC9FD">
                  <w:pPr>
                    <w:adjustRightInd w:val="0"/>
                    <w:snapToGrid w:val="0"/>
                    <w:jc w:val="center"/>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w:t>
                  </w:r>
                </w:p>
              </w:tc>
              <w:tc>
                <w:tcPr>
                  <w:tcW w:w="789" w:type="pct"/>
                  <w:vAlign w:val="center"/>
                </w:tcPr>
                <w:p w14:paraId="34E4944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1次/</w:t>
                  </w:r>
                  <w:r>
                    <w:rPr>
                      <w:rFonts w:hint="eastAsia" w:ascii="Times New Roman" w:hAnsi="Times New Roman" w:eastAsia="宋体" w:cs="Times New Roman"/>
                      <w:color w:val="auto"/>
                      <w:sz w:val="21"/>
                      <w:szCs w:val="21"/>
                      <w:highlight w:val="none"/>
                      <w:lang w:val="en-US" w:eastAsia="zh-CN"/>
                    </w:rPr>
                    <w:t>年</w:t>
                  </w:r>
                </w:p>
              </w:tc>
            </w:tr>
          </w:tbl>
          <w:p w14:paraId="0C7E1305">
            <w:pPr>
              <w:adjustRightInd w:val="0"/>
              <w:snapToGrid w:val="0"/>
              <w:spacing w:line="500" w:lineRule="exact"/>
              <w:ind w:firstLine="422" w:firstLineChars="200"/>
              <w:rPr>
                <w:rFonts w:hint="default" w:ascii="Times New Roman" w:hAnsi="Times New Roman" w:cs="Times New Roman"/>
                <w:b/>
                <w:color w:val="auto"/>
                <w:sz w:val="21"/>
                <w:szCs w:val="21"/>
              </w:rPr>
            </w:pPr>
            <w:r>
              <w:rPr>
                <w:rFonts w:hint="eastAsia" w:cs="Times New Roman"/>
                <w:b/>
                <w:color w:val="auto"/>
                <w:sz w:val="21"/>
                <w:szCs w:val="21"/>
                <w:lang w:val="en-US" w:eastAsia="zh-CN"/>
              </w:rPr>
              <w:t>6、</w:t>
            </w:r>
            <w:r>
              <w:rPr>
                <w:rFonts w:hint="default" w:ascii="Times New Roman" w:hAnsi="Times New Roman" w:cs="Times New Roman"/>
                <w:b/>
                <w:color w:val="auto"/>
                <w:sz w:val="21"/>
                <w:szCs w:val="21"/>
              </w:rPr>
              <w:t>大气环境影响分析</w:t>
            </w:r>
          </w:p>
          <w:p w14:paraId="6124E72B">
            <w:pPr>
              <w:adjustRightInd w:val="0"/>
              <w:snapToGrid w:val="0"/>
              <w:spacing w:line="500" w:lineRule="exact"/>
              <w:ind w:firstLine="420" w:firstLineChars="20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1）大气环境防护距离</w:t>
            </w:r>
          </w:p>
          <w:p w14:paraId="4516B735">
            <w:pPr>
              <w:adjustRightInd w:val="0"/>
              <w:snapToGrid w:val="0"/>
              <w:spacing w:line="500" w:lineRule="exact"/>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根据分析，本项目</w:t>
            </w:r>
            <w:r>
              <w:rPr>
                <w:rFonts w:hint="eastAsia" w:cs="Times New Roman"/>
                <w:color w:val="auto"/>
                <w:sz w:val="21"/>
                <w:szCs w:val="21"/>
                <w:lang w:val="en-US" w:eastAsia="zh-CN"/>
              </w:rPr>
              <w:t>车间四</w:t>
            </w:r>
            <w:r>
              <w:rPr>
                <w:rFonts w:hint="default" w:ascii="Times New Roman" w:hAnsi="Times New Roman" w:cs="Times New Roman"/>
                <w:color w:val="auto"/>
                <w:sz w:val="21"/>
                <w:szCs w:val="21"/>
              </w:rPr>
              <w:t>未捕集</w:t>
            </w:r>
            <w:r>
              <w:rPr>
                <w:rFonts w:hint="eastAsia" w:cs="Times New Roman"/>
                <w:color w:val="auto"/>
                <w:sz w:val="21"/>
                <w:szCs w:val="21"/>
                <w:lang w:val="en-US" w:eastAsia="zh-CN"/>
              </w:rPr>
              <w:t>的有机</w:t>
            </w:r>
            <w:r>
              <w:rPr>
                <w:rFonts w:hint="default" w:ascii="Times New Roman" w:hAnsi="Times New Roman" w:cs="Times New Roman"/>
                <w:color w:val="auto"/>
                <w:sz w:val="21"/>
                <w:szCs w:val="21"/>
                <w:lang w:val="en-US" w:eastAsia="zh-CN"/>
              </w:rPr>
              <w:t>废气</w:t>
            </w:r>
            <w:r>
              <w:rPr>
                <w:rFonts w:hint="default" w:ascii="Times New Roman" w:hAnsi="Times New Roman" w:cs="Times New Roman"/>
                <w:color w:val="auto"/>
                <w:sz w:val="21"/>
                <w:szCs w:val="21"/>
              </w:rPr>
              <w:t>无组织排放，大气环境防护距离计算模式采用环境保护部环境工程评估中心环境质量模拟重点实验室软件，经计算，本项目无组织排放废气计算结果无超标点。本项目不需设定大气环境防护距离。</w:t>
            </w:r>
          </w:p>
          <w:p w14:paraId="7138BDF8">
            <w:pPr>
              <w:adjustRightInd w:val="0"/>
              <w:snapToGrid w:val="0"/>
              <w:spacing w:line="500" w:lineRule="exact"/>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2）卫生防护距离</w:t>
            </w:r>
          </w:p>
          <w:p w14:paraId="190A1351">
            <w:pPr>
              <w:adjustRightInd w:val="0"/>
              <w:snapToGrid w:val="0"/>
              <w:spacing w:line="500" w:lineRule="exact"/>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根据《大气有害物质无组织排放卫生防护距离推导技术导则》(GB/T39499-2020)，各类工业企业卫生防护距离按下式计算：</w:t>
            </w:r>
          </w:p>
          <w:p w14:paraId="32495E47">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position w:val="-30"/>
                <w:sz w:val="21"/>
                <w:szCs w:val="21"/>
              </w:rPr>
              <w:object>
                <v:shape id="_x0000_i1025" o:spt="75" type="#_x0000_t75" style="height:38.15pt;width:153.15pt;" o:ole="t" filled="f" coordsize="21600,21600">
                  <v:path/>
                  <v:fill on="f" focussize="0,0"/>
                  <v:stroke/>
                  <v:imagedata r:id="rId21" o:title=""/>
                  <o:lock v:ext="edit" aspectratio="t"/>
                  <w10:wrap type="none"/>
                  <w10:anchorlock/>
                </v:shape>
                <o:OLEObject Type="Embed" ProgID="Equation.3" ShapeID="_x0000_i1025" DrawAspect="Content" ObjectID="_1468075725" r:id="rId20">
                  <o:LockedField>false</o:LockedField>
                </o:OLEObject>
              </w:object>
            </w:r>
          </w:p>
          <w:p w14:paraId="0581E3AA">
            <w:pPr>
              <w:snapToGrid w:val="0"/>
              <w:spacing w:line="500" w:lineRule="exact"/>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式中：</w:t>
            </w:r>
          </w:p>
          <w:p w14:paraId="511682DE">
            <w:pPr>
              <w:snapToGrid w:val="0"/>
              <w:spacing w:line="500" w:lineRule="exact"/>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vertAlign w:val="subscript"/>
              </w:rPr>
              <w:t>m</w:t>
            </w:r>
            <w:r>
              <w:rPr>
                <w:rFonts w:hint="default" w:ascii="Times New Roman" w:hAnsi="Times New Roman" w:cs="Times New Roman"/>
                <w:color w:val="auto"/>
                <w:sz w:val="21"/>
                <w:szCs w:val="21"/>
              </w:rPr>
              <w:t>—大气有害物质环境空气质量的标准限值，单位为毫克每立方米(mg/m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p w14:paraId="30189841">
            <w:pPr>
              <w:snapToGrid w:val="0"/>
              <w:spacing w:line="500" w:lineRule="exact"/>
              <w:ind w:firstLine="420" w:firstLineChars="200"/>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L—大气有害物质卫生防护距离初值，单位为米(m)</w:t>
            </w:r>
            <w:r>
              <w:rPr>
                <w:rFonts w:hint="eastAsia" w:cs="Times New Roman"/>
                <w:color w:val="auto"/>
                <w:sz w:val="21"/>
                <w:szCs w:val="21"/>
                <w:lang w:eastAsia="zh-CN"/>
              </w:rPr>
              <w:t>；</w:t>
            </w:r>
          </w:p>
          <w:p w14:paraId="261779D5">
            <w:pPr>
              <w:snapToGrid w:val="0"/>
              <w:spacing w:line="500" w:lineRule="exact"/>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r—大气有害物质无组织排放源所在生产单元的等效半径，单位为米(m)；</w:t>
            </w:r>
          </w:p>
          <w:p w14:paraId="27C5A59C">
            <w:pPr>
              <w:snapToGrid w:val="0"/>
              <w:spacing w:line="500" w:lineRule="exact"/>
              <w:ind w:firstLine="420" w:firstLineChars="200"/>
              <w:rPr>
                <w:rFonts w:hint="default" w:ascii="Times New Roman" w:hAnsi="Times New Roman" w:cs="Times New Roman"/>
                <w:b/>
                <w:color w:val="auto"/>
                <w:sz w:val="21"/>
                <w:szCs w:val="21"/>
              </w:rPr>
            </w:pPr>
            <w:r>
              <w:rPr>
                <w:rFonts w:hint="default" w:ascii="Times New Roman" w:hAnsi="Times New Roman" w:cs="Times New Roman"/>
                <w:color w:val="auto"/>
                <w:sz w:val="21"/>
                <w:szCs w:val="21"/>
              </w:rPr>
              <w:t>A、B、C、D—卫生防护距离初值计算系数，该地区的平均风速为2.9m/s，</w:t>
            </w:r>
            <w:r>
              <w:rPr>
                <w:rFonts w:hint="default" w:ascii="Times New Roman" w:hAnsi="Times New Roman" w:cs="Times New Roman"/>
                <w:color w:val="auto"/>
                <w:sz w:val="21"/>
                <w:szCs w:val="21"/>
                <w:lang w:val="en-US" w:eastAsia="zh-CN"/>
              </w:rPr>
              <w:t>参数</w:t>
            </w:r>
            <w:r>
              <w:rPr>
                <w:rFonts w:hint="default" w:ascii="Times New Roman" w:hAnsi="Times New Roman" w:cs="Times New Roman"/>
                <w:color w:val="auto"/>
                <w:sz w:val="21"/>
                <w:szCs w:val="21"/>
              </w:rPr>
              <w:t>的选取见下表。</w:t>
            </w:r>
          </w:p>
          <w:p w14:paraId="39461875">
            <w:pPr>
              <w:adjustRightInd w:val="0"/>
              <w:snapToGrid w:val="0"/>
              <w:spacing w:line="500" w:lineRule="exac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表4-</w:t>
            </w:r>
            <w:r>
              <w:rPr>
                <w:rFonts w:hint="eastAsia" w:cs="Times New Roman"/>
                <w:b/>
                <w:color w:val="auto"/>
                <w:sz w:val="21"/>
                <w:szCs w:val="21"/>
                <w:lang w:val="en-US" w:eastAsia="zh-CN"/>
              </w:rPr>
              <w:t>8</w:t>
            </w:r>
            <w:r>
              <w:rPr>
                <w:rFonts w:hint="default" w:ascii="Times New Roman" w:hAnsi="Times New Roman" w:cs="Times New Roman"/>
                <w:b/>
                <w:color w:val="auto"/>
                <w:sz w:val="21"/>
                <w:szCs w:val="21"/>
              </w:rPr>
              <w:t>卫生防护距离计算系数</w:t>
            </w:r>
          </w:p>
          <w:tbl>
            <w:tblPr>
              <w:tblStyle w:val="32"/>
              <w:tblW w:w="4883"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746"/>
              <w:gridCol w:w="745"/>
              <w:gridCol w:w="746"/>
              <w:gridCol w:w="749"/>
              <w:gridCol w:w="746"/>
              <w:gridCol w:w="746"/>
              <w:gridCol w:w="749"/>
              <w:gridCol w:w="746"/>
              <w:gridCol w:w="746"/>
              <w:gridCol w:w="744"/>
            </w:tblGrid>
            <w:tr w14:paraId="2CB8F2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restart"/>
                  <w:vAlign w:val="center"/>
                </w:tcPr>
                <w:p w14:paraId="65E1A78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计</w:t>
                  </w:r>
                </w:p>
                <w:p w14:paraId="7A29809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算</w:t>
                  </w:r>
                </w:p>
                <w:p w14:paraId="3349ED2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系</w:t>
                  </w:r>
                </w:p>
                <w:p w14:paraId="7D928ED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数</w:t>
                  </w:r>
                </w:p>
              </w:tc>
              <w:tc>
                <w:tcPr>
                  <w:tcW w:w="466" w:type="pct"/>
                  <w:vMerge w:val="restart"/>
                  <w:vAlign w:val="center"/>
                </w:tcPr>
                <w:p w14:paraId="47F861B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5年平均风速</w:t>
                  </w:r>
                </w:p>
                <w:p w14:paraId="65419D4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m/s</w:t>
                  </w:r>
                </w:p>
              </w:tc>
              <w:tc>
                <w:tcPr>
                  <w:tcW w:w="4187" w:type="pct"/>
                  <w:gridSpan w:val="9"/>
                  <w:vAlign w:val="center"/>
                </w:tcPr>
                <w:p w14:paraId="6CBDB58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卫生防护距离L，m</w:t>
                  </w:r>
                </w:p>
              </w:tc>
            </w:tr>
            <w:tr w14:paraId="32E9D2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47CF298D">
                  <w:pPr>
                    <w:jc w:val="center"/>
                    <w:rPr>
                      <w:rFonts w:hint="default" w:ascii="Times New Roman" w:hAnsi="Times New Roman" w:cs="Times New Roman"/>
                      <w:color w:val="auto"/>
                      <w:sz w:val="21"/>
                      <w:szCs w:val="21"/>
                    </w:rPr>
                  </w:pPr>
                </w:p>
              </w:tc>
              <w:tc>
                <w:tcPr>
                  <w:tcW w:w="466" w:type="pct"/>
                  <w:vMerge w:val="continue"/>
                  <w:vAlign w:val="center"/>
                </w:tcPr>
                <w:p w14:paraId="6D02AB91">
                  <w:pPr>
                    <w:jc w:val="center"/>
                    <w:rPr>
                      <w:rFonts w:hint="default" w:ascii="Times New Roman" w:hAnsi="Times New Roman" w:cs="Times New Roman"/>
                      <w:color w:val="auto"/>
                      <w:sz w:val="21"/>
                      <w:szCs w:val="21"/>
                    </w:rPr>
                  </w:pPr>
                </w:p>
              </w:tc>
              <w:tc>
                <w:tcPr>
                  <w:tcW w:w="1397" w:type="pct"/>
                  <w:gridSpan w:val="3"/>
                  <w:vAlign w:val="center"/>
                </w:tcPr>
                <w:p w14:paraId="274CCE1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L≤1000</w:t>
                  </w:r>
                </w:p>
              </w:tc>
              <w:tc>
                <w:tcPr>
                  <w:tcW w:w="1397" w:type="pct"/>
                  <w:gridSpan w:val="3"/>
                  <w:vAlign w:val="center"/>
                </w:tcPr>
                <w:p w14:paraId="2F37DB1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L≤1000</w:t>
                  </w:r>
                </w:p>
              </w:tc>
              <w:tc>
                <w:tcPr>
                  <w:tcW w:w="1392" w:type="pct"/>
                  <w:gridSpan w:val="3"/>
                  <w:vAlign w:val="center"/>
                </w:tcPr>
                <w:p w14:paraId="5CFA688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L≤1000</w:t>
                  </w:r>
                </w:p>
              </w:tc>
            </w:tr>
            <w:tr w14:paraId="21F373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5B5F6343">
                  <w:pPr>
                    <w:jc w:val="center"/>
                    <w:rPr>
                      <w:rFonts w:hint="default" w:ascii="Times New Roman" w:hAnsi="Times New Roman" w:cs="Times New Roman"/>
                      <w:color w:val="auto"/>
                      <w:sz w:val="21"/>
                      <w:szCs w:val="21"/>
                    </w:rPr>
                  </w:pPr>
                </w:p>
              </w:tc>
              <w:tc>
                <w:tcPr>
                  <w:tcW w:w="466" w:type="pct"/>
                  <w:vMerge w:val="continue"/>
                  <w:vAlign w:val="center"/>
                </w:tcPr>
                <w:p w14:paraId="47C4EAFD">
                  <w:pPr>
                    <w:jc w:val="center"/>
                    <w:rPr>
                      <w:rFonts w:hint="default" w:ascii="Times New Roman" w:hAnsi="Times New Roman" w:cs="Times New Roman"/>
                      <w:color w:val="auto"/>
                      <w:sz w:val="21"/>
                      <w:szCs w:val="21"/>
                    </w:rPr>
                  </w:pPr>
                </w:p>
              </w:tc>
              <w:tc>
                <w:tcPr>
                  <w:tcW w:w="4187" w:type="pct"/>
                  <w:gridSpan w:val="9"/>
                  <w:vAlign w:val="center"/>
                </w:tcPr>
                <w:p w14:paraId="4274F823">
                  <w:pPr>
                    <w:pStyle w:val="77"/>
                    <w:spacing w:line="240" w:lineRule="auto"/>
                    <w:ind w:firstLine="422"/>
                    <w:jc w:val="center"/>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工业大气污染源构成类别</w:t>
                  </w:r>
                </w:p>
              </w:tc>
            </w:tr>
            <w:tr w14:paraId="1A5F8C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35D4E182">
                  <w:pPr>
                    <w:jc w:val="center"/>
                    <w:rPr>
                      <w:rFonts w:hint="default" w:ascii="Times New Roman" w:hAnsi="Times New Roman" w:cs="Times New Roman"/>
                      <w:color w:val="auto"/>
                      <w:sz w:val="21"/>
                      <w:szCs w:val="21"/>
                    </w:rPr>
                  </w:pPr>
                </w:p>
              </w:tc>
              <w:tc>
                <w:tcPr>
                  <w:tcW w:w="466" w:type="pct"/>
                  <w:vMerge w:val="continue"/>
                  <w:vAlign w:val="center"/>
                </w:tcPr>
                <w:p w14:paraId="711BCCA6">
                  <w:pPr>
                    <w:jc w:val="center"/>
                    <w:rPr>
                      <w:rFonts w:hint="default" w:ascii="Times New Roman" w:hAnsi="Times New Roman" w:cs="Times New Roman"/>
                      <w:color w:val="auto"/>
                      <w:sz w:val="21"/>
                      <w:szCs w:val="21"/>
                    </w:rPr>
                  </w:pPr>
                </w:p>
              </w:tc>
              <w:tc>
                <w:tcPr>
                  <w:tcW w:w="465" w:type="pct"/>
                  <w:vAlign w:val="center"/>
                </w:tcPr>
                <w:p w14:paraId="1E899DC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Ⅰ</w:t>
                  </w:r>
                </w:p>
              </w:tc>
              <w:tc>
                <w:tcPr>
                  <w:tcW w:w="465" w:type="pct"/>
                  <w:vAlign w:val="center"/>
                </w:tcPr>
                <w:p w14:paraId="60D9DEF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Ⅱ</w:t>
                  </w:r>
                </w:p>
              </w:tc>
              <w:tc>
                <w:tcPr>
                  <w:tcW w:w="465" w:type="pct"/>
                  <w:vAlign w:val="center"/>
                </w:tcPr>
                <w:p w14:paraId="140AFBB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Ⅲ</w:t>
                  </w:r>
                </w:p>
              </w:tc>
              <w:tc>
                <w:tcPr>
                  <w:tcW w:w="465" w:type="pct"/>
                  <w:vAlign w:val="center"/>
                </w:tcPr>
                <w:p w14:paraId="6ADFAA4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Ⅰ</w:t>
                  </w:r>
                </w:p>
              </w:tc>
              <w:tc>
                <w:tcPr>
                  <w:tcW w:w="465" w:type="pct"/>
                  <w:vAlign w:val="center"/>
                </w:tcPr>
                <w:p w14:paraId="4D04E6B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Ⅱ</w:t>
                  </w:r>
                </w:p>
              </w:tc>
              <w:tc>
                <w:tcPr>
                  <w:tcW w:w="465" w:type="pct"/>
                  <w:vAlign w:val="center"/>
                </w:tcPr>
                <w:p w14:paraId="19F7F1A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Ⅲ</w:t>
                  </w:r>
                </w:p>
              </w:tc>
              <w:tc>
                <w:tcPr>
                  <w:tcW w:w="465" w:type="pct"/>
                  <w:vAlign w:val="center"/>
                </w:tcPr>
                <w:p w14:paraId="24B6811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Ⅰ</w:t>
                  </w:r>
                </w:p>
              </w:tc>
              <w:tc>
                <w:tcPr>
                  <w:tcW w:w="465" w:type="pct"/>
                  <w:vAlign w:val="center"/>
                </w:tcPr>
                <w:p w14:paraId="134839C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Ⅱ</w:t>
                  </w:r>
                </w:p>
              </w:tc>
              <w:tc>
                <w:tcPr>
                  <w:tcW w:w="460" w:type="pct"/>
                  <w:vAlign w:val="center"/>
                </w:tcPr>
                <w:p w14:paraId="0CB4C86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Ⅲ</w:t>
                  </w:r>
                </w:p>
              </w:tc>
            </w:tr>
            <w:tr w14:paraId="51B7D5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restart"/>
                  <w:vAlign w:val="center"/>
                </w:tcPr>
                <w:p w14:paraId="43FB574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w:t>
                  </w:r>
                </w:p>
              </w:tc>
              <w:tc>
                <w:tcPr>
                  <w:tcW w:w="466" w:type="pct"/>
                  <w:vAlign w:val="center"/>
                </w:tcPr>
                <w:p w14:paraId="318B2C4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465" w:type="pct"/>
                  <w:vAlign w:val="center"/>
                </w:tcPr>
                <w:p w14:paraId="79FC47F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w:t>
                  </w:r>
                </w:p>
              </w:tc>
              <w:tc>
                <w:tcPr>
                  <w:tcW w:w="465" w:type="pct"/>
                  <w:vAlign w:val="center"/>
                </w:tcPr>
                <w:p w14:paraId="1117201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w:t>
                  </w:r>
                </w:p>
              </w:tc>
              <w:tc>
                <w:tcPr>
                  <w:tcW w:w="465" w:type="pct"/>
                  <w:vAlign w:val="center"/>
                </w:tcPr>
                <w:p w14:paraId="255BCF9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w:t>
                  </w:r>
                </w:p>
              </w:tc>
              <w:tc>
                <w:tcPr>
                  <w:tcW w:w="465" w:type="pct"/>
                  <w:vAlign w:val="center"/>
                </w:tcPr>
                <w:p w14:paraId="61CDB3D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w:t>
                  </w:r>
                </w:p>
              </w:tc>
              <w:tc>
                <w:tcPr>
                  <w:tcW w:w="465" w:type="pct"/>
                  <w:vAlign w:val="center"/>
                </w:tcPr>
                <w:p w14:paraId="62F249D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w:t>
                  </w:r>
                </w:p>
              </w:tc>
              <w:tc>
                <w:tcPr>
                  <w:tcW w:w="465" w:type="pct"/>
                  <w:vAlign w:val="center"/>
                </w:tcPr>
                <w:p w14:paraId="5E6A16B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w:t>
                  </w:r>
                </w:p>
              </w:tc>
              <w:tc>
                <w:tcPr>
                  <w:tcW w:w="465" w:type="pct"/>
                  <w:vAlign w:val="center"/>
                </w:tcPr>
                <w:p w14:paraId="34F9EE6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w:t>
                  </w:r>
                </w:p>
              </w:tc>
              <w:tc>
                <w:tcPr>
                  <w:tcW w:w="465" w:type="pct"/>
                  <w:vAlign w:val="center"/>
                </w:tcPr>
                <w:p w14:paraId="0D5DC19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w:t>
                  </w:r>
                </w:p>
              </w:tc>
              <w:tc>
                <w:tcPr>
                  <w:tcW w:w="460" w:type="pct"/>
                  <w:vAlign w:val="center"/>
                </w:tcPr>
                <w:p w14:paraId="059E1A9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w:t>
                  </w:r>
                </w:p>
              </w:tc>
            </w:tr>
            <w:tr w14:paraId="588D6E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4E733011">
                  <w:pPr>
                    <w:jc w:val="center"/>
                    <w:rPr>
                      <w:rFonts w:hint="default" w:ascii="Times New Roman" w:hAnsi="Times New Roman" w:cs="Times New Roman"/>
                      <w:color w:val="auto"/>
                      <w:sz w:val="21"/>
                      <w:szCs w:val="21"/>
                    </w:rPr>
                  </w:pPr>
                </w:p>
              </w:tc>
              <w:tc>
                <w:tcPr>
                  <w:tcW w:w="466" w:type="pct"/>
                  <w:vAlign w:val="center"/>
                </w:tcPr>
                <w:p w14:paraId="2176161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w:t>
                  </w:r>
                </w:p>
              </w:tc>
              <w:tc>
                <w:tcPr>
                  <w:tcW w:w="465" w:type="pct"/>
                  <w:vAlign w:val="center"/>
                </w:tcPr>
                <w:p w14:paraId="667B07E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700</w:t>
                  </w:r>
                </w:p>
              </w:tc>
              <w:tc>
                <w:tcPr>
                  <w:tcW w:w="465" w:type="pct"/>
                  <w:shd w:val="clear" w:color="auto" w:fill="F1F1F1" w:themeFill="background1" w:themeFillShade="F2"/>
                  <w:vAlign w:val="center"/>
                </w:tcPr>
                <w:p w14:paraId="5022BEF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470</w:t>
                  </w:r>
                </w:p>
              </w:tc>
              <w:tc>
                <w:tcPr>
                  <w:tcW w:w="465" w:type="pct"/>
                  <w:vAlign w:val="center"/>
                </w:tcPr>
                <w:p w14:paraId="01E299E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350</w:t>
                  </w:r>
                </w:p>
              </w:tc>
              <w:tc>
                <w:tcPr>
                  <w:tcW w:w="465" w:type="pct"/>
                  <w:vAlign w:val="center"/>
                </w:tcPr>
                <w:p w14:paraId="47B67E1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700</w:t>
                  </w:r>
                </w:p>
              </w:tc>
              <w:tc>
                <w:tcPr>
                  <w:tcW w:w="465" w:type="pct"/>
                  <w:vAlign w:val="center"/>
                </w:tcPr>
                <w:p w14:paraId="6B0BE56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470</w:t>
                  </w:r>
                </w:p>
              </w:tc>
              <w:tc>
                <w:tcPr>
                  <w:tcW w:w="465" w:type="pct"/>
                  <w:vAlign w:val="center"/>
                </w:tcPr>
                <w:p w14:paraId="42FE7D2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350</w:t>
                  </w:r>
                </w:p>
              </w:tc>
              <w:tc>
                <w:tcPr>
                  <w:tcW w:w="465" w:type="pct"/>
                  <w:vAlign w:val="center"/>
                </w:tcPr>
                <w:p w14:paraId="0E9A871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380</w:t>
                  </w:r>
                </w:p>
              </w:tc>
              <w:tc>
                <w:tcPr>
                  <w:tcW w:w="465" w:type="pct"/>
                  <w:vAlign w:val="center"/>
                </w:tcPr>
                <w:p w14:paraId="1858307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250</w:t>
                  </w:r>
                </w:p>
              </w:tc>
              <w:tc>
                <w:tcPr>
                  <w:tcW w:w="460" w:type="pct"/>
                  <w:vAlign w:val="center"/>
                </w:tcPr>
                <w:p w14:paraId="25EBFF5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190</w:t>
                  </w:r>
                </w:p>
              </w:tc>
            </w:tr>
            <w:tr w14:paraId="00613F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2C8DDB44">
                  <w:pPr>
                    <w:jc w:val="center"/>
                    <w:rPr>
                      <w:rFonts w:hint="default" w:ascii="Times New Roman" w:hAnsi="Times New Roman" w:cs="Times New Roman"/>
                      <w:color w:val="auto"/>
                      <w:sz w:val="21"/>
                      <w:szCs w:val="21"/>
                    </w:rPr>
                  </w:pPr>
                </w:p>
              </w:tc>
              <w:tc>
                <w:tcPr>
                  <w:tcW w:w="466" w:type="pct"/>
                  <w:vAlign w:val="center"/>
                </w:tcPr>
                <w:p w14:paraId="09BDD9D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465" w:type="pct"/>
                  <w:vAlign w:val="center"/>
                </w:tcPr>
                <w:p w14:paraId="298AE9B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530</w:t>
                  </w:r>
                </w:p>
              </w:tc>
              <w:tc>
                <w:tcPr>
                  <w:tcW w:w="465" w:type="pct"/>
                  <w:vAlign w:val="center"/>
                </w:tcPr>
                <w:p w14:paraId="0EF14E8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350</w:t>
                  </w:r>
                </w:p>
              </w:tc>
              <w:tc>
                <w:tcPr>
                  <w:tcW w:w="465" w:type="pct"/>
                  <w:vAlign w:val="center"/>
                </w:tcPr>
                <w:p w14:paraId="41BFE3B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260</w:t>
                  </w:r>
                </w:p>
              </w:tc>
              <w:tc>
                <w:tcPr>
                  <w:tcW w:w="465" w:type="pct"/>
                  <w:vAlign w:val="center"/>
                </w:tcPr>
                <w:p w14:paraId="37FF0EC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530</w:t>
                  </w:r>
                </w:p>
              </w:tc>
              <w:tc>
                <w:tcPr>
                  <w:tcW w:w="465" w:type="pct"/>
                  <w:vAlign w:val="center"/>
                </w:tcPr>
                <w:p w14:paraId="35D7618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350</w:t>
                  </w:r>
                </w:p>
              </w:tc>
              <w:tc>
                <w:tcPr>
                  <w:tcW w:w="465" w:type="pct"/>
                  <w:vAlign w:val="center"/>
                </w:tcPr>
                <w:p w14:paraId="4E220D5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260</w:t>
                  </w:r>
                </w:p>
              </w:tc>
              <w:tc>
                <w:tcPr>
                  <w:tcW w:w="465" w:type="pct"/>
                  <w:vAlign w:val="center"/>
                </w:tcPr>
                <w:p w14:paraId="74A6F88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290</w:t>
                  </w:r>
                </w:p>
              </w:tc>
              <w:tc>
                <w:tcPr>
                  <w:tcW w:w="465" w:type="pct"/>
                  <w:vAlign w:val="center"/>
                </w:tcPr>
                <w:p w14:paraId="3B3A289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190</w:t>
                  </w:r>
                </w:p>
              </w:tc>
              <w:tc>
                <w:tcPr>
                  <w:tcW w:w="460" w:type="pct"/>
                  <w:vAlign w:val="center"/>
                </w:tcPr>
                <w:p w14:paraId="058B7A5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140</w:t>
                  </w:r>
                </w:p>
              </w:tc>
            </w:tr>
            <w:tr w14:paraId="4318E0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restart"/>
                  <w:vAlign w:val="center"/>
                </w:tcPr>
                <w:p w14:paraId="70FE37E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w:t>
                  </w:r>
                </w:p>
              </w:tc>
              <w:tc>
                <w:tcPr>
                  <w:tcW w:w="466" w:type="pct"/>
                  <w:vAlign w:val="center"/>
                </w:tcPr>
                <w:p w14:paraId="4A9901E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397" w:type="pct"/>
                  <w:gridSpan w:val="3"/>
                  <w:vAlign w:val="center"/>
                </w:tcPr>
                <w:p w14:paraId="2032266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w:t>
                  </w:r>
                </w:p>
              </w:tc>
              <w:tc>
                <w:tcPr>
                  <w:tcW w:w="1397" w:type="pct"/>
                  <w:gridSpan w:val="3"/>
                  <w:vAlign w:val="center"/>
                </w:tcPr>
                <w:p w14:paraId="695C562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0.015</w:t>
                  </w:r>
                </w:p>
              </w:tc>
              <w:tc>
                <w:tcPr>
                  <w:tcW w:w="1392" w:type="pct"/>
                  <w:gridSpan w:val="3"/>
                  <w:vAlign w:val="center"/>
                </w:tcPr>
                <w:p w14:paraId="096020A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0.015</w:t>
                  </w:r>
                </w:p>
              </w:tc>
            </w:tr>
            <w:tr w14:paraId="1DA07A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55ED500F">
                  <w:pPr>
                    <w:jc w:val="center"/>
                    <w:rPr>
                      <w:rFonts w:hint="default" w:ascii="Times New Roman" w:hAnsi="Times New Roman" w:cs="Times New Roman"/>
                      <w:color w:val="auto"/>
                      <w:sz w:val="21"/>
                      <w:szCs w:val="21"/>
                    </w:rPr>
                  </w:pPr>
                </w:p>
              </w:tc>
              <w:tc>
                <w:tcPr>
                  <w:tcW w:w="466" w:type="pct"/>
                  <w:vAlign w:val="center"/>
                </w:tcPr>
                <w:p w14:paraId="491F0AC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397" w:type="pct"/>
                  <w:gridSpan w:val="3"/>
                  <w:shd w:val="clear" w:color="auto" w:fill="F1F1F1" w:themeFill="background1" w:themeFillShade="F2"/>
                  <w:vAlign w:val="center"/>
                </w:tcPr>
                <w:p w14:paraId="667DBA6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0.021</w:t>
                  </w:r>
                </w:p>
              </w:tc>
              <w:tc>
                <w:tcPr>
                  <w:tcW w:w="1397" w:type="pct"/>
                  <w:gridSpan w:val="3"/>
                  <w:vAlign w:val="center"/>
                </w:tcPr>
                <w:p w14:paraId="36DE568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0.036</w:t>
                  </w:r>
                </w:p>
              </w:tc>
              <w:tc>
                <w:tcPr>
                  <w:tcW w:w="1392" w:type="pct"/>
                  <w:gridSpan w:val="3"/>
                  <w:vAlign w:val="center"/>
                </w:tcPr>
                <w:p w14:paraId="1C1ECE0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0.036</w:t>
                  </w:r>
                </w:p>
              </w:tc>
            </w:tr>
            <w:tr w14:paraId="0415D5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restart"/>
                  <w:vAlign w:val="center"/>
                </w:tcPr>
                <w:p w14:paraId="117987E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w:t>
                  </w:r>
                </w:p>
              </w:tc>
              <w:tc>
                <w:tcPr>
                  <w:tcW w:w="466" w:type="pct"/>
                  <w:vAlign w:val="center"/>
                </w:tcPr>
                <w:p w14:paraId="684B944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397" w:type="pct"/>
                  <w:gridSpan w:val="3"/>
                  <w:vAlign w:val="center"/>
                </w:tcPr>
                <w:p w14:paraId="26EB8F3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1.85</w:t>
                  </w:r>
                </w:p>
              </w:tc>
              <w:tc>
                <w:tcPr>
                  <w:tcW w:w="1397" w:type="pct"/>
                  <w:gridSpan w:val="3"/>
                  <w:vAlign w:val="center"/>
                </w:tcPr>
                <w:p w14:paraId="701890C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1.79</w:t>
                  </w:r>
                </w:p>
              </w:tc>
              <w:tc>
                <w:tcPr>
                  <w:tcW w:w="1392" w:type="pct"/>
                  <w:gridSpan w:val="3"/>
                  <w:vAlign w:val="center"/>
                </w:tcPr>
                <w:p w14:paraId="2CA9B52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1.79</w:t>
                  </w:r>
                </w:p>
              </w:tc>
            </w:tr>
            <w:tr w14:paraId="17DFBB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5A44F3CD">
                  <w:pPr>
                    <w:jc w:val="center"/>
                    <w:rPr>
                      <w:rFonts w:hint="default" w:ascii="Times New Roman" w:hAnsi="Times New Roman" w:cs="Times New Roman"/>
                      <w:color w:val="auto"/>
                      <w:sz w:val="21"/>
                      <w:szCs w:val="21"/>
                    </w:rPr>
                  </w:pPr>
                </w:p>
              </w:tc>
              <w:tc>
                <w:tcPr>
                  <w:tcW w:w="466" w:type="pct"/>
                  <w:vAlign w:val="center"/>
                </w:tcPr>
                <w:p w14:paraId="6C08984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397" w:type="pct"/>
                  <w:gridSpan w:val="3"/>
                  <w:shd w:val="clear" w:color="auto" w:fill="F1F1F1" w:themeFill="background1" w:themeFillShade="F2"/>
                  <w:vAlign w:val="center"/>
                </w:tcPr>
                <w:p w14:paraId="4CBAA97A">
                  <w:pPr>
                    <w:shd w:val="clear" w:fill="F1F1F1" w:themeFill="background1" w:themeFillShade="F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1.85</w:t>
                  </w:r>
                </w:p>
              </w:tc>
              <w:tc>
                <w:tcPr>
                  <w:tcW w:w="1397" w:type="pct"/>
                  <w:gridSpan w:val="3"/>
                  <w:vAlign w:val="center"/>
                </w:tcPr>
                <w:p w14:paraId="545BF96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1.77</w:t>
                  </w:r>
                </w:p>
              </w:tc>
              <w:tc>
                <w:tcPr>
                  <w:tcW w:w="1392" w:type="pct"/>
                  <w:gridSpan w:val="3"/>
                  <w:vAlign w:val="center"/>
                </w:tcPr>
                <w:p w14:paraId="6AAB8FD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1.77</w:t>
                  </w:r>
                </w:p>
              </w:tc>
            </w:tr>
            <w:tr w14:paraId="338463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restart"/>
                  <w:vAlign w:val="center"/>
                </w:tcPr>
                <w:p w14:paraId="76F4055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w:t>
                  </w:r>
                </w:p>
              </w:tc>
              <w:tc>
                <w:tcPr>
                  <w:tcW w:w="466" w:type="pct"/>
                  <w:vAlign w:val="center"/>
                </w:tcPr>
                <w:p w14:paraId="1600098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397" w:type="pct"/>
                  <w:gridSpan w:val="3"/>
                  <w:vAlign w:val="center"/>
                </w:tcPr>
                <w:p w14:paraId="293DE92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0.78</w:t>
                  </w:r>
                </w:p>
              </w:tc>
              <w:tc>
                <w:tcPr>
                  <w:tcW w:w="1397" w:type="pct"/>
                  <w:gridSpan w:val="3"/>
                  <w:vAlign w:val="center"/>
                </w:tcPr>
                <w:p w14:paraId="2124A44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0.78</w:t>
                  </w:r>
                </w:p>
              </w:tc>
              <w:tc>
                <w:tcPr>
                  <w:tcW w:w="1392" w:type="pct"/>
                  <w:gridSpan w:val="3"/>
                  <w:vAlign w:val="center"/>
                </w:tcPr>
                <w:p w14:paraId="3025C74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0.57</w:t>
                  </w:r>
                </w:p>
              </w:tc>
            </w:tr>
            <w:tr w14:paraId="495298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738B8AEA">
                  <w:pPr>
                    <w:jc w:val="center"/>
                    <w:rPr>
                      <w:rFonts w:hint="default" w:ascii="Times New Roman" w:hAnsi="Times New Roman" w:cs="Times New Roman"/>
                      <w:color w:val="auto"/>
                      <w:sz w:val="21"/>
                      <w:szCs w:val="21"/>
                    </w:rPr>
                  </w:pPr>
                </w:p>
              </w:tc>
              <w:tc>
                <w:tcPr>
                  <w:tcW w:w="466" w:type="pct"/>
                  <w:vAlign w:val="center"/>
                </w:tcPr>
                <w:p w14:paraId="2833B61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397" w:type="pct"/>
                  <w:gridSpan w:val="3"/>
                  <w:shd w:val="clear" w:color="auto" w:fill="F1F1F1" w:themeFill="background1" w:themeFillShade="F2"/>
                  <w:vAlign w:val="center"/>
                </w:tcPr>
                <w:p w14:paraId="583E6DB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0.84</w:t>
                  </w:r>
                </w:p>
              </w:tc>
              <w:tc>
                <w:tcPr>
                  <w:tcW w:w="1397" w:type="pct"/>
                  <w:gridSpan w:val="3"/>
                  <w:vAlign w:val="center"/>
                </w:tcPr>
                <w:p w14:paraId="60FDE0C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0.84</w:t>
                  </w:r>
                </w:p>
              </w:tc>
              <w:tc>
                <w:tcPr>
                  <w:tcW w:w="1392" w:type="pct"/>
                  <w:gridSpan w:val="3"/>
                  <w:vAlign w:val="center"/>
                </w:tcPr>
                <w:p w14:paraId="527746C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0.76</w:t>
                  </w:r>
                </w:p>
              </w:tc>
            </w:tr>
          </w:tbl>
          <w:p w14:paraId="2F80E063">
            <w:pPr>
              <w:adjustRightInd w:val="0"/>
              <w:snapToGrid w:val="0"/>
              <w:spacing w:line="500" w:lineRule="exact"/>
              <w:ind w:firstLine="420" w:firstLineChars="200"/>
              <w:jc w:val="left"/>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根据《制定地方大气污染物排放标准的技术方法》（GB/T39449-2020），卫生防护距离在100m以内时，级差为50m；超过100m，但小于或等于1000m时，级差为100m；超过1000m时，级差为200m。当按两种或两种以上的有害气体的Q/Cm值计算的卫生防护距离在同一级别时，该类工业企业的卫生防护距离级别应提高一级。经计算，</w:t>
            </w:r>
            <w:r>
              <w:rPr>
                <w:rFonts w:hint="default" w:ascii="Times New Roman" w:hAnsi="Times New Roman" w:cs="Times New Roman"/>
                <w:color w:val="auto"/>
                <w:sz w:val="21"/>
                <w:szCs w:val="21"/>
              </w:rPr>
              <w:t>本项目卫生防护距离计算结果见下表。</w:t>
            </w:r>
          </w:p>
          <w:p w14:paraId="34411BC6">
            <w:pPr>
              <w:adjustRightInd w:val="0"/>
              <w:snapToGrid w:val="0"/>
              <w:spacing w:line="500" w:lineRule="exac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表4-</w:t>
            </w:r>
            <w:r>
              <w:rPr>
                <w:rFonts w:hint="eastAsia" w:cs="Times New Roman"/>
                <w:b/>
                <w:color w:val="auto"/>
                <w:sz w:val="21"/>
                <w:szCs w:val="21"/>
                <w:lang w:val="en-US" w:eastAsia="zh-CN"/>
              </w:rPr>
              <w:t xml:space="preserve">9 </w:t>
            </w:r>
            <w:r>
              <w:rPr>
                <w:rFonts w:hint="default" w:ascii="Times New Roman" w:hAnsi="Times New Roman" w:cs="Times New Roman"/>
                <w:b/>
                <w:color w:val="auto"/>
                <w:sz w:val="21"/>
                <w:szCs w:val="21"/>
                <w:lang w:val="en-US" w:eastAsia="zh-CN"/>
              </w:rPr>
              <w:t>本项目</w:t>
            </w:r>
            <w:r>
              <w:rPr>
                <w:rFonts w:hint="default" w:ascii="Times New Roman" w:hAnsi="Times New Roman" w:cs="Times New Roman"/>
                <w:b/>
                <w:color w:val="auto"/>
                <w:sz w:val="21"/>
                <w:szCs w:val="21"/>
              </w:rPr>
              <w:t>污染物卫生防护距离计算表</w:t>
            </w:r>
          </w:p>
          <w:tbl>
            <w:tblPr>
              <w:tblStyle w:val="3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61"/>
              <w:gridCol w:w="1762"/>
              <w:gridCol w:w="1396"/>
              <w:gridCol w:w="1549"/>
              <w:gridCol w:w="1228"/>
              <w:gridCol w:w="1210"/>
            </w:tblGrid>
            <w:tr w14:paraId="25E9A3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6" w:type="pct"/>
                  <w:noWrap w:val="0"/>
                  <w:vAlign w:val="center"/>
                </w:tcPr>
                <w:p w14:paraId="676A8ABF">
                  <w:pPr>
                    <w:pStyle w:val="94"/>
                    <w:adjustRightInd w:val="0"/>
                    <w:snapToGrid w:val="0"/>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污染源类型</w:t>
                  </w:r>
                </w:p>
              </w:tc>
              <w:tc>
                <w:tcPr>
                  <w:tcW w:w="1073" w:type="pct"/>
                  <w:noWrap w:val="0"/>
                  <w:vAlign w:val="center"/>
                </w:tcPr>
                <w:p w14:paraId="457C54B9">
                  <w:pPr>
                    <w:pStyle w:val="94"/>
                    <w:adjustRightInd w:val="0"/>
                    <w:snapToGrid w:val="0"/>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污染物</w:t>
                  </w:r>
                </w:p>
              </w:tc>
              <w:tc>
                <w:tcPr>
                  <w:tcW w:w="850" w:type="pct"/>
                  <w:noWrap w:val="0"/>
                  <w:vAlign w:val="center"/>
                </w:tcPr>
                <w:p w14:paraId="3BF0B049">
                  <w:pPr>
                    <w:pStyle w:val="94"/>
                    <w:adjustRightInd w:val="0"/>
                    <w:snapToGrid w:val="0"/>
                    <w:spacing w:line="240" w:lineRule="auto"/>
                    <w:ind w:firstLine="0" w:firstLineChars="0"/>
                    <w:jc w:val="center"/>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产生速率kg/h</w:t>
                  </w:r>
                </w:p>
              </w:tc>
              <w:tc>
                <w:tcPr>
                  <w:tcW w:w="943" w:type="pct"/>
                  <w:noWrap w:val="0"/>
                  <w:vAlign w:val="center"/>
                </w:tcPr>
                <w:p w14:paraId="3ABE5A7E">
                  <w:pPr>
                    <w:pStyle w:val="94"/>
                    <w:adjustRightInd w:val="0"/>
                    <w:snapToGrid w:val="0"/>
                    <w:spacing w:line="240" w:lineRule="auto"/>
                    <w:ind w:firstLine="0" w:firstLineChars="0"/>
                    <w:jc w:val="center"/>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标准限制</w:t>
                  </w:r>
                  <w:r>
                    <w:rPr>
                      <w:rFonts w:hint="default" w:ascii="Times New Roman" w:hAnsi="Times New Roman" w:eastAsia="宋体" w:cs="Times New Roman"/>
                      <w:b/>
                      <w:color w:val="auto"/>
                      <w:sz w:val="21"/>
                      <w:szCs w:val="21"/>
                      <w:highlight w:val="none"/>
                    </w:rPr>
                    <w:t>（mg/m</w:t>
                  </w:r>
                  <w:r>
                    <w:rPr>
                      <w:rFonts w:hint="default" w:ascii="Times New Roman" w:hAnsi="Times New Roman" w:eastAsia="宋体" w:cs="Times New Roman"/>
                      <w:b/>
                      <w:color w:val="auto"/>
                      <w:sz w:val="21"/>
                      <w:szCs w:val="21"/>
                      <w:highlight w:val="none"/>
                      <w:vertAlign w:val="superscript"/>
                    </w:rPr>
                    <w:t>3</w:t>
                  </w:r>
                  <w:r>
                    <w:rPr>
                      <w:rFonts w:hint="default" w:ascii="Times New Roman" w:hAnsi="Times New Roman" w:eastAsia="宋体" w:cs="Times New Roman"/>
                      <w:b/>
                      <w:color w:val="auto"/>
                      <w:sz w:val="21"/>
                      <w:szCs w:val="21"/>
                      <w:highlight w:val="none"/>
                    </w:rPr>
                    <w:t>）</w:t>
                  </w:r>
                </w:p>
              </w:tc>
              <w:tc>
                <w:tcPr>
                  <w:tcW w:w="748" w:type="pct"/>
                  <w:noWrap w:val="0"/>
                  <w:vAlign w:val="center"/>
                </w:tcPr>
                <w:p w14:paraId="5A7FE23B">
                  <w:pPr>
                    <w:pStyle w:val="94"/>
                    <w:adjustRightInd w:val="0"/>
                    <w:snapToGrid w:val="0"/>
                    <w:spacing w:line="240" w:lineRule="auto"/>
                    <w:ind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sz w:val="21"/>
                      <w:szCs w:val="21"/>
                      <w:highlight w:val="none"/>
                    </w:rPr>
                    <w:t>计算值（m）</w:t>
                  </w:r>
                </w:p>
              </w:tc>
              <w:tc>
                <w:tcPr>
                  <w:tcW w:w="737" w:type="pct"/>
                  <w:noWrap w:val="0"/>
                  <w:vAlign w:val="center"/>
                </w:tcPr>
                <w:p w14:paraId="5F68FBEA">
                  <w:pPr>
                    <w:pStyle w:val="94"/>
                    <w:adjustRightInd w:val="0"/>
                    <w:snapToGrid w:val="0"/>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卫生防护距离（m）</w:t>
                  </w:r>
                </w:p>
              </w:tc>
            </w:tr>
            <w:tr w14:paraId="7EC143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6" w:type="pct"/>
                  <w:noWrap w:val="0"/>
                  <w:vAlign w:val="center"/>
                </w:tcPr>
                <w:p w14:paraId="0319EA07">
                  <w:pPr>
                    <w:pStyle w:val="94"/>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车间四</w:t>
                  </w:r>
                </w:p>
              </w:tc>
              <w:tc>
                <w:tcPr>
                  <w:tcW w:w="1073" w:type="pct"/>
                  <w:noWrap w:val="0"/>
                  <w:vAlign w:val="center"/>
                </w:tcPr>
                <w:p w14:paraId="1DEB4C2C">
                  <w:pPr>
                    <w:pStyle w:val="19"/>
                    <w:tabs>
                      <w:tab w:val="clear" w:pos="4153"/>
                      <w:tab w:val="clear" w:pos="8306"/>
                    </w:tabs>
                    <w:adjustRightInd w:val="0"/>
                    <w:rPr>
                      <w:rFonts w:hint="eastAsia" w:ascii="Times New Roman" w:hAnsi="Times New Roman" w:eastAsia="宋体" w:cs="Times New Roman"/>
                      <w:color w:val="auto"/>
                      <w:spacing w:val="-2"/>
                      <w:kern w:val="28"/>
                      <w:sz w:val="21"/>
                      <w:szCs w:val="21"/>
                      <w:highlight w:val="none"/>
                      <w:lang w:val="en-US" w:eastAsia="zh-CN"/>
                    </w:rPr>
                  </w:pPr>
                  <w:r>
                    <w:rPr>
                      <w:rFonts w:hint="default" w:ascii="Times New Roman" w:hAnsi="Times New Roman" w:cs="Times New Roman"/>
                      <w:color w:val="auto"/>
                      <w:sz w:val="21"/>
                      <w:szCs w:val="21"/>
                      <w:lang w:val="en-US" w:eastAsia="zh-CN"/>
                    </w:rPr>
                    <w:t>非甲烷总烃</w:t>
                  </w:r>
                </w:p>
              </w:tc>
              <w:tc>
                <w:tcPr>
                  <w:tcW w:w="850" w:type="pct"/>
                  <w:noWrap w:val="0"/>
                  <w:vAlign w:val="center"/>
                </w:tcPr>
                <w:p w14:paraId="2931B8D3">
                  <w:pPr>
                    <w:pStyle w:val="24"/>
                    <w:spacing w:after="0" w:line="240" w:lineRule="auto"/>
                    <w:jc w:val="center"/>
                    <w:rPr>
                      <w:rFonts w:hint="default" w:ascii="Times New Roman" w:hAnsi="Times New Roman" w:eastAsia="宋体" w:cs="Times New Roman"/>
                      <w:bCs/>
                      <w:color w:val="auto"/>
                      <w:sz w:val="21"/>
                      <w:szCs w:val="21"/>
                      <w:highlight w:val="none"/>
                      <w:lang w:val="en-US" w:eastAsia="zh-CN"/>
                    </w:rPr>
                  </w:pPr>
                  <w:r>
                    <w:rPr>
                      <w:rFonts w:hint="eastAsia" w:cs="Times New Roman" w:eastAsiaTheme="minorEastAsia"/>
                      <w:bCs/>
                      <w:color w:val="auto"/>
                      <w:sz w:val="21"/>
                      <w:szCs w:val="21"/>
                      <w:lang w:val="en-US" w:eastAsia="zh-CN"/>
                    </w:rPr>
                    <w:t>0.033</w:t>
                  </w:r>
                </w:p>
              </w:tc>
              <w:tc>
                <w:tcPr>
                  <w:tcW w:w="943" w:type="pct"/>
                  <w:noWrap w:val="0"/>
                  <w:vAlign w:val="center"/>
                </w:tcPr>
                <w:p w14:paraId="1831011A">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2.0</w:t>
                  </w:r>
                </w:p>
              </w:tc>
              <w:tc>
                <w:tcPr>
                  <w:tcW w:w="748" w:type="pct"/>
                  <w:noWrap w:val="0"/>
                  <w:vAlign w:val="center"/>
                </w:tcPr>
                <w:p w14:paraId="43548073">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lang w:val="en-US" w:eastAsia="zh-CN"/>
                    </w:rPr>
                    <w:t>&lt;50</w:t>
                  </w:r>
                </w:p>
              </w:tc>
              <w:tc>
                <w:tcPr>
                  <w:tcW w:w="737" w:type="pct"/>
                  <w:noWrap w:val="0"/>
                  <w:vAlign w:val="center"/>
                </w:tcPr>
                <w:p w14:paraId="1170D52A">
                  <w:pPr>
                    <w:pStyle w:val="94"/>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50</w:t>
                  </w:r>
                </w:p>
              </w:tc>
            </w:tr>
          </w:tbl>
          <w:p w14:paraId="581DE39B">
            <w:pPr>
              <w:keepNext w:val="0"/>
              <w:keepLines w:val="0"/>
              <w:pageBreakBefore w:val="0"/>
              <w:tabs>
                <w:tab w:val="left" w:pos="1155"/>
              </w:tabs>
              <w:kinsoku/>
              <w:wordWrap/>
              <w:overflowPunct/>
              <w:topLinePunct w:val="0"/>
              <w:autoSpaceDE/>
              <w:autoSpaceDN/>
              <w:bidi w:val="0"/>
              <w:adjustRightInd w:val="0"/>
              <w:snapToGrid w:val="0"/>
              <w:spacing w:line="48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rPr>
              <w:t>由上表可知，</w:t>
            </w:r>
            <w:r>
              <w:rPr>
                <w:rFonts w:hint="default" w:ascii="Times New Roman" w:hAnsi="Times New Roman" w:cs="Times New Roman"/>
                <w:color w:val="auto"/>
                <w:sz w:val="21"/>
                <w:szCs w:val="21"/>
                <w:highlight w:val="none"/>
              </w:rPr>
              <w:t>项目</w:t>
            </w:r>
            <w:r>
              <w:rPr>
                <w:rFonts w:hint="default" w:ascii="Times New Roman" w:hAnsi="Times New Roman" w:eastAsia="宋体" w:cs="Times New Roman"/>
                <w:color w:val="auto"/>
                <w:sz w:val="21"/>
                <w:szCs w:val="21"/>
                <w:highlight w:val="none"/>
                <w:lang w:val="en-US" w:eastAsia="zh-CN"/>
              </w:rPr>
              <w:t>卫生防护距离为</w:t>
            </w:r>
            <w:r>
              <w:rPr>
                <w:rFonts w:hint="eastAsia" w:ascii="Times New Roman" w:hAnsi="Times New Roman" w:eastAsia="宋体" w:cs="Times New Roman"/>
                <w:color w:val="auto"/>
                <w:sz w:val="21"/>
                <w:szCs w:val="21"/>
                <w:highlight w:val="none"/>
                <w:lang w:val="en-US" w:eastAsia="zh-CN"/>
              </w:rPr>
              <w:t>车间四</w:t>
            </w:r>
            <w:r>
              <w:rPr>
                <w:rFonts w:hint="default" w:ascii="Times New Roman" w:hAnsi="Times New Roman" w:eastAsia="宋体" w:cs="Times New Roman"/>
                <w:color w:val="auto"/>
                <w:sz w:val="21"/>
                <w:szCs w:val="21"/>
                <w:highlight w:val="none"/>
                <w:lang w:val="en-US" w:eastAsia="zh-CN"/>
              </w:rPr>
              <w:t>边界向外扩</w:t>
            </w:r>
            <w:r>
              <w:rPr>
                <w:rFonts w:hint="eastAsia" w:ascii="Times New Roman" w:hAnsi="Times New Roman" w:eastAsia="宋体" w:cs="Times New Roman"/>
                <w:color w:val="auto"/>
                <w:sz w:val="21"/>
                <w:szCs w:val="21"/>
                <w:highlight w:val="none"/>
                <w:lang w:val="en-US" w:eastAsia="zh-CN"/>
              </w:rPr>
              <w:t>50</w:t>
            </w:r>
            <w:r>
              <w:rPr>
                <w:rFonts w:hint="default" w:ascii="Times New Roman" w:hAnsi="Times New Roman" w:eastAsia="宋体" w:cs="Times New Roman"/>
                <w:color w:val="auto"/>
                <w:sz w:val="21"/>
                <w:szCs w:val="21"/>
                <w:highlight w:val="none"/>
                <w:lang w:val="en-US" w:eastAsia="zh-CN"/>
              </w:rPr>
              <w:t>m形成的</w:t>
            </w:r>
            <w:r>
              <w:rPr>
                <w:rFonts w:hint="eastAsia" w:ascii="Times New Roman" w:hAnsi="Times New Roman" w:eastAsia="宋体" w:cs="Times New Roman"/>
                <w:color w:val="auto"/>
                <w:sz w:val="21"/>
                <w:szCs w:val="21"/>
                <w:highlight w:val="none"/>
                <w:lang w:val="en-US" w:eastAsia="zh-CN"/>
              </w:rPr>
              <w:t>范围</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全厂</w:t>
            </w:r>
            <w:r>
              <w:rPr>
                <w:rFonts w:hint="default" w:ascii="Times New Roman" w:hAnsi="Times New Roman" w:eastAsia="宋体" w:cs="Times New Roman"/>
                <w:color w:val="auto"/>
                <w:sz w:val="21"/>
                <w:szCs w:val="21"/>
                <w:highlight w:val="none"/>
                <w:lang w:val="en-US" w:eastAsia="zh-CN"/>
              </w:rPr>
              <w:t>卫生防护距离为</w:t>
            </w:r>
            <w:r>
              <w:rPr>
                <w:rFonts w:hint="eastAsia" w:ascii="Times New Roman" w:hAnsi="Times New Roman" w:eastAsia="宋体" w:cs="Times New Roman"/>
                <w:color w:val="auto"/>
                <w:sz w:val="21"/>
                <w:szCs w:val="21"/>
                <w:highlight w:val="none"/>
                <w:lang w:val="en-US" w:eastAsia="zh-CN"/>
              </w:rPr>
              <w:t>厂房一</w:t>
            </w:r>
            <w:r>
              <w:rPr>
                <w:rFonts w:hint="default" w:ascii="Times New Roman" w:hAnsi="Times New Roman" w:eastAsia="宋体" w:cs="Times New Roman"/>
                <w:color w:val="auto"/>
                <w:sz w:val="21"/>
                <w:szCs w:val="21"/>
                <w:highlight w:val="none"/>
                <w:lang w:val="en-US" w:eastAsia="zh-CN"/>
              </w:rPr>
              <w:t>边界向外扩50m、</w:t>
            </w:r>
            <w:r>
              <w:rPr>
                <w:rFonts w:hint="eastAsia" w:ascii="Times New Roman" w:hAnsi="Times New Roman" w:eastAsia="宋体" w:cs="Times New Roman"/>
                <w:color w:val="auto"/>
                <w:sz w:val="21"/>
                <w:szCs w:val="21"/>
                <w:highlight w:val="none"/>
                <w:lang w:val="en-US" w:eastAsia="zh-CN"/>
              </w:rPr>
              <w:t>厂房二</w:t>
            </w:r>
            <w:r>
              <w:rPr>
                <w:rFonts w:hint="default" w:ascii="Times New Roman" w:hAnsi="Times New Roman" w:eastAsia="宋体" w:cs="Times New Roman"/>
                <w:color w:val="auto"/>
                <w:sz w:val="21"/>
                <w:szCs w:val="21"/>
                <w:highlight w:val="none"/>
                <w:lang w:val="en-US" w:eastAsia="zh-CN"/>
              </w:rPr>
              <w:t>边界向外扩50m、</w:t>
            </w:r>
            <w:r>
              <w:rPr>
                <w:rFonts w:hint="eastAsia" w:ascii="Times New Roman" w:hAnsi="Times New Roman" w:eastAsia="宋体" w:cs="Times New Roman"/>
                <w:color w:val="auto"/>
                <w:sz w:val="21"/>
                <w:szCs w:val="21"/>
                <w:highlight w:val="none"/>
                <w:lang w:val="en-US" w:eastAsia="zh-CN"/>
              </w:rPr>
              <w:t>车间三</w:t>
            </w:r>
            <w:r>
              <w:rPr>
                <w:rFonts w:hint="default" w:ascii="Times New Roman" w:hAnsi="Times New Roman" w:eastAsia="宋体" w:cs="Times New Roman"/>
                <w:color w:val="auto"/>
                <w:sz w:val="21"/>
                <w:szCs w:val="21"/>
                <w:highlight w:val="none"/>
                <w:lang w:val="en-US" w:eastAsia="zh-CN"/>
              </w:rPr>
              <w:t>边界向外扩50m</w:t>
            </w:r>
            <w:r>
              <w:rPr>
                <w:rFonts w:hint="eastAsia" w:ascii="Times New Roman" w:hAnsi="Times New Roman" w:eastAsia="宋体" w:cs="Times New Roman"/>
                <w:color w:val="auto"/>
                <w:sz w:val="21"/>
                <w:szCs w:val="21"/>
                <w:highlight w:val="none"/>
                <w:lang w:val="en-US" w:eastAsia="zh-CN"/>
              </w:rPr>
              <w:t>、车间四</w:t>
            </w:r>
            <w:r>
              <w:rPr>
                <w:rFonts w:hint="default" w:ascii="Times New Roman" w:hAnsi="Times New Roman" w:eastAsia="宋体" w:cs="Times New Roman"/>
                <w:color w:val="auto"/>
                <w:sz w:val="21"/>
                <w:szCs w:val="21"/>
                <w:highlight w:val="none"/>
                <w:lang w:val="en-US" w:eastAsia="zh-CN"/>
              </w:rPr>
              <w:t>边界向外扩50m、</w:t>
            </w:r>
            <w:r>
              <w:rPr>
                <w:rFonts w:hint="eastAsia" w:ascii="Times New Roman" w:hAnsi="Times New Roman" w:eastAsia="宋体" w:cs="Times New Roman"/>
                <w:color w:val="auto"/>
                <w:sz w:val="21"/>
                <w:szCs w:val="21"/>
                <w:highlight w:val="none"/>
                <w:lang w:val="en-US" w:eastAsia="zh-CN"/>
              </w:rPr>
              <w:t>车间五</w:t>
            </w:r>
            <w:r>
              <w:rPr>
                <w:rFonts w:hint="default" w:ascii="Times New Roman" w:hAnsi="Times New Roman" w:eastAsia="宋体" w:cs="Times New Roman"/>
                <w:color w:val="auto"/>
                <w:sz w:val="21"/>
                <w:szCs w:val="21"/>
                <w:highlight w:val="none"/>
                <w:lang w:val="en-US" w:eastAsia="zh-CN"/>
              </w:rPr>
              <w:t>边界向外扩50m形成的</w:t>
            </w:r>
            <w:r>
              <w:rPr>
                <w:rFonts w:hint="eastAsia" w:ascii="Times New Roman" w:hAnsi="Times New Roman" w:eastAsia="宋体" w:cs="Times New Roman"/>
                <w:color w:val="auto"/>
                <w:sz w:val="21"/>
                <w:szCs w:val="21"/>
                <w:highlight w:val="none"/>
                <w:lang w:val="en-US" w:eastAsia="zh-CN"/>
              </w:rPr>
              <w:t>包络线范围。</w:t>
            </w:r>
            <w:r>
              <w:rPr>
                <w:rFonts w:hint="default" w:ascii="Times New Roman" w:hAnsi="Times New Roman" w:eastAsia="宋体" w:cs="Times New Roman"/>
                <w:color w:val="auto"/>
                <w:sz w:val="21"/>
                <w:szCs w:val="21"/>
                <w:highlight w:val="none"/>
                <w:lang w:val="en-US" w:eastAsia="zh-CN"/>
              </w:rPr>
              <w:t>经实地勘察，</w:t>
            </w:r>
            <w:r>
              <w:rPr>
                <w:rFonts w:hint="eastAsia" w:ascii="Times New Roman" w:hAnsi="Times New Roman" w:eastAsia="宋体" w:cs="Times New Roman"/>
                <w:color w:val="auto"/>
                <w:sz w:val="21"/>
                <w:szCs w:val="21"/>
                <w:highlight w:val="none"/>
                <w:lang w:val="en-US" w:eastAsia="zh-CN"/>
              </w:rPr>
              <w:t>距离本项目车间二最近的环境敏感点为北侧63m处的儒</w:t>
            </w:r>
            <w:r>
              <w:rPr>
                <w:rFonts w:hint="eastAsia" w:cs="Times New Roman"/>
                <w:color w:val="auto"/>
                <w:sz w:val="21"/>
                <w:szCs w:val="21"/>
                <w:highlight w:val="none"/>
                <w:lang w:val="en-US" w:eastAsia="zh-CN"/>
              </w:rPr>
              <w:t>林陈氏骨科医院，故</w:t>
            </w:r>
            <w:r>
              <w:rPr>
                <w:rFonts w:hint="default" w:ascii="Times New Roman" w:hAnsi="Times New Roman" w:eastAsia="宋体" w:cs="Times New Roman"/>
                <w:color w:val="auto"/>
                <w:sz w:val="21"/>
                <w:szCs w:val="21"/>
                <w:highlight w:val="none"/>
                <w:lang w:val="en-US" w:eastAsia="zh-CN"/>
              </w:rPr>
              <w:t>项目卫生防护距离内目前无居住、医院、学校等环境敏感点。</w:t>
            </w:r>
          </w:p>
          <w:p w14:paraId="7F858A5E">
            <w:pPr>
              <w:keepNext w:val="0"/>
              <w:keepLines w:val="0"/>
              <w:pageBreakBefore w:val="0"/>
              <w:tabs>
                <w:tab w:val="left" w:pos="1155"/>
              </w:tabs>
              <w:kinsoku/>
              <w:wordWrap/>
              <w:overflowPunct/>
              <w:topLinePunct w:val="0"/>
              <w:autoSpaceDE/>
              <w:autoSpaceDN/>
              <w:bidi w:val="0"/>
              <w:adjustRightInd w:val="0"/>
              <w:snapToGrid w:val="0"/>
              <w:spacing w:line="480" w:lineRule="exact"/>
              <w:ind w:firstLine="422" w:firstLineChars="200"/>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7、</w:t>
            </w:r>
            <w:r>
              <w:rPr>
                <w:rFonts w:hint="default" w:ascii="Times New Roman" w:hAnsi="Times New Roman" w:eastAsia="宋体" w:cs="Times New Roman"/>
                <w:b/>
                <w:bCs/>
                <w:color w:val="auto"/>
                <w:sz w:val="21"/>
                <w:szCs w:val="21"/>
                <w:highlight w:val="none"/>
                <w:lang w:val="en-US" w:eastAsia="zh-CN"/>
              </w:rPr>
              <w:t>废气排放环境影响分析</w:t>
            </w:r>
          </w:p>
          <w:p w14:paraId="18B16EB7">
            <w:pPr>
              <w:keepNext w:val="0"/>
              <w:keepLines w:val="0"/>
              <w:pageBreakBefore w:val="0"/>
              <w:tabs>
                <w:tab w:val="left" w:pos="1155"/>
              </w:tabs>
              <w:kinsoku/>
              <w:wordWrap/>
              <w:overflowPunct/>
              <w:topLinePunct w:val="0"/>
              <w:autoSpaceDE/>
              <w:autoSpaceDN/>
              <w:bidi w:val="0"/>
              <w:adjustRightInd w:val="0"/>
              <w:snapToGrid w:val="0"/>
              <w:spacing w:line="48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常州市目前属于环境空气质量不达标区，为改善大气环境质量，常州市印发、实施了多项改善大气环境质量、强化废气排放管控的方案和举措，在积极采取管控措施后，常州市环境空气质量将得到持续改善。</w:t>
            </w:r>
          </w:p>
          <w:p w14:paraId="062A3675">
            <w:pPr>
              <w:keepNext w:val="0"/>
              <w:keepLines w:val="0"/>
              <w:pageBreakBefore w:val="0"/>
              <w:tabs>
                <w:tab w:val="left" w:pos="1155"/>
              </w:tabs>
              <w:kinsoku/>
              <w:wordWrap/>
              <w:overflowPunct/>
              <w:topLinePunct w:val="0"/>
              <w:autoSpaceDE/>
              <w:autoSpaceDN/>
              <w:bidi w:val="0"/>
              <w:adjustRightInd w:val="0"/>
              <w:snapToGrid w:val="0"/>
              <w:spacing w:line="48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本项目排放的大气污染物</w:t>
            </w:r>
            <w:r>
              <w:rPr>
                <w:rFonts w:hint="eastAsia" w:ascii="Times New Roman" w:hAnsi="Times New Roman" w:eastAsia="宋体" w:cs="Times New Roman"/>
                <w:color w:val="auto"/>
                <w:sz w:val="21"/>
                <w:szCs w:val="21"/>
                <w:highlight w:val="none"/>
                <w:lang w:val="en-US" w:eastAsia="zh-CN"/>
              </w:rPr>
              <w:t>主要</w:t>
            </w:r>
            <w:r>
              <w:rPr>
                <w:rFonts w:hint="default" w:ascii="Times New Roman" w:hAnsi="Times New Roman" w:eastAsia="宋体" w:cs="Times New Roman"/>
                <w:color w:val="auto"/>
                <w:sz w:val="21"/>
                <w:szCs w:val="21"/>
                <w:highlight w:val="none"/>
                <w:lang w:val="en-US" w:eastAsia="zh-CN"/>
              </w:rPr>
              <w:t>为</w:t>
            </w:r>
            <w:r>
              <w:rPr>
                <w:rFonts w:hint="eastAsia" w:ascii="Times New Roman" w:hAnsi="Times New Roman" w:eastAsia="宋体" w:cs="Times New Roman"/>
                <w:color w:val="auto"/>
                <w:sz w:val="21"/>
                <w:szCs w:val="21"/>
                <w:highlight w:val="none"/>
                <w:lang w:val="en-US" w:eastAsia="zh-CN"/>
              </w:rPr>
              <w:t>非甲烷总烃</w:t>
            </w:r>
            <w:r>
              <w:rPr>
                <w:rFonts w:hint="default" w:ascii="Times New Roman" w:hAnsi="Times New Roman" w:eastAsia="宋体" w:cs="Times New Roman"/>
                <w:color w:val="auto"/>
                <w:sz w:val="21"/>
                <w:szCs w:val="21"/>
                <w:highlight w:val="none"/>
                <w:lang w:val="en-US" w:eastAsia="zh-CN"/>
              </w:rPr>
              <w:t>，针对各产污环节，均采取了合适可行的污染治理措施，经收集处理后的污染物排放强度较低，且本项目满足大气卫生防护距离设置要求，故本项目废气排放的环境影响较小。</w:t>
            </w:r>
          </w:p>
          <w:p w14:paraId="5E0AFAD2">
            <w:pPr>
              <w:keepNext w:val="0"/>
              <w:keepLines w:val="0"/>
              <w:pageBreakBefore w:val="0"/>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b/>
                <w:color w:val="auto"/>
                <w:sz w:val="21"/>
                <w:szCs w:val="21"/>
              </w:rPr>
            </w:pPr>
            <w:r>
              <w:rPr>
                <w:rFonts w:hint="eastAsia" w:cs="Times New Roman"/>
                <w:b/>
                <w:color w:val="auto"/>
                <w:sz w:val="21"/>
                <w:szCs w:val="21"/>
                <w:lang w:eastAsia="zh-CN"/>
              </w:rPr>
              <w:t>二</w:t>
            </w:r>
            <w:r>
              <w:rPr>
                <w:rFonts w:hint="default" w:ascii="Times New Roman" w:hAnsi="Times New Roman" w:cs="Times New Roman"/>
                <w:b/>
                <w:color w:val="auto"/>
                <w:sz w:val="21"/>
                <w:szCs w:val="21"/>
              </w:rPr>
              <w:t>、废水</w:t>
            </w:r>
          </w:p>
          <w:p w14:paraId="118AB35C">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textAlignment w:val="auto"/>
              <w:rPr>
                <w:b/>
                <w:bCs/>
                <w:color w:val="auto"/>
                <w:sz w:val="21"/>
                <w:szCs w:val="21"/>
              </w:rPr>
            </w:pPr>
            <w:r>
              <w:rPr>
                <w:rFonts w:hint="eastAsia"/>
                <w:color w:val="auto"/>
                <w:sz w:val="21"/>
                <w:szCs w:val="21"/>
                <w:lang w:val="en-US" w:eastAsia="zh-CN"/>
              </w:rPr>
              <w:t>技改项目不新增污水排放</w:t>
            </w:r>
            <w:r>
              <w:rPr>
                <w:color w:val="auto"/>
                <w:sz w:val="21"/>
                <w:szCs w:val="21"/>
              </w:rPr>
              <w:t>。</w:t>
            </w:r>
          </w:p>
          <w:p w14:paraId="18E7AB8D">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三</w:t>
            </w:r>
            <w:r>
              <w:rPr>
                <w:rFonts w:hint="default" w:ascii="Times New Roman" w:hAnsi="Times New Roman" w:eastAsia="宋体" w:cs="Times New Roman"/>
                <w:b/>
                <w:bCs w:val="0"/>
                <w:color w:val="auto"/>
                <w:sz w:val="21"/>
                <w:szCs w:val="21"/>
                <w:highlight w:val="none"/>
                <w:lang w:val="en-US" w:eastAsia="zh-CN"/>
              </w:rPr>
              <w:t>、噪声</w:t>
            </w:r>
          </w:p>
          <w:p w14:paraId="2C857580">
            <w:pPr>
              <w:keepNext w:val="0"/>
              <w:keepLines w:val="0"/>
              <w:pageBreakBefore w:val="0"/>
              <w:widowControl w:val="0"/>
              <w:kinsoku/>
              <w:wordWrap/>
              <w:overflowPunct/>
              <w:topLinePunct w:val="0"/>
              <w:autoSpaceDE/>
              <w:autoSpaceDN/>
              <w:bidi w:val="0"/>
              <w:adjustRightInd w:val="0"/>
              <w:snapToGrid w:val="0"/>
              <w:spacing w:line="500" w:lineRule="exact"/>
              <w:ind w:firstLine="422" w:firstLineChars="200"/>
              <w:textAlignment w:val="auto"/>
              <w:rPr>
                <w:rFonts w:hint="default" w:ascii="Times New Roman" w:hAnsi="Times New Roman" w:eastAsia="宋体" w:cs="Times New Roman"/>
                <w:b/>
                <w:bCs w:val="0"/>
                <w:color w:val="auto"/>
                <w:sz w:val="21"/>
                <w:szCs w:val="21"/>
                <w:highlight w:val="none"/>
              </w:rPr>
            </w:pPr>
            <w:r>
              <w:rPr>
                <w:rFonts w:hint="eastAsia" w:cs="Times New Roman"/>
                <w:b/>
                <w:bCs w:val="0"/>
                <w:color w:val="auto"/>
                <w:sz w:val="21"/>
                <w:szCs w:val="21"/>
                <w:highlight w:val="none"/>
                <w:lang w:val="en-US" w:eastAsia="zh-CN"/>
              </w:rPr>
              <w:t>1、</w:t>
            </w:r>
            <w:r>
              <w:rPr>
                <w:rFonts w:hint="default" w:ascii="Times New Roman" w:hAnsi="Times New Roman" w:eastAsia="宋体" w:cs="Times New Roman"/>
                <w:b/>
                <w:bCs w:val="0"/>
                <w:color w:val="auto"/>
                <w:sz w:val="21"/>
                <w:szCs w:val="21"/>
                <w:highlight w:val="none"/>
                <w:lang w:val="en-US" w:eastAsia="zh-CN"/>
              </w:rPr>
              <w:t>噪声产生及排放情况</w:t>
            </w:r>
          </w:p>
          <w:p w14:paraId="1DC5F195">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本项目高噪声源主要为</w:t>
            </w:r>
            <w:r>
              <w:rPr>
                <w:color w:val="auto"/>
              </w:rPr>
              <w:t>EVA光电胶膜生产机组</w:t>
            </w:r>
            <w:r>
              <w:rPr>
                <w:rFonts w:hint="eastAsia" w:ascii="Times New Roman" w:hAnsi="Times New Roman" w:eastAsia="宋体" w:cs="Times New Roman"/>
                <w:bCs/>
                <w:color w:val="auto"/>
                <w:sz w:val="21"/>
                <w:szCs w:val="21"/>
                <w:highlight w:val="none"/>
                <w:lang w:val="en-US" w:eastAsia="zh-CN"/>
              </w:rPr>
              <w:t>、</w:t>
            </w:r>
            <w:r>
              <w:rPr>
                <w:rFonts w:hint="eastAsia" w:cs="Times New Roman"/>
                <w:bCs/>
                <w:color w:val="auto"/>
                <w:sz w:val="21"/>
                <w:szCs w:val="21"/>
                <w:highlight w:val="none"/>
                <w:lang w:val="en-US" w:eastAsia="zh-CN"/>
              </w:rPr>
              <w:t>风机</w:t>
            </w:r>
            <w:r>
              <w:rPr>
                <w:rFonts w:hint="default" w:ascii="Times New Roman" w:hAnsi="Times New Roman" w:eastAsia="宋体" w:cs="Times New Roman"/>
                <w:bCs/>
                <w:color w:val="auto"/>
                <w:sz w:val="21"/>
                <w:szCs w:val="21"/>
                <w:highlight w:val="none"/>
                <w:lang w:val="en-US" w:eastAsia="zh-CN"/>
              </w:rPr>
              <w:t>等设备，项目噪声源距离1米处声压级在</w:t>
            </w:r>
            <w:r>
              <w:rPr>
                <w:rFonts w:hint="eastAsia" w:cs="Times New Roman"/>
                <w:bCs/>
                <w:color w:val="auto"/>
                <w:sz w:val="21"/>
                <w:szCs w:val="21"/>
                <w:highlight w:val="none"/>
                <w:lang w:val="en-US" w:eastAsia="zh-CN"/>
              </w:rPr>
              <w:t>8</w:t>
            </w:r>
            <w:r>
              <w:rPr>
                <w:rFonts w:hint="eastAsia" w:ascii="Times New Roman" w:hAnsi="Times New Roman" w:cs="Times New Roman"/>
                <w:bCs/>
                <w:color w:val="auto"/>
                <w:sz w:val="21"/>
                <w:szCs w:val="21"/>
                <w:highlight w:val="none"/>
                <w:lang w:val="en-US" w:eastAsia="zh-CN"/>
              </w:rPr>
              <w:t>0</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85</w:t>
            </w:r>
            <w:r>
              <w:rPr>
                <w:rFonts w:hint="default" w:ascii="Times New Roman" w:hAnsi="Times New Roman" w:eastAsia="宋体" w:cs="Times New Roman"/>
                <w:bCs/>
                <w:color w:val="auto"/>
                <w:sz w:val="21"/>
                <w:szCs w:val="21"/>
                <w:highlight w:val="none"/>
                <w:lang w:val="en-US" w:eastAsia="zh-CN"/>
              </w:rPr>
              <w:t>dB(A)之间。</w:t>
            </w:r>
          </w:p>
          <w:p w14:paraId="72E26940">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项目采取的主要治理措施有：合理布局，充分利用厂区建筑物隔声、降噪；在高噪声、高振动设备底部设置减振垫铁；设备加强日常的维护，确保设备的正常运行，避免产生异常噪声。项目主要噪声源产生及排放情况如下表所示。</w:t>
            </w:r>
          </w:p>
          <w:p w14:paraId="173C743F">
            <w:pPr>
              <w:adjustRightInd w:val="0"/>
              <w:snapToGrid w:val="0"/>
              <w:spacing w:line="360" w:lineRule="auto"/>
              <w:rPr>
                <w:rFonts w:hint="default" w:ascii="Times New Roman" w:hAnsi="Times New Roman" w:cs="Times New Roman"/>
                <w:bCs/>
                <w:color w:val="auto"/>
                <w:sz w:val="21"/>
                <w:szCs w:val="21"/>
              </w:rPr>
            </w:pPr>
          </w:p>
        </w:tc>
      </w:tr>
    </w:tbl>
    <w:p w14:paraId="2C4A59C5">
      <w:pPr>
        <w:pStyle w:val="25"/>
        <w:spacing w:before="0" w:beforeAutospacing="0" w:after="0" w:afterAutospacing="0"/>
        <w:jc w:val="center"/>
        <w:outlineLvl w:val="0"/>
        <w:rPr>
          <w:rFonts w:hint="default" w:ascii="Times New Roman" w:hAnsi="Times New Roman" w:eastAsia="黑体" w:cs="Times New Roman"/>
          <w:snapToGrid w:val="0"/>
          <w:color w:val="auto"/>
          <w:sz w:val="30"/>
          <w:szCs w:val="30"/>
        </w:rPr>
        <w:sectPr>
          <w:headerReference r:id="rId9" w:type="default"/>
          <w:pgSz w:w="11906" w:h="16838"/>
          <w:pgMar w:top="1701" w:right="1531" w:bottom="1701" w:left="1531" w:header="851" w:footer="1134" w:gutter="0"/>
          <w:pgBorders>
            <w:top w:val="none" w:sz="0" w:space="0"/>
            <w:left w:val="none" w:sz="0" w:space="0"/>
            <w:bottom w:val="none" w:sz="0" w:space="0"/>
            <w:right w:val="none" w:sz="0" w:space="0"/>
          </w:pgBorders>
          <w:pgNumType w:fmt="decimal"/>
          <w:cols w:space="720" w:num="1"/>
          <w:docGrid w:linePitch="312" w:charSpace="0"/>
        </w:sectPr>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5"/>
      </w:tblGrid>
      <w:tr w14:paraId="07112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8" w:hRule="atLeast"/>
        </w:trPr>
        <w:tc>
          <w:tcPr>
            <w:tcW w:w="14095" w:type="dxa"/>
          </w:tcPr>
          <w:p w14:paraId="48CDB2C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表4-1</w:t>
            </w:r>
            <w:r>
              <w:rPr>
                <w:rFonts w:hint="eastAsia" w:cs="Times New Roman"/>
                <w:b/>
                <w:bCs/>
                <w:color w:val="auto"/>
                <w:sz w:val="21"/>
                <w:szCs w:val="21"/>
                <w:lang w:val="en-US" w:eastAsia="zh-CN"/>
              </w:rPr>
              <w:t>0</w:t>
            </w:r>
            <w:r>
              <w:rPr>
                <w:rFonts w:hint="default" w:ascii="Times New Roman" w:hAnsi="Times New Roman" w:eastAsia="宋体" w:cs="Times New Roman"/>
                <w:b/>
                <w:bCs/>
                <w:color w:val="auto"/>
                <w:sz w:val="21"/>
                <w:szCs w:val="21"/>
              </w:rPr>
              <w:t>本项目主要噪声污染源一览表</w:t>
            </w:r>
            <w:r>
              <w:rPr>
                <w:rFonts w:hint="default" w:ascii="Times New Roman" w:hAnsi="Times New Roman" w:cs="Times New Roman"/>
                <w:b/>
                <w:bCs/>
                <w:color w:val="auto"/>
                <w:sz w:val="21"/>
                <w:szCs w:val="21"/>
                <w:lang w:eastAsia="zh-CN"/>
              </w:rPr>
              <w:t>（</w:t>
            </w:r>
            <w:r>
              <w:rPr>
                <w:rFonts w:hint="default" w:ascii="Times New Roman" w:hAnsi="Times New Roman" w:cs="Times New Roman"/>
                <w:b/>
                <w:bCs/>
                <w:color w:val="auto"/>
                <w:sz w:val="21"/>
                <w:szCs w:val="21"/>
                <w:lang w:val="en-US" w:eastAsia="zh-CN"/>
              </w:rPr>
              <w:t>室内声源</w:t>
            </w:r>
            <w:r>
              <w:rPr>
                <w:rFonts w:hint="default" w:ascii="Times New Roman" w:hAnsi="Times New Roman" w:cs="Times New Roman"/>
                <w:b/>
                <w:bCs/>
                <w:color w:val="auto"/>
                <w:sz w:val="21"/>
                <w:szCs w:val="21"/>
                <w:lang w:eastAsia="zh-CN"/>
              </w:rPr>
              <w:t>）</w:t>
            </w:r>
          </w:p>
          <w:tbl>
            <w:tblPr>
              <w:tblStyle w:val="31"/>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3"/>
              <w:gridCol w:w="2254"/>
              <w:gridCol w:w="561"/>
              <w:gridCol w:w="566"/>
              <w:gridCol w:w="1630"/>
              <w:gridCol w:w="955"/>
              <w:gridCol w:w="580"/>
              <w:gridCol w:w="580"/>
              <w:gridCol w:w="639"/>
              <w:gridCol w:w="730"/>
              <w:gridCol w:w="725"/>
              <w:gridCol w:w="1041"/>
              <w:gridCol w:w="905"/>
              <w:gridCol w:w="1019"/>
              <w:gridCol w:w="1103"/>
            </w:tblGrid>
            <w:tr w14:paraId="0AC49F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restart"/>
                  <w:noWrap w:val="0"/>
                  <w:vAlign w:val="center"/>
                </w:tcPr>
                <w:p w14:paraId="45D07EA6">
                  <w:pPr>
                    <w:adjustRightInd w:val="0"/>
                    <w:snapToGrid w:val="0"/>
                    <w:ind w:left="-105" w:leftChars="-50" w:right="-105" w:rightChars="-50"/>
                    <w:jc w:val="center"/>
                    <w:rPr>
                      <w:b/>
                      <w:color w:val="auto"/>
                      <w:sz w:val="21"/>
                      <w:szCs w:val="21"/>
                    </w:rPr>
                  </w:pPr>
                  <w:r>
                    <w:rPr>
                      <w:rFonts w:hAnsi="宋体"/>
                      <w:b/>
                      <w:color w:val="auto"/>
                      <w:sz w:val="21"/>
                      <w:szCs w:val="21"/>
                    </w:rPr>
                    <w:t>建筑物名称</w:t>
                  </w:r>
                </w:p>
              </w:tc>
              <w:tc>
                <w:tcPr>
                  <w:tcW w:w="812" w:type="pct"/>
                  <w:vMerge w:val="restart"/>
                  <w:noWrap w:val="0"/>
                  <w:vAlign w:val="center"/>
                </w:tcPr>
                <w:p w14:paraId="3FB73874">
                  <w:pPr>
                    <w:adjustRightInd w:val="0"/>
                    <w:snapToGrid w:val="0"/>
                    <w:ind w:left="-105" w:leftChars="-50" w:right="-105" w:rightChars="-50"/>
                    <w:jc w:val="center"/>
                    <w:rPr>
                      <w:b/>
                      <w:color w:val="auto"/>
                      <w:sz w:val="21"/>
                      <w:szCs w:val="21"/>
                    </w:rPr>
                  </w:pPr>
                  <w:r>
                    <w:rPr>
                      <w:rFonts w:hAnsi="宋体"/>
                      <w:b/>
                      <w:color w:val="auto"/>
                      <w:sz w:val="21"/>
                      <w:szCs w:val="21"/>
                    </w:rPr>
                    <w:t>声源名称</w:t>
                  </w:r>
                </w:p>
              </w:tc>
              <w:tc>
                <w:tcPr>
                  <w:tcW w:w="202" w:type="pct"/>
                  <w:vMerge w:val="restart"/>
                  <w:noWrap w:val="0"/>
                  <w:vAlign w:val="center"/>
                </w:tcPr>
                <w:p w14:paraId="73B17264">
                  <w:pPr>
                    <w:adjustRightInd w:val="0"/>
                    <w:snapToGrid w:val="0"/>
                    <w:ind w:left="-105" w:leftChars="-50" w:right="-105" w:rightChars="-50"/>
                    <w:jc w:val="center"/>
                    <w:rPr>
                      <w:rFonts w:hAnsi="宋体"/>
                      <w:b/>
                      <w:color w:val="auto"/>
                      <w:sz w:val="21"/>
                      <w:szCs w:val="21"/>
                    </w:rPr>
                  </w:pPr>
                  <w:r>
                    <w:rPr>
                      <w:rFonts w:hAnsi="宋体"/>
                      <w:b/>
                      <w:color w:val="auto"/>
                      <w:sz w:val="21"/>
                      <w:szCs w:val="21"/>
                    </w:rPr>
                    <w:t>型号</w:t>
                  </w:r>
                </w:p>
              </w:tc>
              <w:tc>
                <w:tcPr>
                  <w:tcW w:w="204" w:type="pct"/>
                  <w:vMerge w:val="restart"/>
                  <w:noWrap w:val="0"/>
                  <w:vAlign w:val="center"/>
                </w:tcPr>
                <w:p w14:paraId="60A58A9E">
                  <w:pPr>
                    <w:adjustRightInd w:val="0"/>
                    <w:snapToGrid w:val="0"/>
                    <w:ind w:left="-105" w:leftChars="-50" w:right="-105" w:rightChars="-50"/>
                    <w:jc w:val="center"/>
                    <w:rPr>
                      <w:b/>
                      <w:color w:val="auto"/>
                      <w:sz w:val="21"/>
                      <w:szCs w:val="21"/>
                    </w:rPr>
                  </w:pPr>
                  <w:r>
                    <w:rPr>
                      <w:rFonts w:hint="default" w:ascii="Times New Roman" w:hAnsi="Times New Roman" w:cs="Times New Roman"/>
                      <w:b/>
                      <w:bCs/>
                      <w:color w:val="auto"/>
                      <w:sz w:val="21"/>
                      <w:szCs w:val="21"/>
                      <w:lang w:val="en-US" w:eastAsia="zh-CN"/>
                    </w:rPr>
                    <w:t>数量</w:t>
                  </w:r>
                </w:p>
              </w:tc>
              <w:tc>
                <w:tcPr>
                  <w:tcW w:w="587" w:type="pct"/>
                  <w:noWrap w:val="0"/>
                  <w:vAlign w:val="center"/>
                </w:tcPr>
                <w:p w14:paraId="7C68DC38">
                  <w:pPr>
                    <w:adjustRightInd w:val="0"/>
                    <w:snapToGrid w:val="0"/>
                    <w:ind w:left="-105" w:leftChars="-50" w:right="-105" w:rightChars="-50"/>
                    <w:jc w:val="center"/>
                    <w:rPr>
                      <w:b/>
                      <w:color w:val="auto"/>
                      <w:sz w:val="21"/>
                      <w:szCs w:val="21"/>
                    </w:rPr>
                  </w:pPr>
                  <w:r>
                    <w:rPr>
                      <w:rFonts w:hAnsi="宋体"/>
                      <w:b/>
                      <w:color w:val="auto"/>
                      <w:sz w:val="21"/>
                      <w:szCs w:val="21"/>
                    </w:rPr>
                    <w:t>声源源强</w:t>
                  </w:r>
                </w:p>
              </w:tc>
              <w:tc>
                <w:tcPr>
                  <w:tcW w:w="344" w:type="pct"/>
                  <w:vMerge w:val="restart"/>
                  <w:noWrap w:val="0"/>
                  <w:vAlign w:val="center"/>
                </w:tcPr>
                <w:p w14:paraId="6D8FAADD">
                  <w:pPr>
                    <w:adjustRightInd w:val="0"/>
                    <w:snapToGrid w:val="0"/>
                    <w:ind w:left="-105" w:leftChars="-50" w:right="-105" w:rightChars="-50"/>
                    <w:jc w:val="center"/>
                    <w:rPr>
                      <w:b/>
                      <w:color w:val="auto"/>
                      <w:sz w:val="21"/>
                      <w:szCs w:val="21"/>
                    </w:rPr>
                  </w:pPr>
                  <w:r>
                    <w:rPr>
                      <w:rFonts w:hAnsi="宋体"/>
                      <w:b/>
                      <w:color w:val="auto"/>
                      <w:sz w:val="21"/>
                      <w:szCs w:val="21"/>
                    </w:rPr>
                    <w:t>声源控制措施</w:t>
                  </w:r>
                </w:p>
              </w:tc>
              <w:tc>
                <w:tcPr>
                  <w:tcW w:w="648" w:type="pct"/>
                  <w:gridSpan w:val="3"/>
                  <w:noWrap w:val="0"/>
                  <w:vAlign w:val="center"/>
                </w:tcPr>
                <w:p w14:paraId="4FD8F020">
                  <w:pPr>
                    <w:adjustRightInd w:val="0"/>
                    <w:snapToGrid w:val="0"/>
                    <w:ind w:left="-105" w:leftChars="-50" w:right="-105" w:rightChars="-50"/>
                    <w:jc w:val="center"/>
                    <w:rPr>
                      <w:b/>
                      <w:color w:val="auto"/>
                      <w:sz w:val="21"/>
                      <w:szCs w:val="21"/>
                    </w:rPr>
                  </w:pPr>
                  <w:r>
                    <w:rPr>
                      <w:rFonts w:hAnsi="宋体"/>
                      <w:b/>
                      <w:color w:val="auto"/>
                      <w:sz w:val="21"/>
                      <w:szCs w:val="21"/>
                    </w:rPr>
                    <w:t>空间相对位置</w:t>
                  </w:r>
                  <w:r>
                    <w:rPr>
                      <w:b/>
                      <w:color w:val="auto"/>
                      <w:sz w:val="21"/>
                      <w:szCs w:val="21"/>
                    </w:rPr>
                    <w:t>/m</w:t>
                  </w:r>
                </w:p>
              </w:tc>
              <w:tc>
                <w:tcPr>
                  <w:tcW w:w="263" w:type="pct"/>
                  <w:vMerge w:val="restart"/>
                  <w:noWrap w:val="0"/>
                  <w:vAlign w:val="center"/>
                </w:tcPr>
                <w:p w14:paraId="05063CCA">
                  <w:pPr>
                    <w:adjustRightInd w:val="0"/>
                    <w:snapToGrid w:val="0"/>
                    <w:ind w:left="-105" w:leftChars="-50" w:right="-105" w:rightChars="-50"/>
                    <w:jc w:val="center"/>
                    <w:rPr>
                      <w:b/>
                      <w:color w:val="auto"/>
                      <w:sz w:val="21"/>
                      <w:szCs w:val="21"/>
                    </w:rPr>
                  </w:pPr>
                  <w:r>
                    <w:rPr>
                      <w:rFonts w:hAnsi="宋体"/>
                      <w:b/>
                      <w:color w:val="auto"/>
                      <w:sz w:val="21"/>
                      <w:szCs w:val="21"/>
                    </w:rPr>
                    <w:t>距室内边界</w:t>
                  </w:r>
                  <w:r>
                    <w:rPr>
                      <w:rFonts w:hint="eastAsia" w:hAnsi="宋体"/>
                      <w:b/>
                      <w:color w:val="auto"/>
                      <w:sz w:val="21"/>
                      <w:szCs w:val="21"/>
                      <w:lang w:eastAsia="zh-CN"/>
                    </w:rPr>
                    <w:t>最近</w:t>
                  </w:r>
                  <w:r>
                    <w:rPr>
                      <w:rFonts w:hAnsi="宋体"/>
                      <w:b/>
                      <w:color w:val="auto"/>
                      <w:sz w:val="21"/>
                      <w:szCs w:val="21"/>
                    </w:rPr>
                    <w:t>距离</w:t>
                  </w:r>
                  <w:r>
                    <w:rPr>
                      <w:b/>
                      <w:color w:val="auto"/>
                      <w:sz w:val="21"/>
                      <w:szCs w:val="21"/>
                    </w:rPr>
                    <w:t>/m</w:t>
                  </w:r>
                </w:p>
              </w:tc>
              <w:tc>
                <w:tcPr>
                  <w:tcW w:w="261" w:type="pct"/>
                  <w:vMerge w:val="restart"/>
                  <w:noWrap w:val="0"/>
                  <w:vAlign w:val="center"/>
                </w:tcPr>
                <w:p w14:paraId="5860D4EC">
                  <w:pPr>
                    <w:adjustRightInd w:val="0"/>
                    <w:snapToGrid w:val="0"/>
                    <w:ind w:left="-105" w:leftChars="-50" w:right="-105" w:rightChars="-50"/>
                    <w:jc w:val="center"/>
                    <w:rPr>
                      <w:b/>
                      <w:color w:val="auto"/>
                      <w:sz w:val="21"/>
                      <w:szCs w:val="21"/>
                    </w:rPr>
                  </w:pPr>
                  <w:r>
                    <w:rPr>
                      <w:rFonts w:hAnsi="宋体"/>
                      <w:b/>
                      <w:color w:val="auto"/>
                      <w:sz w:val="21"/>
                      <w:szCs w:val="21"/>
                    </w:rPr>
                    <w:t>室内边界声级</w:t>
                  </w:r>
                </w:p>
              </w:tc>
              <w:tc>
                <w:tcPr>
                  <w:tcW w:w="375" w:type="pct"/>
                  <w:vMerge w:val="restart"/>
                  <w:noWrap w:val="0"/>
                  <w:vAlign w:val="center"/>
                </w:tcPr>
                <w:p w14:paraId="22353CF7">
                  <w:pPr>
                    <w:adjustRightInd w:val="0"/>
                    <w:snapToGrid w:val="0"/>
                    <w:ind w:left="-105" w:leftChars="-50" w:right="-105" w:rightChars="-50"/>
                    <w:jc w:val="center"/>
                    <w:rPr>
                      <w:b/>
                      <w:color w:val="auto"/>
                      <w:sz w:val="21"/>
                      <w:szCs w:val="21"/>
                    </w:rPr>
                  </w:pPr>
                  <w:r>
                    <w:rPr>
                      <w:rFonts w:hAnsi="宋体"/>
                      <w:b/>
                      <w:color w:val="auto"/>
                      <w:sz w:val="21"/>
                      <w:szCs w:val="21"/>
                    </w:rPr>
                    <w:t>运行时段</w:t>
                  </w:r>
                </w:p>
              </w:tc>
              <w:tc>
                <w:tcPr>
                  <w:tcW w:w="326" w:type="pct"/>
                  <w:vMerge w:val="restart"/>
                  <w:noWrap w:val="0"/>
                  <w:vAlign w:val="center"/>
                </w:tcPr>
                <w:p w14:paraId="625751F1">
                  <w:pPr>
                    <w:adjustRightInd w:val="0"/>
                    <w:snapToGrid w:val="0"/>
                    <w:ind w:left="-105" w:leftChars="-50" w:right="-105" w:rightChars="-50"/>
                    <w:jc w:val="center"/>
                    <w:rPr>
                      <w:b/>
                      <w:color w:val="auto"/>
                      <w:sz w:val="21"/>
                      <w:szCs w:val="21"/>
                    </w:rPr>
                  </w:pPr>
                  <w:r>
                    <w:rPr>
                      <w:rFonts w:hAnsi="宋体"/>
                      <w:b/>
                      <w:color w:val="auto"/>
                      <w:sz w:val="21"/>
                      <w:szCs w:val="21"/>
                    </w:rPr>
                    <w:t>建筑物插入损失</w:t>
                  </w:r>
                  <w:r>
                    <w:rPr>
                      <w:b/>
                      <w:color w:val="auto"/>
                      <w:sz w:val="21"/>
                      <w:szCs w:val="21"/>
                    </w:rPr>
                    <w:t>/dB(A)</w:t>
                  </w:r>
                </w:p>
              </w:tc>
              <w:tc>
                <w:tcPr>
                  <w:tcW w:w="764" w:type="pct"/>
                  <w:gridSpan w:val="2"/>
                  <w:noWrap w:val="0"/>
                  <w:vAlign w:val="center"/>
                </w:tcPr>
                <w:p w14:paraId="07131D65">
                  <w:pPr>
                    <w:adjustRightInd w:val="0"/>
                    <w:snapToGrid w:val="0"/>
                    <w:ind w:left="-105" w:leftChars="-50" w:right="-105" w:rightChars="-50"/>
                    <w:jc w:val="center"/>
                    <w:rPr>
                      <w:b/>
                      <w:color w:val="auto"/>
                      <w:sz w:val="21"/>
                      <w:szCs w:val="21"/>
                    </w:rPr>
                  </w:pPr>
                  <w:r>
                    <w:rPr>
                      <w:rFonts w:hAnsi="宋体"/>
                      <w:b/>
                      <w:color w:val="auto"/>
                      <w:sz w:val="21"/>
                      <w:szCs w:val="21"/>
                    </w:rPr>
                    <w:t>建筑物外噪声</w:t>
                  </w:r>
                </w:p>
              </w:tc>
            </w:tr>
            <w:tr w14:paraId="0AA55E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noWrap w:val="0"/>
                  <w:vAlign w:val="center"/>
                </w:tcPr>
                <w:p w14:paraId="148A34C3">
                  <w:pPr>
                    <w:adjustRightInd w:val="0"/>
                    <w:snapToGrid w:val="0"/>
                    <w:ind w:left="-105" w:leftChars="-50" w:right="-105" w:rightChars="-50"/>
                    <w:jc w:val="center"/>
                    <w:rPr>
                      <w:b/>
                      <w:color w:val="auto"/>
                      <w:sz w:val="21"/>
                      <w:szCs w:val="21"/>
                    </w:rPr>
                  </w:pPr>
                </w:p>
              </w:tc>
              <w:tc>
                <w:tcPr>
                  <w:tcW w:w="812" w:type="pct"/>
                  <w:vMerge w:val="continue"/>
                  <w:noWrap w:val="0"/>
                  <w:vAlign w:val="center"/>
                </w:tcPr>
                <w:p w14:paraId="736F756B">
                  <w:pPr>
                    <w:adjustRightInd w:val="0"/>
                    <w:snapToGrid w:val="0"/>
                    <w:ind w:left="-105" w:leftChars="-50" w:right="-105" w:rightChars="-50"/>
                    <w:jc w:val="center"/>
                    <w:rPr>
                      <w:b/>
                      <w:color w:val="auto"/>
                      <w:sz w:val="21"/>
                      <w:szCs w:val="21"/>
                    </w:rPr>
                  </w:pPr>
                </w:p>
              </w:tc>
              <w:tc>
                <w:tcPr>
                  <w:tcW w:w="202" w:type="pct"/>
                  <w:vMerge w:val="continue"/>
                  <w:noWrap w:val="0"/>
                  <w:vAlign w:val="center"/>
                </w:tcPr>
                <w:p w14:paraId="19E9B2F2">
                  <w:pPr>
                    <w:adjustRightInd w:val="0"/>
                    <w:snapToGrid w:val="0"/>
                    <w:ind w:left="-105" w:leftChars="-50" w:right="-105" w:rightChars="-50"/>
                    <w:jc w:val="center"/>
                    <w:rPr>
                      <w:b/>
                      <w:color w:val="auto"/>
                      <w:sz w:val="21"/>
                      <w:szCs w:val="21"/>
                    </w:rPr>
                  </w:pPr>
                </w:p>
              </w:tc>
              <w:tc>
                <w:tcPr>
                  <w:tcW w:w="204" w:type="pct"/>
                  <w:vMerge w:val="continue"/>
                  <w:noWrap w:val="0"/>
                  <w:vAlign w:val="center"/>
                </w:tcPr>
                <w:p w14:paraId="6B326A5B">
                  <w:pPr>
                    <w:adjustRightInd w:val="0"/>
                    <w:snapToGrid w:val="0"/>
                    <w:ind w:left="-105" w:leftChars="-50" w:right="-105" w:rightChars="-50"/>
                    <w:jc w:val="center"/>
                    <w:rPr>
                      <w:b/>
                      <w:color w:val="auto"/>
                      <w:sz w:val="21"/>
                      <w:szCs w:val="21"/>
                    </w:rPr>
                  </w:pPr>
                </w:p>
              </w:tc>
              <w:tc>
                <w:tcPr>
                  <w:tcW w:w="587" w:type="pct"/>
                  <w:noWrap w:val="0"/>
                  <w:vAlign w:val="center"/>
                </w:tcPr>
                <w:p w14:paraId="510836C5">
                  <w:pPr>
                    <w:adjustRightInd w:val="0"/>
                    <w:snapToGrid w:val="0"/>
                    <w:ind w:left="-105" w:leftChars="-50" w:right="-105" w:rightChars="-50"/>
                    <w:jc w:val="center"/>
                    <w:rPr>
                      <w:b/>
                      <w:color w:val="auto"/>
                      <w:sz w:val="21"/>
                      <w:szCs w:val="21"/>
                    </w:rPr>
                  </w:pPr>
                  <w:r>
                    <w:rPr>
                      <w:rFonts w:hAnsi="宋体"/>
                      <w:b/>
                      <w:color w:val="auto"/>
                      <w:sz w:val="21"/>
                      <w:szCs w:val="21"/>
                    </w:rPr>
                    <w:t>声</w:t>
                  </w:r>
                  <w:r>
                    <w:rPr>
                      <w:rFonts w:hint="eastAsia" w:hAnsi="宋体"/>
                      <w:b/>
                      <w:color w:val="auto"/>
                      <w:sz w:val="21"/>
                      <w:szCs w:val="21"/>
                      <w:lang w:eastAsia="zh-CN"/>
                    </w:rPr>
                    <w:t>功率</w:t>
                  </w:r>
                  <w:r>
                    <w:rPr>
                      <w:rFonts w:hAnsi="宋体"/>
                      <w:b/>
                      <w:color w:val="auto"/>
                      <w:sz w:val="21"/>
                      <w:szCs w:val="21"/>
                    </w:rPr>
                    <w:t>级</w:t>
                  </w:r>
                  <w:r>
                    <w:rPr>
                      <w:b/>
                      <w:color w:val="auto"/>
                      <w:sz w:val="21"/>
                      <w:szCs w:val="21"/>
                    </w:rPr>
                    <w:t>/dB(A)</w:t>
                  </w:r>
                </w:p>
              </w:tc>
              <w:tc>
                <w:tcPr>
                  <w:tcW w:w="344" w:type="pct"/>
                  <w:vMerge w:val="continue"/>
                  <w:noWrap w:val="0"/>
                  <w:vAlign w:val="center"/>
                </w:tcPr>
                <w:p w14:paraId="71481876">
                  <w:pPr>
                    <w:adjustRightInd w:val="0"/>
                    <w:snapToGrid w:val="0"/>
                    <w:ind w:left="-105" w:leftChars="-50" w:right="-105" w:rightChars="-50"/>
                    <w:jc w:val="center"/>
                    <w:rPr>
                      <w:b/>
                      <w:color w:val="auto"/>
                      <w:sz w:val="21"/>
                      <w:szCs w:val="21"/>
                    </w:rPr>
                  </w:pPr>
                </w:p>
              </w:tc>
              <w:tc>
                <w:tcPr>
                  <w:tcW w:w="209" w:type="pct"/>
                  <w:noWrap w:val="0"/>
                  <w:vAlign w:val="center"/>
                </w:tcPr>
                <w:p w14:paraId="62E7BAF9">
                  <w:pPr>
                    <w:adjustRightInd w:val="0"/>
                    <w:snapToGrid w:val="0"/>
                    <w:ind w:left="-105" w:leftChars="-50" w:right="-105" w:rightChars="-50"/>
                    <w:jc w:val="center"/>
                    <w:rPr>
                      <w:b/>
                      <w:color w:val="auto"/>
                      <w:sz w:val="21"/>
                      <w:szCs w:val="21"/>
                    </w:rPr>
                  </w:pPr>
                  <w:r>
                    <w:rPr>
                      <w:b/>
                      <w:color w:val="auto"/>
                      <w:sz w:val="21"/>
                      <w:szCs w:val="21"/>
                    </w:rPr>
                    <w:t>X</w:t>
                  </w:r>
                </w:p>
              </w:tc>
              <w:tc>
                <w:tcPr>
                  <w:tcW w:w="209" w:type="pct"/>
                  <w:noWrap w:val="0"/>
                  <w:vAlign w:val="center"/>
                </w:tcPr>
                <w:p w14:paraId="5BBEC22C">
                  <w:pPr>
                    <w:adjustRightInd w:val="0"/>
                    <w:snapToGrid w:val="0"/>
                    <w:ind w:left="-105" w:leftChars="-50" w:right="-105" w:rightChars="-50"/>
                    <w:jc w:val="center"/>
                    <w:rPr>
                      <w:b/>
                      <w:color w:val="auto"/>
                      <w:sz w:val="21"/>
                      <w:szCs w:val="21"/>
                    </w:rPr>
                  </w:pPr>
                  <w:r>
                    <w:rPr>
                      <w:b/>
                      <w:color w:val="auto"/>
                      <w:sz w:val="21"/>
                      <w:szCs w:val="21"/>
                    </w:rPr>
                    <w:t>Y</w:t>
                  </w:r>
                </w:p>
              </w:tc>
              <w:tc>
                <w:tcPr>
                  <w:tcW w:w="230" w:type="pct"/>
                  <w:noWrap w:val="0"/>
                  <w:vAlign w:val="center"/>
                </w:tcPr>
                <w:p w14:paraId="16F127A4">
                  <w:pPr>
                    <w:adjustRightInd w:val="0"/>
                    <w:snapToGrid w:val="0"/>
                    <w:ind w:left="-105" w:leftChars="-50" w:right="-105" w:rightChars="-50"/>
                    <w:jc w:val="center"/>
                    <w:rPr>
                      <w:b/>
                      <w:color w:val="auto"/>
                      <w:sz w:val="21"/>
                      <w:szCs w:val="21"/>
                    </w:rPr>
                  </w:pPr>
                  <w:r>
                    <w:rPr>
                      <w:b/>
                      <w:color w:val="auto"/>
                      <w:sz w:val="21"/>
                      <w:szCs w:val="21"/>
                    </w:rPr>
                    <w:t>Z</w:t>
                  </w:r>
                </w:p>
              </w:tc>
              <w:tc>
                <w:tcPr>
                  <w:tcW w:w="263" w:type="pct"/>
                  <w:vMerge w:val="continue"/>
                  <w:noWrap w:val="0"/>
                  <w:vAlign w:val="center"/>
                </w:tcPr>
                <w:p w14:paraId="157CBDDC">
                  <w:pPr>
                    <w:adjustRightInd w:val="0"/>
                    <w:snapToGrid w:val="0"/>
                    <w:ind w:left="-105" w:leftChars="-50" w:right="-105" w:rightChars="-50"/>
                    <w:jc w:val="center"/>
                    <w:rPr>
                      <w:b/>
                      <w:color w:val="auto"/>
                      <w:sz w:val="21"/>
                      <w:szCs w:val="21"/>
                    </w:rPr>
                  </w:pPr>
                </w:p>
              </w:tc>
              <w:tc>
                <w:tcPr>
                  <w:tcW w:w="261" w:type="pct"/>
                  <w:vMerge w:val="continue"/>
                  <w:noWrap w:val="0"/>
                  <w:vAlign w:val="center"/>
                </w:tcPr>
                <w:p w14:paraId="350E5C91">
                  <w:pPr>
                    <w:adjustRightInd w:val="0"/>
                    <w:snapToGrid w:val="0"/>
                    <w:ind w:left="-105" w:leftChars="-50" w:right="-105" w:rightChars="-50"/>
                    <w:jc w:val="center"/>
                    <w:rPr>
                      <w:b/>
                      <w:color w:val="auto"/>
                      <w:sz w:val="21"/>
                      <w:szCs w:val="21"/>
                    </w:rPr>
                  </w:pPr>
                </w:p>
              </w:tc>
              <w:tc>
                <w:tcPr>
                  <w:tcW w:w="375" w:type="pct"/>
                  <w:vMerge w:val="continue"/>
                  <w:noWrap w:val="0"/>
                  <w:vAlign w:val="center"/>
                </w:tcPr>
                <w:p w14:paraId="72CCCD6B">
                  <w:pPr>
                    <w:adjustRightInd w:val="0"/>
                    <w:snapToGrid w:val="0"/>
                    <w:ind w:left="-105" w:leftChars="-50" w:right="-105" w:rightChars="-50"/>
                    <w:jc w:val="center"/>
                    <w:rPr>
                      <w:b/>
                      <w:color w:val="auto"/>
                      <w:sz w:val="21"/>
                      <w:szCs w:val="21"/>
                    </w:rPr>
                  </w:pPr>
                </w:p>
              </w:tc>
              <w:tc>
                <w:tcPr>
                  <w:tcW w:w="326" w:type="pct"/>
                  <w:vMerge w:val="continue"/>
                  <w:noWrap w:val="0"/>
                  <w:vAlign w:val="center"/>
                </w:tcPr>
                <w:p w14:paraId="13BA154E">
                  <w:pPr>
                    <w:adjustRightInd w:val="0"/>
                    <w:snapToGrid w:val="0"/>
                    <w:ind w:left="-105" w:leftChars="-50" w:right="-105" w:rightChars="-50"/>
                    <w:jc w:val="center"/>
                    <w:rPr>
                      <w:b/>
                      <w:color w:val="auto"/>
                      <w:sz w:val="21"/>
                      <w:szCs w:val="21"/>
                    </w:rPr>
                  </w:pPr>
                </w:p>
              </w:tc>
              <w:tc>
                <w:tcPr>
                  <w:tcW w:w="367" w:type="pct"/>
                  <w:noWrap w:val="0"/>
                  <w:vAlign w:val="center"/>
                </w:tcPr>
                <w:p w14:paraId="6098E981">
                  <w:pPr>
                    <w:adjustRightInd w:val="0"/>
                    <w:snapToGrid w:val="0"/>
                    <w:ind w:left="-105" w:leftChars="-50" w:right="-105" w:rightChars="-50"/>
                    <w:jc w:val="center"/>
                    <w:rPr>
                      <w:b/>
                      <w:color w:val="auto"/>
                      <w:sz w:val="21"/>
                      <w:szCs w:val="21"/>
                    </w:rPr>
                  </w:pPr>
                  <w:r>
                    <w:rPr>
                      <w:rFonts w:hAnsi="宋体"/>
                      <w:b/>
                      <w:color w:val="auto"/>
                      <w:sz w:val="21"/>
                      <w:szCs w:val="21"/>
                    </w:rPr>
                    <w:t>声压级</w:t>
                  </w:r>
                  <w:r>
                    <w:rPr>
                      <w:b/>
                      <w:color w:val="auto"/>
                      <w:sz w:val="21"/>
                      <w:szCs w:val="21"/>
                    </w:rPr>
                    <w:t>/dB(A)</w:t>
                  </w:r>
                </w:p>
              </w:tc>
              <w:tc>
                <w:tcPr>
                  <w:tcW w:w="397" w:type="pct"/>
                  <w:noWrap w:val="0"/>
                  <w:vAlign w:val="center"/>
                </w:tcPr>
                <w:p w14:paraId="6BBD0963">
                  <w:pPr>
                    <w:adjustRightInd w:val="0"/>
                    <w:snapToGrid w:val="0"/>
                    <w:ind w:left="-105" w:leftChars="-50" w:right="-105" w:rightChars="-50"/>
                    <w:jc w:val="center"/>
                    <w:rPr>
                      <w:b/>
                      <w:color w:val="auto"/>
                      <w:sz w:val="21"/>
                      <w:szCs w:val="21"/>
                    </w:rPr>
                  </w:pPr>
                  <w:r>
                    <w:rPr>
                      <w:rFonts w:hAnsi="宋体"/>
                      <w:b/>
                      <w:color w:val="auto"/>
                      <w:sz w:val="21"/>
                      <w:szCs w:val="21"/>
                    </w:rPr>
                    <w:t>建筑物外距离</w:t>
                  </w:r>
                </w:p>
              </w:tc>
            </w:tr>
            <w:tr w14:paraId="23CA43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restart"/>
                  <w:noWrap w:val="0"/>
                  <w:vAlign w:val="center"/>
                </w:tcPr>
                <w:p w14:paraId="644C4464">
                  <w:pPr>
                    <w:adjustRightInd w:val="0"/>
                    <w:snapToGrid w:val="0"/>
                    <w:ind w:left="-105" w:leftChars="-50" w:right="-105" w:rightChars="-50"/>
                    <w:jc w:val="center"/>
                    <w:rPr>
                      <w:rFonts w:hint="default" w:hAnsi="宋体"/>
                      <w:color w:val="auto"/>
                      <w:sz w:val="21"/>
                      <w:szCs w:val="21"/>
                      <w:lang w:val="en-US" w:eastAsia="zh-CN"/>
                    </w:rPr>
                  </w:pPr>
                  <w:r>
                    <w:rPr>
                      <w:rFonts w:hint="eastAsia" w:hAnsi="宋体"/>
                      <w:color w:val="auto"/>
                      <w:sz w:val="21"/>
                      <w:szCs w:val="21"/>
                      <w:lang w:val="en-US" w:eastAsia="zh-CN"/>
                    </w:rPr>
                    <w:t>车间四</w:t>
                  </w:r>
                </w:p>
              </w:tc>
              <w:tc>
                <w:tcPr>
                  <w:tcW w:w="812" w:type="pct"/>
                  <w:noWrap w:val="0"/>
                  <w:vAlign w:val="center"/>
                </w:tcPr>
                <w:p w14:paraId="519D764D">
                  <w:pPr>
                    <w:keepNext w:val="0"/>
                    <w:keepLines w:val="0"/>
                    <w:pageBreakBefore w:val="0"/>
                    <w:widowControl/>
                    <w:suppressLineNumbers w:val="0"/>
                    <w:wordWrap/>
                    <w:overflowPunct/>
                    <w:topLinePunct w:val="0"/>
                    <w:bidi w:val="0"/>
                    <w:spacing w:line="240" w:lineRule="auto"/>
                    <w:ind w:right="0" w:rightChars="0"/>
                    <w:jc w:val="center"/>
                    <w:textAlignment w:val="center"/>
                    <w:rPr>
                      <w:rFonts w:hint="default" w:cs="Times New Roman"/>
                      <w:bCs/>
                      <w:color w:val="auto"/>
                      <w:sz w:val="21"/>
                      <w:szCs w:val="21"/>
                      <w:lang w:val="en-US" w:eastAsia="zh-CN"/>
                    </w:rPr>
                  </w:pPr>
                  <w:r>
                    <w:rPr>
                      <w:rFonts w:hint="eastAsia" w:cs="Times New Roman"/>
                      <w:bCs/>
                      <w:color w:val="auto"/>
                      <w:sz w:val="21"/>
                      <w:szCs w:val="21"/>
                      <w:lang w:val="en-US" w:eastAsia="zh-CN"/>
                    </w:rPr>
                    <w:t>1#EVA胶膜生产机组</w:t>
                  </w:r>
                </w:p>
              </w:tc>
              <w:tc>
                <w:tcPr>
                  <w:tcW w:w="202" w:type="pct"/>
                  <w:noWrap w:val="0"/>
                  <w:vAlign w:val="center"/>
                </w:tcPr>
                <w:p w14:paraId="1121DE7E">
                  <w:pPr>
                    <w:widowControl/>
                    <w:adjustRightInd w:val="0"/>
                    <w:snapToGrid w:val="0"/>
                    <w:ind w:left="-105" w:leftChars="-50" w:right="-105" w:rightChars="-50"/>
                    <w:jc w:val="center"/>
                    <w:textAlignment w:val="center"/>
                    <w:rPr>
                      <w:rFonts w:hint="eastAsia"/>
                      <w:color w:val="auto"/>
                      <w:sz w:val="21"/>
                      <w:szCs w:val="21"/>
                    </w:rPr>
                  </w:pPr>
                  <w:r>
                    <w:rPr>
                      <w:rFonts w:hint="eastAsia"/>
                      <w:color w:val="auto"/>
                      <w:sz w:val="21"/>
                      <w:szCs w:val="21"/>
                    </w:rPr>
                    <w:t>/</w:t>
                  </w:r>
                </w:p>
              </w:tc>
              <w:tc>
                <w:tcPr>
                  <w:tcW w:w="204" w:type="pct"/>
                  <w:noWrap w:val="0"/>
                  <w:vAlign w:val="center"/>
                </w:tcPr>
                <w:p w14:paraId="33D47F45">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87" w:type="pct"/>
                  <w:noWrap w:val="0"/>
                  <w:vAlign w:val="center"/>
                </w:tcPr>
                <w:p w14:paraId="3F775B61">
                  <w:pPr>
                    <w:jc w:val="center"/>
                    <w:rPr>
                      <w:rFonts w:hint="default"/>
                      <w:color w:val="auto"/>
                      <w:sz w:val="21"/>
                      <w:szCs w:val="21"/>
                      <w:lang w:val="en-US" w:eastAsia="zh-CN"/>
                    </w:rPr>
                  </w:pPr>
                  <w:r>
                    <w:rPr>
                      <w:rFonts w:hint="eastAsia"/>
                      <w:color w:val="auto"/>
                      <w:sz w:val="21"/>
                      <w:szCs w:val="21"/>
                      <w:lang w:val="en-US" w:eastAsia="zh-CN"/>
                    </w:rPr>
                    <w:t>80</w:t>
                  </w:r>
                </w:p>
              </w:tc>
              <w:tc>
                <w:tcPr>
                  <w:tcW w:w="344" w:type="pct"/>
                  <w:noWrap w:val="0"/>
                  <w:vAlign w:val="center"/>
                </w:tcPr>
                <w:p w14:paraId="75E548C4">
                  <w:pPr>
                    <w:adjustRightInd w:val="0"/>
                    <w:snapToGrid w:val="0"/>
                    <w:ind w:left="-105" w:leftChars="-50" w:right="-105" w:rightChars="-50"/>
                    <w:jc w:val="center"/>
                    <w:rPr>
                      <w:rFonts w:hAnsi="宋体"/>
                      <w:bCs/>
                      <w:color w:val="auto"/>
                      <w:sz w:val="21"/>
                      <w:szCs w:val="21"/>
                    </w:rPr>
                  </w:pPr>
                  <w:r>
                    <w:rPr>
                      <w:rFonts w:hAnsi="宋体"/>
                      <w:bCs/>
                      <w:color w:val="auto"/>
                      <w:sz w:val="21"/>
                      <w:szCs w:val="21"/>
                    </w:rPr>
                    <w:t>减振、厂房隔音</w:t>
                  </w:r>
                </w:p>
              </w:tc>
              <w:tc>
                <w:tcPr>
                  <w:tcW w:w="209" w:type="pct"/>
                  <w:noWrap w:val="0"/>
                  <w:vAlign w:val="center"/>
                </w:tcPr>
                <w:p w14:paraId="3225B004">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139</w:t>
                  </w:r>
                </w:p>
              </w:tc>
              <w:tc>
                <w:tcPr>
                  <w:tcW w:w="209" w:type="pct"/>
                  <w:noWrap w:val="0"/>
                  <w:vAlign w:val="center"/>
                </w:tcPr>
                <w:p w14:paraId="6D88F501">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183</w:t>
                  </w:r>
                </w:p>
              </w:tc>
              <w:tc>
                <w:tcPr>
                  <w:tcW w:w="230" w:type="pct"/>
                  <w:noWrap w:val="0"/>
                  <w:vAlign w:val="center"/>
                </w:tcPr>
                <w:p w14:paraId="0E5974C1">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1</w:t>
                  </w:r>
                </w:p>
              </w:tc>
              <w:tc>
                <w:tcPr>
                  <w:tcW w:w="263" w:type="pct"/>
                  <w:noWrap w:val="0"/>
                  <w:vAlign w:val="center"/>
                </w:tcPr>
                <w:p w14:paraId="4FA3ADE4">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14</w:t>
                  </w:r>
                </w:p>
              </w:tc>
              <w:tc>
                <w:tcPr>
                  <w:tcW w:w="261" w:type="pct"/>
                  <w:noWrap w:val="0"/>
                  <w:vAlign w:val="center"/>
                </w:tcPr>
                <w:p w14:paraId="24CAB3BD">
                  <w:pPr>
                    <w:adjustRightInd w:val="0"/>
                    <w:snapToGrid w:val="0"/>
                    <w:ind w:left="-105" w:leftChars="-50" w:right="-105" w:rightChars="-50"/>
                    <w:jc w:val="center"/>
                    <w:rPr>
                      <w:rFonts w:hint="default"/>
                      <w:color w:val="auto"/>
                      <w:sz w:val="21"/>
                      <w:szCs w:val="21"/>
                      <w:lang w:val="en-US" w:eastAsia="zh-CN"/>
                    </w:rPr>
                  </w:pPr>
                  <w:r>
                    <w:rPr>
                      <w:rFonts w:hint="default"/>
                      <w:color w:val="auto"/>
                      <w:sz w:val="21"/>
                      <w:szCs w:val="21"/>
                      <w:lang w:val="en-US" w:eastAsia="zh-CN"/>
                    </w:rPr>
                    <w:t>57.0</w:t>
                  </w:r>
                  <w:r>
                    <w:rPr>
                      <w:rFonts w:hint="eastAsia"/>
                      <w:color w:val="auto"/>
                      <w:sz w:val="21"/>
                      <w:szCs w:val="21"/>
                      <w:lang w:val="en-US" w:eastAsia="zh-CN"/>
                    </w:rPr>
                    <w:t>8</w:t>
                  </w:r>
                </w:p>
              </w:tc>
              <w:tc>
                <w:tcPr>
                  <w:tcW w:w="375" w:type="pct"/>
                  <w:noWrap w:val="0"/>
                  <w:vAlign w:val="center"/>
                </w:tcPr>
                <w:p w14:paraId="3EE9EE5F">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0:00-24:00</w:t>
                  </w:r>
                </w:p>
              </w:tc>
              <w:tc>
                <w:tcPr>
                  <w:tcW w:w="326" w:type="pct"/>
                  <w:noWrap w:val="0"/>
                  <w:vAlign w:val="center"/>
                </w:tcPr>
                <w:p w14:paraId="0A544A60">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20</w:t>
                  </w:r>
                </w:p>
              </w:tc>
              <w:tc>
                <w:tcPr>
                  <w:tcW w:w="367" w:type="pct"/>
                  <w:noWrap w:val="0"/>
                  <w:vAlign w:val="center"/>
                </w:tcPr>
                <w:p w14:paraId="582E236A">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37.08</w:t>
                  </w:r>
                </w:p>
              </w:tc>
              <w:tc>
                <w:tcPr>
                  <w:tcW w:w="397" w:type="pct"/>
                  <w:noWrap w:val="0"/>
                  <w:vAlign w:val="center"/>
                </w:tcPr>
                <w:p w14:paraId="0AB5799D">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1m</w:t>
                  </w:r>
                </w:p>
              </w:tc>
            </w:tr>
            <w:tr w14:paraId="6F9C17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noWrap w:val="0"/>
                  <w:vAlign w:val="center"/>
                </w:tcPr>
                <w:p w14:paraId="374BAB0F">
                  <w:pPr>
                    <w:adjustRightInd w:val="0"/>
                    <w:snapToGrid w:val="0"/>
                    <w:ind w:left="-105" w:leftChars="-50" w:right="-105" w:rightChars="-50"/>
                    <w:jc w:val="center"/>
                    <w:rPr>
                      <w:rFonts w:hint="eastAsia" w:hAnsi="宋体"/>
                      <w:color w:val="auto"/>
                      <w:sz w:val="21"/>
                      <w:szCs w:val="21"/>
                      <w:lang w:val="en-US" w:eastAsia="zh-CN"/>
                    </w:rPr>
                  </w:pPr>
                </w:p>
              </w:tc>
              <w:tc>
                <w:tcPr>
                  <w:tcW w:w="812" w:type="pct"/>
                  <w:noWrap w:val="0"/>
                  <w:vAlign w:val="center"/>
                </w:tcPr>
                <w:p w14:paraId="43DBAAFC">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2#EVA胶膜生产机组</w:t>
                  </w:r>
                </w:p>
              </w:tc>
              <w:tc>
                <w:tcPr>
                  <w:tcW w:w="202" w:type="pct"/>
                  <w:noWrap w:val="0"/>
                  <w:vAlign w:val="center"/>
                </w:tcPr>
                <w:p w14:paraId="5B10D1C2">
                  <w:pPr>
                    <w:widowControl/>
                    <w:adjustRightInd w:val="0"/>
                    <w:snapToGrid w:val="0"/>
                    <w:ind w:left="-105" w:leftChars="-50" w:right="-105" w:rightChars="-50"/>
                    <w:jc w:val="center"/>
                    <w:textAlignment w:val="center"/>
                    <w:rPr>
                      <w:rFonts w:hint="eastAsia"/>
                      <w:color w:val="auto"/>
                      <w:sz w:val="21"/>
                      <w:szCs w:val="21"/>
                    </w:rPr>
                  </w:pPr>
                  <w:r>
                    <w:rPr>
                      <w:rFonts w:hint="eastAsia"/>
                      <w:color w:val="auto"/>
                      <w:sz w:val="21"/>
                      <w:szCs w:val="21"/>
                    </w:rPr>
                    <w:t>/</w:t>
                  </w:r>
                </w:p>
              </w:tc>
              <w:tc>
                <w:tcPr>
                  <w:tcW w:w="204" w:type="pct"/>
                  <w:noWrap w:val="0"/>
                  <w:vAlign w:val="center"/>
                </w:tcPr>
                <w:p w14:paraId="7DF69DFB">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87" w:type="pct"/>
                  <w:noWrap w:val="0"/>
                  <w:vAlign w:val="center"/>
                </w:tcPr>
                <w:p w14:paraId="13E686DF">
                  <w:pPr>
                    <w:jc w:val="center"/>
                    <w:rPr>
                      <w:rFonts w:hint="eastAsia"/>
                      <w:color w:val="auto"/>
                      <w:sz w:val="21"/>
                      <w:szCs w:val="21"/>
                      <w:lang w:val="en-US" w:eastAsia="zh-CN"/>
                    </w:rPr>
                  </w:pPr>
                  <w:r>
                    <w:rPr>
                      <w:rFonts w:hint="eastAsia"/>
                      <w:color w:val="auto"/>
                      <w:sz w:val="21"/>
                      <w:szCs w:val="21"/>
                      <w:lang w:val="en-US" w:eastAsia="zh-CN"/>
                    </w:rPr>
                    <w:t>80</w:t>
                  </w:r>
                </w:p>
              </w:tc>
              <w:tc>
                <w:tcPr>
                  <w:tcW w:w="344" w:type="pct"/>
                  <w:noWrap w:val="0"/>
                  <w:vAlign w:val="center"/>
                </w:tcPr>
                <w:p w14:paraId="3B044173">
                  <w:pPr>
                    <w:adjustRightInd w:val="0"/>
                    <w:snapToGrid w:val="0"/>
                    <w:ind w:left="-105" w:leftChars="-50" w:right="-105" w:rightChars="-50"/>
                    <w:jc w:val="center"/>
                    <w:rPr>
                      <w:rFonts w:hAnsi="宋体"/>
                      <w:bCs/>
                      <w:color w:val="auto"/>
                      <w:sz w:val="21"/>
                      <w:szCs w:val="21"/>
                    </w:rPr>
                  </w:pPr>
                  <w:r>
                    <w:rPr>
                      <w:rFonts w:hAnsi="宋体"/>
                      <w:bCs/>
                      <w:color w:val="auto"/>
                      <w:sz w:val="21"/>
                      <w:szCs w:val="21"/>
                    </w:rPr>
                    <w:t>减振、厂房隔音</w:t>
                  </w:r>
                </w:p>
              </w:tc>
              <w:tc>
                <w:tcPr>
                  <w:tcW w:w="209" w:type="pct"/>
                  <w:noWrap w:val="0"/>
                  <w:vAlign w:val="center"/>
                </w:tcPr>
                <w:p w14:paraId="78822B9A">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149</w:t>
                  </w:r>
                </w:p>
              </w:tc>
              <w:tc>
                <w:tcPr>
                  <w:tcW w:w="209" w:type="pct"/>
                  <w:noWrap w:val="0"/>
                  <w:vAlign w:val="center"/>
                </w:tcPr>
                <w:p w14:paraId="667DEBFE">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183</w:t>
                  </w:r>
                </w:p>
              </w:tc>
              <w:tc>
                <w:tcPr>
                  <w:tcW w:w="230" w:type="pct"/>
                  <w:noWrap w:val="0"/>
                  <w:vAlign w:val="center"/>
                </w:tcPr>
                <w:p w14:paraId="423CD8AA">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1</w:t>
                  </w:r>
                </w:p>
              </w:tc>
              <w:tc>
                <w:tcPr>
                  <w:tcW w:w="263" w:type="pct"/>
                  <w:noWrap w:val="0"/>
                  <w:vAlign w:val="center"/>
                </w:tcPr>
                <w:p w14:paraId="3162051F">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14</w:t>
                  </w:r>
                </w:p>
              </w:tc>
              <w:tc>
                <w:tcPr>
                  <w:tcW w:w="261" w:type="pct"/>
                  <w:noWrap w:val="0"/>
                  <w:vAlign w:val="center"/>
                </w:tcPr>
                <w:p w14:paraId="1CF4B1DB">
                  <w:pPr>
                    <w:adjustRightInd w:val="0"/>
                    <w:snapToGrid w:val="0"/>
                    <w:ind w:left="-105" w:leftChars="-50" w:right="-105" w:rightChars="-50"/>
                    <w:jc w:val="center"/>
                    <w:rPr>
                      <w:rFonts w:hint="default"/>
                      <w:color w:val="auto"/>
                      <w:sz w:val="21"/>
                      <w:szCs w:val="21"/>
                      <w:lang w:val="en-US" w:eastAsia="zh-CN"/>
                    </w:rPr>
                  </w:pPr>
                  <w:r>
                    <w:rPr>
                      <w:rFonts w:hint="default"/>
                      <w:color w:val="auto"/>
                      <w:sz w:val="21"/>
                      <w:szCs w:val="21"/>
                      <w:lang w:val="en-US" w:eastAsia="zh-CN"/>
                    </w:rPr>
                    <w:t>57.0</w:t>
                  </w:r>
                  <w:r>
                    <w:rPr>
                      <w:rFonts w:hint="eastAsia"/>
                      <w:color w:val="auto"/>
                      <w:sz w:val="21"/>
                      <w:szCs w:val="21"/>
                      <w:lang w:val="en-US" w:eastAsia="zh-CN"/>
                    </w:rPr>
                    <w:t>8</w:t>
                  </w:r>
                </w:p>
              </w:tc>
              <w:tc>
                <w:tcPr>
                  <w:tcW w:w="375" w:type="pct"/>
                  <w:noWrap w:val="0"/>
                  <w:vAlign w:val="center"/>
                </w:tcPr>
                <w:p w14:paraId="3C95C02A">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0:00-24:00</w:t>
                  </w:r>
                </w:p>
              </w:tc>
              <w:tc>
                <w:tcPr>
                  <w:tcW w:w="326" w:type="pct"/>
                  <w:noWrap w:val="0"/>
                  <w:vAlign w:val="center"/>
                </w:tcPr>
                <w:p w14:paraId="388075B3">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20</w:t>
                  </w:r>
                </w:p>
              </w:tc>
              <w:tc>
                <w:tcPr>
                  <w:tcW w:w="367" w:type="pct"/>
                  <w:noWrap w:val="0"/>
                  <w:vAlign w:val="center"/>
                </w:tcPr>
                <w:p w14:paraId="19F56A2C">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37.08</w:t>
                  </w:r>
                </w:p>
              </w:tc>
              <w:tc>
                <w:tcPr>
                  <w:tcW w:w="397" w:type="pct"/>
                  <w:noWrap w:val="0"/>
                  <w:vAlign w:val="center"/>
                </w:tcPr>
                <w:p w14:paraId="355E98D2">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1m</w:t>
                  </w:r>
                </w:p>
              </w:tc>
            </w:tr>
            <w:tr w14:paraId="5E3357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noWrap w:val="0"/>
                  <w:vAlign w:val="center"/>
                </w:tcPr>
                <w:p w14:paraId="3B66D6AB">
                  <w:pPr>
                    <w:adjustRightInd w:val="0"/>
                    <w:snapToGrid w:val="0"/>
                    <w:ind w:left="-105" w:leftChars="-50" w:right="-105" w:rightChars="-50"/>
                    <w:jc w:val="center"/>
                    <w:rPr>
                      <w:rFonts w:hint="eastAsia" w:hAnsi="宋体"/>
                      <w:color w:val="auto"/>
                      <w:sz w:val="21"/>
                      <w:szCs w:val="21"/>
                      <w:lang w:val="en-US" w:eastAsia="zh-CN"/>
                    </w:rPr>
                  </w:pPr>
                </w:p>
              </w:tc>
              <w:tc>
                <w:tcPr>
                  <w:tcW w:w="812" w:type="pct"/>
                  <w:noWrap w:val="0"/>
                  <w:vAlign w:val="center"/>
                </w:tcPr>
                <w:p w14:paraId="59C0B317">
                  <w:pPr>
                    <w:jc w:val="center"/>
                    <w:rPr>
                      <w:rFonts w:hint="eastAsia"/>
                      <w:color w:val="auto"/>
                      <w:lang w:val="en-US" w:eastAsia="zh-CN"/>
                    </w:rPr>
                  </w:pPr>
                  <w:r>
                    <w:rPr>
                      <w:rFonts w:hint="eastAsia" w:cs="Times New Roman"/>
                      <w:bCs/>
                      <w:color w:val="auto"/>
                      <w:sz w:val="21"/>
                      <w:szCs w:val="21"/>
                      <w:lang w:val="en-US" w:eastAsia="zh-CN"/>
                    </w:rPr>
                    <w:t>3#EVA胶膜生产机组</w:t>
                  </w:r>
                </w:p>
              </w:tc>
              <w:tc>
                <w:tcPr>
                  <w:tcW w:w="202" w:type="pct"/>
                  <w:noWrap w:val="0"/>
                  <w:vAlign w:val="center"/>
                </w:tcPr>
                <w:p w14:paraId="64A06478">
                  <w:pPr>
                    <w:widowControl/>
                    <w:adjustRightInd w:val="0"/>
                    <w:snapToGrid w:val="0"/>
                    <w:ind w:left="-105" w:leftChars="-50" w:right="-105" w:rightChars="-50"/>
                    <w:jc w:val="center"/>
                    <w:textAlignment w:val="center"/>
                    <w:rPr>
                      <w:rFonts w:hint="eastAsia"/>
                      <w:color w:val="auto"/>
                      <w:sz w:val="21"/>
                      <w:szCs w:val="21"/>
                    </w:rPr>
                  </w:pPr>
                  <w:r>
                    <w:rPr>
                      <w:rFonts w:hint="eastAsia"/>
                      <w:color w:val="auto"/>
                      <w:sz w:val="21"/>
                      <w:szCs w:val="21"/>
                    </w:rPr>
                    <w:t>/</w:t>
                  </w:r>
                </w:p>
              </w:tc>
              <w:tc>
                <w:tcPr>
                  <w:tcW w:w="204" w:type="pct"/>
                  <w:noWrap w:val="0"/>
                  <w:vAlign w:val="center"/>
                </w:tcPr>
                <w:p w14:paraId="7CCAC621">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87" w:type="pct"/>
                  <w:noWrap w:val="0"/>
                  <w:vAlign w:val="center"/>
                </w:tcPr>
                <w:p w14:paraId="11E6CF7B">
                  <w:pPr>
                    <w:jc w:val="center"/>
                    <w:rPr>
                      <w:rFonts w:hint="eastAsia"/>
                      <w:color w:val="auto"/>
                      <w:sz w:val="21"/>
                      <w:szCs w:val="21"/>
                      <w:lang w:val="en-US" w:eastAsia="zh-CN"/>
                    </w:rPr>
                  </w:pPr>
                  <w:r>
                    <w:rPr>
                      <w:rFonts w:hint="eastAsia"/>
                      <w:color w:val="auto"/>
                      <w:sz w:val="21"/>
                      <w:szCs w:val="21"/>
                      <w:lang w:val="en-US" w:eastAsia="zh-CN"/>
                    </w:rPr>
                    <w:t>80</w:t>
                  </w:r>
                </w:p>
              </w:tc>
              <w:tc>
                <w:tcPr>
                  <w:tcW w:w="344" w:type="pct"/>
                  <w:noWrap w:val="0"/>
                  <w:vAlign w:val="center"/>
                </w:tcPr>
                <w:p w14:paraId="2D7F4FBA">
                  <w:pPr>
                    <w:adjustRightInd w:val="0"/>
                    <w:snapToGrid w:val="0"/>
                    <w:ind w:left="-105" w:leftChars="-50" w:right="-105" w:rightChars="-50"/>
                    <w:jc w:val="center"/>
                    <w:rPr>
                      <w:rFonts w:hAnsi="宋体"/>
                      <w:bCs/>
                      <w:color w:val="auto"/>
                      <w:sz w:val="21"/>
                      <w:szCs w:val="21"/>
                    </w:rPr>
                  </w:pPr>
                  <w:r>
                    <w:rPr>
                      <w:rFonts w:hAnsi="宋体"/>
                      <w:bCs/>
                      <w:color w:val="auto"/>
                      <w:sz w:val="21"/>
                      <w:szCs w:val="21"/>
                    </w:rPr>
                    <w:t>减振、厂房隔音</w:t>
                  </w:r>
                </w:p>
              </w:tc>
              <w:tc>
                <w:tcPr>
                  <w:tcW w:w="580" w:type="dxa"/>
                  <w:noWrap w:val="0"/>
                  <w:vAlign w:val="center"/>
                </w:tcPr>
                <w:p w14:paraId="7ABD76FA">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159</w:t>
                  </w:r>
                </w:p>
              </w:tc>
              <w:tc>
                <w:tcPr>
                  <w:tcW w:w="580" w:type="dxa"/>
                  <w:noWrap w:val="0"/>
                  <w:vAlign w:val="center"/>
                </w:tcPr>
                <w:p w14:paraId="56A7734F">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183</w:t>
                  </w:r>
                </w:p>
              </w:tc>
              <w:tc>
                <w:tcPr>
                  <w:tcW w:w="230" w:type="pct"/>
                  <w:noWrap w:val="0"/>
                  <w:vAlign w:val="center"/>
                </w:tcPr>
                <w:p w14:paraId="25C0AA59">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1</w:t>
                  </w:r>
                </w:p>
              </w:tc>
              <w:tc>
                <w:tcPr>
                  <w:tcW w:w="263" w:type="pct"/>
                  <w:noWrap w:val="0"/>
                  <w:vAlign w:val="center"/>
                </w:tcPr>
                <w:p w14:paraId="6DC270FA">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14</w:t>
                  </w:r>
                </w:p>
              </w:tc>
              <w:tc>
                <w:tcPr>
                  <w:tcW w:w="261" w:type="pct"/>
                  <w:noWrap w:val="0"/>
                  <w:vAlign w:val="center"/>
                </w:tcPr>
                <w:p w14:paraId="0E7E4720">
                  <w:pPr>
                    <w:adjustRightInd w:val="0"/>
                    <w:snapToGrid w:val="0"/>
                    <w:ind w:left="-105" w:leftChars="-50" w:right="-105" w:rightChars="-50"/>
                    <w:jc w:val="center"/>
                    <w:rPr>
                      <w:rFonts w:hint="default"/>
                      <w:color w:val="auto"/>
                      <w:sz w:val="21"/>
                      <w:szCs w:val="21"/>
                      <w:lang w:val="en-US" w:eastAsia="zh-CN"/>
                    </w:rPr>
                  </w:pPr>
                  <w:r>
                    <w:rPr>
                      <w:rFonts w:hint="default"/>
                      <w:color w:val="auto"/>
                      <w:sz w:val="21"/>
                      <w:szCs w:val="21"/>
                      <w:lang w:val="en-US" w:eastAsia="zh-CN"/>
                    </w:rPr>
                    <w:t>57.0</w:t>
                  </w:r>
                  <w:r>
                    <w:rPr>
                      <w:rFonts w:hint="eastAsia"/>
                      <w:color w:val="auto"/>
                      <w:sz w:val="21"/>
                      <w:szCs w:val="21"/>
                      <w:lang w:val="en-US" w:eastAsia="zh-CN"/>
                    </w:rPr>
                    <w:t>8</w:t>
                  </w:r>
                </w:p>
              </w:tc>
              <w:tc>
                <w:tcPr>
                  <w:tcW w:w="375" w:type="pct"/>
                  <w:noWrap w:val="0"/>
                  <w:vAlign w:val="center"/>
                </w:tcPr>
                <w:p w14:paraId="476F5795">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0:00-24:00</w:t>
                  </w:r>
                </w:p>
              </w:tc>
              <w:tc>
                <w:tcPr>
                  <w:tcW w:w="326" w:type="pct"/>
                  <w:noWrap w:val="0"/>
                  <w:vAlign w:val="center"/>
                </w:tcPr>
                <w:p w14:paraId="277972E1">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20</w:t>
                  </w:r>
                </w:p>
              </w:tc>
              <w:tc>
                <w:tcPr>
                  <w:tcW w:w="367" w:type="pct"/>
                  <w:noWrap w:val="0"/>
                  <w:vAlign w:val="center"/>
                </w:tcPr>
                <w:p w14:paraId="20B498A2">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37.08</w:t>
                  </w:r>
                </w:p>
              </w:tc>
              <w:tc>
                <w:tcPr>
                  <w:tcW w:w="397" w:type="pct"/>
                  <w:noWrap w:val="0"/>
                  <w:vAlign w:val="center"/>
                </w:tcPr>
                <w:p w14:paraId="6AE5324A">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1m</w:t>
                  </w:r>
                </w:p>
              </w:tc>
            </w:tr>
            <w:tr w14:paraId="264AFA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noWrap w:val="0"/>
                  <w:vAlign w:val="center"/>
                </w:tcPr>
                <w:p w14:paraId="25907774">
                  <w:pPr>
                    <w:adjustRightInd w:val="0"/>
                    <w:snapToGrid w:val="0"/>
                    <w:ind w:left="-105" w:leftChars="-50" w:right="-105" w:rightChars="-50"/>
                    <w:jc w:val="center"/>
                    <w:rPr>
                      <w:rFonts w:hint="eastAsia" w:hAnsi="宋体"/>
                      <w:color w:val="auto"/>
                      <w:sz w:val="21"/>
                      <w:szCs w:val="21"/>
                      <w:lang w:val="en-US" w:eastAsia="zh-CN"/>
                    </w:rPr>
                  </w:pPr>
                </w:p>
              </w:tc>
              <w:tc>
                <w:tcPr>
                  <w:tcW w:w="812" w:type="pct"/>
                  <w:noWrap w:val="0"/>
                  <w:vAlign w:val="center"/>
                </w:tcPr>
                <w:p w14:paraId="36D93EB9">
                  <w:pPr>
                    <w:jc w:val="center"/>
                    <w:rPr>
                      <w:rFonts w:hint="eastAsia"/>
                      <w:color w:val="auto"/>
                      <w:lang w:val="en-US" w:eastAsia="zh-CN"/>
                    </w:rPr>
                  </w:pPr>
                  <w:r>
                    <w:rPr>
                      <w:rFonts w:hint="eastAsia" w:cs="Times New Roman"/>
                      <w:bCs/>
                      <w:color w:val="auto"/>
                      <w:sz w:val="21"/>
                      <w:szCs w:val="21"/>
                      <w:lang w:val="en-US" w:eastAsia="zh-CN"/>
                    </w:rPr>
                    <w:t>4#EVA胶膜生产机组</w:t>
                  </w:r>
                </w:p>
              </w:tc>
              <w:tc>
                <w:tcPr>
                  <w:tcW w:w="202" w:type="pct"/>
                  <w:noWrap w:val="0"/>
                  <w:vAlign w:val="center"/>
                </w:tcPr>
                <w:p w14:paraId="4FF32B91">
                  <w:pPr>
                    <w:widowControl/>
                    <w:adjustRightInd w:val="0"/>
                    <w:snapToGrid w:val="0"/>
                    <w:ind w:left="-105" w:leftChars="-50" w:right="-105" w:rightChars="-50"/>
                    <w:jc w:val="center"/>
                    <w:textAlignment w:val="center"/>
                    <w:rPr>
                      <w:rFonts w:hint="eastAsia"/>
                      <w:color w:val="auto"/>
                      <w:sz w:val="21"/>
                      <w:szCs w:val="21"/>
                    </w:rPr>
                  </w:pPr>
                  <w:r>
                    <w:rPr>
                      <w:rFonts w:hint="eastAsia"/>
                      <w:color w:val="auto"/>
                      <w:sz w:val="21"/>
                      <w:szCs w:val="21"/>
                    </w:rPr>
                    <w:t>/</w:t>
                  </w:r>
                </w:p>
              </w:tc>
              <w:tc>
                <w:tcPr>
                  <w:tcW w:w="204" w:type="pct"/>
                  <w:noWrap w:val="0"/>
                  <w:vAlign w:val="center"/>
                </w:tcPr>
                <w:p w14:paraId="636E2472">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87" w:type="pct"/>
                  <w:noWrap w:val="0"/>
                  <w:vAlign w:val="center"/>
                </w:tcPr>
                <w:p w14:paraId="1826E838">
                  <w:pPr>
                    <w:jc w:val="center"/>
                    <w:rPr>
                      <w:rFonts w:hint="eastAsia"/>
                      <w:color w:val="auto"/>
                      <w:sz w:val="21"/>
                      <w:szCs w:val="21"/>
                      <w:lang w:val="en-US" w:eastAsia="zh-CN"/>
                    </w:rPr>
                  </w:pPr>
                  <w:r>
                    <w:rPr>
                      <w:rFonts w:hint="eastAsia"/>
                      <w:color w:val="auto"/>
                      <w:sz w:val="21"/>
                      <w:szCs w:val="21"/>
                      <w:lang w:val="en-US" w:eastAsia="zh-CN"/>
                    </w:rPr>
                    <w:t>80</w:t>
                  </w:r>
                </w:p>
              </w:tc>
              <w:tc>
                <w:tcPr>
                  <w:tcW w:w="344" w:type="pct"/>
                  <w:noWrap w:val="0"/>
                  <w:vAlign w:val="center"/>
                </w:tcPr>
                <w:p w14:paraId="33DF70F9">
                  <w:pPr>
                    <w:adjustRightInd w:val="0"/>
                    <w:snapToGrid w:val="0"/>
                    <w:ind w:left="-105" w:leftChars="-50" w:right="-105" w:rightChars="-50"/>
                    <w:jc w:val="center"/>
                    <w:rPr>
                      <w:rFonts w:hAnsi="宋体"/>
                      <w:bCs/>
                      <w:color w:val="auto"/>
                      <w:sz w:val="21"/>
                      <w:szCs w:val="21"/>
                    </w:rPr>
                  </w:pPr>
                  <w:r>
                    <w:rPr>
                      <w:rFonts w:hAnsi="宋体"/>
                      <w:bCs/>
                      <w:color w:val="auto"/>
                      <w:sz w:val="21"/>
                      <w:szCs w:val="21"/>
                    </w:rPr>
                    <w:t>减振、厂房隔音</w:t>
                  </w:r>
                </w:p>
              </w:tc>
              <w:tc>
                <w:tcPr>
                  <w:tcW w:w="580" w:type="dxa"/>
                  <w:noWrap w:val="0"/>
                  <w:vAlign w:val="center"/>
                </w:tcPr>
                <w:p w14:paraId="34E189C6">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169</w:t>
                  </w:r>
                </w:p>
              </w:tc>
              <w:tc>
                <w:tcPr>
                  <w:tcW w:w="580" w:type="dxa"/>
                  <w:noWrap w:val="0"/>
                  <w:vAlign w:val="center"/>
                </w:tcPr>
                <w:p w14:paraId="76390C16">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183</w:t>
                  </w:r>
                </w:p>
              </w:tc>
              <w:tc>
                <w:tcPr>
                  <w:tcW w:w="230" w:type="pct"/>
                  <w:noWrap w:val="0"/>
                  <w:vAlign w:val="center"/>
                </w:tcPr>
                <w:p w14:paraId="13A60ACD">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1</w:t>
                  </w:r>
                </w:p>
              </w:tc>
              <w:tc>
                <w:tcPr>
                  <w:tcW w:w="263" w:type="pct"/>
                  <w:noWrap w:val="0"/>
                  <w:vAlign w:val="center"/>
                </w:tcPr>
                <w:p w14:paraId="1946A5B3">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14</w:t>
                  </w:r>
                </w:p>
              </w:tc>
              <w:tc>
                <w:tcPr>
                  <w:tcW w:w="261" w:type="pct"/>
                  <w:noWrap w:val="0"/>
                  <w:vAlign w:val="center"/>
                </w:tcPr>
                <w:p w14:paraId="4FF7FC2D">
                  <w:pPr>
                    <w:adjustRightInd w:val="0"/>
                    <w:snapToGrid w:val="0"/>
                    <w:ind w:left="-105" w:leftChars="-50" w:right="-105" w:rightChars="-50"/>
                    <w:jc w:val="center"/>
                    <w:rPr>
                      <w:rFonts w:hint="default"/>
                      <w:color w:val="auto"/>
                      <w:sz w:val="21"/>
                      <w:szCs w:val="21"/>
                      <w:lang w:val="en-US" w:eastAsia="zh-CN"/>
                    </w:rPr>
                  </w:pPr>
                  <w:r>
                    <w:rPr>
                      <w:rFonts w:hint="default"/>
                      <w:color w:val="auto"/>
                      <w:sz w:val="21"/>
                      <w:szCs w:val="21"/>
                      <w:lang w:val="en-US" w:eastAsia="zh-CN"/>
                    </w:rPr>
                    <w:t>57.0</w:t>
                  </w:r>
                  <w:r>
                    <w:rPr>
                      <w:rFonts w:hint="eastAsia"/>
                      <w:color w:val="auto"/>
                      <w:sz w:val="21"/>
                      <w:szCs w:val="21"/>
                      <w:lang w:val="en-US" w:eastAsia="zh-CN"/>
                    </w:rPr>
                    <w:t>8</w:t>
                  </w:r>
                </w:p>
              </w:tc>
              <w:tc>
                <w:tcPr>
                  <w:tcW w:w="375" w:type="pct"/>
                  <w:noWrap w:val="0"/>
                  <w:vAlign w:val="center"/>
                </w:tcPr>
                <w:p w14:paraId="12B7B958">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0:00-24:00</w:t>
                  </w:r>
                </w:p>
              </w:tc>
              <w:tc>
                <w:tcPr>
                  <w:tcW w:w="326" w:type="pct"/>
                  <w:noWrap w:val="0"/>
                  <w:vAlign w:val="center"/>
                </w:tcPr>
                <w:p w14:paraId="710AB2E4">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20</w:t>
                  </w:r>
                </w:p>
              </w:tc>
              <w:tc>
                <w:tcPr>
                  <w:tcW w:w="367" w:type="pct"/>
                  <w:noWrap w:val="0"/>
                  <w:vAlign w:val="center"/>
                </w:tcPr>
                <w:p w14:paraId="34DF3415">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37.08</w:t>
                  </w:r>
                </w:p>
              </w:tc>
              <w:tc>
                <w:tcPr>
                  <w:tcW w:w="397" w:type="pct"/>
                  <w:noWrap w:val="0"/>
                  <w:vAlign w:val="center"/>
                </w:tcPr>
                <w:p w14:paraId="4A1AE59C">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1m</w:t>
                  </w:r>
                </w:p>
              </w:tc>
            </w:tr>
          </w:tbl>
          <w:p w14:paraId="32A0D2F0">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表4-1</w:t>
            </w:r>
            <w:r>
              <w:rPr>
                <w:rFonts w:hint="eastAsia" w:cs="Times New Roman"/>
                <w:b/>
                <w:bCs/>
                <w:color w:val="auto"/>
                <w:sz w:val="21"/>
                <w:szCs w:val="21"/>
                <w:lang w:val="en-US" w:eastAsia="zh-CN"/>
              </w:rPr>
              <w:t>1</w:t>
            </w:r>
            <w:r>
              <w:rPr>
                <w:rFonts w:hint="eastAsia" w:cs="Times New Roman"/>
                <w:b/>
                <w:bCs/>
                <w:color w:val="auto"/>
                <w:sz w:val="21"/>
                <w:szCs w:val="21"/>
                <w:lang w:eastAsia="zh-CN"/>
              </w:rPr>
              <w:t>本项目</w:t>
            </w:r>
            <w:r>
              <w:rPr>
                <w:rFonts w:hint="default" w:ascii="Times New Roman" w:hAnsi="Times New Roman" w:eastAsia="宋体" w:cs="Times New Roman"/>
                <w:b/>
                <w:bCs/>
                <w:color w:val="auto"/>
                <w:sz w:val="21"/>
                <w:szCs w:val="21"/>
                <w:lang w:val="en-US" w:eastAsia="zh-CN"/>
              </w:rPr>
              <w:t>主要噪声污染源一览表（室外声源）</w:t>
            </w:r>
          </w:p>
          <w:tbl>
            <w:tblPr>
              <w:tblStyle w:val="31"/>
              <w:tblW w:w="4997" w:type="pct"/>
              <w:jc w:val="center"/>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852"/>
              <w:gridCol w:w="1566"/>
              <w:gridCol w:w="1021"/>
              <w:gridCol w:w="1305"/>
              <w:gridCol w:w="1305"/>
              <w:gridCol w:w="1316"/>
              <w:gridCol w:w="2137"/>
              <w:gridCol w:w="2207"/>
              <w:gridCol w:w="2162"/>
            </w:tblGrid>
            <w:tr w14:paraId="642F59E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7" w:type="pct"/>
                  <w:vMerge w:val="restart"/>
                  <w:tcBorders>
                    <w:tl2br w:val="nil"/>
                    <w:tr2bl w:val="nil"/>
                  </w:tcBorders>
                  <w:vAlign w:val="center"/>
                </w:tcPr>
                <w:p w14:paraId="1CE68ED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rPr>
                    <w:t>序号</w:t>
                  </w:r>
                </w:p>
              </w:tc>
              <w:tc>
                <w:tcPr>
                  <w:tcW w:w="564" w:type="pct"/>
                  <w:vMerge w:val="restart"/>
                  <w:tcBorders>
                    <w:tl2br w:val="nil"/>
                    <w:tr2bl w:val="nil"/>
                  </w:tcBorders>
                  <w:vAlign w:val="center"/>
                </w:tcPr>
                <w:p w14:paraId="3553841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lang w:val="en-US" w:eastAsia="zh-CN"/>
                    </w:rPr>
                    <w:t>声源名称</w:t>
                  </w:r>
                </w:p>
              </w:tc>
              <w:tc>
                <w:tcPr>
                  <w:tcW w:w="368" w:type="pct"/>
                  <w:vMerge w:val="restart"/>
                  <w:tcBorders>
                    <w:tl2br w:val="nil"/>
                    <w:tr2bl w:val="nil"/>
                  </w:tcBorders>
                  <w:vAlign w:val="center"/>
                </w:tcPr>
                <w:p w14:paraId="4CFABFD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数量</w:t>
                  </w:r>
                </w:p>
              </w:tc>
              <w:tc>
                <w:tcPr>
                  <w:tcW w:w="1414" w:type="pct"/>
                  <w:gridSpan w:val="3"/>
                  <w:tcBorders>
                    <w:tl2br w:val="nil"/>
                    <w:tr2bl w:val="nil"/>
                  </w:tcBorders>
                  <w:vAlign w:val="center"/>
                </w:tcPr>
                <w:p w14:paraId="3699D65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空间相对位置/m</w:t>
                  </w:r>
                </w:p>
              </w:tc>
              <w:tc>
                <w:tcPr>
                  <w:tcW w:w="770" w:type="pct"/>
                  <w:vMerge w:val="restart"/>
                  <w:tcBorders>
                    <w:tl2br w:val="nil"/>
                    <w:tr2bl w:val="nil"/>
                  </w:tcBorders>
                  <w:vAlign w:val="center"/>
                </w:tcPr>
                <w:p w14:paraId="2EE1BBB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单台声功率级dB(A)</w:t>
                  </w:r>
                </w:p>
              </w:tc>
              <w:tc>
                <w:tcPr>
                  <w:tcW w:w="795" w:type="pct"/>
                  <w:vMerge w:val="restart"/>
                  <w:tcBorders>
                    <w:tl2br w:val="nil"/>
                    <w:tr2bl w:val="nil"/>
                  </w:tcBorders>
                  <w:vAlign w:val="center"/>
                </w:tcPr>
                <w:p w14:paraId="2C79C07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声源控制</w:t>
                  </w:r>
                </w:p>
                <w:p w14:paraId="727191E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措施</w:t>
                  </w:r>
                </w:p>
              </w:tc>
              <w:tc>
                <w:tcPr>
                  <w:tcW w:w="779" w:type="pct"/>
                  <w:vMerge w:val="restart"/>
                  <w:tcBorders>
                    <w:tl2br w:val="nil"/>
                    <w:tr2bl w:val="nil"/>
                  </w:tcBorders>
                  <w:vAlign w:val="center"/>
                </w:tcPr>
                <w:p w14:paraId="079F1FE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运行时段</w:t>
                  </w:r>
                </w:p>
              </w:tc>
            </w:tr>
            <w:tr w14:paraId="46A7D74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7" w:type="pct"/>
                  <w:vMerge w:val="continue"/>
                  <w:tcBorders>
                    <w:tl2br w:val="nil"/>
                    <w:tr2bl w:val="nil"/>
                  </w:tcBorders>
                  <w:vAlign w:val="center"/>
                </w:tcPr>
                <w:p w14:paraId="5938535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c>
                <w:tcPr>
                  <w:tcW w:w="564" w:type="pct"/>
                  <w:vMerge w:val="continue"/>
                  <w:tcBorders>
                    <w:tl2br w:val="nil"/>
                    <w:tr2bl w:val="nil"/>
                  </w:tcBorders>
                  <w:vAlign w:val="center"/>
                </w:tcPr>
                <w:p w14:paraId="0FA7353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c>
                <w:tcPr>
                  <w:tcW w:w="368" w:type="pct"/>
                  <w:vMerge w:val="continue"/>
                  <w:tcBorders>
                    <w:tl2br w:val="nil"/>
                    <w:tr2bl w:val="nil"/>
                  </w:tcBorders>
                  <w:vAlign w:val="center"/>
                </w:tcPr>
                <w:p w14:paraId="5011F54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p>
              </w:tc>
              <w:tc>
                <w:tcPr>
                  <w:tcW w:w="470" w:type="pct"/>
                  <w:tcBorders>
                    <w:tl2br w:val="nil"/>
                    <w:tr2bl w:val="nil"/>
                  </w:tcBorders>
                  <w:vAlign w:val="center"/>
                </w:tcPr>
                <w:p w14:paraId="384C024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X</w:t>
                  </w:r>
                </w:p>
              </w:tc>
              <w:tc>
                <w:tcPr>
                  <w:tcW w:w="470" w:type="pct"/>
                  <w:tcBorders>
                    <w:tl2br w:val="nil"/>
                    <w:tr2bl w:val="nil"/>
                  </w:tcBorders>
                  <w:vAlign w:val="center"/>
                </w:tcPr>
                <w:p w14:paraId="0673884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Y</w:t>
                  </w:r>
                </w:p>
              </w:tc>
              <w:tc>
                <w:tcPr>
                  <w:tcW w:w="473" w:type="pct"/>
                  <w:tcBorders>
                    <w:tl2br w:val="nil"/>
                    <w:tr2bl w:val="nil"/>
                  </w:tcBorders>
                  <w:vAlign w:val="center"/>
                </w:tcPr>
                <w:p w14:paraId="08BB313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Z</w:t>
                  </w:r>
                </w:p>
              </w:tc>
              <w:tc>
                <w:tcPr>
                  <w:tcW w:w="770" w:type="pct"/>
                  <w:vMerge w:val="continue"/>
                  <w:tcBorders>
                    <w:tl2br w:val="nil"/>
                    <w:tr2bl w:val="nil"/>
                  </w:tcBorders>
                  <w:vAlign w:val="center"/>
                </w:tcPr>
                <w:p w14:paraId="3CC19A5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p>
              </w:tc>
              <w:tc>
                <w:tcPr>
                  <w:tcW w:w="795" w:type="pct"/>
                  <w:vMerge w:val="continue"/>
                  <w:tcBorders>
                    <w:tl2br w:val="nil"/>
                    <w:tr2bl w:val="nil"/>
                  </w:tcBorders>
                  <w:vAlign w:val="center"/>
                </w:tcPr>
                <w:p w14:paraId="5B84C4F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p>
              </w:tc>
              <w:tc>
                <w:tcPr>
                  <w:tcW w:w="779" w:type="pct"/>
                  <w:vMerge w:val="continue"/>
                  <w:tcBorders>
                    <w:tl2br w:val="nil"/>
                    <w:tr2bl w:val="nil"/>
                  </w:tcBorders>
                  <w:vAlign w:val="center"/>
                </w:tcPr>
                <w:p w14:paraId="6032F34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p>
              </w:tc>
            </w:tr>
            <w:tr w14:paraId="3FC4A268">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7" w:type="pct"/>
                  <w:tcBorders>
                    <w:tl2br w:val="nil"/>
                    <w:tr2bl w:val="nil"/>
                  </w:tcBorders>
                  <w:vAlign w:val="center"/>
                </w:tcPr>
                <w:p w14:paraId="1A8D6CF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564" w:type="pct"/>
                  <w:tcBorders>
                    <w:tl2br w:val="nil"/>
                    <w:tr2bl w:val="nil"/>
                  </w:tcBorders>
                  <w:vAlign w:val="center"/>
                </w:tcPr>
                <w:p w14:paraId="2BD754A0">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Cs w:val="21"/>
                      <w:lang w:val="en-US" w:eastAsia="zh-CN"/>
                    </w:rPr>
                    <w:t>风机</w:t>
                  </w:r>
                  <w:r>
                    <w:rPr>
                      <w:rFonts w:hint="eastAsia" w:cs="Times New Roman"/>
                      <w:color w:val="auto"/>
                      <w:szCs w:val="21"/>
                      <w:lang w:val="en-US" w:eastAsia="zh-CN"/>
                    </w:rPr>
                    <w:t>（P4）</w:t>
                  </w:r>
                </w:p>
              </w:tc>
              <w:tc>
                <w:tcPr>
                  <w:tcW w:w="368" w:type="pct"/>
                  <w:tcBorders>
                    <w:tl2br w:val="nil"/>
                    <w:tr2bl w:val="nil"/>
                  </w:tcBorders>
                  <w:vAlign w:val="center"/>
                </w:tcPr>
                <w:p w14:paraId="215B618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Cs w:val="21"/>
                      <w:lang w:val="en-US" w:eastAsia="zh-CN"/>
                    </w:rPr>
                    <w:t>1</w:t>
                  </w:r>
                </w:p>
              </w:tc>
              <w:tc>
                <w:tcPr>
                  <w:tcW w:w="470" w:type="pct"/>
                  <w:tcBorders>
                    <w:tl2br w:val="nil"/>
                    <w:tr2bl w:val="nil"/>
                  </w:tcBorders>
                  <w:vAlign w:val="center"/>
                </w:tcPr>
                <w:p w14:paraId="5C633B9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142</w:t>
                  </w:r>
                </w:p>
              </w:tc>
              <w:tc>
                <w:tcPr>
                  <w:tcW w:w="470" w:type="pct"/>
                  <w:tcBorders>
                    <w:tl2br w:val="nil"/>
                    <w:tr2bl w:val="nil"/>
                  </w:tcBorders>
                  <w:vAlign w:val="center"/>
                </w:tcPr>
                <w:p w14:paraId="3C7E7CB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197</w:t>
                  </w:r>
                </w:p>
              </w:tc>
              <w:tc>
                <w:tcPr>
                  <w:tcW w:w="473" w:type="pct"/>
                  <w:tcBorders>
                    <w:tl2br w:val="nil"/>
                    <w:tr2bl w:val="nil"/>
                  </w:tcBorders>
                  <w:vAlign w:val="center"/>
                </w:tcPr>
                <w:p w14:paraId="284DBBB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23</w:t>
                  </w:r>
                </w:p>
              </w:tc>
              <w:tc>
                <w:tcPr>
                  <w:tcW w:w="770" w:type="pct"/>
                  <w:tcBorders>
                    <w:tl2br w:val="nil"/>
                    <w:tr2bl w:val="nil"/>
                  </w:tcBorders>
                  <w:vAlign w:val="center"/>
                </w:tcPr>
                <w:p w14:paraId="27AA3D9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cs="Times New Roman"/>
                      <w:color w:val="auto"/>
                      <w:szCs w:val="21"/>
                      <w:lang w:val="en-US" w:eastAsia="zh-CN"/>
                    </w:rPr>
                    <w:t>85</w:t>
                  </w:r>
                </w:p>
              </w:tc>
              <w:tc>
                <w:tcPr>
                  <w:tcW w:w="795" w:type="pct"/>
                  <w:tcBorders>
                    <w:tl2br w:val="nil"/>
                    <w:tr2bl w:val="nil"/>
                  </w:tcBorders>
                  <w:vAlign w:val="center"/>
                </w:tcPr>
                <w:p w14:paraId="06320FF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lang w:val="en-US" w:eastAsia="zh-CN"/>
                    </w:rPr>
                  </w:pPr>
                  <w:r>
                    <w:rPr>
                      <w:rFonts w:hAnsi="宋体"/>
                      <w:bCs/>
                      <w:color w:val="auto"/>
                      <w:szCs w:val="20"/>
                    </w:rPr>
                    <w:t>减振、隔音</w:t>
                  </w:r>
                </w:p>
              </w:tc>
              <w:tc>
                <w:tcPr>
                  <w:tcW w:w="779" w:type="pct"/>
                  <w:tcBorders>
                    <w:tl2br w:val="nil"/>
                    <w:tr2bl w:val="nil"/>
                  </w:tcBorders>
                  <w:vAlign w:val="center"/>
                </w:tcPr>
                <w:p w14:paraId="5BE6EDE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color w:val="auto"/>
                      <w:sz w:val="21"/>
                      <w:szCs w:val="21"/>
                      <w:lang w:val="en-US" w:eastAsia="zh-CN"/>
                    </w:rPr>
                    <w:t>0:00-24:00</w:t>
                  </w:r>
                </w:p>
              </w:tc>
            </w:tr>
          </w:tbl>
          <w:p w14:paraId="35E30AEA">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注：</w:t>
            </w:r>
            <w:r>
              <w:rPr>
                <w:rFonts w:hint="default" w:ascii="Times New Roman" w:hAnsi="Times New Roman" w:cs="Times New Roman"/>
                <w:b/>
                <w:bCs/>
                <w:color w:val="auto"/>
                <w:sz w:val="21"/>
                <w:szCs w:val="21"/>
                <w:lang w:val="en-US" w:eastAsia="zh-CN"/>
              </w:rPr>
              <w:t>表4-</w:t>
            </w:r>
            <w:r>
              <w:rPr>
                <w:rFonts w:hint="eastAsia" w:ascii="Times New Roman" w:hAnsi="Times New Roman" w:cs="Times New Roman"/>
                <w:b/>
                <w:bCs/>
                <w:color w:val="auto"/>
                <w:sz w:val="21"/>
                <w:szCs w:val="21"/>
                <w:lang w:val="en-US" w:eastAsia="zh-CN"/>
              </w:rPr>
              <w:t>1</w:t>
            </w:r>
            <w:r>
              <w:rPr>
                <w:rFonts w:hint="eastAsia" w:cs="Times New Roman"/>
                <w:b/>
                <w:bCs/>
                <w:color w:val="auto"/>
                <w:sz w:val="21"/>
                <w:szCs w:val="21"/>
                <w:lang w:val="en-US" w:eastAsia="zh-CN"/>
              </w:rPr>
              <w:t>0</w:t>
            </w:r>
            <w:r>
              <w:rPr>
                <w:rFonts w:hint="default" w:ascii="Times New Roman" w:hAnsi="Times New Roman" w:cs="Times New Roman"/>
                <w:b/>
                <w:bCs/>
                <w:color w:val="auto"/>
                <w:sz w:val="21"/>
                <w:szCs w:val="21"/>
                <w:lang w:val="en-US" w:eastAsia="zh-CN"/>
              </w:rPr>
              <w:t>及表4-1</w:t>
            </w:r>
            <w:r>
              <w:rPr>
                <w:rFonts w:hint="eastAsia" w:cs="Times New Roman"/>
                <w:b/>
                <w:bCs/>
                <w:color w:val="auto"/>
                <w:sz w:val="21"/>
                <w:szCs w:val="21"/>
                <w:lang w:val="en-US" w:eastAsia="zh-CN"/>
              </w:rPr>
              <w:t>1</w:t>
            </w:r>
            <w:r>
              <w:rPr>
                <w:rFonts w:hint="default" w:ascii="Times New Roman" w:hAnsi="Times New Roman" w:cs="Times New Roman"/>
                <w:b/>
                <w:bCs/>
                <w:color w:val="auto"/>
                <w:sz w:val="21"/>
                <w:szCs w:val="21"/>
                <w:lang w:val="en-US" w:eastAsia="zh-CN"/>
              </w:rPr>
              <w:t>中</w:t>
            </w:r>
            <w:r>
              <w:rPr>
                <w:rFonts w:hint="default" w:ascii="Times New Roman" w:hAnsi="Times New Roman" w:eastAsia="宋体" w:cs="Times New Roman"/>
                <w:b/>
                <w:bCs/>
                <w:color w:val="auto"/>
                <w:sz w:val="21"/>
                <w:szCs w:val="21"/>
                <w:lang w:val="en-US" w:eastAsia="zh-CN"/>
              </w:rPr>
              <w:t>空间相对坐标以</w:t>
            </w:r>
            <w:r>
              <w:rPr>
                <w:rFonts w:hint="eastAsia" w:cs="Times New Roman"/>
                <w:b/>
                <w:bCs/>
                <w:color w:val="auto"/>
                <w:sz w:val="21"/>
                <w:szCs w:val="21"/>
                <w:lang w:val="en-US" w:eastAsia="zh-CN"/>
              </w:rPr>
              <w:t>厂区</w:t>
            </w:r>
            <w:r>
              <w:rPr>
                <w:rFonts w:hint="default" w:ascii="Times New Roman" w:hAnsi="Times New Roman" w:eastAsia="宋体" w:cs="Times New Roman"/>
                <w:b/>
                <w:bCs/>
                <w:color w:val="auto"/>
                <w:sz w:val="21"/>
                <w:szCs w:val="21"/>
                <w:lang w:val="en-US" w:eastAsia="zh-CN"/>
              </w:rPr>
              <w:t>西南角为原点（0，0，0）</w:t>
            </w:r>
            <w:r>
              <w:rPr>
                <w:rFonts w:hint="default" w:ascii="Times New Roman" w:hAnsi="Times New Roman" w:cs="Times New Roman"/>
                <w:b/>
                <w:bCs/>
                <w:color w:val="auto"/>
                <w:sz w:val="21"/>
                <w:szCs w:val="21"/>
                <w:lang w:val="en-US" w:eastAsia="zh-CN"/>
              </w:rPr>
              <w:t>，东西方向为X轴，南北方向为Y轴，垂直方向为Z轴</w:t>
            </w:r>
            <w:r>
              <w:rPr>
                <w:rFonts w:hint="default" w:ascii="Times New Roman" w:hAnsi="Times New Roman" w:eastAsia="宋体" w:cs="Times New Roman"/>
                <w:b/>
                <w:bCs/>
                <w:color w:val="auto"/>
                <w:sz w:val="21"/>
                <w:szCs w:val="21"/>
                <w:lang w:val="en-US" w:eastAsia="zh-CN"/>
              </w:rPr>
              <w:t>。</w:t>
            </w:r>
          </w:p>
          <w:p w14:paraId="378BE393">
            <w:pPr>
              <w:pStyle w:val="25"/>
              <w:spacing w:before="0" w:beforeAutospacing="0" w:after="0" w:afterAutospacing="0"/>
              <w:jc w:val="center"/>
              <w:outlineLvl w:val="0"/>
              <w:rPr>
                <w:rFonts w:hint="default" w:ascii="Times New Roman" w:hAnsi="Times New Roman" w:eastAsia="黑体" w:cs="Times New Roman"/>
                <w:snapToGrid w:val="0"/>
                <w:color w:val="auto"/>
                <w:sz w:val="30"/>
                <w:szCs w:val="30"/>
                <w:vertAlign w:val="baseline"/>
              </w:rPr>
            </w:pPr>
          </w:p>
        </w:tc>
      </w:tr>
    </w:tbl>
    <w:p w14:paraId="4481E39A">
      <w:pPr>
        <w:pStyle w:val="25"/>
        <w:spacing w:before="0" w:beforeAutospacing="0" w:after="0" w:afterAutospacing="0"/>
        <w:jc w:val="center"/>
        <w:outlineLvl w:val="0"/>
        <w:rPr>
          <w:rFonts w:hint="default" w:ascii="Times New Roman" w:hAnsi="Times New Roman" w:eastAsia="黑体" w:cs="Times New Roman"/>
          <w:snapToGrid w:val="0"/>
          <w:color w:val="auto"/>
          <w:sz w:val="30"/>
          <w:szCs w:val="30"/>
        </w:rPr>
        <w:sectPr>
          <w:headerReference r:id="rId10" w:type="default"/>
          <w:pgSz w:w="16838" w:h="11906" w:orient="landscape"/>
          <w:pgMar w:top="1451" w:right="1417" w:bottom="1451" w:left="1417" w:header="851" w:footer="1134" w:gutter="0"/>
          <w:pgBorders>
            <w:top w:val="none" w:sz="0" w:space="0"/>
            <w:left w:val="none" w:sz="0" w:space="0"/>
            <w:bottom w:val="none" w:sz="0" w:space="0"/>
            <w:right w:val="none" w:sz="0" w:space="0"/>
          </w:pgBorders>
          <w:pgNumType w:fmt="decimal"/>
          <w:cols w:space="720" w:num="1"/>
          <w:docGrid w:linePitch="312" w:charSpace="0"/>
        </w:sectPr>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6B8B6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6" w:hRule="atLeast"/>
        </w:trPr>
        <w:tc>
          <w:tcPr>
            <w:tcW w:w="9060" w:type="dxa"/>
          </w:tcPr>
          <w:p w14:paraId="022F6A87">
            <w:pPr>
              <w:adjustRightInd w:val="0"/>
              <w:snapToGrid w:val="0"/>
              <w:spacing w:line="500" w:lineRule="exact"/>
              <w:ind w:firstLine="422" w:firstLineChars="200"/>
              <w:rPr>
                <w:rFonts w:hint="default" w:ascii="Times New Roman" w:hAnsi="Times New Roman" w:cs="Times New Roman"/>
                <w:b/>
                <w:bCs/>
                <w:color w:val="auto"/>
                <w:sz w:val="21"/>
                <w:szCs w:val="21"/>
              </w:rPr>
            </w:pPr>
            <w:r>
              <w:rPr>
                <w:rFonts w:hint="eastAsia" w:cs="Times New Roman"/>
                <w:b/>
                <w:bCs/>
                <w:color w:val="auto"/>
                <w:sz w:val="21"/>
                <w:szCs w:val="21"/>
                <w:lang w:val="en-US" w:eastAsia="zh-CN"/>
              </w:rPr>
              <w:t>2、</w:t>
            </w:r>
            <w:r>
              <w:rPr>
                <w:rFonts w:hint="default" w:ascii="Times New Roman" w:hAnsi="Times New Roman" w:cs="Times New Roman"/>
                <w:b/>
                <w:bCs/>
                <w:color w:val="auto"/>
                <w:sz w:val="21"/>
                <w:szCs w:val="21"/>
                <w:lang w:val="en-US" w:eastAsia="zh-CN"/>
              </w:rPr>
              <w:t>排放</w:t>
            </w:r>
            <w:r>
              <w:rPr>
                <w:rFonts w:hint="default" w:ascii="Times New Roman" w:hAnsi="Times New Roman" w:cs="Times New Roman"/>
                <w:b/>
                <w:bCs/>
                <w:color w:val="auto"/>
                <w:sz w:val="21"/>
                <w:szCs w:val="21"/>
              </w:rPr>
              <w:t>达标情况分析</w:t>
            </w:r>
          </w:p>
          <w:p w14:paraId="6BD09598">
            <w:pPr>
              <w:adjustRightInd w:val="0"/>
              <w:snapToGrid w:val="0"/>
              <w:spacing w:line="500" w:lineRule="exact"/>
              <w:ind w:firstLine="420" w:firstLineChars="200"/>
              <w:rPr>
                <w:rFonts w:hint="default" w:ascii="Times New Roman" w:hAnsi="Times New Roman" w:eastAsia="宋体" w:cs="Times New Roman"/>
                <w:color w:val="auto"/>
                <w:sz w:val="21"/>
                <w:szCs w:val="21"/>
              </w:rPr>
            </w:pPr>
            <w:r>
              <w:rPr>
                <w:rFonts w:hint="eastAsia" w:eastAsia="宋体"/>
                <w:sz w:val="21"/>
                <w:szCs w:val="24"/>
              </w:rPr>
              <w:t>根据《环境影响评价技术导则 声环境》（HJ2.4-2021）的规定，选取预测模式，应用过程中将根据具体情况</w:t>
            </w:r>
            <w:r>
              <w:rPr>
                <w:rFonts w:hint="eastAsia"/>
                <w:sz w:val="21"/>
                <w:szCs w:val="24"/>
                <w:lang w:eastAsia="zh-CN"/>
              </w:rPr>
              <w:t>做必要</w:t>
            </w:r>
            <w:r>
              <w:rPr>
                <w:rFonts w:hint="eastAsia" w:eastAsia="宋体"/>
                <w:sz w:val="21"/>
                <w:szCs w:val="24"/>
              </w:rPr>
              <w:t>简化，考虑噪声距离衰减和隔声措施，预测其受到的影响，厂界</w:t>
            </w:r>
            <w:r>
              <w:rPr>
                <w:rFonts w:hint="eastAsia" w:eastAsia="宋体"/>
                <w:sz w:val="21"/>
                <w:szCs w:val="24"/>
                <w:lang w:val="en-US" w:eastAsia="zh-CN"/>
              </w:rPr>
              <w:t>及附近敏感目标</w:t>
            </w:r>
            <w:r>
              <w:rPr>
                <w:rFonts w:hint="eastAsia" w:eastAsia="宋体"/>
                <w:sz w:val="21"/>
                <w:szCs w:val="24"/>
              </w:rPr>
              <w:t>噪声预测结果</w:t>
            </w:r>
            <w:r>
              <w:rPr>
                <w:rFonts w:hint="default" w:ascii="Times New Roman" w:hAnsi="Times New Roman" w:eastAsia="宋体" w:cs="Times New Roman"/>
                <w:color w:val="auto"/>
                <w:sz w:val="21"/>
                <w:szCs w:val="21"/>
                <w:lang w:val="en-US" w:eastAsia="zh-CN"/>
              </w:rPr>
              <w:t>见下表。</w:t>
            </w:r>
          </w:p>
          <w:p w14:paraId="13454FD7">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表4-12本项目各厂界噪声预测结果dB(A)</w:t>
            </w:r>
          </w:p>
          <w:tbl>
            <w:tblPr>
              <w:tblStyle w:val="3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847"/>
              <w:gridCol w:w="1529"/>
              <w:gridCol w:w="1614"/>
              <w:gridCol w:w="1614"/>
              <w:gridCol w:w="1614"/>
              <w:gridCol w:w="1621"/>
            </w:tblGrid>
            <w:tr w14:paraId="3EC605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44" w:type="pct"/>
                  <w:gridSpan w:val="2"/>
                  <w:tcBorders>
                    <w:top w:val="single" w:color="auto" w:sz="12" w:space="0"/>
                    <w:left w:val="nil"/>
                    <w:bottom w:val="single" w:color="auto" w:sz="4" w:space="0"/>
                    <w:right w:val="single" w:color="auto" w:sz="4" w:space="0"/>
                    <w:tl2br w:val="nil"/>
                    <w:tr2bl w:val="nil"/>
                  </w:tcBorders>
                  <w:noWrap w:val="0"/>
                  <w:vAlign w:val="center"/>
                </w:tcPr>
                <w:p w14:paraId="567F1AF4">
                  <w:pPr>
                    <w:pStyle w:val="11"/>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cs="Times New Roman"/>
                      <w:b/>
                      <w:sz w:val="21"/>
                      <w:szCs w:val="21"/>
                    </w:rPr>
                  </w:pPr>
                  <w:r>
                    <w:rPr>
                      <w:rFonts w:hint="default" w:ascii="Times New Roman" w:hAnsi="Times New Roman" w:eastAsia="宋体" w:cs="Times New Roman"/>
                      <w:b/>
                      <w:sz w:val="21"/>
                      <w:szCs w:val="21"/>
                    </w:rPr>
                    <w:t>预测点</w:t>
                  </w:r>
                </w:p>
              </w:tc>
              <w:tc>
                <w:tcPr>
                  <w:tcW w:w="913" w:type="pct"/>
                  <w:tcBorders>
                    <w:top w:val="single" w:color="auto" w:sz="12" w:space="0"/>
                    <w:left w:val="single" w:color="auto" w:sz="4" w:space="0"/>
                    <w:bottom w:val="single" w:color="auto" w:sz="4" w:space="0"/>
                    <w:right w:val="single" w:color="auto" w:sz="4" w:space="0"/>
                    <w:tl2br w:val="nil"/>
                    <w:tr2bl w:val="nil"/>
                  </w:tcBorders>
                  <w:noWrap w:val="0"/>
                  <w:vAlign w:val="center"/>
                </w:tcPr>
                <w:p w14:paraId="4C1D4AEB">
                  <w:pPr>
                    <w:pStyle w:val="11"/>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东厂界</w:t>
                  </w:r>
                </w:p>
              </w:tc>
              <w:tc>
                <w:tcPr>
                  <w:tcW w:w="913" w:type="pct"/>
                  <w:tcBorders>
                    <w:top w:val="single" w:color="auto" w:sz="12" w:space="0"/>
                    <w:left w:val="single" w:color="auto" w:sz="4" w:space="0"/>
                    <w:bottom w:val="single" w:color="auto" w:sz="4" w:space="0"/>
                    <w:right w:val="single" w:color="auto" w:sz="4" w:space="0"/>
                    <w:tl2br w:val="nil"/>
                    <w:tr2bl w:val="nil"/>
                  </w:tcBorders>
                  <w:noWrap w:val="0"/>
                  <w:vAlign w:val="center"/>
                </w:tcPr>
                <w:p w14:paraId="17DCE79C">
                  <w:pPr>
                    <w:pStyle w:val="11"/>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南厂界</w:t>
                  </w:r>
                </w:p>
              </w:tc>
              <w:tc>
                <w:tcPr>
                  <w:tcW w:w="913" w:type="pct"/>
                  <w:tcBorders>
                    <w:top w:val="single" w:color="auto" w:sz="12" w:space="0"/>
                    <w:left w:val="single" w:color="auto" w:sz="4" w:space="0"/>
                    <w:bottom w:val="single" w:color="auto" w:sz="4" w:space="0"/>
                    <w:right w:val="single" w:color="auto" w:sz="4" w:space="0"/>
                    <w:tl2br w:val="nil"/>
                    <w:tr2bl w:val="nil"/>
                  </w:tcBorders>
                  <w:noWrap w:val="0"/>
                  <w:vAlign w:val="center"/>
                </w:tcPr>
                <w:p w14:paraId="1ACBE660">
                  <w:pPr>
                    <w:pStyle w:val="11"/>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西厂界</w:t>
                  </w:r>
                </w:p>
              </w:tc>
              <w:tc>
                <w:tcPr>
                  <w:tcW w:w="915" w:type="pct"/>
                  <w:tcBorders>
                    <w:top w:val="single" w:color="auto" w:sz="12" w:space="0"/>
                    <w:left w:val="single" w:color="auto" w:sz="4" w:space="0"/>
                    <w:bottom w:val="single" w:color="auto" w:sz="4" w:space="0"/>
                    <w:right w:val="nil"/>
                    <w:tl2br w:val="nil"/>
                    <w:tr2bl w:val="nil"/>
                  </w:tcBorders>
                  <w:noWrap w:val="0"/>
                  <w:vAlign w:val="center"/>
                </w:tcPr>
                <w:p w14:paraId="6A2AD64E">
                  <w:pPr>
                    <w:pStyle w:val="11"/>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北厂界</w:t>
                  </w:r>
                </w:p>
              </w:tc>
            </w:tr>
            <w:tr w14:paraId="5A8E25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9" w:type="pct"/>
                  <w:vMerge w:val="restart"/>
                  <w:tcBorders>
                    <w:top w:val="single" w:color="auto" w:sz="4" w:space="0"/>
                    <w:left w:val="nil"/>
                    <w:right w:val="single" w:color="auto" w:sz="4" w:space="0"/>
                    <w:tl2br w:val="nil"/>
                    <w:tr2bl w:val="nil"/>
                  </w:tcBorders>
                  <w:noWrap w:val="0"/>
                  <w:vAlign w:val="center"/>
                </w:tcPr>
                <w:p w14:paraId="0C32460B">
                  <w:pPr>
                    <w:pStyle w:val="11"/>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贡献值</w:t>
                  </w:r>
                </w:p>
              </w:tc>
              <w:tc>
                <w:tcPr>
                  <w:tcW w:w="864" w:type="pct"/>
                  <w:tcBorders>
                    <w:top w:val="single" w:color="auto" w:sz="4" w:space="0"/>
                    <w:left w:val="nil"/>
                    <w:right w:val="single" w:color="auto" w:sz="4" w:space="0"/>
                    <w:tl2br w:val="nil"/>
                    <w:tr2bl w:val="nil"/>
                  </w:tcBorders>
                  <w:noWrap w:val="0"/>
                  <w:vAlign w:val="center"/>
                </w:tcPr>
                <w:p w14:paraId="1CD53798">
                  <w:pPr>
                    <w:pStyle w:val="11"/>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昼间(dB(A))</w:t>
                  </w:r>
                </w:p>
              </w:tc>
              <w:tc>
                <w:tcPr>
                  <w:tcW w:w="91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D844A7E">
                  <w:pPr>
                    <w:pStyle w:val="11"/>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47.94</w:t>
                  </w:r>
                </w:p>
              </w:tc>
              <w:tc>
                <w:tcPr>
                  <w:tcW w:w="91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DEDF97E">
                  <w:pPr>
                    <w:pStyle w:val="11"/>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28.93</w:t>
                  </w:r>
                </w:p>
              </w:tc>
              <w:tc>
                <w:tcPr>
                  <w:tcW w:w="91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5E5E09C">
                  <w:pPr>
                    <w:pStyle w:val="11"/>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32.54</w:t>
                  </w:r>
                </w:p>
              </w:tc>
              <w:tc>
                <w:tcPr>
                  <w:tcW w:w="915" w:type="pct"/>
                  <w:tcBorders>
                    <w:top w:val="single" w:color="auto" w:sz="4" w:space="0"/>
                    <w:left w:val="single" w:color="auto" w:sz="4" w:space="0"/>
                    <w:bottom w:val="single" w:color="auto" w:sz="4" w:space="0"/>
                    <w:right w:val="nil"/>
                    <w:tl2br w:val="nil"/>
                    <w:tr2bl w:val="nil"/>
                  </w:tcBorders>
                  <w:noWrap w:val="0"/>
                  <w:vAlign w:val="center"/>
                </w:tcPr>
                <w:p w14:paraId="3D6B4157">
                  <w:pPr>
                    <w:pStyle w:val="11"/>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48.05</w:t>
                  </w:r>
                </w:p>
              </w:tc>
            </w:tr>
            <w:tr w14:paraId="7A55CB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9" w:type="pct"/>
                  <w:vMerge w:val="continue"/>
                  <w:tcBorders>
                    <w:left w:val="nil"/>
                    <w:bottom w:val="single" w:color="auto" w:sz="4" w:space="0"/>
                    <w:right w:val="single" w:color="auto" w:sz="4" w:space="0"/>
                    <w:tl2br w:val="nil"/>
                    <w:tr2bl w:val="nil"/>
                  </w:tcBorders>
                  <w:noWrap w:val="0"/>
                  <w:vAlign w:val="center"/>
                </w:tcPr>
                <w:p w14:paraId="517E59A7">
                  <w:pPr>
                    <w:pStyle w:val="11"/>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cs="Times New Roman"/>
                      <w:b w:val="0"/>
                      <w:bCs w:val="0"/>
                      <w:sz w:val="21"/>
                      <w:szCs w:val="21"/>
                      <w:lang w:val="en-US" w:eastAsia="zh-CN"/>
                    </w:rPr>
                  </w:pPr>
                </w:p>
              </w:tc>
              <w:tc>
                <w:tcPr>
                  <w:tcW w:w="864" w:type="pct"/>
                  <w:tcBorders>
                    <w:left w:val="nil"/>
                    <w:bottom w:val="single" w:color="auto" w:sz="4" w:space="0"/>
                    <w:right w:val="single" w:color="auto" w:sz="4" w:space="0"/>
                    <w:tl2br w:val="nil"/>
                    <w:tr2bl w:val="nil"/>
                  </w:tcBorders>
                  <w:noWrap w:val="0"/>
                  <w:vAlign w:val="center"/>
                </w:tcPr>
                <w:p w14:paraId="35683EA0">
                  <w:pPr>
                    <w:pStyle w:val="11"/>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夜间(dB(A))</w:t>
                  </w:r>
                </w:p>
              </w:tc>
              <w:tc>
                <w:tcPr>
                  <w:tcW w:w="91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843B73B">
                  <w:pPr>
                    <w:pStyle w:val="11"/>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47.94</w:t>
                  </w:r>
                </w:p>
              </w:tc>
              <w:tc>
                <w:tcPr>
                  <w:tcW w:w="91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A4D56CD">
                  <w:pPr>
                    <w:pStyle w:val="11"/>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28.93</w:t>
                  </w:r>
                </w:p>
              </w:tc>
              <w:tc>
                <w:tcPr>
                  <w:tcW w:w="91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6EEC1C8">
                  <w:pPr>
                    <w:pStyle w:val="11"/>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32.54</w:t>
                  </w:r>
                </w:p>
              </w:tc>
              <w:tc>
                <w:tcPr>
                  <w:tcW w:w="915" w:type="pct"/>
                  <w:tcBorders>
                    <w:top w:val="single" w:color="auto" w:sz="4" w:space="0"/>
                    <w:left w:val="single" w:color="auto" w:sz="4" w:space="0"/>
                    <w:bottom w:val="single" w:color="auto" w:sz="4" w:space="0"/>
                    <w:right w:val="nil"/>
                    <w:tl2br w:val="nil"/>
                    <w:tr2bl w:val="nil"/>
                  </w:tcBorders>
                  <w:noWrap w:val="0"/>
                  <w:vAlign w:val="center"/>
                </w:tcPr>
                <w:p w14:paraId="391FD191">
                  <w:pPr>
                    <w:pStyle w:val="11"/>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48.05</w:t>
                  </w:r>
                </w:p>
              </w:tc>
            </w:tr>
            <w:tr w14:paraId="72A64F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44" w:type="pct"/>
                  <w:gridSpan w:val="2"/>
                  <w:tcBorders>
                    <w:top w:val="single" w:color="auto" w:sz="4" w:space="0"/>
                    <w:left w:val="nil"/>
                    <w:bottom w:val="single" w:color="auto" w:sz="12" w:space="0"/>
                    <w:right w:val="single" w:color="auto" w:sz="4" w:space="0"/>
                    <w:tl2br w:val="nil"/>
                    <w:tr2bl w:val="nil"/>
                  </w:tcBorders>
                  <w:noWrap w:val="0"/>
                  <w:vAlign w:val="center"/>
                </w:tcPr>
                <w:p w14:paraId="619ABD64">
                  <w:pPr>
                    <w:pStyle w:val="11"/>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执行标准</w:t>
                  </w:r>
                </w:p>
              </w:tc>
              <w:tc>
                <w:tcPr>
                  <w:tcW w:w="3655" w:type="pct"/>
                  <w:gridSpan w:val="4"/>
                  <w:tcBorders>
                    <w:top w:val="single" w:color="auto" w:sz="4" w:space="0"/>
                    <w:left w:val="single" w:color="auto" w:sz="4" w:space="0"/>
                    <w:bottom w:val="single" w:color="auto" w:sz="12" w:space="0"/>
                    <w:right w:val="nil"/>
                    <w:tl2br w:val="nil"/>
                    <w:tr2bl w:val="nil"/>
                  </w:tcBorders>
                  <w:noWrap w:val="0"/>
                  <w:vAlign w:val="center"/>
                </w:tcPr>
                <w:p w14:paraId="20A9D9D7">
                  <w:pPr>
                    <w:pStyle w:val="11"/>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西、北厂界：昼间：≤70dB(A)，夜间：≤55dB(A)</w:t>
                  </w:r>
                </w:p>
                <w:p w14:paraId="42BB719F">
                  <w:pPr>
                    <w:pStyle w:val="11"/>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东、南厂界：昼间：≤65dB(A)，夜间：≤55dB(A)</w:t>
                  </w:r>
                </w:p>
              </w:tc>
            </w:tr>
          </w:tbl>
          <w:p w14:paraId="1FDC74D5">
            <w:pPr>
              <w:adjustRightInd w:val="0"/>
              <w:snapToGrid w:val="0"/>
              <w:spacing w:line="500" w:lineRule="exact"/>
              <w:ind w:firstLine="420" w:firstLineChars="20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由上表可知，</w:t>
            </w:r>
            <w:r>
              <w:rPr>
                <w:rFonts w:hint="eastAsia" w:eastAsia="宋体"/>
                <w:color w:val="000000"/>
                <w:sz w:val="21"/>
                <w:szCs w:val="24"/>
              </w:rPr>
              <w:t>项目</w:t>
            </w:r>
            <w:r>
              <w:rPr>
                <w:rFonts w:hint="eastAsia" w:eastAsia="宋体"/>
                <w:color w:val="000000"/>
                <w:sz w:val="21"/>
                <w:szCs w:val="24"/>
                <w:lang w:val="en-US" w:eastAsia="zh-CN"/>
              </w:rPr>
              <w:t>新增</w:t>
            </w:r>
            <w:r>
              <w:rPr>
                <w:rFonts w:hint="eastAsia" w:eastAsia="宋体"/>
                <w:color w:val="000000"/>
                <w:sz w:val="21"/>
                <w:szCs w:val="24"/>
              </w:rPr>
              <w:t>高噪声设备通过合理布局、消声减振和距离衰减后，</w:t>
            </w:r>
            <w:r>
              <w:rPr>
                <w:rFonts w:hint="eastAsia" w:eastAsia="宋体"/>
                <w:color w:val="auto"/>
                <w:sz w:val="21"/>
                <w:szCs w:val="24"/>
              </w:rPr>
              <w:t>西、北各厂界的噪声</w:t>
            </w:r>
            <w:r>
              <w:rPr>
                <w:rFonts w:hint="eastAsia" w:eastAsia="宋体"/>
                <w:color w:val="auto"/>
                <w:sz w:val="21"/>
                <w:szCs w:val="24"/>
                <w:lang w:val="en-US" w:eastAsia="zh-CN"/>
              </w:rPr>
              <w:t>预测</w:t>
            </w:r>
            <w:r>
              <w:rPr>
                <w:rFonts w:hint="eastAsia" w:eastAsia="宋体"/>
                <w:color w:val="auto"/>
                <w:sz w:val="21"/>
                <w:szCs w:val="24"/>
              </w:rPr>
              <w:t>值</w:t>
            </w:r>
            <w:r>
              <w:rPr>
                <w:rFonts w:hint="eastAsia" w:eastAsia="宋体"/>
                <w:color w:val="auto"/>
                <w:sz w:val="21"/>
                <w:szCs w:val="24"/>
                <w:lang w:val="en-US" w:eastAsia="zh-CN"/>
              </w:rPr>
              <w:t>均</w:t>
            </w:r>
            <w:r>
              <w:rPr>
                <w:rFonts w:hint="eastAsia" w:eastAsia="宋体"/>
                <w:color w:val="auto"/>
                <w:sz w:val="21"/>
                <w:szCs w:val="24"/>
              </w:rPr>
              <w:t>满足《工业企业厂界环境噪声排放标准》（GB12348-2008）</w:t>
            </w:r>
            <w:r>
              <w:rPr>
                <w:rFonts w:hint="eastAsia"/>
                <w:color w:val="auto"/>
                <w:sz w:val="21"/>
                <w:szCs w:val="24"/>
                <w:lang w:val="en-US" w:eastAsia="zh-CN"/>
              </w:rPr>
              <w:t>4</w:t>
            </w:r>
            <w:r>
              <w:rPr>
                <w:rFonts w:hint="eastAsia" w:eastAsia="宋体"/>
                <w:color w:val="auto"/>
                <w:sz w:val="21"/>
                <w:szCs w:val="24"/>
              </w:rPr>
              <w:t>类标准要求</w:t>
            </w:r>
            <w:r>
              <w:rPr>
                <w:rFonts w:hint="eastAsia"/>
                <w:color w:val="auto"/>
                <w:sz w:val="21"/>
                <w:szCs w:val="24"/>
                <w:lang w:eastAsia="zh-CN"/>
              </w:rPr>
              <w:t>，</w:t>
            </w:r>
            <w:r>
              <w:rPr>
                <w:rFonts w:hint="eastAsia" w:eastAsia="宋体"/>
                <w:color w:val="auto"/>
                <w:sz w:val="21"/>
                <w:szCs w:val="24"/>
              </w:rPr>
              <w:t>东、南、厂界的噪声</w:t>
            </w:r>
            <w:r>
              <w:rPr>
                <w:rFonts w:hint="eastAsia" w:eastAsia="宋体"/>
                <w:color w:val="auto"/>
                <w:sz w:val="21"/>
                <w:szCs w:val="24"/>
                <w:lang w:val="en-US" w:eastAsia="zh-CN"/>
              </w:rPr>
              <w:t>预测</w:t>
            </w:r>
            <w:r>
              <w:rPr>
                <w:rFonts w:hint="eastAsia" w:eastAsia="宋体"/>
                <w:color w:val="auto"/>
                <w:sz w:val="21"/>
                <w:szCs w:val="24"/>
              </w:rPr>
              <w:t>值</w:t>
            </w:r>
            <w:r>
              <w:rPr>
                <w:rFonts w:hint="eastAsia" w:eastAsia="宋体"/>
                <w:color w:val="auto"/>
                <w:sz w:val="21"/>
                <w:szCs w:val="24"/>
                <w:lang w:val="en-US" w:eastAsia="zh-CN"/>
              </w:rPr>
              <w:t>均</w:t>
            </w:r>
            <w:r>
              <w:rPr>
                <w:rFonts w:hint="eastAsia" w:eastAsia="宋体"/>
                <w:color w:val="auto"/>
                <w:sz w:val="21"/>
                <w:szCs w:val="24"/>
              </w:rPr>
              <w:t>满足《工业企业厂界环境噪声排放标准》（GB12348-2008）</w:t>
            </w:r>
            <w:r>
              <w:rPr>
                <w:rFonts w:hint="eastAsia"/>
                <w:color w:val="auto"/>
                <w:sz w:val="21"/>
                <w:szCs w:val="24"/>
                <w:lang w:val="en-US" w:eastAsia="zh-CN"/>
              </w:rPr>
              <w:t>3</w:t>
            </w:r>
            <w:r>
              <w:rPr>
                <w:rFonts w:hint="eastAsia" w:eastAsia="宋体"/>
                <w:color w:val="auto"/>
                <w:sz w:val="21"/>
                <w:szCs w:val="24"/>
              </w:rPr>
              <w:t>类标准要求。</w:t>
            </w:r>
          </w:p>
          <w:p w14:paraId="71BE1A1F">
            <w:pPr>
              <w:adjustRightInd w:val="0"/>
              <w:snapToGrid w:val="0"/>
              <w:spacing w:line="500" w:lineRule="exact"/>
              <w:ind w:firstLine="422" w:firstLineChars="200"/>
              <w:rPr>
                <w:rFonts w:hint="default" w:ascii="Times New Roman" w:hAnsi="Times New Roman" w:eastAsia="宋体" w:cs="Times New Roman"/>
                <w:b/>
                <w:bCs/>
                <w:color w:val="auto"/>
                <w:sz w:val="21"/>
                <w:szCs w:val="21"/>
                <w:lang w:eastAsia="zh-CN"/>
              </w:rPr>
            </w:pPr>
            <w:r>
              <w:rPr>
                <w:rFonts w:hint="eastAsia" w:cs="Times New Roman"/>
                <w:b/>
                <w:bCs/>
                <w:color w:val="auto"/>
                <w:sz w:val="21"/>
                <w:szCs w:val="21"/>
                <w:lang w:val="en-US" w:eastAsia="zh-CN"/>
              </w:rPr>
              <w:t>3、</w:t>
            </w:r>
            <w:r>
              <w:rPr>
                <w:rFonts w:hint="default" w:ascii="Times New Roman" w:hAnsi="Times New Roman" w:cs="Times New Roman"/>
                <w:b/>
                <w:bCs/>
                <w:color w:val="auto"/>
                <w:sz w:val="21"/>
                <w:szCs w:val="21"/>
              </w:rPr>
              <w:t>监测</w:t>
            </w:r>
            <w:r>
              <w:rPr>
                <w:rFonts w:hint="default" w:ascii="Times New Roman" w:hAnsi="Times New Roman" w:cs="Times New Roman"/>
                <w:b/>
                <w:bCs/>
                <w:color w:val="auto"/>
                <w:sz w:val="21"/>
                <w:szCs w:val="21"/>
                <w:lang w:val="en-US" w:eastAsia="zh-CN"/>
              </w:rPr>
              <w:t>要求</w:t>
            </w:r>
          </w:p>
          <w:p w14:paraId="6C8A5756">
            <w:pPr>
              <w:adjustRightInd w:val="0"/>
              <w:snapToGrid w:val="0"/>
              <w:spacing w:line="500" w:lineRule="exact"/>
              <w:ind w:firstLine="420" w:firstLineChars="20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 xml:space="preserve">根据《排污单位自行监测技术指南 </w:t>
            </w:r>
            <w:r>
              <w:rPr>
                <w:rFonts w:hint="eastAsia" w:ascii="Times New Roman" w:hAnsi="Times New Roman" w:eastAsia="宋体" w:cs="Times New Roman"/>
                <w:bCs/>
                <w:color w:val="auto"/>
                <w:sz w:val="21"/>
                <w:szCs w:val="21"/>
                <w:lang w:val="en-US" w:eastAsia="zh-CN"/>
              </w:rPr>
              <w:t>橡胶和塑料制品</w:t>
            </w:r>
            <w:r>
              <w:rPr>
                <w:rFonts w:hint="default" w:ascii="Times New Roman" w:hAnsi="Times New Roman" w:eastAsia="宋体" w:cs="Times New Roman"/>
                <w:bCs/>
                <w:color w:val="auto"/>
                <w:sz w:val="21"/>
                <w:szCs w:val="21"/>
                <w:lang w:val="en-US" w:eastAsia="zh-CN"/>
              </w:rPr>
              <w:t>》（HJ</w:t>
            </w:r>
            <w:r>
              <w:rPr>
                <w:rFonts w:hint="eastAsia" w:ascii="Times New Roman" w:hAnsi="Times New Roman" w:eastAsia="宋体" w:cs="Times New Roman"/>
                <w:bCs/>
                <w:color w:val="auto"/>
                <w:sz w:val="21"/>
                <w:szCs w:val="21"/>
                <w:lang w:val="en-US" w:eastAsia="zh-CN"/>
              </w:rPr>
              <w:t>1207-2021</w:t>
            </w:r>
            <w:r>
              <w:rPr>
                <w:rFonts w:hint="default" w:ascii="Times New Roman" w:hAnsi="Times New Roman" w:eastAsia="宋体" w:cs="Times New Roman"/>
                <w:bCs/>
                <w:color w:val="auto"/>
                <w:sz w:val="21"/>
                <w:szCs w:val="21"/>
                <w:lang w:val="en-US" w:eastAsia="zh-CN"/>
              </w:rPr>
              <w:t>）要求，</w:t>
            </w:r>
            <w:r>
              <w:rPr>
                <w:rFonts w:hint="eastAsia" w:ascii="Times New Roman" w:hAnsi="Times New Roman" w:eastAsia="宋体" w:cs="Times New Roman"/>
                <w:bCs/>
                <w:color w:val="auto"/>
                <w:sz w:val="21"/>
                <w:szCs w:val="21"/>
                <w:lang w:val="en-US" w:eastAsia="zh-CN"/>
              </w:rPr>
              <w:t>企业需</w:t>
            </w:r>
            <w:r>
              <w:rPr>
                <w:rFonts w:hint="default" w:ascii="Times New Roman" w:hAnsi="Times New Roman" w:eastAsia="宋体" w:cs="Times New Roman"/>
                <w:bCs/>
                <w:color w:val="auto"/>
                <w:sz w:val="21"/>
                <w:szCs w:val="21"/>
                <w:lang w:val="en-US" w:eastAsia="zh-CN"/>
              </w:rPr>
              <w:t>定期委托有资质环境监测机构对厂界噪声进行监测，具体见下表</w:t>
            </w:r>
            <w:r>
              <w:rPr>
                <w:rFonts w:hint="eastAsia" w:ascii="Times New Roman" w:hAnsi="Times New Roman" w:eastAsia="宋体" w:cs="Times New Roman"/>
                <w:bCs/>
                <w:color w:val="auto"/>
                <w:sz w:val="21"/>
                <w:szCs w:val="21"/>
                <w:lang w:val="en-US" w:eastAsia="zh-CN"/>
              </w:rPr>
              <w:t>。</w:t>
            </w:r>
          </w:p>
          <w:p w14:paraId="27A7DD58">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表4-1</w:t>
            </w:r>
            <w:r>
              <w:rPr>
                <w:rFonts w:hint="eastAsia" w:cs="Times New Roman"/>
                <w:b/>
                <w:bCs/>
                <w:color w:val="auto"/>
                <w:sz w:val="21"/>
                <w:szCs w:val="21"/>
                <w:lang w:val="en-US" w:eastAsia="zh-CN"/>
              </w:rPr>
              <w:t>3</w:t>
            </w:r>
            <w:r>
              <w:rPr>
                <w:rFonts w:hint="default" w:ascii="Times New Roman" w:hAnsi="Times New Roman" w:cs="Times New Roman"/>
                <w:b/>
                <w:bCs/>
                <w:color w:val="auto"/>
                <w:sz w:val="21"/>
                <w:szCs w:val="21"/>
                <w:lang w:val="en-US" w:eastAsia="zh-CN"/>
              </w:rPr>
              <w:t>噪声监测因子及频次表</w:t>
            </w:r>
          </w:p>
          <w:tbl>
            <w:tblPr>
              <w:tblStyle w:val="31"/>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85" w:type="dxa"/>
                <w:bottom w:w="0" w:type="dxa"/>
                <w:right w:w="85" w:type="dxa"/>
              </w:tblCellMar>
            </w:tblPr>
            <w:tblGrid>
              <w:gridCol w:w="1167"/>
              <w:gridCol w:w="2032"/>
              <w:gridCol w:w="2771"/>
              <w:gridCol w:w="2869"/>
            </w:tblGrid>
            <w:tr w14:paraId="1B8BD7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660" w:type="pct"/>
                  <w:tcBorders>
                    <w:tl2br w:val="nil"/>
                    <w:tr2bl w:val="nil"/>
                  </w:tcBorders>
                  <w:vAlign w:val="center"/>
                </w:tcPr>
                <w:p w14:paraId="5D4B6E25">
                  <w:pPr>
                    <w:snapToGrid w:val="0"/>
                    <w:spacing w:line="280" w:lineRule="exact"/>
                    <w:jc w:val="center"/>
                    <w:rPr>
                      <w:rFonts w:hint="default" w:ascii="Times New Roman" w:hAnsi="Times New Roman" w:eastAsia="宋体" w:cs="Times New Roman"/>
                      <w:b/>
                      <w:color w:val="auto"/>
                      <w:sz w:val="21"/>
                      <w:szCs w:val="21"/>
                      <w:lang w:eastAsia="zh-CN"/>
                    </w:rPr>
                  </w:pPr>
                  <w:r>
                    <w:rPr>
                      <w:rFonts w:hint="default" w:ascii="Times New Roman" w:hAnsi="Times New Roman" w:cs="Times New Roman"/>
                      <w:b/>
                      <w:color w:val="auto"/>
                      <w:sz w:val="21"/>
                      <w:szCs w:val="21"/>
                      <w:lang w:val="en-US" w:eastAsia="zh-CN"/>
                    </w:rPr>
                    <w:t>类别</w:t>
                  </w:r>
                </w:p>
              </w:tc>
              <w:tc>
                <w:tcPr>
                  <w:tcW w:w="1149" w:type="pct"/>
                  <w:tcBorders>
                    <w:tl2br w:val="nil"/>
                    <w:tr2bl w:val="nil"/>
                  </w:tcBorders>
                  <w:vAlign w:val="center"/>
                </w:tcPr>
                <w:p w14:paraId="34CCC22D">
                  <w:pPr>
                    <w:snapToGrid w:val="0"/>
                    <w:spacing w:line="280" w:lineRule="exac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监测点位</w:t>
                  </w:r>
                </w:p>
              </w:tc>
              <w:tc>
                <w:tcPr>
                  <w:tcW w:w="1567" w:type="pct"/>
                  <w:tcBorders>
                    <w:tl2br w:val="nil"/>
                    <w:tr2bl w:val="nil"/>
                  </w:tcBorders>
                  <w:vAlign w:val="center"/>
                </w:tcPr>
                <w:p w14:paraId="72E176CF">
                  <w:pPr>
                    <w:snapToGrid w:val="0"/>
                    <w:spacing w:line="280" w:lineRule="exact"/>
                    <w:jc w:val="center"/>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b/>
                      <w:color w:val="auto"/>
                      <w:sz w:val="21"/>
                      <w:szCs w:val="21"/>
                    </w:rPr>
                    <w:t>监测</w:t>
                  </w:r>
                  <w:r>
                    <w:rPr>
                      <w:rFonts w:hint="default" w:ascii="Times New Roman" w:hAnsi="Times New Roman" w:cs="Times New Roman"/>
                      <w:b/>
                      <w:color w:val="auto"/>
                      <w:sz w:val="21"/>
                      <w:szCs w:val="21"/>
                      <w:lang w:val="en-US" w:eastAsia="zh-CN"/>
                    </w:rPr>
                    <w:t>项目</w:t>
                  </w:r>
                </w:p>
              </w:tc>
              <w:tc>
                <w:tcPr>
                  <w:tcW w:w="1622" w:type="pct"/>
                  <w:tcBorders>
                    <w:tl2br w:val="nil"/>
                    <w:tr2bl w:val="nil"/>
                  </w:tcBorders>
                  <w:vAlign w:val="center"/>
                </w:tcPr>
                <w:p w14:paraId="7A5CA877">
                  <w:pPr>
                    <w:snapToGrid w:val="0"/>
                    <w:spacing w:line="280" w:lineRule="exac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监测频次</w:t>
                  </w:r>
                </w:p>
              </w:tc>
            </w:tr>
            <w:tr w14:paraId="61DF03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660" w:type="pct"/>
                  <w:tcBorders>
                    <w:tl2br w:val="nil"/>
                    <w:tr2bl w:val="nil"/>
                  </w:tcBorders>
                  <w:vAlign w:val="center"/>
                </w:tcPr>
                <w:p w14:paraId="5A7570BD">
                  <w:pPr>
                    <w:snapToGrid w:val="0"/>
                    <w:spacing w:line="28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噪声</w:t>
                  </w:r>
                </w:p>
              </w:tc>
              <w:tc>
                <w:tcPr>
                  <w:tcW w:w="1149" w:type="pct"/>
                  <w:tcBorders>
                    <w:tl2br w:val="nil"/>
                    <w:tr2bl w:val="nil"/>
                  </w:tcBorders>
                  <w:vAlign w:val="center"/>
                </w:tcPr>
                <w:p w14:paraId="1422EF74">
                  <w:pPr>
                    <w:snapToGrid w:val="0"/>
                    <w:spacing w:line="28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四周</w:t>
                  </w:r>
                  <w:r>
                    <w:rPr>
                      <w:rFonts w:hint="default" w:ascii="Times New Roman" w:hAnsi="Times New Roman" w:cs="Times New Roman"/>
                      <w:color w:val="auto"/>
                      <w:sz w:val="21"/>
                      <w:szCs w:val="21"/>
                    </w:rPr>
                    <w:t>厂界</w:t>
                  </w:r>
                  <w:r>
                    <w:rPr>
                      <w:rFonts w:hint="default" w:ascii="Times New Roman" w:hAnsi="Times New Roman" w:cs="Times New Roman"/>
                      <w:color w:val="auto"/>
                      <w:sz w:val="21"/>
                      <w:szCs w:val="21"/>
                      <w:lang w:val="en-US" w:eastAsia="zh-CN"/>
                    </w:rPr>
                    <w:t>外1米处</w:t>
                  </w:r>
                </w:p>
              </w:tc>
              <w:tc>
                <w:tcPr>
                  <w:tcW w:w="1567" w:type="pct"/>
                  <w:tcBorders>
                    <w:tl2br w:val="nil"/>
                    <w:tr2bl w:val="nil"/>
                  </w:tcBorders>
                  <w:vAlign w:val="center"/>
                </w:tcPr>
                <w:p w14:paraId="5C79E041">
                  <w:pPr>
                    <w:snapToGrid w:val="0"/>
                    <w:spacing w:line="28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昼</w:t>
                  </w:r>
                  <w:r>
                    <w:rPr>
                      <w:rFonts w:hint="eastAsia" w:cs="Times New Roman"/>
                      <w:bCs/>
                      <w:color w:val="auto"/>
                      <w:sz w:val="21"/>
                      <w:szCs w:val="21"/>
                      <w:lang w:val="en-US" w:eastAsia="zh-CN"/>
                    </w:rPr>
                    <w:t>、间</w:t>
                  </w:r>
                  <w:r>
                    <w:rPr>
                      <w:rFonts w:hint="default" w:ascii="Times New Roman" w:hAnsi="Times New Roman" w:cs="Times New Roman"/>
                      <w:bCs/>
                      <w:color w:val="auto"/>
                      <w:sz w:val="21"/>
                      <w:szCs w:val="21"/>
                    </w:rPr>
                    <w:t>等效连续A声级</w:t>
                  </w:r>
                </w:p>
              </w:tc>
              <w:tc>
                <w:tcPr>
                  <w:tcW w:w="1622" w:type="pct"/>
                  <w:tcBorders>
                    <w:tl2br w:val="nil"/>
                    <w:tr2bl w:val="nil"/>
                  </w:tcBorders>
                  <w:vAlign w:val="center"/>
                </w:tcPr>
                <w:p w14:paraId="56287A82">
                  <w:pPr>
                    <w:snapToGrid w:val="0"/>
                    <w:spacing w:line="28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每季度监测1次</w:t>
                  </w:r>
                </w:p>
              </w:tc>
            </w:tr>
          </w:tbl>
          <w:p w14:paraId="78D381D5">
            <w:pPr>
              <w:adjustRightInd w:val="0"/>
              <w:snapToGrid w:val="0"/>
              <w:spacing w:line="500" w:lineRule="exact"/>
              <w:rPr>
                <w:rFonts w:hint="default" w:ascii="Times New Roman" w:hAnsi="Times New Roman" w:cs="Times New Roman"/>
                <w:b/>
                <w:color w:val="auto"/>
                <w:sz w:val="21"/>
                <w:szCs w:val="21"/>
              </w:rPr>
            </w:pPr>
            <w:r>
              <w:rPr>
                <w:rFonts w:hint="eastAsia" w:cs="Times New Roman"/>
                <w:b/>
                <w:color w:val="auto"/>
                <w:sz w:val="21"/>
                <w:szCs w:val="21"/>
                <w:lang w:eastAsia="zh-CN"/>
              </w:rPr>
              <w:t>四</w:t>
            </w:r>
            <w:r>
              <w:rPr>
                <w:rFonts w:hint="default" w:ascii="Times New Roman" w:hAnsi="Times New Roman" w:cs="Times New Roman"/>
                <w:b/>
                <w:color w:val="auto"/>
                <w:sz w:val="21"/>
                <w:szCs w:val="21"/>
              </w:rPr>
              <w:t>、固体废物</w:t>
            </w:r>
          </w:p>
          <w:p w14:paraId="3EA6D888">
            <w:pPr>
              <w:adjustRightInd w:val="0"/>
              <w:snapToGrid w:val="0"/>
              <w:spacing w:line="500" w:lineRule="exact"/>
              <w:ind w:firstLine="422" w:firstLineChars="200"/>
              <w:rPr>
                <w:rFonts w:hint="default" w:ascii="Times New Roman" w:hAnsi="Times New Roman" w:cs="Times New Roman"/>
                <w:b/>
                <w:bCs/>
                <w:color w:val="auto"/>
                <w:sz w:val="21"/>
                <w:szCs w:val="21"/>
              </w:rPr>
            </w:pPr>
            <w:r>
              <w:rPr>
                <w:rFonts w:hint="eastAsia" w:cs="Times New Roman"/>
                <w:b/>
                <w:bCs/>
                <w:color w:val="auto"/>
                <w:sz w:val="21"/>
                <w:szCs w:val="21"/>
                <w:lang w:val="en-US" w:eastAsia="zh-CN"/>
              </w:rPr>
              <w:t>1、</w:t>
            </w:r>
            <w:r>
              <w:rPr>
                <w:rFonts w:hint="default" w:ascii="Times New Roman" w:hAnsi="Times New Roman" w:cs="Times New Roman"/>
                <w:b/>
                <w:bCs/>
                <w:color w:val="auto"/>
                <w:sz w:val="21"/>
                <w:szCs w:val="21"/>
              </w:rPr>
              <w:t>固体废物产生情况</w:t>
            </w:r>
          </w:p>
          <w:p w14:paraId="3D6FD491">
            <w:pPr>
              <w:pStyle w:val="6"/>
              <w:adjustRightInd w:val="0"/>
              <w:snapToGrid w:val="0"/>
              <w:spacing w:line="500" w:lineRule="exact"/>
              <w:ind w:firstLine="420" w:firstLineChars="200"/>
              <w:rPr>
                <w:rFonts w:hint="default" w:ascii="Times New Roman" w:hAnsi="Times New Roman" w:eastAsia="宋体" w:cs="Times New Roman"/>
                <w:b w:val="0"/>
                <w:bCs w:val="0"/>
                <w:color w:val="auto"/>
                <w:kern w:val="2"/>
                <w:sz w:val="21"/>
                <w:szCs w:val="21"/>
                <w:lang w:val="en-US" w:eastAsia="zh-CN" w:bidi="ar-SA"/>
              </w:rPr>
            </w:pPr>
            <w:r>
              <w:rPr>
                <w:rFonts w:hint="eastAsia" w:cs="Times New Roman"/>
                <w:color w:val="auto"/>
                <w:sz w:val="21"/>
                <w:szCs w:val="21"/>
                <w:highlight w:val="none"/>
                <w:lang w:val="en-US" w:eastAsia="zh-CN"/>
              </w:rPr>
              <w:t>项目</w:t>
            </w:r>
            <w:r>
              <w:rPr>
                <w:rFonts w:hint="eastAsia" w:ascii="Times New Roman" w:hAnsi="Times New Roman" w:eastAsia="宋体" w:cs="Times New Roman"/>
                <w:color w:val="auto"/>
                <w:sz w:val="21"/>
                <w:szCs w:val="21"/>
                <w:highlight w:val="none"/>
                <w:lang w:val="en-US" w:eastAsia="zh-CN"/>
              </w:rPr>
              <w:t>生产过程中产生的</w:t>
            </w:r>
            <w:r>
              <w:rPr>
                <w:rFonts w:hint="eastAsia" w:ascii="Times New Roman" w:hAnsi="Times New Roman" w:cs="Times New Roman"/>
                <w:color w:val="FF0000"/>
                <w:sz w:val="21"/>
                <w:szCs w:val="21"/>
                <w:highlight w:val="none"/>
                <w:lang w:val="en-US" w:eastAsia="zh-CN"/>
              </w:rPr>
              <w:t>废塑料</w:t>
            </w:r>
            <w:r>
              <w:rPr>
                <w:rFonts w:hint="default" w:ascii="Times New Roman" w:hAnsi="Times New Roman" w:eastAsia="宋体" w:cs="Times New Roman"/>
                <w:b w:val="0"/>
                <w:bCs w:val="0"/>
                <w:color w:val="FF0000"/>
                <w:kern w:val="2"/>
                <w:sz w:val="21"/>
                <w:szCs w:val="21"/>
                <w:lang w:val="en-US" w:eastAsia="zh-CN" w:bidi="ar-SA"/>
              </w:rPr>
              <w:t>（S</w:t>
            </w:r>
            <w:r>
              <w:rPr>
                <w:rFonts w:hint="eastAsia" w:ascii="Times New Roman" w:hAnsi="Times New Roman" w:cs="Times New Roman"/>
                <w:b w:val="0"/>
                <w:bCs w:val="0"/>
                <w:color w:val="FF0000"/>
                <w:kern w:val="2"/>
                <w:sz w:val="21"/>
                <w:szCs w:val="21"/>
                <w:lang w:val="en-US" w:eastAsia="zh-CN" w:bidi="ar-SA"/>
              </w:rPr>
              <w:t>2</w:t>
            </w:r>
            <w:r>
              <w:rPr>
                <w:rFonts w:hint="default" w:ascii="Times New Roman" w:hAnsi="Times New Roman" w:eastAsia="宋体" w:cs="Times New Roman"/>
                <w:b w:val="0"/>
                <w:bCs w:val="0"/>
                <w:color w:val="FF0000"/>
                <w:kern w:val="2"/>
                <w:sz w:val="21"/>
                <w:szCs w:val="21"/>
                <w:lang w:val="en-US" w:eastAsia="zh-CN" w:bidi="ar-SA"/>
              </w:rPr>
              <w:t>）</w:t>
            </w:r>
            <w:r>
              <w:rPr>
                <w:rFonts w:hint="eastAsia" w:ascii="Times New Roman" w:hAnsi="Times New Roman" w:cs="Times New Roman"/>
                <w:color w:val="FF0000"/>
                <w:sz w:val="21"/>
                <w:szCs w:val="21"/>
                <w:highlight w:val="none"/>
                <w:lang w:val="en-US" w:eastAsia="zh-CN"/>
              </w:rPr>
              <w:t>、</w:t>
            </w:r>
            <w:r>
              <w:rPr>
                <w:rFonts w:hint="eastAsia" w:ascii="Times New Roman" w:hAnsi="Times New Roman" w:eastAsia="宋体" w:cs="Times New Roman"/>
                <w:color w:val="FF0000"/>
                <w:sz w:val="21"/>
                <w:szCs w:val="21"/>
                <w:highlight w:val="none"/>
                <w:lang w:val="en-US" w:eastAsia="zh-CN"/>
              </w:rPr>
              <w:t>废胶膜</w:t>
            </w:r>
            <w:r>
              <w:rPr>
                <w:rFonts w:hint="default" w:ascii="Times New Roman" w:hAnsi="Times New Roman" w:eastAsia="宋体" w:cs="Times New Roman"/>
                <w:b w:val="0"/>
                <w:bCs w:val="0"/>
                <w:color w:val="FF0000"/>
                <w:kern w:val="2"/>
                <w:sz w:val="21"/>
                <w:szCs w:val="21"/>
                <w:lang w:val="en-US" w:eastAsia="zh-CN" w:bidi="ar-SA"/>
              </w:rPr>
              <w:t>（S</w:t>
            </w:r>
            <w:r>
              <w:rPr>
                <w:rFonts w:hint="eastAsia" w:ascii="Times New Roman" w:hAnsi="Times New Roman" w:cs="Times New Roman"/>
                <w:b w:val="0"/>
                <w:bCs w:val="0"/>
                <w:color w:val="FF0000"/>
                <w:kern w:val="2"/>
                <w:sz w:val="21"/>
                <w:szCs w:val="21"/>
                <w:lang w:val="en-US" w:eastAsia="zh-CN" w:bidi="ar-SA"/>
              </w:rPr>
              <w:t>3、S4</w:t>
            </w:r>
            <w:r>
              <w:rPr>
                <w:rFonts w:hint="default" w:ascii="Times New Roman" w:hAnsi="Times New Roman" w:eastAsia="宋体" w:cs="Times New Roman"/>
                <w:b w:val="0"/>
                <w:bCs w:val="0"/>
                <w:color w:val="FF0000"/>
                <w:kern w:val="2"/>
                <w:sz w:val="21"/>
                <w:szCs w:val="21"/>
                <w:lang w:val="en-US" w:eastAsia="zh-CN" w:bidi="ar-SA"/>
              </w:rPr>
              <w:t>）</w:t>
            </w:r>
            <w:r>
              <w:rPr>
                <w:rFonts w:hint="eastAsia" w:ascii="Times New Roman" w:hAnsi="Times New Roman" w:eastAsia="宋体" w:cs="Times New Roman"/>
                <w:color w:val="auto"/>
                <w:sz w:val="21"/>
                <w:szCs w:val="21"/>
                <w:highlight w:val="none"/>
                <w:lang w:val="en-US" w:eastAsia="zh-CN"/>
              </w:rPr>
              <w:t>收集后直接回用于混料工序</w:t>
            </w:r>
            <w:r>
              <w:rPr>
                <w:rFonts w:hint="eastAsia" w:ascii="Times New Roman" w:hAnsi="Times New Roman" w:cs="Times New Roman"/>
                <w:color w:val="auto"/>
                <w:sz w:val="21"/>
                <w:szCs w:val="21"/>
                <w:highlight w:val="none"/>
                <w:lang w:val="en-US" w:eastAsia="zh-CN"/>
              </w:rPr>
              <w:t>，不纳入固废统计。</w:t>
            </w:r>
          </w:p>
          <w:p w14:paraId="17487D0D">
            <w:pPr>
              <w:pStyle w:val="6"/>
              <w:adjustRightInd w:val="0"/>
              <w:snapToGrid w:val="0"/>
              <w:spacing w:line="500" w:lineRule="exact"/>
              <w:ind w:firstLine="420" w:firstLineChars="200"/>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color w:val="auto"/>
                <w:sz w:val="21"/>
                <w:szCs w:val="21"/>
                <w:highlight w:val="none"/>
                <w:lang w:val="en-US" w:eastAsia="zh-CN"/>
              </w:rPr>
              <w:t>废包装材料</w:t>
            </w:r>
            <w:r>
              <w:rPr>
                <w:rFonts w:hint="default" w:ascii="Times New Roman" w:hAnsi="Times New Roman" w:eastAsia="宋体" w:cs="Times New Roman"/>
                <w:color w:val="auto"/>
                <w:sz w:val="21"/>
                <w:szCs w:val="21"/>
                <w:highlight w:val="none"/>
                <w:lang w:val="en-US" w:eastAsia="zh-CN"/>
              </w:rPr>
              <w:t>（S</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b w:val="0"/>
                <w:bCs w:val="0"/>
                <w:color w:val="auto"/>
                <w:kern w:val="2"/>
                <w:sz w:val="21"/>
                <w:szCs w:val="21"/>
                <w:lang w:val="en-US" w:eastAsia="zh-CN" w:bidi="ar-SA"/>
              </w:rPr>
              <w:t>）：</w:t>
            </w:r>
            <w:r>
              <w:rPr>
                <w:rFonts w:hint="eastAsia" w:ascii="Times New Roman" w:hAnsi="Times New Roman" w:cs="Times New Roman"/>
                <w:b w:val="0"/>
                <w:bCs w:val="0"/>
                <w:color w:val="auto"/>
                <w:kern w:val="2"/>
                <w:sz w:val="21"/>
                <w:szCs w:val="21"/>
                <w:lang w:val="en-US" w:eastAsia="zh-CN" w:bidi="ar-SA"/>
              </w:rPr>
              <w:t>项目</w:t>
            </w:r>
            <w:r>
              <w:rPr>
                <w:rFonts w:hint="eastAsia" w:ascii="Times New Roman" w:hAnsi="Times New Roman" w:eastAsia="宋体" w:cs="Times New Roman"/>
                <w:color w:val="auto"/>
                <w:sz w:val="21"/>
                <w:szCs w:val="21"/>
                <w:highlight w:val="none"/>
                <w:lang w:val="en-US" w:eastAsia="zh-CN"/>
              </w:rPr>
              <w:t>EVA胶粒和交联剂、光稳定剂等助剂</w:t>
            </w:r>
            <w:r>
              <w:rPr>
                <w:rFonts w:hint="eastAsia" w:ascii="Times New Roman" w:hAnsi="Times New Roman" w:cs="Times New Roman"/>
                <w:color w:val="auto"/>
                <w:sz w:val="21"/>
                <w:szCs w:val="21"/>
                <w:highlight w:val="none"/>
                <w:lang w:val="en-US" w:eastAsia="zh-CN"/>
              </w:rPr>
              <w:t>使用过程</w:t>
            </w:r>
            <w:r>
              <w:rPr>
                <w:rFonts w:hint="eastAsia" w:ascii="Times New Roman" w:hAnsi="Times New Roman" w:cs="Times New Roman"/>
                <w:b w:val="0"/>
                <w:bCs w:val="0"/>
                <w:color w:val="auto"/>
                <w:kern w:val="2"/>
                <w:sz w:val="21"/>
                <w:szCs w:val="21"/>
                <w:lang w:val="en-US" w:eastAsia="zh-CN" w:bidi="ar-SA"/>
              </w:rPr>
              <w:t>产生少量</w:t>
            </w:r>
            <w:r>
              <w:rPr>
                <w:rFonts w:hint="eastAsia" w:ascii="Times New Roman" w:hAnsi="Times New Roman" w:eastAsia="宋体" w:cs="Times New Roman"/>
                <w:color w:val="auto"/>
                <w:sz w:val="21"/>
                <w:szCs w:val="21"/>
                <w:highlight w:val="none"/>
                <w:lang w:val="en-US" w:eastAsia="zh-CN"/>
              </w:rPr>
              <w:t>废包装材料</w:t>
            </w:r>
            <w:r>
              <w:rPr>
                <w:rFonts w:hint="default" w:ascii="Times New Roman" w:hAnsi="Times New Roman" w:eastAsia="宋体" w:cs="Times New Roman"/>
                <w:b w:val="0"/>
                <w:bCs w:val="0"/>
                <w:color w:val="auto"/>
                <w:kern w:val="2"/>
                <w:sz w:val="21"/>
                <w:szCs w:val="21"/>
                <w:lang w:val="en-US" w:eastAsia="zh-CN" w:bidi="ar-SA"/>
              </w:rPr>
              <w:t>，</w:t>
            </w:r>
            <w:r>
              <w:rPr>
                <w:rFonts w:hint="eastAsia" w:ascii="Times New Roman" w:hAnsi="Times New Roman" w:cs="Times New Roman"/>
                <w:b w:val="0"/>
                <w:bCs w:val="0"/>
                <w:color w:val="auto"/>
                <w:kern w:val="2"/>
                <w:sz w:val="21"/>
                <w:szCs w:val="21"/>
                <w:lang w:val="en-US" w:eastAsia="zh-CN" w:bidi="ar-SA"/>
              </w:rPr>
              <w:t>根据企业提供的材料，</w:t>
            </w:r>
            <w:r>
              <w:rPr>
                <w:rFonts w:hint="eastAsia" w:ascii="Times New Roman" w:hAnsi="Times New Roman" w:eastAsia="宋体" w:cs="Times New Roman"/>
                <w:color w:val="auto"/>
                <w:sz w:val="21"/>
                <w:szCs w:val="21"/>
                <w:highlight w:val="none"/>
                <w:lang w:val="en-US" w:eastAsia="zh-CN"/>
              </w:rPr>
              <w:t>废包装材料</w:t>
            </w:r>
            <w:r>
              <w:rPr>
                <w:rFonts w:hint="default" w:ascii="Times New Roman" w:hAnsi="Times New Roman" w:eastAsia="宋体" w:cs="Times New Roman"/>
                <w:b w:val="0"/>
                <w:bCs w:val="0"/>
                <w:color w:val="auto"/>
                <w:kern w:val="2"/>
                <w:sz w:val="21"/>
                <w:szCs w:val="21"/>
                <w:lang w:val="en-US" w:eastAsia="zh-CN" w:bidi="ar-SA"/>
              </w:rPr>
              <w:t>产生量约</w:t>
            </w:r>
            <w:r>
              <w:rPr>
                <w:rFonts w:hint="eastAsia" w:ascii="Times New Roman" w:hAnsi="Times New Roman" w:cs="Times New Roman"/>
                <w:b w:val="0"/>
                <w:bCs w:val="0"/>
                <w:color w:val="auto"/>
                <w:kern w:val="2"/>
                <w:sz w:val="21"/>
                <w:szCs w:val="21"/>
                <w:lang w:val="en-US" w:eastAsia="zh-CN" w:bidi="ar-SA"/>
              </w:rPr>
              <w:t>24</w:t>
            </w:r>
            <w:r>
              <w:rPr>
                <w:rFonts w:hint="default" w:ascii="Times New Roman" w:hAnsi="Times New Roman" w:eastAsia="宋体" w:cs="Times New Roman"/>
                <w:b w:val="0"/>
                <w:bCs w:val="0"/>
                <w:color w:val="auto"/>
                <w:kern w:val="2"/>
                <w:sz w:val="21"/>
                <w:szCs w:val="21"/>
                <w:lang w:val="en-US" w:eastAsia="zh-CN" w:bidi="ar-SA"/>
              </w:rPr>
              <w:t>t/a。</w:t>
            </w:r>
          </w:p>
          <w:p w14:paraId="1AACF001">
            <w:pPr>
              <w:adjustRightInd w:val="0"/>
              <w:snapToGrid w:val="0"/>
              <w:spacing w:line="500" w:lineRule="exact"/>
              <w:ind w:firstLine="420" w:firstLineChars="200"/>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rPr>
              <w:t>废活性炭</w:t>
            </w:r>
            <w:r>
              <w:rPr>
                <w:rFonts w:hint="default" w:ascii="Times New Roman" w:hAnsi="Times New Roman" w:cs="Times New Roman" w:eastAsiaTheme="minorEastAsia"/>
                <w:b w:val="0"/>
                <w:bCs w:val="0"/>
                <w:color w:val="auto"/>
                <w:sz w:val="21"/>
                <w:szCs w:val="21"/>
                <w:highlight w:val="none"/>
                <w:lang w:val="en-US" w:eastAsia="zh-CN"/>
              </w:rPr>
              <w:t>（S</w:t>
            </w:r>
            <w:r>
              <w:rPr>
                <w:rFonts w:hint="eastAsia" w:cs="Times New Roman" w:eastAsiaTheme="minorEastAsia"/>
                <w:b w:val="0"/>
                <w:bCs w:val="0"/>
                <w:color w:val="auto"/>
                <w:sz w:val="21"/>
                <w:szCs w:val="21"/>
                <w:highlight w:val="none"/>
                <w:lang w:val="en-US" w:eastAsia="zh-CN"/>
              </w:rPr>
              <w:t>5</w:t>
            </w:r>
            <w:r>
              <w:rPr>
                <w:rFonts w:hint="default" w:ascii="Times New Roman" w:hAnsi="Times New Roman" w:cs="Times New Roman" w:eastAsiaTheme="minorEastAsia"/>
                <w:b w:val="0"/>
                <w:bCs w:val="0"/>
                <w:color w:val="auto"/>
                <w:sz w:val="21"/>
                <w:szCs w:val="21"/>
                <w:highlight w:val="none"/>
                <w:lang w:val="en-US" w:eastAsia="zh-CN"/>
              </w:rPr>
              <w:t>）</w:t>
            </w:r>
            <w:r>
              <w:rPr>
                <w:rFonts w:hint="default" w:ascii="Times New Roman" w:hAnsi="Times New Roman" w:cs="Times New Roman"/>
                <w:b w:val="0"/>
                <w:bCs w:val="0"/>
                <w:color w:val="auto"/>
                <w:sz w:val="21"/>
                <w:szCs w:val="21"/>
              </w:rPr>
              <w:t>：本项目</w:t>
            </w:r>
            <w:r>
              <w:rPr>
                <w:rFonts w:hint="default" w:ascii="Times New Roman" w:hAnsi="Times New Roman" w:cs="Times New Roman"/>
                <w:b w:val="0"/>
                <w:bCs w:val="0"/>
                <w:color w:val="auto"/>
                <w:sz w:val="21"/>
                <w:szCs w:val="21"/>
                <w:lang w:val="en-US" w:eastAsia="zh-CN"/>
              </w:rPr>
              <w:t>废气处理采用二级活性炭吸附</w:t>
            </w:r>
            <w:r>
              <w:rPr>
                <w:rFonts w:hint="default" w:ascii="Times New Roman" w:hAnsi="Times New Roman" w:cs="Times New Roman"/>
                <w:b w:val="0"/>
                <w:bCs w:val="0"/>
                <w:color w:val="auto"/>
                <w:sz w:val="21"/>
                <w:szCs w:val="21"/>
              </w:rPr>
              <w:t>处理工艺</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lang w:val="en-US" w:eastAsia="zh-CN"/>
              </w:rPr>
              <w:t>需定期更换活性炭</w:t>
            </w:r>
            <w:r>
              <w:rPr>
                <w:rFonts w:hint="default" w:ascii="Times New Roman" w:hAnsi="Times New Roman" w:cs="Times New Roman"/>
                <w:b w:val="0"/>
                <w:bCs w:val="0"/>
                <w:color w:val="auto"/>
                <w:sz w:val="21"/>
                <w:szCs w:val="21"/>
              </w:rPr>
              <w:t>，根据</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省生态环境厅关</w:t>
            </w:r>
            <w:r>
              <w:rPr>
                <w:rFonts w:hint="default" w:ascii="Times New Roman" w:hAnsi="Times New Roman" w:cs="Times New Roman"/>
                <w:color w:val="auto"/>
                <w:sz w:val="21"/>
                <w:szCs w:val="21"/>
              </w:rPr>
              <w:t>于将排污单位活性炭使用更换纳入排污许可管理的通知</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中附件涉活性炭吸附排污单位的排污许可管理要求内的相关公式</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计算活性炭更换周期</w:t>
            </w:r>
            <w:r>
              <w:rPr>
                <w:rFonts w:hint="default" w:ascii="Times New Roman" w:hAnsi="Times New Roman" w:cs="Times New Roman"/>
                <w:color w:val="auto"/>
                <w:sz w:val="21"/>
                <w:szCs w:val="21"/>
              </w:rPr>
              <w:t>：</w:t>
            </w:r>
          </w:p>
          <w:p w14:paraId="04D4ACDB">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T=m×s÷（c×10</w:t>
            </w:r>
            <w:r>
              <w:rPr>
                <w:rFonts w:hint="default" w:ascii="Times New Roman" w:hAnsi="Times New Roman" w:cs="Times New Roman"/>
                <w:color w:val="auto"/>
                <w:sz w:val="21"/>
                <w:szCs w:val="21"/>
                <w:vertAlign w:val="superscript"/>
              </w:rPr>
              <w:t>-6</w:t>
            </w:r>
            <w:r>
              <w:rPr>
                <w:rFonts w:hint="default" w:ascii="Times New Roman" w:hAnsi="Times New Roman" w:cs="Times New Roman"/>
                <w:color w:val="auto"/>
                <w:sz w:val="21"/>
                <w:szCs w:val="21"/>
              </w:rPr>
              <w:t>×Q×t）</w:t>
            </w:r>
          </w:p>
          <w:p w14:paraId="52149D28">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firstLine="2520" w:firstLineChars="1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T—更换周期，天；</w:t>
            </w:r>
          </w:p>
          <w:p w14:paraId="08D0D99A">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firstLine="2520" w:firstLineChars="1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m—活性炭的用量，kg；</w:t>
            </w:r>
          </w:p>
          <w:p w14:paraId="09CEF3A3">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firstLine="2520" w:firstLineChars="1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s—动态吸附量，%；</w:t>
            </w:r>
          </w:p>
          <w:p w14:paraId="128A98E9">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firstLine="2520" w:firstLineChars="1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c—活性炭削减VOCs浓度，mg/m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p w14:paraId="7216313F">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firstLine="2520" w:firstLineChars="1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Q—风量，单位m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/h；</w:t>
            </w:r>
          </w:p>
          <w:p w14:paraId="110D6C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2520" w:firstLineChars="1200"/>
              <w:textAlignment w:val="auto"/>
              <w:rPr>
                <w:b/>
                <w:color w:val="auto"/>
                <w:sz w:val="21"/>
                <w:szCs w:val="21"/>
              </w:rPr>
            </w:pPr>
            <w:r>
              <w:rPr>
                <w:rFonts w:hint="default" w:ascii="Times New Roman" w:hAnsi="Times New Roman" w:cs="Times New Roman"/>
                <w:color w:val="auto"/>
                <w:sz w:val="21"/>
                <w:szCs w:val="21"/>
              </w:rPr>
              <w:t>t—运行时间，单位h/d。</w:t>
            </w:r>
          </w:p>
          <w:p w14:paraId="64083024">
            <w:pPr>
              <w:pStyle w:val="9"/>
              <w:keepNext w:val="0"/>
              <w:keepLines w:val="0"/>
              <w:pageBreakBefore w:val="0"/>
              <w:widowControl/>
              <w:kinsoku/>
              <w:wordWrap/>
              <w:overflowPunct/>
              <w:topLinePunct w:val="0"/>
              <w:autoSpaceDE/>
              <w:autoSpaceDN/>
              <w:bidi w:val="0"/>
              <w:adjustRightInd w:val="0"/>
              <w:snapToGrid w:val="0"/>
              <w:spacing w:before="0" w:after="0" w:line="500" w:lineRule="exact"/>
              <w:ind w:right="0" w:firstLine="422" w:firstLineChars="200"/>
              <w:jc w:val="center"/>
              <w:textAlignment w:val="auto"/>
              <w:rPr>
                <w:b/>
                <w:bCs/>
                <w:color w:val="auto"/>
                <w:sz w:val="21"/>
                <w:szCs w:val="21"/>
              </w:rPr>
            </w:pPr>
            <w:r>
              <w:rPr>
                <w:b/>
                <w:color w:val="auto"/>
                <w:sz w:val="21"/>
                <w:szCs w:val="21"/>
              </w:rPr>
              <w:t>表4-</w:t>
            </w:r>
            <w:r>
              <w:rPr>
                <w:rFonts w:hint="eastAsia"/>
                <w:b/>
                <w:color w:val="auto"/>
                <w:sz w:val="21"/>
                <w:szCs w:val="21"/>
                <w:lang w:val="en-US" w:eastAsia="zh-CN"/>
              </w:rPr>
              <w:t xml:space="preserve">14 </w:t>
            </w:r>
            <w:r>
              <w:rPr>
                <w:b/>
                <w:color w:val="auto"/>
                <w:sz w:val="21"/>
                <w:szCs w:val="21"/>
              </w:rPr>
              <w:t>活性炭更换周期一览表</w:t>
            </w:r>
          </w:p>
          <w:tbl>
            <w:tblPr>
              <w:tblStyle w:val="31"/>
              <w:tblW w:w="4993"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850"/>
              <w:gridCol w:w="1103"/>
              <w:gridCol w:w="971"/>
              <w:gridCol w:w="2284"/>
              <w:gridCol w:w="868"/>
              <w:gridCol w:w="877"/>
              <w:gridCol w:w="879"/>
            </w:tblGrid>
            <w:tr w14:paraId="6DA37B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47" w:type="pct"/>
                  <w:noWrap w:val="0"/>
                  <w:vAlign w:val="center"/>
                </w:tcPr>
                <w:p w14:paraId="1C35CA65">
                  <w:pPr>
                    <w:adjustRightInd w:val="0"/>
                    <w:snapToGrid w:val="0"/>
                    <w:jc w:val="center"/>
                    <w:rPr>
                      <w:color w:val="auto"/>
                      <w:sz w:val="21"/>
                      <w:szCs w:val="21"/>
                    </w:rPr>
                  </w:pPr>
                  <w:r>
                    <w:rPr>
                      <w:color w:val="auto"/>
                      <w:sz w:val="21"/>
                      <w:szCs w:val="21"/>
                    </w:rPr>
                    <w:t>装置名称</w:t>
                  </w:r>
                </w:p>
              </w:tc>
              <w:tc>
                <w:tcPr>
                  <w:tcW w:w="624" w:type="pct"/>
                  <w:noWrap w:val="0"/>
                  <w:vAlign w:val="center"/>
                </w:tcPr>
                <w:p w14:paraId="35EB7822">
                  <w:pPr>
                    <w:adjustRightInd w:val="0"/>
                    <w:snapToGrid w:val="0"/>
                    <w:jc w:val="center"/>
                    <w:rPr>
                      <w:color w:val="auto"/>
                      <w:sz w:val="21"/>
                      <w:szCs w:val="21"/>
                    </w:rPr>
                  </w:pPr>
                  <w:r>
                    <w:rPr>
                      <w:color w:val="auto"/>
                      <w:sz w:val="21"/>
                      <w:szCs w:val="21"/>
                    </w:rPr>
                    <w:t>活性炭的用量（kg）</w:t>
                  </w:r>
                </w:p>
              </w:tc>
              <w:tc>
                <w:tcPr>
                  <w:tcW w:w="549" w:type="pct"/>
                  <w:noWrap w:val="0"/>
                  <w:vAlign w:val="center"/>
                </w:tcPr>
                <w:p w14:paraId="71A22AB7">
                  <w:pPr>
                    <w:adjustRightInd w:val="0"/>
                    <w:snapToGrid w:val="0"/>
                    <w:jc w:val="center"/>
                    <w:rPr>
                      <w:color w:val="auto"/>
                      <w:sz w:val="21"/>
                      <w:szCs w:val="21"/>
                    </w:rPr>
                  </w:pPr>
                  <w:r>
                    <w:rPr>
                      <w:color w:val="auto"/>
                      <w:sz w:val="21"/>
                      <w:szCs w:val="21"/>
                    </w:rPr>
                    <w:t>动态吸附量（%）</w:t>
                  </w:r>
                </w:p>
              </w:tc>
              <w:tc>
                <w:tcPr>
                  <w:tcW w:w="1292" w:type="pct"/>
                  <w:noWrap w:val="0"/>
                  <w:vAlign w:val="center"/>
                </w:tcPr>
                <w:p w14:paraId="158B08E0">
                  <w:pPr>
                    <w:adjustRightInd w:val="0"/>
                    <w:snapToGrid w:val="0"/>
                    <w:jc w:val="center"/>
                    <w:rPr>
                      <w:color w:val="auto"/>
                      <w:sz w:val="21"/>
                      <w:szCs w:val="21"/>
                    </w:rPr>
                  </w:pPr>
                  <w:r>
                    <w:rPr>
                      <w:color w:val="auto"/>
                      <w:sz w:val="21"/>
                      <w:szCs w:val="21"/>
                    </w:rPr>
                    <w:t>活性炭削减的VOCs浓度（mg/m</w:t>
                  </w:r>
                  <w:r>
                    <w:rPr>
                      <w:color w:val="auto"/>
                      <w:sz w:val="21"/>
                      <w:szCs w:val="21"/>
                      <w:vertAlign w:val="superscript"/>
                    </w:rPr>
                    <w:t>3</w:t>
                  </w:r>
                  <w:r>
                    <w:rPr>
                      <w:color w:val="auto"/>
                      <w:sz w:val="21"/>
                      <w:szCs w:val="21"/>
                    </w:rPr>
                    <w:t>）</w:t>
                  </w:r>
                </w:p>
              </w:tc>
              <w:tc>
                <w:tcPr>
                  <w:tcW w:w="491" w:type="pct"/>
                  <w:noWrap w:val="0"/>
                  <w:vAlign w:val="center"/>
                </w:tcPr>
                <w:p w14:paraId="25A17AC7">
                  <w:pPr>
                    <w:adjustRightInd w:val="0"/>
                    <w:snapToGrid w:val="0"/>
                    <w:jc w:val="center"/>
                    <w:rPr>
                      <w:color w:val="auto"/>
                      <w:sz w:val="21"/>
                      <w:szCs w:val="21"/>
                    </w:rPr>
                  </w:pPr>
                  <w:r>
                    <w:rPr>
                      <w:color w:val="auto"/>
                      <w:sz w:val="21"/>
                      <w:szCs w:val="21"/>
                    </w:rPr>
                    <w:t>风量（m</w:t>
                  </w:r>
                  <w:r>
                    <w:rPr>
                      <w:color w:val="auto"/>
                      <w:sz w:val="21"/>
                      <w:szCs w:val="21"/>
                      <w:vertAlign w:val="superscript"/>
                    </w:rPr>
                    <w:t>3</w:t>
                  </w:r>
                  <w:r>
                    <w:rPr>
                      <w:color w:val="auto"/>
                      <w:sz w:val="21"/>
                      <w:szCs w:val="21"/>
                    </w:rPr>
                    <w:t>/h）</w:t>
                  </w:r>
                </w:p>
              </w:tc>
              <w:tc>
                <w:tcPr>
                  <w:tcW w:w="496" w:type="pct"/>
                  <w:noWrap w:val="0"/>
                  <w:vAlign w:val="center"/>
                </w:tcPr>
                <w:p w14:paraId="4F93714C">
                  <w:pPr>
                    <w:adjustRightInd w:val="0"/>
                    <w:snapToGrid w:val="0"/>
                    <w:jc w:val="center"/>
                    <w:rPr>
                      <w:color w:val="auto"/>
                      <w:sz w:val="21"/>
                      <w:szCs w:val="21"/>
                    </w:rPr>
                  </w:pPr>
                  <w:r>
                    <w:rPr>
                      <w:color w:val="auto"/>
                      <w:sz w:val="21"/>
                      <w:szCs w:val="21"/>
                    </w:rPr>
                    <w:t>运行时间（h/d）</w:t>
                  </w:r>
                </w:p>
              </w:tc>
              <w:tc>
                <w:tcPr>
                  <w:tcW w:w="497" w:type="pct"/>
                  <w:noWrap w:val="0"/>
                  <w:vAlign w:val="center"/>
                </w:tcPr>
                <w:p w14:paraId="6F3BF8C9">
                  <w:pPr>
                    <w:adjustRightInd w:val="0"/>
                    <w:snapToGrid w:val="0"/>
                    <w:jc w:val="center"/>
                    <w:rPr>
                      <w:color w:val="auto"/>
                      <w:sz w:val="21"/>
                      <w:szCs w:val="21"/>
                    </w:rPr>
                  </w:pPr>
                  <w:r>
                    <w:rPr>
                      <w:rFonts w:hint="eastAsia"/>
                      <w:color w:val="auto"/>
                      <w:sz w:val="21"/>
                      <w:szCs w:val="21"/>
                    </w:rPr>
                    <w:t>更换</w:t>
                  </w:r>
                  <w:r>
                    <w:rPr>
                      <w:color w:val="auto"/>
                      <w:sz w:val="21"/>
                      <w:szCs w:val="21"/>
                    </w:rPr>
                    <w:t>周期（d）</w:t>
                  </w:r>
                </w:p>
              </w:tc>
            </w:tr>
            <w:tr w14:paraId="64C741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1047" w:type="pct"/>
                  <w:noWrap w:val="0"/>
                  <w:vAlign w:val="center"/>
                </w:tcPr>
                <w:p w14:paraId="7B710FD8">
                  <w:pPr>
                    <w:adjustRightInd w:val="0"/>
                    <w:snapToGrid w:val="0"/>
                    <w:jc w:val="center"/>
                    <w:rPr>
                      <w:rFonts w:hint="eastAsia" w:eastAsia="宋体"/>
                      <w:color w:val="auto"/>
                      <w:sz w:val="21"/>
                      <w:szCs w:val="21"/>
                      <w:lang w:eastAsia="zh-CN"/>
                    </w:rPr>
                  </w:pPr>
                  <w:r>
                    <w:rPr>
                      <w:bCs/>
                      <w:color w:val="auto"/>
                      <w:sz w:val="21"/>
                      <w:szCs w:val="21"/>
                    </w:rPr>
                    <w:t>活性炭吸附装置</w:t>
                  </w:r>
                  <w:r>
                    <w:rPr>
                      <w:rFonts w:hint="eastAsia"/>
                      <w:bCs/>
                      <w:color w:val="auto"/>
                      <w:sz w:val="21"/>
                      <w:szCs w:val="21"/>
                      <w:lang w:eastAsia="zh-CN"/>
                    </w:rPr>
                    <w:t>（</w:t>
                  </w:r>
                  <w:r>
                    <w:rPr>
                      <w:rFonts w:hint="eastAsia"/>
                      <w:bCs/>
                      <w:color w:val="auto"/>
                      <w:sz w:val="21"/>
                      <w:szCs w:val="21"/>
                      <w:lang w:val="en-US" w:eastAsia="zh-CN"/>
                    </w:rPr>
                    <w:t>TA001</w:t>
                  </w:r>
                  <w:r>
                    <w:rPr>
                      <w:rFonts w:hint="eastAsia"/>
                      <w:bCs/>
                      <w:color w:val="auto"/>
                      <w:sz w:val="21"/>
                      <w:szCs w:val="21"/>
                      <w:lang w:eastAsia="zh-CN"/>
                    </w:rPr>
                    <w:t>）</w:t>
                  </w:r>
                </w:p>
              </w:tc>
              <w:tc>
                <w:tcPr>
                  <w:tcW w:w="624" w:type="pct"/>
                  <w:noWrap w:val="0"/>
                  <w:vAlign w:val="center"/>
                </w:tcPr>
                <w:p w14:paraId="246AA449">
                  <w:pPr>
                    <w:widowControl/>
                    <w:jc w:val="center"/>
                    <w:textAlignment w:val="center"/>
                    <w:rPr>
                      <w:rFonts w:hint="default" w:eastAsia="宋体"/>
                      <w:color w:val="auto"/>
                      <w:sz w:val="21"/>
                      <w:szCs w:val="21"/>
                      <w:lang w:val="en-US" w:eastAsia="zh-CN"/>
                    </w:rPr>
                  </w:pPr>
                  <w:r>
                    <w:rPr>
                      <w:rFonts w:hint="eastAsia"/>
                      <w:color w:val="auto"/>
                      <w:sz w:val="21"/>
                      <w:szCs w:val="21"/>
                      <w:lang w:val="en-US" w:eastAsia="zh-CN"/>
                    </w:rPr>
                    <w:t>960</w:t>
                  </w:r>
                </w:p>
              </w:tc>
              <w:tc>
                <w:tcPr>
                  <w:tcW w:w="549" w:type="pct"/>
                  <w:noWrap w:val="0"/>
                  <w:vAlign w:val="center"/>
                </w:tcPr>
                <w:p w14:paraId="43443A46">
                  <w:pPr>
                    <w:widowControl/>
                    <w:jc w:val="center"/>
                    <w:textAlignment w:val="center"/>
                    <w:rPr>
                      <w:rFonts w:hint="default" w:eastAsia="宋体"/>
                      <w:color w:val="auto"/>
                      <w:sz w:val="21"/>
                      <w:szCs w:val="21"/>
                      <w:lang w:val="en-US" w:eastAsia="zh-CN"/>
                    </w:rPr>
                  </w:pPr>
                  <w:r>
                    <w:rPr>
                      <w:rFonts w:hint="eastAsia"/>
                      <w:color w:val="auto"/>
                      <w:sz w:val="21"/>
                      <w:szCs w:val="21"/>
                      <w:lang w:val="en-US" w:eastAsia="zh-CN"/>
                    </w:rPr>
                    <w:t>20</w:t>
                  </w:r>
                </w:p>
              </w:tc>
              <w:tc>
                <w:tcPr>
                  <w:tcW w:w="1292" w:type="pct"/>
                  <w:noWrap w:val="0"/>
                  <w:vAlign w:val="center"/>
                </w:tcPr>
                <w:p w14:paraId="4060C401">
                  <w:pPr>
                    <w:keepNext w:val="0"/>
                    <w:keepLines w:val="0"/>
                    <w:widowControl/>
                    <w:suppressLineNumbers w:val="0"/>
                    <w:jc w:val="center"/>
                    <w:textAlignment w:val="center"/>
                    <w:rPr>
                      <w:rFonts w:hint="default" w:eastAsia="宋体"/>
                      <w:color w:val="auto"/>
                      <w:sz w:val="21"/>
                      <w:szCs w:val="21"/>
                      <w:lang w:val="en-US" w:eastAsia="zh-CN"/>
                    </w:rPr>
                  </w:pPr>
                  <w:r>
                    <w:rPr>
                      <w:rFonts w:hint="eastAsia"/>
                      <w:color w:val="auto"/>
                      <w:sz w:val="21"/>
                      <w:szCs w:val="21"/>
                      <w:lang w:val="en-US" w:eastAsia="zh-CN"/>
                    </w:rPr>
                    <w:t>37.84</w:t>
                  </w:r>
                </w:p>
              </w:tc>
              <w:tc>
                <w:tcPr>
                  <w:tcW w:w="491" w:type="pct"/>
                  <w:noWrap w:val="0"/>
                  <w:vAlign w:val="center"/>
                </w:tcPr>
                <w:p w14:paraId="0C9C98CA">
                  <w:pPr>
                    <w:tabs>
                      <w:tab w:val="left" w:pos="360"/>
                      <w:tab w:val="left" w:pos="540"/>
                    </w:tabs>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7000</w:t>
                  </w:r>
                </w:p>
              </w:tc>
              <w:tc>
                <w:tcPr>
                  <w:tcW w:w="496" w:type="pct"/>
                  <w:noWrap w:val="0"/>
                  <w:vAlign w:val="center"/>
                </w:tcPr>
                <w:p w14:paraId="5B039C28">
                  <w:pPr>
                    <w:widowControl/>
                    <w:jc w:val="center"/>
                    <w:textAlignment w:val="center"/>
                    <w:rPr>
                      <w:rFonts w:hint="default" w:eastAsia="宋体"/>
                      <w:color w:val="auto"/>
                      <w:sz w:val="21"/>
                      <w:szCs w:val="21"/>
                      <w:lang w:val="en-US" w:eastAsia="zh-CN"/>
                    </w:rPr>
                  </w:pPr>
                  <w:r>
                    <w:rPr>
                      <w:rFonts w:hint="eastAsia"/>
                      <w:color w:val="auto"/>
                      <w:sz w:val="21"/>
                      <w:szCs w:val="21"/>
                      <w:lang w:val="en-US" w:eastAsia="zh-CN"/>
                    </w:rPr>
                    <w:t>24</w:t>
                  </w:r>
                </w:p>
              </w:tc>
              <w:tc>
                <w:tcPr>
                  <w:tcW w:w="497" w:type="pct"/>
                  <w:noWrap w:val="0"/>
                  <w:vAlign w:val="center"/>
                </w:tcPr>
                <w:p w14:paraId="1E12D7E1">
                  <w:pPr>
                    <w:tabs>
                      <w:tab w:val="left" w:pos="360"/>
                      <w:tab w:val="left" w:pos="540"/>
                    </w:tabs>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30.2</w:t>
                  </w:r>
                </w:p>
              </w:tc>
            </w:tr>
          </w:tbl>
          <w:p w14:paraId="22A573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both"/>
              <w:textAlignment w:val="auto"/>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注:</w:t>
            </w:r>
            <w:r>
              <w:rPr>
                <w:color w:val="auto"/>
                <w:sz w:val="21"/>
                <w:szCs w:val="21"/>
              </w:rPr>
              <w:t>本项目采用一次性</w:t>
            </w:r>
            <w:r>
              <w:rPr>
                <w:rFonts w:hint="eastAsia"/>
                <w:color w:val="auto"/>
                <w:sz w:val="21"/>
                <w:szCs w:val="21"/>
                <w:lang w:val="en-US" w:eastAsia="zh-CN"/>
              </w:rPr>
              <w:t>颗粒</w:t>
            </w:r>
            <w:r>
              <w:rPr>
                <w:color w:val="auto"/>
                <w:sz w:val="21"/>
                <w:szCs w:val="21"/>
              </w:rPr>
              <w:t>活性炭，碘值不小于800，比表面积≥850m</w:t>
            </w:r>
            <w:r>
              <w:rPr>
                <w:color w:val="auto"/>
                <w:sz w:val="21"/>
                <w:szCs w:val="21"/>
                <w:vertAlign w:val="superscript"/>
              </w:rPr>
              <w:t>2</w:t>
            </w:r>
            <w:r>
              <w:rPr>
                <w:color w:val="auto"/>
                <w:sz w:val="21"/>
                <w:szCs w:val="21"/>
              </w:rPr>
              <w:t>/g，根据《省生态环境厅关于深入开展涉VOCs治理重点工作核查的通知》（苏环办〔2022〕218号），每5吨活性炭吸附1吨有机废气，因此，动态吸附量取值</w:t>
            </w:r>
            <w:r>
              <w:rPr>
                <w:rFonts w:hint="eastAsia"/>
                <w:color w:val="auto"/>
                <w:sz w:val="21"/>
                <w:szCs w:val="21"/>
                <w:lang w:val="en-US" w:eastAsia="zh-CN"/>
              </w:rPr>
              <w:t>2</w:t>
            </w:r>
            <w:r>
              <w:rPr>
                <w:color w:val="auto"/>
                <w:sz w:val="21"/>
                <w:szCs w:val="21"/>
              </w:rPr>
              <w:t>0%</w:t>
            </w:r>
            <w:r>
              <w:rPr>
                <w:rFonts w:hint="default" w:ascii="Times New Roman" w:hAnsi="Times New Roman" w:cs="Times New Roman"/>
                <w:color w:val="auto"/>
                <w:sz w:val="21"/>
                <w:szCs w:val="21"/>
              </w:rPr>
              <w:t>。</w:t>
            </w:r>
          </w:p>
          <w:p w14:paraId="6CE0CE1B">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firstLine="420" w:firstLineChars="200"/>
              <w:jc w:val="both"/>
              <w:textAlignment w:val="auto"/>
              <w:rPr>
                <w:rFonts w:hint="default" w:ascii="Times New Roman" w:hAnsi="Times New Roman" w:cs="Times New Roman"/>
                <w:bCs/>
                <w:color w:val="auto"/>
                <w:sz w:val="21"/>
                <w:szCs w:val="21"/>
              </w:rPr>
            </w:pPr>
            <w:r>
              <w:rPr>
                <w:rFonts w:hint="eastAsia" w:ascii="Times New Roman" w:hAnsi="Times New Roman" w:eastAsia="宋体" w:cs="Times New Roman"/>
                <w:bCs/>
                <w:color w:val="auto"/>
                <w:sz w:val="21"/>
                <w:szCs w:val="21"/>
                <w:lang w:val="en-US" w:eastAsia="zh-CN"/>
              </w:rPr>
              <w:t>根据计算所得，本项目活性炭吸附装置更换周期为</w:t>
            </w:r>
            <w:r>
              <w:rPr>
                <w:rFonts w:hint="eastAsia" w:cs="Times New Roman"/>
                <w:bCs/>
                <w:color w:val="auto"/>
                <w:sz w:val="21"/>
                <w:szCs w:val="21"/>
                <w:lang w:val="en-US" w:eastAsia="zh-CN"/>
              </w:rPr>
              <w:t>3</w:t>
            </w:r>
            <w:r>
              <w:rPr>
                <w:rFonts w:hint="eastAsia" w:ascii="Times New Roman" w:hAnsi="Times New Roman" w:eastAsia="宋体" w:cs="Times New Roman"/>
                <w:bCs/>
                <w:color w:val="auto"/>
                <w:sz w:val="21"/>
                <w:szCs w:val="21"/>
                <w:lang w:val="en-US" w:eastAsia="zh-CN"/>
              </w:rPr>
              <w:t>0天。</w:t>
            </w:r>
            <w:r>
              <w:rPr>
                <w:rFonts w:hint="eastAsia" w:cs="Times New Roman"/>
                <w:bCs/>
                <w:color w:val="auto"/>
                <w:sz w:val="21"/>
                <w:szCs w:val="21"/>
                <w:lang w:val="en-US" w:eastAsia="zh-CN"/>
              </w:rPr>
              <w:t>根据前文分析，项目</w:t>
            </w:r>
            <w:r>
              <w:rPr>
                <w:rFonts w:hint="default" w:ascii="Times New Roman" w:hAnsi="Times New Roman" w:cs="Times New Roman"/>
                <w:bCs/>
                <w:color w:val="auto"/>
                <w:sz w:val="21"/>
                <w:szCs w:val="21"/>
                <w:lang w:val="en-US" w:eastAsia="zh-CN"/>
              </w:rPr>
              <w:t>二级活性炭</w:t>
            </w:r>
            <w:r>
              <w:rPr>
                <w:rFonts w:hint="eastAsia" w:cs="Times New Roman"/>
                <w:bCs/>
                <w:color w:val="auto"/>
                <w:sz w:val="21"/>
                <w:szCs w:val="21"/>
                <w:lang w:val="en-US" w:eastAsia="zh-CN"/>
              </w:rPr>
              <w:t>废气</w:t>
            </w:r>
            <w:r>
              <w:rPr>
                <w:rFonts w:hint="default" w:ascii="Times New Roman" w:hAnsi="Times New Roman" w:cs="Times New Roman"/>
                <w:bCs/>
                <w:color w:val="auto"/>
                <w:sz w:val="21"/>
                <w:szCs w:val="21"/>
                <w:lang w:val="en-US" w:eastAsia="zh-CN"/>
              </w:rPr>
              <w:t>吸附量为</w:t>
            </w:r>
            <w:r>
              <w:rPr>
                <w:rFonts w:hint="eastAsia" w:cs="Times New Roman"/>
                <w:bCs/>
                <w:color w:val="auto"/>
                <w:sz w:val="21"/>
                <w:szCs w:val="21"/>
                <w:lang w:val="en-US" w:eastAsia="zh-CN"/>
              </w:rPr>
              <w:t>1.907</w:t>
            </w:r>
            <w:r>
              <w:rPr>
                <w:rFonts w:hint="default" w:ascii="Times New Roman" w:hAnsi="Times New Roman" w:cs="Times New Roman"/>
                <w:bCs/>
                <w:color w:val="auto"/>
                <w:sz w:val="21"/>
                <w:szCs w:val="21"/>
                <w:lang w:val="en-US" w:eastAsia="zh-CN"/>
              </w:rPr>
              <w:t>t/a。</w:t>
            </w:r>
            <w:r>
              <w:rPr>
                <w:rFonts w:hint="eastAsia" w:cs="Times New Roman"/>
                <w:color w:val="auto"/>
                <w:sz w:val="21"/>
                <w:szCs w:val="21"/>
                <w:lang w:eastAsia="zh-CN"/>
              </w:rPr>
              <w:t>则项目</w:t>
            </w:r>
            <w:r>
              <w:rPr>
                <w:rFonts w:hint="default" w:ascii="Times New Roman" w:hAnsi="Times New Roman" w:cs="Times New Roman"/>
                <w:bCs/>
                <w:color w:val="auto"/>
                <w:sz w:val="21"/>
                <w:szCs w:val="21"/>
                <w:lang w:val="en-US" w:eastAsia="zh-CN"/>
              </w:rPr>
              <w:t>废</w:t>
            </w:r>
            <w:r>
              <w:rPr>
                <w:rFonts w:hint="default" w:ascii="Times New Roman" w:hAnsi="Times New Roman" w:cs="Times New Roman"/>
                <w:bCs/>
                <w:color w:val="auto"/>
                <w:sz w:val="21"/>
                <w:szCs w:val="21"/>
                <w:lang w:eastAsia="zh-CN"/>
              </w:rPr>
              <w:t>活性炭产生量</w:t>
            </w:r>
            <w:r>
              <w:rPr>
                <w:rFonts w:hint="eastAsia" w:cs="Times New Roman"/>
                <w:bCs/>
                <w:color w:val="auto"/>
                <w:sz w:val="21"/>
                <w:szCs w:val="21"/>
                <w:lang w:val="en-US" w:eastAsia="zh-CN"/>
              </w:rPr>
              <w:t>约</w:t>
            </w:r>
            <w:r>
              <w:rPr>
                <w:rFonts w:hint="default" w:ascii="Times New Roman" w:hAnsi="Times New Roman" w:cs="Times New Roman"/>
                <w:bCs/>
                <w:color w:val="auto"/>
                <w:sz w:val="21"/>
                <w:szCs w:val="21"/>
                <w:lang w:eastAsia="zh-CN"/>
              </w:rPr>
              <w:t>为</w:t>
            </w:r>
            <w:r>
              <w:rPr>
                <w:rFonts w:hint="eastAsia" w:cs="Times New Roman"/>
                <w:bCs/>
                <w:color w:val="auto"/>
                <w:sz w:val="21"/>
                <w:szCs w:val="21"/>
                <w:lang w:val="en-US" w:eastAsia="zh-CN"/>
              </w:rPr>
              <w:t>13.427</w:t>
            </w:r>
            <w:r>
              <w:rPr>
                <w:rFonts w:hint="default" w:ascii="Times New Roman" w:hAnsi="Times New Roman" w:cs="Times New Roman"/>
                <w:bCs/>
                <w:color w:val="auto"/>
                <w:sz w:val="21"/>
                <w:szCs w:val="21"/>
                <w:lang w:val="en-US" w:eastAsia="zh-CN"/>
              </w:rPr>
              <w:t>t/</w:t>
            </w:r>
            <w:r>
              <w:rPr>
                <w:rFonts w:hint="default" w:ascii="Times New Roman" w:hAnsi="Times New Roman" w:cs="Times New Roman"/>
                <w:bCs/>
                <w:color w:val="auto"/>
                <w:sz w:val="21"/>
                <w:szCs w:val="21"/>
                <w:highlight w:val="none"/>
                <w:lang w:val="en-US" w:eastAsia="zh-CN"/>
              </w:rPr>
              <w:t>a</w:t>
            </w:r>
            <w:r>
              <w:rPr>
                <w:rFonts w:hint="default" w:ascii="Times New Roman" w:hAnsi="Times New Roman" w:cs="Times New Roman"/>
                <w:color w:val="auto"/>
                <w:sz w:val="21"/>
                <w:szCs w:val="21"/>
              </w:rPr>
              <w:t>。</w:t>
            </w:r>
          </w:p>
          <w:p w14:paraId="791597FE">
            <w:pPr>
              <w:adjustRightInd w:val="0"/>
              <w:snapToGrid w:val="0"/>
              <w:spacing w:line="500" w:lineRule="exact"/>
              <w:ind w:firstLine="420" w:firstLineChars="200"/>
              <w:rPr>
                <w:rFonts w:hint="eastAsia"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废机油(S6)：本项目设备日常维护过程中会产生废机油，根据建设单位提供的本项目机油使用情况及维护频率，本项目废机油预计产生量为0.2t/a。</w:t>
            </w:r>
          </w:p>
          <w:p w14:paraId="591CED9C">
            <w:pPr>
              <w:adjustRightInd w:val="0"/>
              <w:snapToGrid w:val="0"/>
              <w:spacing w:line="500" w:lineRule="exact"/>
              <w:ind w:firstLine="420" w:firstLineChars="200"/>
              <w:rPr>
                <w:rFonts w:hint="default"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废油桶(S7)</w:t>
            </w:r>
            <w:r>
              <w:rPr>
                <w:rFonts w:hint="default" w:cs="Times New Roman"/>
                <w:b w:val="0"/>
                <w:bCs w:val="0"/>
                <w:color w:val="auto"/>
                <w:kern w:val="2"/>
                <w:sz w:val="21"/>
                <w:szCs w:val="21"/>
                <w:lang w:val="en-US" w:eastAsia="zh-CN" w:bidi="ar-SA"/>
              </w:rPr>
              <w:t>：本项目</w:t>
            </w:r>
            <w:r>
              <w:rPr>
                <w:rFonts w:hint="eastAsia" w:cs="Times New Roman"/>
                <w:b w:val="0"/>
                <w:bCs w:val="0"/>
                <w:color w:val="auto"/>
                <w:kern w:val="2"/>
                <w:sz w:val="21"/>
                <w:szCs w:val="21"/>
                <w:lang w:val="en-US" w:eastAsia="zh-CN" w:bidi="ar-SA"/>
              </w:rPr>
              <w:t>机油消耗后产生废油桶，机油消耗0.2t/a，包装规格为200k</w:t>
            </w:r>
            <w:r>
              <w:rPr>
                <w:rFonts w:hint="default" w:cs="Times New Roman"/>
                <w:b w:val="0"/>
                <w:bCs w:val="0"/>
                <w:color w:val="auto"/>
                <w:kern w:val="2"/>
                <w:sz w:val="21"/>
                <w:szCs w:val="21"/>
                <w:lang w:val="en-US" w:eastAsia="zh-CN" w:bidi="ar-SA"/>
              </w:rPr>
              <w:t>g/</w:t>
            </w:r>
            <w:r>
              <w:rPr>
                <w:rFonts w:hint="eastAsia" w:cs="Times New Roman"/>
                <w:b w:val="0"/>
                <w:bCs w:val="0"/>
                <w:color w:val="auto"/>
                <w:kern w:val="2"/>
                <w:sz w:val="21"/>
                <w:szCs w:val="21"/>
                <w:lang w:val="en-US" w:eastAsia="zh-CN" w:bidi="ar-SA"/>
              </w:rPr>
              <w:t>桶，单桶净重约20kg，则项目废油桶产生量约0.02t/a</w:t>
            </w:r>
            <w:r>
              <w:rPr>
                <w:rFonts w:hint="default" w:cs="Times New Roman"/>
                <w:b w:val="0"/>
                <w:bCs w:val="0"/>
                <w:color w:val="auto"/>
                <w:kern w:val="2"/>
                <w:sz w:val="21"/>
                <w:szCs w:val="21"/>
                <w:lang w:val="en-US" w:eastAsia="zh-CN" w:bidi="ar-SA"/>
              </w:rPr>
              <w:t>。</w:t>
            </w:r>
          </w:p>
          <w:p w14:paraId="3A1DA55D">
            <w:pPr>
              <w:adjustRightInd w:val="0"/>
              <w:snapToGrid w:val="0"/>
              <w:spacing w:line="500" w:lineRule="exact"/>
              <w:ind w:firstLine="420" w:firstLineChars="200"/>
              <w:rPr>
                <w:rFonts w:hint="eastAsia"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废含油抹布手套（S8）：</w:t>
            </w:r>
            <w:r>
              <w:rPr>
                <w:rFonts w:hint="default" w:cs="Times New Roman"/>
                <w:b w:val="0"/>
                <w:bCs w:val="0"/>
                <w:color w:val="auto"/>
                <w:kern w:val="2"/>
                <w:sz w:val="21"/>
                <w:szCs w:val="21"/>
                <w:lang w:val="en-US" w:eastAsia="zh-CN" w:bidi="ar-SA"/>
              </w:rPr>
              <w:t>项目</w:t>
            </w:r>
            <w:r>
              <w:rPr>
                <w:rFonts w:hint="eastAsia" w:cs="Times New Roman"/>
                <w:b w:val="0"/>
                <w:bCs w:val="0"/>
                <w:color w:val="auto"/>
                <w:kern w:val="2"/>
                <w:sz w:val="21"/>
                <w:szCs w:val="21"/>
                <w:lang w:val="en-US" w:eastAsia="zh-CN" w:bidi="ar-SA"/>
              </w:rPr>
              <w:t>生产</w:t>
            </w:r>
            <w:r>
              <w:rPr>
                <w:rFonts w:hint="default" w:cs="Times New Roman"/>
                <w:b w:val="0"/>
                <w:bCs w:val="0"/>
                <w:color w:val="auto"/>
                <w:kern w:val="2"/>
                <w:sz w:val="21"/>
                <w:szCs w:val="21"/>
                <w:lang w:val="en-US" w:eastAsia="zh-CN" w:bidi="ar-SA"/>
              </w:rPr>
              <w:t>过程中员工使用抹布手套，</w:t>
            </w:r>
            <w:r>
              <w:rPr>
                <w:rFonts w:hint="eastAsia" w:cs="Times New Roman"/>
                <w:b w:val="0"/>
                <w:bCs w:val="0"/>
                <w:color w:val="auto"/>
                <w:kern w:val="2"/>
                <w:sz w:val="21"/>
                <w:szCs w:val="21"/>
                <w:lang w:val="en-US" w:eastAsia="zh-CN" w:bidi="ar-SA"/>
              </w:rPr>
              <w:t>会</w:t>
            </w:r>
            <w:r>
              <w:rPr>
                <w:rFonts w:hint="default" w:cs="Times New Roman"/>
                <w:b w:val="0"/>
                <w:bCs w:val="0"/>
                <w:color w:val="auto"/>
                <w:kern w:val="2"/>
                <w:sz w:val="21"/>
                <w:szCs w:val="21"/>
                <w:lang w:val="en-US" w:eastAsia="zh-CN" w:bidi="ar-SA"/>
              </w:rPr>
              <w:t>产生少量</w:t>
            </w:r>
            <w:r>
              <w:rPr>
                <w:rFonts w:hint="eastAsia" w:cs="Times New Roman"/>
                <w:b w:val="0"/>
                <w:bCs w:val="0"/>
                <w:color w:val="auto"/>
                <w:kern w:val="2"/>
                <w:sz w:val="21"/>
                <w:szCs w:val="21"/>
                <w:lang w:val="en-US" w:eastAsia="zh-CN" w:bidi="ar-SA"/>
              </w:rPr>
              <w:t>废</w:t>
            </w:r>
            <w:r>
              <w:rPr>
                <w:rFonts w:hint="default" w:cs="Times New Roman"/>
                <w:b w:val="0"/>
                <w:bCs w:val="0"/>
                <w:color w:val="auto"/>
                <w:kern w:val="2"/>
                <w:sz w:val="21"/>
                <w:szCs w:val="21"/>
                <w:lang w:val="en-US" w:eastAsia="zh-CN" w:bidi="ar-SA"/>
              </w:rPr>
              <w:t>含油抹布手套，产生量约为0.05t/a</w:t>
            </w:r>
          </w:p>
          <w:p w14:paraId="420A0A31">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结合生产工艺流程及生产运营过程中的副产物产生情况，根据</w:t>
            </w:r>
            <w:r>
              <w:rPr>
                <w:color w:val="auto"/>
                <w:sz w:val="21"/>
                <w:szCs w:val="21"/>
              </w:rPr>
              <w:t>《固体废物鉴别标准 通则》（</w:t>
            </w:r>
            <w:r>
              <w:rPr>
                <w:rFonts w:hint="eastAsia"/>
                <w:color w:val="auto"/>
                <w:sz w:val="21"/>
                <w:szCs w:val="21"/>
                <w:lang w:eastAsia="zh-CN"/>
              </w:rPr>
              <w:t>GB34330-2025</w:t>
            </w:r>
            <w:r>
              <w:rPr>
                <w:color w:val="auto"/>
                <w:sz w:val="21"/>
                <w:szCs w:val="21"/>
              </w:rPr>
              <w:t>）</w:t>
            </w:r>
            <w:r>
              <w:rPr>
                <w:rFonts w:hint="default" w:ascii="Times New Roman" w:hAnsi="Times New Roman" w:eastAsia="宋体" w:cs="Times New Roman"/>
                <w:color w:val="auto"/>
                <w:sz w:val="21"/>
                <w:szCs w:val="21"/>
                <w:highlight w:val="none"/>
                <w:lang w:val="en-US" w:eastAsia="zh-CN"/>
              </w:rPr>
              <w:t>的规定，判断其是否属于固体废物，给出判定依据及结果，见下表。</w:t>
            </w:r>
          </w:p>
          <w:p w14:paraId="736BAA00">
            <w:pPr>
              <w:pStyle w:val="63"/>
              <w:keepNext w:val="0"/>
              <w:keepLines w:val="0"/>
              <w:pageBreakBefore w:val="0"/>
              <w:tabs>
                <w:tab w:val="left" w:pos="3240"/>
              </w:tabs>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rPr>
              <w:t>表4-</w:t>
            </w:r>
            <w:r>
              <w:rPr>
                <w:rFonts w:hint="default" w:ascii="Times New Roman" w:hAnsi="Times New Roman" w:eastAsia="宋体" w:cs="Times New Roman"/>
                <w:b/>
                <w:color w:val="auto"/>
                <w:sz w:val="21"/>
                <w:szCs w:val="21"/>
                <w:highlight w:val="none"/>
                <w:lang w:val="en-US" w:eastAsia="zh-CN"/>
              </w:rPr>
              <w:t>1</w:t>
            </w:r>
            <w:r>
              <w:rPr>
                <w:rFonts w:hint="eastAsia" w:ascii="Times New Roman" w:hAnsi="Times New Roman" w:cs="Times New Roman"/>
                <w:b/>
                <w:color w:val="auto"/>
                <w:sz w:val="21"/>
                <w:szCs w:val="21"/>
                <w:highlight w:val="none"/>
                <w:lang w:val="en-US" w:eastAsia="zh-CN"/>
              </w:rPr>
              <w:t xml:space="preserve">5 </w:t>
            </w:r>
            <w:r>
              <w:rPr>
                <w:rFonts w:hint="default" w:ascii="Times New Roman" w:hAnsi="Times New Roman" w:eastAsia="宋体" w:cs="Times New Roman"/>
                <w:b/>
                <w:color w:val="auto"/>
                <w:sz w:val="21"/>
                <w:szCs w:val="21"/>
                <w:highlight w:val="none"/>
                <w:lang w:val="en-US" w:eastAsia="zh-CN"/>
              </w:rPr>
              <w:t>本</w:t>
            </w:r>
            <w:r>
              <w:rPr>
                <w:rFonts w:hint="default" w:ascii="Times New Roman" w:hAnsi="Times New Roman" w:eastAsia="宋体" w:cs="Times New Roman"/>
                <w:b/>
                <w:color w:val="auto"/>
                <w:sz w:val="21"/>
                <w:szCs w:val="21"/>
                <w:highlight w:val="none"/>
              </w:rPr>
              <w:t>项目固废</w:t>
            </w:r>
            <w:r>
              <w:rPr>
                <w:rFonts w:hint="default" w:ascii="Times New Roman" w:hAnsi="Times New Roman" w:eastAsia="宋体" w:cs="Times New Roman"/>
                <w:b/>
                <w:color w:val="auto"/>
                <w:sz w:val="21"/>
                <w:szCs w:val="21"/>
                <w:highlight w:val="none"/>
                <w:lang w:val="en-US" w:eastAsia="zh-CN"/>
              </w:rPr>
              <w:t>鉴别</w:t>
            </w:r>
            <w:r>
              <w:rPr>
                <w:rFonts w:hint="default" w:ascii="Times New Roman" w:hAnsi="Times New Roman" w:eastAsia="宋体" w:cs="Times New Roman"/>
                <w:b/>
                <w:color w:val="auto"/>
                <w:sz w:val="21"/>
                <w:szCs w:val="21"/>
                <w:highlight w:val="none"/>
              </w:rPr>
              <w:t>情况</w:t>
            </w:r>
            <w:r>
              <w:rPr>
                <w:rFonts w:hint="default" w:ascii="Times New Roman" w:hAnsi="Times New Roman" w:eastAsia="宋体" w:cs="Times New Roman"/>
                <w:b/>
                <w:color w:val="auto"/>
                <w:sz w:val="21"/>
                <w:szCs w:val="21"/>
                <w:highlight w:val="none"/>
                <w:lang w:val="en-US" w:eastAsia="zh-CN"/>
              </w:rPr>
              <w:t>汇总表</w:t>
            </w:r>
          </w:p>
          <w:tbl>
            <w:tblPr>
              <w:tblStyle w:val="31"/>
              <w:tblW w:w="490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52"/>
              <w:gridCol w:w="1004"/>
              <w:gridCol w:w="1558"/>
              <w:gridCol w:w="610"/>
              <w:gridCol w:w="1480"/>
              <w:gridCol w:w="1028"/>
              <w:gridCol w:w="931"/>
              <w:gridCol w:w="695"/>
              <w:gridCol w:w="922"/>
            </w:tblGrid>
            <w:tr w14:paraId="7D0D75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0" w:type="pct"/>
                  <w:vMerge w:val="restart"/>
                  <w:tcBorders>
                    <w:tl2br w:val="nil"/>
                    <w:tr2bl w:val="nil"/>
                  </w:tcBorders>
                  <w:noWrap w:val="0"/>
                  <w:vAlign w:val="center"/>
                </w:tcPr>
                <w:p w14:paraId="7F6F171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578" w:type="pct"/>
                  <w:vMerge w:val="restart"/>
                  <w:tcBorders>
                    <w:tl2br w:val="nil"/>
                    <w:tr2bl w:val="nil"/>
                  </w:tcBorders>
                  <w:noWrap w:val="0"/>
                  <w:vAlign w:val="center"/>
                </w:tcPr>
                <w:p w14:paraId="3A276C5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副产物</w:t>
                  </w:r>
                  <w:r>
                    <w:rPr>
                      <w:rFonts w:hint="default" w:ascii="Times New Roman" w:hAnsi="Times New Roman" w:cs="Times New Roman"/>
                      <w:b/>
                      <w:bCs/>
                      <w:color w:val="auto"/>
                      <w:sz w:val="21"/>
                      <w:szCs w:val="21"/>
                    </w:rPr>
                    <w:t>名称</w:t>
                  </w:r>
                </w:p>
              </w:tc>
              <w:tc>
                <w:tcPr>
                  <w:tcW w:w="897" w:type="pct"/>
                  <w:vMerge w:val="restart"/>
                  <w:tcBorders>
                    <w:tl2br w:val="nil"/>
                    <w:tr2bl w:val="nil"/>
                  </w:tcBorders>
                  <w:noWrap w:val="0"/>
                  <w:vAlign w:val="center"/>
                </w:tcPr>
                <w:p w14:paraId="05BE6CF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rPr>
                    <w:t>产生</w:t>
                  </w:r>
                  <w:r>
                    <w:rPr>
                      <w:rFonts w:hint="default" w:ascii="Times New Roman" w:hAnsi="Times New Roman" w:cs="Times New Roman"/>
                      <w:b/>
                      <w:bCs/>
                      <w:color w:val="auto"/>
                      <w:sz w:val="21"/>
                      <w:szCs w:val="21"/>
                      <w:lang w:val="en-US" w:eastAsia="zh-CN"/>
                    </w:rPr>
                    <w:t>工序</w:t>
                  </w:r>
                </w:p>
              </w:tc>
              <w:tc>
                <w:tcPr>
                  <w:tcW w:w="351" w:type="pct"/>
                  <w:vMerge w:val="restart"/>
                  <w:tcBorders>
                    <w:tl2br w:val="nil"/>
                    <w:tr2bl w:val="nil"/>
                  </w:tcBorders>
                  <w:noWrap w:val="0"/>
                  <w:vAlign w:val="center"/>
                </w:tcPr>
                <w:p w14:paraId="61D84E5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形态</w:t>
                  </w:r>
                </w:p>
              </w:tc>
              <w:tc>
                <w:tcPr>
                  <w:tcW w:w="852" w:type="pct"/>
                  <w:vMerge w:val="restart"/>
                  <w:tcBorders>
                    <w:tl2br w:val="nil"/>
                    <w:tr2bl w:val="nil"/>
                  </w:tcBorders>
                  <w:noWrap w:val="0"/>
                  <w:vAlign w:val="center"/>
                </w:tcPr>
                <w:p w14:paraId="6DDD5B7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主要成分</w:t>
                  </w:r>
                </w:p>
              </w:tc>
              <w:tc>
                <w:tcPr>
                  <w:tcW w:w="592" w:type="pct"/>
                  <w:vMerge w:val="restart"/>
                  <w:tcBorders>
                    <w:tl2br w:val="nil"/>
                    <w:tr2bl w:val="nil"/>
                  </w:tcBorders>
                  <w:noWrap w:val="0"/>
                  <w:vAlign w:val="center"/>
                </w:tcPr>
                <w:p w14:paraId="0AAFE5C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预测</w:t>
                  </w:r>
                  <w:r>
                    <w:rPr>
                      <w:rFonts w:hint="default" w:ascii="Times New Roman" w:hAnsi="Times New Roman" w:cs="Times New Roman"/>
                      <w:b/>
                      <w:bCs/>
                      <w:color w:val="auto"/>
                      <w:sz w:val="21"/>
                      <w:szCs w:val="21"/>
                    </w:rPr>
                    <w:t>产生量（t/a）</w:t>
                  </w:r>
                </w:p>
              </w:tc>
              <w:tc>
                <w:tcPr>
                  <w:tcW w:w="1467" w:type="pct"/>
                  <w:gridSpan w:val="3"/>
                  <w:tcBorders>
                    <w:tl2br w:val="nil"/>
                    <w:tr2bl w:val="nil"/>
                  </w:tcBorders>
                  <w:noWrap w:val="0"/>
                  <w:vAlign w:val="center"/>
                </w:tcPr>
                <w:p w14:paraId="608A672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种类判断</w:t>
                  </w:r>
                </w:p>
              </w:tc>
            </w:tr>
            <w:tr w14:paraId="00C48F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0" w:type="pct"/>
                  <w:vMerge w:val="continue"/>
                  <w:tcBorders>
                    <w:tl2br w:val="nil"/>
                    <w:tr2bl w:val="nil"/>
                  </w:tcBorders>
                  <w:noWrap w:val="0"/>
                  <w:vAlign w:val="center"/>
                </w:tcPr>
                <w:p w14:paraId="3FED7BC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tc>
              <w:tc>
                <w:tcPr>
                  <w:tcW w:w="578" w:type="pct"/>
                  <w:vMerge w:val="continue"/>
                  <w:tcBorders>
                    <w:tl2br w:val="nil"/>
                    <w:tr2bl w:val="nil"/>
                  </w:tcBorders>
                  <w:noWrap w:val="0"/>
                  <w:vAlign w:val="center"/>
                </w:tcPr>
                <w:p w14:paraId="19FC818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lang w:val="en-US" w:eastAsia="zh-CN"/>
                    </w:rPr>
                  </w:pPr>
                </w:p>
              </w:tc>
              <w:tc>
                <w:tcPr>
                  <w:tcW w:w="897" w:type="pct"/>
                  <w:vMerge w:val="continue"/>
                  <w:tcBorders>
                    <w:tl2br w:val="nil"/>
                    <w:tr2bl w:val="nil"/>
                  </w:tcBorders>
                  <w:noWrap w:val="0"/>
                  <w:vAlign w:val="center"/>
                </w:tcPr>
                <w:p w14:paraId="028EC17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tc>
              <w:tc>
                <w:tcPr>
                  <w:tcW w:w="351" w:type="pct"/>
                  <w:vMerge w:val="continue"/>
                  <w:tcBorders>
                    <w:tl2br w:val="nil"/>
                    <w:tr2bl w:val="nil"/>
                  </w:tcBorders>
                  <w:noWrap w:val="0"/>
                  <w:vAlign w:val="center"/>
                </w:tcPr>
                <w:p w14:paraId="71E23C9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tc>
              <w:tc>
                <w:tcPr>
                  <w:tcW w:w="852" w:type="pct"/>
                  <w:vMerge w:val="continue"/>
                  <w:tcBorders>
                    <w:tl2br w:val="nil"/>
                    <w:tr2bl w:val="nil"/>
                  </w:tcBorders>
                  <w:noWrap w:val="0"/>
                  <w:vAlign w:val="center"/>
                </w:tcPr>
                <w:p w14:paraId="2853513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tc>
              <w:tc>
                <w:tcPr>
                  <w:tcW w:w="592" w:type="pct"/>
                  <w:vMerge w:val="continue"/>
                  <w:tcBorders>
                    <w:tl2br w:val="nil"/>
                    <w:tr2bl w:val="nil"/>
                  </w:tcBorders>
                  <w:noWrap w:val="0"/>
                  <w:vAlign w:val="center"/>
                </w:tcPr>
                <w:p w14:paraId="257C2D0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lang w:val="en-US" w:eastAsia="zh-CN"/>
                    </w:rPr>
                  </w:pPr>
                </w:p>
              </w:tc>
              <w:tc>
                <w:tcPr>
                  <w:tcW w:w="536" w:type="pct"/>
                  <w:tcBorders>
                    <w:tl2br w:val="nil"/>
                    <w:tr2bl w:val="nil"/>
                  </w:tcBorders>
                  <w:noWrap w:val="0"/>
                  <w:vAlign w:val="center"/>
                </w:tcPr>
                <w:p w14:paraId="1F600AE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固体废物</w:t>
                  </w:r>
                </w:p>
              </w:tc>
              <w:tc>
                <w:tcPr>
                  <w:tcW w:w="400" w:type="pct"/>
                  <w:tcBorders>
                    <w:tl2br w:val="nil"/>
                    <w:tr2bl w:val="nil"/>
                  </w:tcBorders>
                  <w:noWrap w:val="0"/>
                  <w:vAlign w:val="center"/>
                </w:tcPr>
                <w:p w14:paraId="38F3C87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副产品</w:t>
                  </w:r>
                </w:p>
              </w:tc>
              <w:tc>
                <w:tcPr>
                  <w:tcW w:w="530" w:type="pct"/>
                  <w:tcBorders>
                    <w:tl2br w:val="nil"/>
                    <w:tr2bl w:val="nil"/>
                  </w:tcBorders>
                  <w:noWrap w:val="0"/>
                  <w:vAlign w:val="center"/>
                </w:tcPr>
                <w:p w14:paraId="5AFCC6F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判定依据</w:t>
                  </w:r>
                </w:p>
              </w:tc>
            </w:tr>
            <w:tr w14:paraId="57F332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0" w:type="pct"/>
                  <w:tcBorders>
                    <w:tl2br w:val="nil"/>
                    <w:tr2bl w:val="nil"/>
                  </w:tcBorders>
                  <w:noWrap w:val="0"/>
                  <w:vAlign w:val="center"/>
                </w:tcPr>
                <w:p w14:paraId="0F7615A1">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578" w:type="pct"/>
                  <w:tcBorders>
                    <w:tl2br w:val="nil"/>
                    <w:tr2bl w:val="nil"/>
                  </w:tcBorders>
                  <w:noWrap w:val="0"/>
                  <w:vAlign w:val="center"/>
                </w:tcPr>
                <w:p w14:paraId="58D47E15">
                  <w:pPr>
                    <w:pStyle w:val="6"/>
                    <w:adjustRightInd w:val="0"/>
                    <w:snapToGrid w:val="0"/>
                    <w:ind w:firstLine="0" w:firstLineChars="0"/>
                    <w:jc w:val="center"/>
                    <w:rPr>
                      <w:rFonts w:hint="default" w:ascii="Times New Roman" w:hAnsi="Times New Roman" w:cs="Times New Roman"/>
                      <w:color w:val="auto"/>
                      <w:sz w:val="21"/>
                      <w:szCs w:val="21"/>
                      <w:lang w:val="en-US" w:eastAsia="zh-CN"/>
                    </w:rPr>
                  </w:pPr>
                  <w:r>
                    <w:rPr>
                      <w:rFonts w:hint="eastAsia"/>
                      <w:szCs w:val="21"/>
                    </w:rPr>
                    <w:t>废包装材料</w:t>
                  </w:r>
                </w:p>
              </w:tc>
              <w:tc>
                <w:tcPr>
                  <w:tcW w:w="897" w:type="pct"/>
                  <w:tcBorders>
                    <w:tl2br w:val="nil"/>
                    <w:tr2bl w:val="nil"/>
                  </w:tcBorders>
                  <w:noWrap w:val="0"/>
                  <w:vAlign w:val="center"/>
                </w:tcPr>
                <w:p w14:paraId="65C163C3">
                  <w:pPr>
                    <w:pStyle w:val="6"/>
                    <w:adjustRightInd w:val="0"/>
                    <w:snapToGrid w:val="0"/>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原料包装</w:t>
                  </w:r>
                </w:p>
              </w:tc>
              <w:tc>
                <w:tcPr>
                  <w:tcW w:w="351" w:type="pct"/>
                  <w:tcBorders>
                    <w:tl2br w:val="nil"/>
                    <w:tr2bl w:val="nil"/>
                  </w:tcBorders>
                  <w:noWrap w:val="0"/>
                  <w:vAlign w:val="center"/>
                </w:tcPr>
                <w:p w14:paraId="761ADE70">
                  <w:pPr>
                    <w:pStyle w:val="6"/>
                    <w:adjustRightInd w:val="0"/>
                    <w:snapToGrid w:val="0"/>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固</w:t>
                  </w:r>
                </w:p>
              </w:tc>
              <w:tc>
                <w:tcPr>
                  <w:tcW w:w="852" w:type="pct"/>
                  <w:tcBorders>
                    <w:tl2br w:val="nil"/>
                    <w:tr2bl w:val="nil"/>
                  </w:tcBorders>
                  <w:noWrap w:val="0"/>
                  <w:vAlign w:val="center"/>
                </w:tcPr>
                <w:p w14:paraId="29E727A9">
                  <w:pPr>
                    <w:pStyle w:val="6"/>
                    <w:adjustRightInd w:val="0"/>
                    <w:snapToGrid w:val="0"/>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塑料</w:t>
                  </w:r>
                </w:p>
              </w:tc>
              <w:tc>
                <w:tcPr>
                  <w:tcW w:w="592" w:type="pct"/>
                  <w:tcBorders>
                    <w:tl2br w:val="nil"/>
                    <w:tr2bl w:val="nil"/>
                  </w:tcBorders>
                  <w:noWrap w:val="0"/>
                  <w:vAlign w:val="center"/>
                </w:tcPr>
                <w:p w14:paraId="2D4D9A32">
                  <w:pPr>
                    <w:adjustRightInd w:val="0"/>
                    <w:snapToGrid w:val="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24</w:t>
                  </w:r>
                </w:p>
              </w:tc>
              <w:tc>
                <w:tcPr>
                  <w:tcW w:w="536" w:type="pct"/>
                  <w:tcBorders>
                    <w:tl2br w:val="nil"/>
                    <w:tr2bl w:val="nil"/>
                  </w:tcBorders>
                  <w:noWrap w:val="0"/>
                  <w:vAlign w:val="center"/>
                </w:tcPr>
                <w:p w14:paraId="2F51B92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b/>
                      <w:bCs/>
                      <w:color w:val="auto"/>
                      <w:sz w:val="21"/>
                      <w:szCs w:val="21"/>
                    </w:rPr>
                    <w:t>√</w:t>
                  </w:r>
                </w:p>
              </w:tc>
              <w:tc>
                <w:tcPr>
                  <w:tcW w:w="400" w:type="pct"/>
                  <w:tcBorders>
                    <w:tl2br w:val="nil"/>
                    <w:tr2bl w:val="nil"/>
                  </w:tcBorders>
                  <w:noWrap w:val="0"/>
                  <w:vAlign w:val="center"/>
                </w:tcPr>
                <w:p w14:paraId="4745CFA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530" w:type="pct"/>
                  <w:vMerge w:val="restart"/>
                  <w:tcBorders>
                    <w:tl2br w:val="nil"/>
                    <w:tr2bl w:val="nil"/>
                  </w:tcBorders>
                  <w:noWrap w:val="0"/>
                  <w:vAlign w:val="center"/>
                </w:tcPr>
                <w:p w14:paraId="66C54A1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《固体废物鉴别标准通则》</w:t>
                  </w:r>
                </w:p>
              </w:tc>
            </w:tr>
            <w:tr w14:paraId="61724E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0" w:type="pct"/>
                  <w:tcBorders>
                    <w:tl2br w:val="nil"/>
                    <w:tr2bl w:val="nil"/>
                  </w:tcBorders>
                  <w:noWrap w:val="0"/>
                  <w:vAlign w:val="center"/>
                </w:tcPr>
                <w:p w14:paraId="3D21AB33">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578" w:type="pct"/>
                  <w:tcBorders>
                    <w:tl2br w:val="nil"/>
                    <w:tr2bl w:val="nil"/>
                  </w:tcBorders>
                  <w:noWrap w:val="0"/>
                  <w:vAlign w:val="center"/>
                </w:tcPr>
                <w:p w14:paraId="0F70C9B6">
                  <w:pPr>
                    <w:pStyle w:val="6"/>
                    <w:adjustRightInd w:val="0"/>
                    <w:snapToGrid w:val="0"/>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废活性炭</w:t>
                  </w:r>
                </w:p>
              </w:tc>
              <w:tc>
                <w:tcPr>
                  <w:tcW w:w="897" w:type="pct"/>
                  <w:tcBorders>
                    <w:tl2br w:val="nil"/>
                    <w:tr2bl w:val="nil"/>
                  </w:tcBorders>
                  <w:noWrap w:val="0"/>
                  <w:vAlign w:val="center"/>
                </w:tcPr>
                <w:p w14:paraId="58491C0D">
                  <w:pPr>
                    <w:pStyle w:val="6"/>
                    <w:adjustRightInd w:val="0"/>
                    <w:snapToGrid w:val="0"/>
                    <w:ind w:firstLine="0" w:firstLineChars="0"/>
                    <w:jc w:val="center"/>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废气处理</w:t>
                  </w:r>
                </w:p>
              </w:tc>
              <w:tc>
                <w:tcPr>
                  <w:tcW w:w="351" w:type="pct"/>
                  <w:tcBorders>
                    <w:tl2br w:val="nil"/>
                    <w:tr2bl w:val="nil"/>
                  </w:tcBorders>
                  <w:noWrap w:val="0"/>
                  <w:vAlign w:val="center"/>
                </w:tcPr>
                <w:p w14:paraId="31A2EB5D">
                  <w:pPr>
                    <w:pStyle w:val="6"/>
                    <w:adjustRightInd w:val="0"/>
                    <w:snapToGrid w:val="0"/>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固</w:t>
                  </w:r>
                </w:p>
              </w:tc>
              <w:tc>
                <w:tcPr>
                  <w:tcW w:w="852" w:type="pct"/>
                  <w:tcBorders>
                    <w:tl2br w:val="nil"/>
                    <w:tr2bl w:val="nil"/>
                  </w:tcBorders>
                  <w:noWrap w:val="0"/>
                  <w:vAlign w:val="center"/>
                </w:tcPr>
                <w:p w14:paraId="24ECAA1C">
                  <w:pPr>
                    <w:pStyle w:val="6"/>
                    <w:adjustRightInd w:val="0"/>
                    <w:snapToGrid w:val="0"/>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废活性炭</w:t>
                  </w:r>
                </w:p>
              </w:tc>
              <w:tc>
                <w:tcPr>
                  <w:tcW w:w="592" w:type="pct"/>
                  <w:tcBorders>
                    <w:tl2br w:val="nil"/>
                    <w:tr2bl w:val="nil"/>
                  </w:tcBorders>
                  <w:noWrap w:val="0"/>
                  <w:vAlign w:val="center"/>
                </w:tcPr>
                <w:p w14:paraId="0E4C1D41">
                  <w:pPr>
                    <w:adjustRightInd w:val="0"/>
                    <w:snapToGrid w:val="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13.427</w:t>
                  </w:r>
                </w:p>
              </w:tc>
              <w:tc>
                <w:tcPr>
                  <w:tcW w:w="536" w:type="pct"/>
                  <w:tcBorders>
                    <w:tl2br w:val="nil"/>
                    <w:tr2bl w:val="nil"/>
                  </w:tcBorders>
                  <w:noWrap w:val="0"/>
                  <w:vAlign w:val="center"/>
                </w:tcPr>
                <w:p w14:paraId="65FA564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400" w:type="pct"/>
                  <w:tcBorders>
                    <w:tl2br w:val="nil"/>
                    <w:tr2bl w:val="nil"/>
                  </w:tcBorders>
                  <w:noWrap w:val="0"/>
                  <w:vAlign w:val="center"/>
                </w:tcPr>
                <w:p w14:paraId="591D5A6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30" w:type="pct"/>
                  <w:vMerge w:val="continue"/>
                  <w:tcBorders>
                    <w:tl2br w:val="nil"/>
                    <w:tr2bl w:val="nil"/>
                  </w:tcBorders>
                  <w:noWrap w:val="0"/>
                  <w:vAlign w:val="center"/>
                </w:tcPr>
                <w:p w14:paraId="7B6574C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r>
            <w:tr w14:paraId="623CE0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0" w:type="pct"/>
                  <w:tcBorders>
                    <w:tl2br w:val="nil"/>
                    <w:tr2bl w:val="nil"/>
                  </w:tcBorders>
                  <w:noWrap w:val="0"/>
                  <w:vAlign w:val="center"/>
                </w:tcPr>
                <w:p w14:paraId="00C74638">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w:t>
                  </w:r>
                </w:p>
              </w:tc>
              <w:tc>
                <w:tcPr>
                  <w:tcW w:w="578" w:type="pct"/>
                  <w:tcBorders>
                    <w:tl2br w:val="nil"/>
                    <w:tr2bl w:val="nil"/>
                  </w:tcBorders>
                  <w:noWrap w:val="0"/>
                  <w:vAlign w:val="center"/>
                </w:tcPr>
                <w:p w14:paraId="2636AE32">
                  <w:pPr>
                    <w:pStyle w:val="6"/>
                    <w:adjustRightInd w:val="0"/>
                    <w:snapToGrid w:val="0"/>
                    <w:ind w:firstLine="0" w:firstLineChars="0"/>
                    <w:jc w:val="center"/>
                    <w:rPr>
                      <w:rFonts w:hint="eastAsia" w:ascii="Times New Roman" w:hAnsi="Times New Roman" w:cs="Times New Roman"/>
                      <w:color w:val="auto"/>
                      <w:sz w:val="21"/>
                      <w:szCs w:val="21"/>
                      <w:lang w:val="en-US" w:eastAsia="zh-CN"/>
                    </w:rPr>
                  </w:pPr>
                  <w:r>
                    <w:rPr>
                      <w:rFonts w:hint="eastAsia" w:cs="Times New Roman"/>
                      <w:b w:val="0"/>
                      <w:bCs w:val="0"/>
                      <w:color w:val="auto"/>
                      <w:kern w:val="2"/>
                      <w:sz w:val="21"/>
                      <w:szCs w:val="21"/>
                      <w:lang w:val="en-US" w:eastAsia="zh-CN" w:bidi="ar-SA"/>
                    </w:rPr>
                    <w:t>废机油</w:t>
                  </w:r>
                </w:p>
              </w:tc>
              <w:tc>
                <w:tcPr>
                  <w:tcW w:w="897" w:type="pct"/>
                  <w:tcBorders>
                    <w:tl2br w:val="nil"/>
                    <w:tr2bl w:val="nil"/>
                  </w:tcBorders>
                  <w:noWrap w:val="0"/>
                  <w:vAlign w:val="center"/>
                </w:tcPr>
                <w:p w14:paraId="10DC9E88">
                  <w:pPr>
                    <w:adjustRightInd w:val="0"/>
                    <w:snapToGrid w:val="0"/>
                    <w:jc w:val="center"/>
                    <w:rPr>
                      <w:rFonts w:hint="default" w:ascii="Times New Roman" w:hAnsi="Times New Roman" w:cs="Times New Roman"/>
                      <w:color w:val="auto"/>
                      <w:sz w:val="21"/>
                      <w:szCs w:val="21"/>
                      <w:lang w:val="en-US" w:eastAsia="zh-CN"/>
                    </w:rPr>
                  </w:pPr>
                  <w:r>
                    <w:rPr>
                      <w:rFonts w:hint="eastAsia"/>
                      <w:color w:val="auto"/>
                    </w:rPr>
                    <w:t>设备保养</w:t>
                  </w:r>
                </w:p>
              </w:tc>
              <w:tc>
                <w:tcPr>
                  <w:tcW w:w="351" w:type="pct"/>
                  <w:tcBorders>
                    <w:tl2br w:val="nil"/>
                    <w:tr2bl w:val="nil"/>
                  </w:tcBorders>
                  <w:noWrap w:val="0"/>
                  <w:vAlign w:val="center"/>
                </w:tcPr>
                <w:p w14:paraId="59FBED66">
                  <w:pPr>
                    <w:adjustRightInd w:val="0"/>
                    <w:snapToGrid w:val="0"/>
                    <w:jc w:val="center"/>
                    <w:rPr>
                      <w:rFonts w:hint="default" w:ascii="Times New Roman" w:hAnsi="Times New Roman" w:cs="Times New Roman"/>
                      <w:color w:val="auto"/>
                      <w:sz w:val="21"/>
                      <w:szCs w:val="21"/>
                      <w:lang w:val="en-US" w:eastAsia="zh-CN"/>
                    </w:rPr>
                  </w:pPr>
                  <w:r>
                    <w:rPr>
                      <w:rFonts w:hint="eastAsia"/>
                      <w:color w:val="auto"/>
                    </w:rPr>
                    <w:t>液</w:t>
                  </w:r>
                </w:p>
              </w:tc>
              <w:tc>
                <w:tcPr>
                  <w:tcW w:w="852" w:type="pct"/>
                  <w:tcBorders>
                    <w:tl2br w:val="nil"/>
                    <w:tr2bl w:val="nil"/>
                  </w:tcBorders>
                  <w:noWrap w:val="0"/>
                  <w:vAlign w:val="center"/>
                </w:tcPr>
                <w:p w14:paraId="2056DF3E">
                  <w:pPr>
                    <w:adjustRightInd w:val="0"/>
                    <w:snapToGrid w:val="0"/>
                    <w:jc w:val="center"/>
                    <w:rPr>
                      <w:rFonts w:hint="eastAsia" w:ascii="Times New Roman" w:hAnsi="Times New Roman" w:cs="Times New Roman"/>
                      <w:color w:val="auto"/>
                      <w:sz w:val="21"/>
                      <w:szCs w:val="21"/>
                      <w:lang w:val="en-US" w:eastAsia="zh-CN"/>
                    </w:rPr>
                  </w:pPr>
                  <w:r>
                    <w:rPr>
                      <w:rFonts w:hint="eastAsia"/>
                      <w:color w:val="auto"/>
                    </w:rPr>
                    <w:t>矿物油</w:t>
                  </w:r>
                </w:p>
              </w:tc>
              <w:tc>
                <w:tcPr>
                  <w:tcW w:w="592" w:type="pct"/>
                  <w:tcBorders>
                    <w:tl2br w:val="nil"/>
                    <w:tr2bl w:val="nil"/>
                  </w:tcBorders>
                  <w:noWrap w:val="0"/>
                  <w:vAlign w:val="center"/>
                </w:tcPr>
                <w:p w14:paraId="35CFCE35">
                  <w:pPr>
                    <w:adjustRightInd w:val="0"/>
                    <w:snapToGrid w:val="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0.2</w:t>
                  </w:r>
                </w:p>
              </w:tc>
              <w:tc>
                <w:tcPr>
                  <w:tcW w:w="536" w:type="pct"/>
                  <w:tcBorders>
                    <w:tl2br w:val="nil"/>
                    <w:tr2bl w:val="nil"/>
                  </w:tcBorders>
                  <w:noWrap w:val="0"/>
                  <w:vAlign w:val="center"/>
                </w:tcPr>
                <w:p w14:paraId="370319D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400" w:type="pct"/>
                  <w:tcBorders>
                    <w:tl2br w:val="nil"/>
                    <w:tr2bl w:val="nil"/>
                  </w:tcBorders>
                  <w:noWrap w:val="0"/>
                  <w:vAlign w:val="center"/>
                </w:tcPr>
                <w:p w14:paraId="6530CD4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30" w:type="pct"/>
                  <w:vMerge w:val="continue"/>
                  <w:tcBorders>
                    <w:tl2br w:val="nil"/>
                    <w:tr2bl w:val="nil"/>
                  </w:tcBorders>
                  <w:noWrap w:val="0"/>
                  <w:vAlign w:val="center"/>
                </w:tcPr>
                <w:p w14:paraId="207F863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r>
            <w:tr w14:paraId="37A212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0" w:type="pct"/>
                  <w:tcBorders>
                    <w:tl2br w:val="nil"/>
                    <w:tr2bl w:val="nil"/>
                  </w:tcBorders>
                  <w:noWrap w:val="0"/>
                  <w:vAlign w:val="center"/>
                </w:tcPr>
                <w:p w14:paraId="0E74E411">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4</w:t>
                  </w:r>
                </w:p>
              </w:tc>
              <w:tc>
                <w:tcPr>
                  <w:tcW w:w="578" w:type="pct"/>
                  <w:tcBorders>
                    <w:tl2br w:val="nil"/>
                    <w:tr2bl w:val="nil"/>
                  </w:tcBorders>
                  <w:noWrap w:val="0"/>
                  <w:vAlign w:val="center"/>
                </w:tcPr>
                <w:p w14:paraId="3A202D5B">
                  <w:pPr>
                    <w:pStyle w:val="6"/>
                    <w:adjustRightInd w:val="0"/>
                    <w:snapToGrid w:val="0"/>
                    <w:ind w:firstLine="0" w:firstLineChars="0"/>
                    <w:jc w:val="center"/>
                    <w:rPr>
                      <w:rFonts w:hint="default" w:ascii="Times New Roman" w:hAnsi="Times New Roman" w:cs="Times New Roman"/>
                      <w:color w:val="FF0000"/>
                      <w:sz w:val="21"/>
                      <w:szCs w:val="21"/>
                      <w:lang w:val="en-US" w:eastAsia="zh-CN"/>
                    </w:rPr>
                  </w:pPr>
                  <w:r>
                    <w:rPr>
                      <w:rFonts w:hint="eastAsia" w:ascii="Times New Roman" w:hAnsi="Times New Roman" w:cs="Times New Roman"/>
                      <w:color w:val="auto"/>
                      <w:sz w:val="21"/>
                      <w:szCs w:val="21"/>
                      <w:lang w:val="en-US" w:eastAsia="zh-CN"/>
                    </w:rPr>
                    <w:t>废油桶</w:t>
                  </w:r>
                </w:p>
              </w:tc>
              <w:tc>
                <w:tcPr>
                  <w:tcW w:w="897" w:type="pct"/>
                  <w:tcBorders>
                    <w:tl2br w:val="nil"/>
                    <w:tr2bl w:val="nil"/>
                  </w:tcBorders>
                  <w:noWrap w:val="0"/>
                  <w:vAlign w:val="center"/>
                </w:tcPr>
                <w:p w14:paraId="0EC1A79C">
                  <w:pPr>
                    <w:pStyle w:val="6"/>
                    <w:adjustRightInd w:val="0"/>
                    <w:snapToGrid w:val="0"/>
                    <w:ind w:firstLine="0" w:firstLineChars="0"/>
                    <w:jc w:val="center"/>
                    <w:rPr>
                      <w:rFonts w:hint="default" w:ascii="Times New Roman" w:hAnsi="Times New Roman" w:cs="Times New Roman"/>
                      <w:color w:val="FF0000"/>
                      <w:sz w:val="21"/>
                      <w:szCs w:val="21"/>
                      <w:lang w:val="en-US" w:eastAsia="zh-CN"/>
                    </w:rPr>
                  </w:pPr>
                  <w:r>
                    <w:rPr>
                      <w:rFonts w:hint="eastAsia" w:ascii="Times New Roman" w:hAnsi="Times New Roman" w:cs="Times New Roman"/>
                      <w:color w:val="auto"/>
                      <w:sz w:val="21"/>
                      <w:szCs w:val="21"/>
                      <w:lang w:val="en-US" w:eastAsia="zh-CN"/>
                    </w:rPr>
                    <w:t>机油包装</w:t>
                  </w:r>
                </w:p>
              </w:tc>
              <w:tc>
                <w:tcPr>
                  <w:tcW w:w="351" w:type="pct"/>
                  <w:tcBorders>
                    <w:tl2br w:val="nil"/>
                    <w:tr2bl w:val="nil"/>
                  </w:tcBorders>
                  <w:noWrap w:val="0"/>
                  <w:vAlign w:val="center"/>
                </w:tcPr>
                <w:p w14:paraId="773EC6FB">
                  <w:pPr>
                    <w:pStyle w:val="6"/>
                    <w:adjustRightInd w:val="0"/>
                    <w:snapToGrid w:val="0"/>
                    <w:ind w:firstLine="0" w:firstLineChars="0"/>
                    <w:jc w:val="center"/>
                    <w:rPr>
                      <w:rFonts w:hint="default" w:ascii="Times New Roman" w:hAnsi="Times New Roman" w:cs="Times New Roman"/>
                      <w:color w:val="FF0000"/>
                      <w:sz w:val="21"/>
                      <w:szCs w:val="21"/>
                      <w:lang w:val="en-US" w:eastAsia="zh-CN"/>
                    </w:rPr>
                  </w:pPr>
                  <w:r>
                    <w:rPr>
                      <w:rFonts w:hint="default" w:ascii="Times New Roman" w:hAnsi="Times New Roman" w:cs="Times New Roman"/>
                      <w:color w:val="auto"/>
                      <w:sz w:val="21"/>
                      <w:szCs w:val="21"/>
                      <w:lang w:val="en-US" w:eastAsia="zh-CN"/>
                    </w:rPr>
                    <w:t>液</w:t>
                  </w:r>
                </w:p>
              </w:tc>
              <w:tc>
                <w:tcPr>
                  <w:tcW w:w="852" w:type="pct"/>
                  <w:tcBorders>
                    <w:tl2br w:val="nil"/>
                    <w:tr2bl w:val="nil"/>
                  </w:tcBorders>
                  <w:noWrap w:val="0"/>
                  <w:vAlign w:val="center"/>
                </w:tcPr>
                <w:p w14:paraId="17A57A1F">
                  <w:pPr>
                    <w:pStyle w:val="6"/>
                    <w:adjustRightInd w:val="0"/>
                    <w:snapToGrid w:val="0"/>
                    <w:ind w:firstLine="0" w:firstLineChars="0"/>
                    <w:jc w:val="center"/>
                    <w:rPr>
                      <w:rFonts w:hint="default" w:ascii="Times New Roman" w:hAnsi="Times New Roman" w:cs="Times New Roman"/>
                      <w:color w:val="FF0000"/>
                      <w:sz w:val="21"/>
                      <w:szCs w:val="21"/>
                      <w:lang w:val="en-US" w:eastAsia="zh-CN"/>
                    </w:rPr>
                  </w:pPr>
                  <w:r>
                    <w:rPr>
                      <w:rFonts w:hint="eastAsia" w:ascii="Times New Roman" w:hAnsi="Times New Roman" w:cs="Times New Roman"/>
                      <w:color w:val="auto"/>
                      <w:sz w:val="21"/>
                      <w:szCs w:val="21"/>
                      <w:lang w:val="en-US" w:eastAsia="zh-CN"/>
                    </w:rPr>
                    <w:t>矿物油、铁等</w:t>
                  </w:r>
                </w:p>
              </w:tc>
              <w:tc>
                <w:tcPr>
                  <w:tcW w:w="592" w:type="pct"/>
                  <w:tcBorders>
                    <w:tl2br w:val="nil"/>
                    <w:tr2bl w:val="nil"/>
                  </w:tcBorders>
                  <w:noWrap w:val="0"/>
                  <w:vAlign w:val="center"/>
                </w:tcPr>
                <w:p w14:paraId="63F71650">
                  <w:pPr>
                    <w:adjustRightInd w:val="0"/>
                    <w:snapToGrid w:val="0"/>
                    <w:jc w:val="center"/>
                    <w:rPr>
                      <w:rFonts w:hint="default" w:ascii="Times New Roman" w:hAnsi="Times New Roman" w:cs="Times New Roman"/>
                      <w:bCs/>
                      <w:color w:val="FF0000"/>
                      <w:kern w:val="2"/>
                      <w:sz w:val="21"/>
                      <w:szCs w:val="21"/>
                      <w:lang w:val="en-US" w:eastAsia="zh-CN" w:bidi="ar-SA"/>
                    </w:rPr>
                  </w:pPr>
                  <w:r>
                    <w:rPr>
                      <w:rFonts w:hint="eastAsia" w:cs="Times New Roman"/>
                      <w:b w:val="0"/>
                      <w:bCs w:val="0"/>
                      <w:color w:val="auto"/>
                      <w:kern w:val="2"/>
                      <w:sz w:val="21"/>
                      <w:szCs w:val="21"/>
                      <w:lang w:val="en-US" w:eastAsia="zh-CN" w:bidi="ar-SA"/>
                    </w:rPr>
                    <w:t>0.02</w:t>
                  </w:r>
                </w:p>
              </w:tc>
              <w:tc>
                <w:tcPr>
                  <w:tcW w:w="536" w:type="pct"/>
                  <w:tcBorders>
                    <w:tl2br w:val="nil"/>
                    <w:tr2bl w:val="nil"/>
                  </w:tcBorders>
                  <w:noWrap w:val="0"/>
                  <w:vAlign w:val="center"/>
                </w:tcPr>
                <w:p w14:paraId="0E65C95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400" w:type="pct"/>
                  <w:tcBorders>
                    <w:tl2br w:val="nil"/>
                    <w:tr2bl w:val="nil"/>
                  </w:tcBorders>
                  <w:noWrap w:val="0"/>
                  <w:vAlign w:val="center"/>
                </w:tcPr>
                <w:p w14:paraId="22C3188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30" w:type="pct"/>
                  <w:vMerge w:val="continue"/>
                  <w:tcBorders>
                    <w:tl2br w:val="nil"/>
                    <w:tr2bl w:val="nil"/>
                  </w:tcBorders>
                  <w:noWrap w:val="0"/>
                  <w:vAlign w:val="center"/>
                </w:tcPr>
                <w:p w14:paraId="24BBC64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r>
            <w:tr w14:paraId="1216D9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0" w:type="pct"/>
                  <w:tcBorders>
                    <w:tl2br w:val="nil"/>
                    <w:tr2bl w:val="nil"/>
                  </w:tcBorders>
                  <w:noWrap w:val="0"/>
                  <w:vAlign w:val="center"/>
                </w:tcPr>
                <w:p w14:paraId="0D1D6409">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578" w:type="pct"/>
                  <w:tcBorders>
                    <w:tl2br w:val="nil"/>
                    <w:tr2bl w:val="nil"/>
                  </w:tcBorders>
                  <w:noWrap w:val="0"/>
                  <w:vAlign w:val="center"/>
                </w:tcPr>
                <w:p w14:paraId="16F7BAB0">
                  <w:pPr>
                    <w:adjustRightInd w:val="0"/>
                    <w:snapToGrid w:val="0"/>
                    <w:jc w:val="center"/>
                    <w:rPr>
                      <w:rFonts w:hint="default" w:ascii="Times New Roman" w:hAnsi="Times New Roman" w:cs="Times New Roman"/>
                      <w:color w:val="auto"/>
                      <w:sz w:val="21"/>
                      <w:szCs w:val="21"/>
                      <w:lang w:val="en-US" w:eastAsia="zh-CN"/>
                    </w:rPr>
                  </w:pPr>
                  <w:r>
                    <w:rPr>
                      <w:rFonts w:hint="eastAsia"/>
                      <w:color w:val="auto"/>
                      <w:szCs w:val="21"/>
                      <w:lang w:eastAsia="zh-CN"/>
                    </w:rPr>
                    <w:t>废含油抹布手套</w:t>
                  </w:r>
                </w:p>
              </w:tc>
              <w:tc>
                <w:tcPr>
                  <w:tcW w:w="897" w:type="pct"/>
                  <w:tcBorders>
                    <w:tl2br w:val="nil"/>
                    <w:tr2bl w:val="nil"/>
                  </w:tcBorders>
                  <w:noWrap w:val="0"/>
                  <w:vAlign w:val="center"/>
                </w:tcPr>
                <w:p w14:paraId="62B9DCCD">
                  <w:pPr>
                    <w:adjustRightInd w:val="0"/>
                    <w:snapToGrid w:val="0"/>
                    <w:jc w:val="center"/>
                    <w:rPr>
                      <w:rFonts w:hint="eastAsia" w:ascii="Times New Roman" w:hAnsi="Times New Roman" w:cs="Times New Roman"/>
                      <w:color w:val="auto"/>
                      <w:sz w:val="21"/>
                      <w:szCs w:val="21"/>
                      <w:lang w:val="en-US" w:eastAsia="zh-CN"/>
                    </w:rPr>
                  </w:pPr>
                  <w:r>
                    <w:rPr>
                      <w:rFonts w:hint="eastAsia"/>
                      <w:color w:val="auto"/>
                    </w:rPr>
                    <w:t>设备保养</w:t>
                  </w:r>
                </w:p>
              </w:tc>
              <w:tc>
                <w:tcPr>
                  <w:tcW w:w="351" w:type="pct"/>
                  <w:tcBorders>
                    <w:tl2br w:val="nil"/>
                    <w:tr2bl w:val="nil"/>
                  </w:tcBorders>
                  <w:noWrap w:val="0"/>
                  <w:vAlign w:val="center"/>
                </w:tcPr>
                <w:p w14:paraId="0A12EE11">
                  <w:pPr>
                    <w:adjustRightInd w:val="0"/>
                    <w:snapToGrid w:val="0"/>
                    <w:jc w:val="center"/>
                    <w:rPr>
                      <w:rFonts w:hint="default" w:ascii="Times New Roman" w:hAnsi="Times New Roman" w:cs="Times New Roman"/>
                      <w:color w:val="auto"/>
                      <w:sz w:val="21"/>
                      <w:szCs w:val="21"/>
                      <w:lang w:val="en-US" w:eastAsia="zh-CN"/>
                    </w:rPr>
                  </w:pPr>
                  <w:r>
                    <w:rPr>
                      <w:color w:val="auto"/>
                    </w:rPr>
                    <w:t>固</w:t>
                  </w:r>
                </w:p>
              </w:tc>
              <w:tc>
                <w:tcPr>
                  <w:tcW w:w="852" w:type="pct"/>
                  <w:tcBorders>
                    <w:tl2br w:val="nil"/>
                    <w:tr2bl w:val="nil"/>
                  </w:tcBorders>
                  <w:noWrap w:val="0"/>
                  <w:vAlign w:val="center"/>
                </w:tcPr>
                <w:p w14:paraId="33C82376">
                  <w:pPr>
                    <w:adjustRightInd w:val="0"/>
                    <w:snapToGrid w:val="0"/>
                    <w:jc w:val="center"/>
                    <w:rPr>
                      <w:rFonts w:hint="eastAsia" w:ascii="Times New Roman" w:hAnsi="Times New Roman" w:cs="Times New Roman"/>
                      <w:color w:val="auto"/>
                      <w:sz w:val="21"/>
                      <w:szCs w:val="21"/>
                      <w:lang w:val="en-US" w:eastAsia="zh-CN"/>
                    </w:rPr>
                  </w:pPr>
                  <w:r>
                    <w:rPr>
                      <w:rFonts w:hint="eastAsia"/>
                      <w:color w:val="auto"/>
                    </w:rPr>
                    <w:t>布、有机物</w:t>
                  </w:r>
                </w:p>
              </w:tc>
              <w:tc>
                <w:tcPr>
                  <w:tcW w:w="592" w:type="pct"/>
                  <w:tcBorders>
                    <w:tl2br w:val="nil"/>
                    <w:tr2bl w:val="nil"/>
                  </w:tcBorders>
                  <w:noWrap w:val="0"/>
                  <w:vAlign w:val="center"/>
                </w:tcPr>
                <w:p w14:paraId="648501EE">
                  <w:pPr>
                    <w:adjustRightInd w:val="0"/>
                    <w:snapToGrid w:val="0"/>
                    <w:jc w:val="center"/>
                    <w:rPr>
                      <w:rFonts w:hint="default" w:ascii="Times New Roman" w:hAnsi="Times New Roman" w:cs="Times New Roman"/>
                      <w:bCs/>
                      <w:color w:val="auto"/>
                      <w:kern w:val="2"/>
                      <w:sz w:val="21"/>
                      <w:szCs w:val="21"/>
                      <w:lang w:val="en-US" w:eastAsia="zh-CN" w:bidi="ar-SA"/>
                    </w:rPr>
                  </w:pPr>
                  <w:r>
                    <w:rPr>
                      <w:rFonts w:hint="eastAsia"/>
                      <w:color w:val="auto"/>
                      <w:lang w:val="en-US" w:eastAsia="zh-CN"/>
                    </w:rPr>
                    <w:t>0.05</w:t>
                  </w:r>
                </w:p>
              </w:tc>
              <w:tc>
                <w:tcPr>
                  <w:tcW w:w="536" w:type="pct"/>
                  <w:tcBorders>
                    <w:tl2br w:val="nil"/>
                    <w:tr2bl w:val="nil"/>
                  </w:tcBorders>
                  <w:noWrap w:val="0"/>
                  <w:vAlign w:val="center"/>
                </w:tcPr>
                <w:p w14:paraId="7FA3C78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400" w:type="pct"/>
                  <w:tcBorders>
                    <w:tl2br w:val="nil"/>
                    <w:tr2bl w:val="nil"/>
                  </w:tcBorders>
                  <w:noWrap w:val="0"/>
                  <w:vAlign w:val="center"/>
                </w:tcPr>
                <w:p w14:paraId="7580B20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530" w:type="pct"/>
                  <w:vMerge w:val="continue"/>
                  <w:tcBorders>
                    <w:tl2br w:val="nil"/>
                    <w:tr2bl w:val="nil"/>
                  </w:tcBorders>
                  <w:noWrap w:val="0"/>
                  <w:vAlign w:val="center"/>
                </w:tcPr>
                <w:p w14:paraId="4FDA566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rPr>
                  </w:pPr>
                </w:p>
              </w:tc>
            </w:tr>
          </w:tbl>
          <w:p w14:paraId="4AE06485">
            <w:pPr>
              <w:adjustRightInd w:val="0"/>
              <w:snapToGrid w:val="0"/>
              <w:spacing w:line="500" w:lineRule="exact"/>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按照《建设项目危险废物环境影响评价指南》（环保部公告</w:t>
            </w:r>
            <w:r>
              <w:rPr>
                <w:rFonts w:hint="eastAsia" w:cs="Times New Roman"/>
                <w:color w:val="auto"/>
                <w:sz w:val="21"/>
                <w:szCs w:val="21"/>
                <w:lang w:eastAsia="zh-CN"/>
              </w:rPr>
              <w:t>〔2017〕43号</w:t>
            </w:r>
            <w:r>
              <w:rPr>
                <w:rFonts w:hint="default" w:ascii="Times New Roman" w:hAnsi="Times New Roman" w:cs="Times New Roman"/>
                <w:color w:val="auto"/>
                <w:sz w:val="21"/>
                <w:szCs w:val="21"/>
              </w:rPr>
              <w:t>）要求，本项目营运期产生的固体废物的名称、类别、属性和数量等情况见</w:t>
            </w:r>
            <w:r>
              <w:rPr>
                <w:rFonts w:hint="default" w:ascii="Times New Roman" w:hAnsi="Times New Roman" w:cs="Times New Roman"/>
                <w:color w:val="auto"/>
                <w:sz w:val="21"/>
                <w:szCs w:val="21"/>
                <w:lang w:val="en-US" w:eastAsia="zh-CN"/>
              </w:rPr>
              <w:t>下</w:t>
            </w:r>
            <w:r>
              <w:rPr>
                <w:rFonts w:hint="default" w:ascii="Times New Roman" w:hAnsi="Times New Roman" w:cs="Times New Roman"/>
                <w:color w:val="auto"/>
                <w:sz w:val="21"/>
                <w:szCs w:val="21"/>
              </w:rPr>
              <w:t>表。</w:t>
            </w:r>
          </w:p>
          <w:p w14:paraId="145E2B04">
            <w:pPr>
              <w:pStyle w:val="63"/>
              <w:keepNext w:val="0"/>
              <w:keepLines w:val="0"/>
              <w:pageBreakBefore w:val="0"/>
              <w:widowControl w:val="0"/>
              <w:tabs>
                <w:tab w:val="left" w:pos="3240"/>
              </w:tabs>
              <w:kinsoku/>
              <w:wordWrap/>
              <w:overflowPunct/>
              <w:topLinePunct w:val="0"/>
              <w:autoSpaceDE/>
              <w:autoSpaceDN/>
              <w:bidi w:val="0"/>
              <w:adjustRightInd w:val="0"/>
              <w:snapToGrid w:val="0"/>
              <w:spacing w:line="500" w:lineRule="atLeast"/>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表4-</w:t>
            </w:r>
            <w:r>
              <w:rPr>
                <w:rFonts w:hint="eastAsia" w:ascii="Times New Roman" w:hAnsi="Times New Roman" w:cs="Times New Roman"/>
                <w:b/>
                <w:color w:val="auto"/>
                <w:sz w:val="21"/>
                <w:szCs w:val="21"/>
                <w:highlight w:val="none"/>
                <w:lang w:val="en-US" w:eastAsia="zh-CN"/>
              </w:rPr>
              <w:t>16 本项目</w:t>
            </w:r>
            <w:r>
              <w:rPr>
                <w:rFonts w:hint="default" w:ascii="Times New Roman" w:hAnsi="Times New Roman" w:eastAsia="宋体" w:cs="Times New Roman"/>
                <w:b/>
                <w:color w:val="auto"/>
                <w:sz w:val="21"/>
                <w:szCs w:val="21"/>
                <w:highlight w:val="none"/>
                <w:lang w:val="en-US" w:eastAsia="zh-CN"/>
              </w:rPr>
              <w:t>固废产生情况</w:t>
            </w:r>
          </w:p>
          <w:tbl>
            <w:tblPr>
              <w:tblStyle w:val="31"/>
              <w:tblW w:w="4954"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46"/>
              <w:gridCol w:w="981"/>
              <w:gridCol w:w="625"/>
              <w:gridCol w:w="855"/>
              <w:gridCol w:w="556"/>
              <w:gridCol w:w="923"/>
              <w:gridCol w:w="1137"/>
              <w:gridCol w:w="584"/>
              <w:gridCol w:w="718"/>
              <w:gridCol w:w="1211"/>
              <w:gridCol w:w="827"/>
            </w:tblGrid>
            <w:tr w14:paraId="213D69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29" w:hRule="atLeast"/>
                <w:jc w:val="center"/>
              </w:trPr>
              <w:tc>
                <w:tcPr>
                  <w:tcW w:w="197" w:type="pct"/>
                  <w:vAlign w:val="center"/>
                </w:tcPr>
                <w:p w14:paraId="5946F895">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559" w:type="pct"/>
                  <w:vAlign w:val="center"/>
                </w:tcPr>
                <w:p w14:paraId="6CC9D8CA">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固废名称</w:t>
                  </w:r>
                </w:p>
              </w:tc>
              <w:tc>
                <w:tcPr>
                  <w:tcW w:w="356" w:type="pct"/>
                  <w:tcBorders>
                    <w:bottom w:val="single" w:color="auto" w:sz="4" w:space="0"/>
                  </w:tcBorders>
                  <w:vAlign w:val="center"/>
                </w:tcPr>
                <w:p w14:paraId="1152BA37">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属性</w:t>
                  </w:r>
                </w:p>
              </w:tc>
              <w:tc>
                <w:tcPr>
                  <w:tcW w:w="487" w:type="pct"/>
                  <w:vAlign w:val="center"/>
                </w:tcPr>
                <w:p w14:paraId="37180332">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产生来源</w:t>
                  </w:r>
                </w:p>
              </w:tc>
              <w:tc>
                <w:tcPr>
                  <w:tcW w:w="317" w:type="pct"/>
                  <w:vAlign w:val="center"/>
                </w:tcPr>
                <w:p w14:paraId="5AFE908A">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形态</w:t>
                  </w:r>
                </w:p>
              </w:tc>
              <w:tc>
                <w:tcPr>
                  <w:tcW w:w="526" w:type="pct"/>
                  <w:vAlign w:val="center"/>
                </w:tcPr>
                <w:p w14:paraId="0EE2E8C5">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主要成分</w:t>
                  </w:r>
                </w:p>
              </w:tc>
              <w:tc>
                <w:tcPr>
                  <w:tcW w:w="648" w:type="pct"/>
                  <w:vAlign w:val="center"/>
                </w:tcPr>
                <w:p w14:paraId="70CAD6A7">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危险特性鉴别方法</w:t>
                  </w:r>
                </w:p>
              </w:tc>
              <w:tc>
                <w:tcPr>
                  <w:tcW w:w="333" w:type="pct"/>
                  <w:vAlign w:val="center"/>
                </w:tcPr>
                <w:p w14:paraId="78D9E114">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废物特性</w:t>
                  </w:r>
                </w:p>
              </w:tc>
              <w:tc>
                <w:tcPr>
                  <w:tcW w:w="409" w:type="pct"/>
                  <w:vAlign w:val="center"/>
                </w:tcPr>
                <w:p w14:paraId="7633F772">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废物类别</w:t>
                  </w:r>
                </w:p>
              </w:tc>
              <w:tc>
                <w:tcPr>
                  <w:tcW w:w="690" w:type="pct"/>
                  <w:vAlign w:val="center"/>
                </w:tcPr>
                <w:p w14:paraId="32AFE8B0">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废物代码</w:t>
                  </w:r>
                </w:p>
              </w:tc>
              <w:tc>
                <w:tcPr>
                  <w:tcW w:w="471" w:type="pct"/>
                  <w:vAlign w:val="center"/>
                </w:tcPr>
                <w:p w14:paraId="469F249C">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估算产生量（t/a）</w:t>
                  </w:r>
                </w:p>
              </w:tc>
            </w:tr>
            <w:tr w14:paraId="721246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7" w:type="pct"/>
                  <w:vAlign w:val="center"/>
                </w:tcPr>
                <w:p w14:paraId="6DD12AE0">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559" w:type="pct"/>
                  <w:vAlign w:val="center"/>
                </w:tcPr>
                <w:p w14:paraId="0CD36B7F">
                  <w:pPr>
                    <w:pStyle w:val="6"/>
                    <w:adjustRightInd w:val="0"/>
                    <w:snapToGrid w:val="0"/>
                    <w:ind w:firstLine="0" w:firstLineChars="0"/>
                    <w:jc w:val="center"/>
                    <w:rPr>
                      <w:rFonts w:hint="default" w:ascii="Times New Roman" w:hAnsi="Times New Roman" w:cs="Times New Roman"/>
                      <w:color w:val="auto"/>
                      <w:sz w:val="21"/>
                      <w:szCs w:val="21"/>
                    </w:rPr>
                  </w:pPr>
                  <w:r>
                    <w:rPr>
                      <w:rFonts w:hint="eastAsia"/>
                      <w:szCs w:val="21"/>
                    </w:rPr>
                    <w:t>废包装材料</w:t>
                  </w:r>
                </w:p>
              </w:tc>
              <w:tc>
                <w:tcPr>
                  <w:tcW w:w="356" w:type="pct"/>
                  <w:tcBorders>
                    <w:top w:val="single" w:color="auto" w:sz="4" w:space="0"/>
                  </w:tcBorders>
                  <w:vAlign w:val="center"/>
                </w:tcPr>
                <w:p w14:paraId="32B02AF2">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一般固废</w:t>
                  </w:r>
                </w:p>
              </w:tc>
              <w:tc>
                <w:tcPr>
                  <w:tcW w:w="487" w:type="pct"/>
                  <w:vAlign w:val="center"/>
                </w:tcPr>
                <w:p w14:paraId="79B4A149">
                  <w:pPr>
                    <w:pStyle w:val="6"/>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原料包装</w:t>
                  </w:r>
                </w:p>
              </w:tc>
              <w:tc>
                <w:tcPr>
                  <w:tcW w:w="317" w:type="pct"/>
                  <w:vAlign w:val="center"/>
                </w:tcPr>
                <w:p w14:paraId="52C79E37">
                  <w:pPr>
                    <w:pStyle w:val="6"/>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固</w:t>
                  </w:r>
                </w:p>
              </w:tc>
              <w:tc>
                <w:tcPr>
                  <w:tcW w:w="526" w:type="pct"/>
                  <w:vAlign w:val="center"/>
                </w:tcPr>
                <w:p w14:paraId="59ABD085">
                  <w:pPr>
                    <w:pStyle w:val="6"/>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塑料</w:t>
                  </w:r>
                </w:p>
              </w:tc>
              <w:tc>
                <w:tcPr>
                  <w:tcW w:w="648" w:type="pct"/>
                  <w:vAlign w:val="center"/>
                </w:tcPr>
                <w:p w14:paraId="6CF62A9C">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《固体废物分类与代码目录》</w:t>
                  </w:r>
                </w:p>
              </w:tc>
              <w:tc>
                <w:tcPr>
                  <w:tcW w:w="333" w:type="pct"/>
                  <w:vAlign w:val="center"/>
                </w:tcPr>
                <w:p w14:paraId="5D4B0A91">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09" w:type="pct"/>
                  <w:vAlign w:val="center"/>
                </w:tcPr>
                <w:p w14:paraId="2FE59490">
                  <w:pPr>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SW17</w:t>
                  </w:r>
                </w:p>
              </w:tc>
              <w:tc>
                <w:tcPr>
                  <w:tcW w:w="690" w:type="pct"/>
                  <w:vAlign w:val="center"/>
                </w:tcPr>
                <w:p w14:paraId="345F7F40">
                  <w:pPr>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900-003-S17</w:t>
                  </w:r>
                </w:p>
              </w:tc>
              <w:tc>
                <w:tcPr>
                  <w:tcW w:w="827" w:type="dxa"/>
                  <w:vAlign w:val="center"/>
                </w:tcPr>
                <w:p w14:paraId="1C97891B">
                  <w:pPr>
                    <w:adjustRightInd w:val="0"/>
                    <w:snapToGrid w:val="0"/>
                    <w:jc w:val="center"/>
                    <w:rPr>
                      <w:rFonts w:hint="default" w:ascii="Times New Roman" w:hAnsi="Times New Roman" w:cs="Times New Roman"/>
                      <w:color w:val="auto"/>
                      <w:sz w:val="21"/>
                      <w:szCs w:val="21"/>
                      <w:lang w:val="en-US" w:eastAsia="zh-CN"/>
                    </w:rPr>
                  </w:pPr>
                  <w:r>
                    <w:rPr>
                      <w:rFonts w:hint="eastAsia" w:cs="Times New Roman"/>
                      <w:bCs/>
                      <w:color w:val="auto"/>
                      <w:kern w:val="2"/>
                      <w:sz w:val="21"/>
                      <w:szCs w:val="21"/>
                      <w:lang w:val="en-US" w:eastAsia="zh-CN" w:bidi="ar-SA"/>
                    </w:rPr>
                    <w:t>24</w:t>
                  </w:r>
                </w:p>
              </w:tc>
            </w:tr>
            <w:tr w14:paraId="311AE9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7" w:type="pct"/>
                  <w:vAlign w:val="center"/>
                </w:tcPr>
                <w:p w14:paraId="61E9B521">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2</w:t>
                  </w:r>
                </w:p>
              </w:tc>
              <w:tc>
                <w:tcPr>
                  <w:tcW w:w="559" w:type="pct"/>
                  <w:vAlign w:val="center"/>
                </w:tcPr>
                <w:p w14:paraId="16CFB824">
                  <w:pPr>
                    <w:pStyle w:val="6"/>
                    <w:adjustRightInd w:val="0"/>
                    <w:snapToGrid w:val="0"/>
                    <w:ind w:firstLine="0" w:firstLineChars="0"/>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废活性炭</w:t>
                  </w:r>
                </w:p>
              </w:tc>
              <w:tc>
                <w:tcPr>
                  <w:tcW w:w="356" w:type="pct"/>
                  <w:vMerge w:val="restart"/>
                  <w:vAlign w:val="center"/>
                </w:tcPr>
                <w:p w14:paraId="1B4E23B0">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危险固废</w:t>
                  </w:r>
                </w:p>
              </w:tc>
              <w:tc>
                <w:tcPr>
                  <w:tcW w:w="487" w:type="pct"/>
                  <w:vAlign w:val="center"/>
                </w:tcPr>
                <w:p w14:paraId="076BEFFC">
                  <w:pPr>
                    <w:pStyle w:val="6"/>
                    <w:adjustRightInd w:val="0"/>
                    <w:snapToGrid w:val="0"/>
                    <w:ind w:firstLine="0" w:firstLineChars="0"/>
                    <w:jc w:val="center"/>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废气处理</w:t>
                  </w:r>
                </w:p>
              </w:tc>
              <w:tc>
                <w:tcPr>
                  <w:tcW w:w="317" w:type="pct"/>
                  <w:vAlign w:val="center"/>
                </w:tcPr>
                <w:p w14:paraId="540FAE4D">
                  <w:pPr>
                    <w:pStyle w:val="6"/>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固</w:t>
                  </w:r>
                </w:p>
              </w:tc>
              <w:tc>
                <w:tcPr>
                  <w:tcW w:w="526" w:type="pct"/>
                  <w:vAlign w:val="center"/>
                </w:tcPr>
                <w:p w14:paraId="2750D8BE">
                  <w:pPr>
                    <w:pStyle w:val="6"/>
                    <w:adjustRightInd w:val="0"/>
                    <w:snapToGrid w:val="0"/>
                    <w:ind w:firstLine="0" w:firstLineChars="0"/>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废活性炭</w:t>
                  </w:r>
                </w:p>
              </w:tc>
              <w:tc>
                <w:tcPr>
                  <w:tcW w:w="648" w:type="pct"/>
                  <w:vMerge w:val="restart"/>
                  <w:vAlign w:val="center"/>
                </w:tcPr>
                <w:p w14:paraId="2CD15EC3">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《国家危险废物名录》（202</w:t>
                  </w:r>
                  <w:r>
                    <w:rPr>
                      <w:rFonts w:hint="eastAsia" w:cs="Times New Roman"/>
                      <w:color w:val="auto"/>
                      <w:sz w:val="21"/>
                      <w:szCs w:val="21"/>
                      <w:lang w:val="en-US" w:eastAsia="zh-CN"/>
                    </w:rPr>
                    <w:t>5</w:t>
                  </w:r>
                  <w:r>
                    <w:rPr>
                      <w:rFonts w:hint="default" w:ascii="Times New Roman" w:hAnsi="Times New Roman" w:cs="Times New Roman"/>
                      <w:color w:val="auto"/>
                      <w:sz w:val="21"/>
                      <w:szCs w:val="21"/>
                    </w:rPr>
                    <w:t>年）</w:t>
                  </w:r>
                </w:p>
              </w:tc>
              <w:tc>
                <w:tcPr>
                  <w:tcW w:w="584" w:type="dxa"/>
                  <w:vAlign w:val="center"/>
                </w:tcPr>
                <w:p w14:paraId="456B2BD1">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T</w:t>
                  </w:r>
                </w:p>
              </w:tc>
              <w:tc>
                <w:tcPr>
                  <w:tcW w:w="718" w:type="dxa"/>
                  <w:vAlign w:val="center"/>
                </w:tcPr>
                <w:p w14:paraId="12A47731">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HW49</w:t>
                  </w:r>
                </w:p>
              </w:tc>
              <w:tc>
                <w:tcPr>
                  <w:tcW w:w="1211" w:type="dxa"/>
                  <w:vAlign w:val="center"/>
                </w:tcPr>
                <w:p w14:paraId="1C30C545">
                  <w:pPr>
                    <w:snapToGrid w:val="0"/>
                    <w:jc w:val="center"/>
                    <w:rPr>
                      <w:bCs/>
                      <w:color w:val="auto"/>
                      <w:sz w:val="21"/>
                      <w:szCs w:val="21"/>
                    </w:rPr>
                  </w:pPr>
                  <w:r>
                    <w:rPr>
                      <w:rFonts w:hint="default" w:ascii="Times New Roman" w:hAnsi="Times New Roman" w:cs="Times New Roman"/>
                      <w:color w:val="auto"/>
                      <w:sz w:val="21"/>
                      <w:szCs w:val="21"/>
                    </w:rPr>
                    <w:t>900-039-49</w:t>
                  </w:r>
                </w:p>
              </w:tc>
              <w:tc>
                <w:tcPr>
                  <w:tcW w:w="827" w:type="dxa"/>
                  <w:vAlign w:val="center"/>
                </w:tcPr>
                <w:p w14:paraId="462118A9">
                  <w:pPr>
                    <w:adjustRightInd w:val="0"/>
                    <w:snapToGrid w:val="0"/>
                    <w:jc w:val="center"/>
                    <w:rPr>
                      <w:rFonts w:hint="default" w:cs="Times New Roman"/>
                      <w:color w:val="auto"/>
                      <w:kern w:val="2"/>
                      <w:sz w:val="21"/>
                      <w:szCs w:val="21"/>
                      <w:lang w:val="en-US" w:eastAsia="zh-CN" w:bidi="ar-SA"/>
                    </w:rPr>
                  </w:pPr>
                  <w:r>
                    <w:rPr>
                      <w:rFonts w:hint="eastAsia" w:cs="Times New Roman"/>
                      <w:bCs/>
                      <w:color w:val="auto"/>
                      <w:kern w:val="2"/>
                      <w:sz w:val="21"/>
                      <w:szCs w:val="21"/>
                      <w:lang w:val="en-US" w:eastAsia="zh-CN" w:bidi="ar-SA"/>
                    </w:rPr>
                    <w:t>13.427</w:t>
                  </w:r>
                </w:p>
              </w:tc>
            </w:tr>
            <w:tr w14:paraId="0A238F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7" w:type="pct"/>
                  <w:vAlign w:val="center"/>
                </w:tcPr>
                <w:p w14:paraId="2A76B327">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559" w:type="pct"/>
                  <w:vAlign w:val="center"/>
                </w:tcPr>
                <w:p w14:paraId="2363D1E0">
                  <w:pPr>
                    <w:pStyle w:val="6"/>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b w:val="0"/>
                      <w:bCs w:val="0"/>
                      <w:color w:val="auto"/>
                      <w:kern w:val="2"/>
                      <w:sz w:val="21"/>
                      <w:szCs w:val="21"/>
                      <w:lang w:val="en-US" w:eastAsia="zh-CN" w:bidi="ar-SA"/>
                    </w:rPr>
                    <w:t>废机油</w:t>
                  </w:r>
                </w:p>
              </w:tc>
              <w:tc>
                <w:tcPr>
                  <w:tcW w:w="356" w:type="pct"/>
                  <w:vMerge w:val="continue"/>
                  <w:vAlign w:val="center"/>
                </w:tcPr>
                <w:p w14:paraId="2A5270CF">
                  <w:pPr>
                    <w:adjustRightInd w:val="0"/>
                    <w:snapToGrid w:val="0"/>
                    <w:jc w:val="center"/>
                    <w:rPr>
                      <w:rFonts w:hint="default" w:ascii="Times New Roman" w:hAnsi="Times New Roman" w:cs="Times New Roman"/>
                      <w:color w:val="auto"/>
                      <w:sz w:val="21"/>
                      <w:szCs w:val="21"/>
                    </w:rPr>
                  </w:pPr>
                </w:p>
              </w:tc>
              <w:tc>
                <w:tcPr>
                  <w:tcW w:w="487" w:type="pct"/>
                  <w:vAlign w:val="center"/>
                </w:tcPr>
                <w:p w14:paraId="4692DF4A">
                  <w:pPr>
                    <w:adjustRightInd w:val="0"/>
                    <w:snapToGrid w:val="0"/>
                    <w:jc w:val="center"/>
                    <w:rPr>
                      <w:rFonts w:hint="eastAsia" w:ascii="Times New Roman" w:hAnsi="Times New Roman" w:eastAsia="宋体" w:cs="Times New Roman"/>
                      <w:color w:val="auto"/>
                      <w:sz w:val="21"/>
                      <w:szCs w:val="21"/>
                      <w:lang w:val="en-US" w:eastAsia="zh-CN"/>
                    </w:rPr>
                  </w:pPr>
                  <w:r>
                    <w:rPr>
                      <w:rFonts w:hint="eastAsia"/>
                      <w:color w:val="auto"/>
                    </w:rPr>
                    <w:t>设备保养</w:t>
                  </w:r>
                </w:p>
              </w:tc>
              <w:tc>
                <w:tcPr>
                  <w:tcW w:w="317" w:type="pct"/>
                  <w:vAlign w:val="center"/>
                </w:tcPr>
                <w:p w14:paraId="3B6E5E9B">
                  <w:pPr>
                    <w:adjustRightInd w:val="0"/>
                    <w:snapToGrid w:val="0"/>
                    <w:jc w:val="center"/>
                    <w:rPr>
                      <w:rFonts w:hint="default" w:ascii="Times New Roman" w:hAnsi="Times New Roman" w:eastAsia="宋体" w:cs="Times New Roman"/>
                      <w:color w:val="auto"/>
                      <w:sz w:val="21"/>
                      <w:szCs w:val="21"/>
                    </w:rPr>
                  </w:pPr>
                  <w:r>
                    <w:rPr>
                      <w:rFonts w:hint="eastAsia"/>
                      <w:color w:val="auto"/>
                    </w:rPr>
                    <w:t>液</w:t>
                  </w:r>
                </w:p>
              </w:tc>
              <w:tc>
                <w:tcPr>
                  <w:tcW w:w="526" w:type="pct"/>
                  <w:vAlign w:val="center"/>
                </w:tcPr>
                <w:p w14:paraId="31BB0DE0">
                  <w:pPr>
                    <w:adjustRightInd w:val="0"/>
                    <w:snapToGrid w:val="0"/>
                    <w:jc w:val="center"/>
                    <w:rPr>
                      <w:rFonts w:hint="eastAsia" w:ascii="Times New Roman" w:hAnsi="Times New Roman" w:eastAsia="宋体" w:cs="Times New Roman"/>
                      <w:color w:val="auto"/>
                      <w:sz w:val="21"/>
                      <w:szCs w:val="21"/>
                      <w:lang w:val="en-US" w:eastAsia="zh-CN"/>
                    </w:rPr>
                  </w:pPr>
                  <w:r>
                    <w:rPr>
                      <w:rFonts w:hint="eastAsia"/>
                      <w:color w:val="auto"/>
                    </w:rPr>
                    <w:t>矿物油</w:t>
                  </w:r>
                </w:p>
              </w:tc>
              <w:tc>
                <w:tcPr>
                  <w:tcW w:w="648" w:type="pct"/>
                  <w:vMerge w:val="continue"/>
                  <w:vAlign w:val="center"/>
                </w:tcPr>
                <w:p w14:paraId="0FA2A63F">
                  <w:pPr>
                    <w:adjustRightInd w:val="0"/>
                    <w:snapToGrid w:val="0"/>
                    <w:jc w:val="center"/>
                    <w:rPr>
                      <w:rFonts w:hint="default" w:ascii="Times New Roman" w:hAnsi="Times New Roman" w:cs="Times New Roman"/>
                      <w:color w:val="auto"/>
                      <w:sz w:val="21"/>
                      <w:szCs w:val="21"/>
                    </w:rPr>
                  </w:pPr>
                </w:p>
              </w:tc>
              <w:tc>
                <w:tcPr>
                  <w:tcW w:w="584" w:type="dxa"/>
                  <w:vAlign w:val="center"/>
                </w:tcPr>
                <w:p w14:paraId="5C4FF7E2">
                  <w:pPr>
                    <w:adjustRightInd w:val="0"/>
                    <w:snapToGrid w:val="0"/>
                    <w:jc w:val="center"/>
                    <w:rPr>
                      <w:rFonts w:hint="default" w:ascii="Times New Roman" w:hAnsi="Times New Roman" w:cs="Times New Roman"/>
                      <w:color w:val="auto"/>
                      <w:sz w:val="21"/>
                      <w:szCs w:val="21"/>
                    </w:rPr>
                  </w:pPr>
                  <w:r>
                    <w:rPr>
                      <w:color w:val="auto"/>
                    </w:rPr>
                    <w:t>T，I</w:t>
                  </w:r>
                </w:p>
              </w:tc>
              <w:tc>
                <w:tcPr>
                  <w:tcW w:w="718" w:type="dxa"/>
                  <w:vAlign w:val="center"/>
                </w:tcPr>
                <w:p w14:paraId="30BABB76">
                  <w:pPr>
                    <w:snapToGrid w:val="0"/>
                    <w:spacing w:line="300" w:lineRule="exact"/>
                    <w:jc w:val="center"/>
                    <w:rPr>
                      <w:rFonts w:hint="default" w:ascii="Times New Roman" w:hAnsi="Times New Roman" w:cs="Times New Roman"/>
                      <w:color w:val="auto"/>
                      <w:sz w:val="21"/>
                      <w:szCs w:val="21"/>
                    </w:rPr>
                  </w:pPr>
                  <w:r>
                    <w:rPr>
                      <w:color w:val="auto"/>
                    </w:rPr>
                    <w:t>HW</w:t>
                  </w:r>
                  <w:r>
                    <w:rPr>
                      <w:rFonts w:hint="eastAsia"/>
                      <w:color w:val="auto"/>
                    </w:rPr>
                    <w:t>08</w:t>
                  </w:r>
                </w:p>
              </w:tc>
              <w:tc>
                <w:tcPr>
                  <w:tcW w:w="1211" w:type="dxa"/>
                  <w:vAlign w:val="center"/>
                </w:tcPr>
                <w:p w14:paraId="1DDD2375">
                  <w:pPr>
                    <w:spacing w:line="300" w:lineRule="exact"/>
                    <w:jc w:val="center"/>
                    <w:rPr>
                      <w:rFonts w:hint="eastAsia" w:cs="Times New Roman"/>
                      <w:color w:val="auto"/>
                      <w:sz w:val="21"/>
                      <w:szCs w:val="21"/>
                      <w:lang w:val="en-US" w:eastAsia="zh-CN"/>
                    </w:rPr>
                  </w:pPr>
                  <w:r>
                    <w:rPr>
                      <w:rFonts w:hint="eastAsia"/>
                      <w:color w:val="auto"/>
                    </w:rPr>
                    <w:t>900-217-08</w:t>
                  </w:r>
                </w:p>
              </w:tc>
              <w:tc>
                <w:tcPr>
                  <w:tcW w:w="827" w:type="dxa"/>
                  <w:vAlign w:val="center"/>
                </w:tcPr>
                <w:p w14:paraId="7E528183">
                  <w:pPr>
                    <w:adjustRightInd w:val="0"/>
                    <w:snapToGrid w:val="0"/>
                    <w:jc w:val="center"/>
                    <w:rPr>
                      <w:rFonts w:hint="eastAsia" w:cs="Times New Roman"/>
                      <w:b w:val="0"/>
                      <w:bCs/>
                      <w:color w:val="auto"/>
                      <w:sz w:val="21"/>
                      <w:szCs w:val="21"/>
                      <w:lang w:val="en-US" w:eastAsia="zh-CN"/>
                    </w:rPr>
                  </w:pPr>
                  <w:r>
                    <w:rPr>
                      <w:rFonts w:hint="eastAsia" w:cs="Times New Roman"/>
                      <w:bCs/>
                      <w:color w:val="auto"/>
                      <w:kern w:val="2"/>
                      <w:sz w:val="21"/>
                      <w:szCs w:val="21"/>
                      <w:lang w:val="en-US" w:eastAsia="zh-CN" w:bidi="ar-SA"/>
                    </w:rPr>
                    <w:t>0.2</w:t>
                  </w:r>
                </w:p>
              </w:tc>
            </w:tr>
            <w:tr w14:paraId="25DA8D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7" w:type="pct"/>
                  <w:vAlign w:val="center"/>
                </w:tcPr>
                <w:p w14:paraId="5F3ADD81">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559" w:type="pct"/>
                  <w:vAlign w:val="center"/>
                </w:tcPr>
                <w:p w14:paraId="20E5DDAE">
                  <w:pPr>
                    <w:pStyle w:val="6"/>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废油桶</w:t>
                  </w:r>
                </w:p>
              </w:tc>
              <w:tc>
                <w:tcPr>
                  <w:tcW w:w="356" w:type="pct"/>
                  <w:vMerge w:val="continue"/>
                  <w:vAlign w:val="center"/>
                </w:tcPr>
                <w:p w14:paraId="6BABF760">
                  <w:pPr>
                    <w:adjustRightInd w:val="0"/>
                    <w:snapToGrid w:val="0"/>
                    <w:jc w:val="center"/>
                    <w:rPr>
                      <w:rFonts w:hint="default" w:ascii="Times New Roman" w:hAnsi="Times New Roman" w:cs="Times New Roman"/>
                      <w:color w:val="auto"/>
                      <w:sz w:val="21"/>
                      <w:szCs w:val="21"/>
                    </w:rPr>
                  </w:pPr>
                </w:p>
              </w:tc>
              <w:tc>
                <w:tcPr>
                  <w:tcW w:w="487" w:type="pct"/>
                  <w:vAlign w:val="center"/>
                </w:tcPr>
                <w:p w14:paraId="5A7653CE">
                  <w:pPr>
                    <w:pStyle w:val="6"/>
                    <w:adjustRightInd w:val="0"/>
                    <w:snapToGrid w:val="0"/>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机油包装</w:t>
                  </w:r>
                </w:p>
              </w:tc>
              <w:tc>
                <w:tcPr>
                  <w:tcW w:w="317" w:type="pct"/>
                  <w:vAlign w:val="center"/>
                </w:tcPr>
                <w:p w14:paraId="1D0D077F">
                  <w:pPr>
                    <w:pStyle w:val="6"/>
                    <w:adjustRightInd w:val="0"/>
                    <w:snapToGrid w:val="0"/>
                    <w:ind w:firstLine="0" w:firstLineChars="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液</w:t>
                  </w:r>
                </w:p>
              </w:tc>
              <w:tc>
                <w:tcPr>
                  <w:tcW w:w="526" w:type="pct"/>
                  <w:vAlign w:val="center"/>
                </w:tcPr>
                <w:p w14:paraId="1577B4A0">
                  <w:pPr>
                    <w:pStyle w:val="6"/>
                    <w:adjustRightInd w:val="0"/>
                    <w:snapToGrid w:val="0"/>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矿物油、铁等</w:t>
                  </w:r>
                </w:p>
              </w:tc>
              <w:tc>
                <w:tcPr>
                  <w:tcW w:w="648" w:type="pct"/>
                  <w:vMerge w:val="continue"/>
                  <w:vAlign w:val="center"/>
                </w:tcPr>
                <w:p w14:paraId="32B50B65">
                  <w:pPr>
                    <w:adjustRightInd w:val="0"/>
                    <w:snapToGrid w:val="0"/>
                    <w:jc w:val="center"/>
                    <w:rPr>
                      <w:rFonts w:hint="default" w:ascii="Times New Roman" w:hAnsi="Times New Roman" w:cs="Times New Roman"/>
                      <w:color w:val="auto"/>
                      <w:sz w:val="21"/>
                      <w:szCs w:val="21"/>
                    </w:rPr>
                  </w:pPr>
                </w:p>
              </w:tc>
              <w:tc>
                <w:tcPr>
                  <w:tcW w:w="584" w:type="dxa"/>
                  <w:vAlign w:val="center"/>
                </w:tcPr>
                <w:p w14:paraId="48E7A58D">
                  <w:pPr>
                    <w:adjustRightInd w:val="0"/>
                    <w:snapToGrid w:val="0"/>
                    <w:jc w:val="center"/>
                    <w:rPr>
                      <w:rFonts w:hint="default" w:ascii="Times New Roman" w:hAnsi="Times New Roman" w:cs="Times New Roman"/>
                      <w:color w:val="auto"/>
                      <w:sz w:val="21"/>
                      <w:szCs w:val="21"/>
                    </w:rPr>
                  </w:pPr>
                  <w:r>
                    <w:rPr>
                      <w:color w:val="auto"/>
                    </w:rPr>
                    <w:t>T，I</w:t>
                  </w:r>
                </w:p>
              </w:tc>
              <w:tc>
                <w:tcPr>
                  <w:tcW w:w="718" w:type="dxa"/>
                  <w:vAlign w:val="center"/>
                </w:tcPr>
                <w:p w14:paraId="3EFEE986">
                  <w:pPr>
                    <w:snapToGrid w:val="0"/>
                    <w:spacing w:line="300" w:lineRule="exact"/>
                    <w:jc w:val="center"/>
                    <w:rPr>
                      <w:rFonts w:hint="default" w:ascii="Times New Roman" w:hAnsi="Times New Roman" w:cs="Times New Roman"/>
                      <w:color w:val="auto"/>
                      <w:sz w:val="21"/>
                      <w:szCs w:val="21"/>
                    </w:rPr>
                  </w:pPr>
                  <w:r>
                    <w:rPr>
                      <w:color w:val="auto"/>
                    </w:rPr>
                    <w:t>HW</w:t>
                  </w:r>
                  <w:r>
                    <w:rPr>
                      <w:rFonts w:hint="eastAsia"/>
                      <w:color w:val="auto"/>
                    </w:rPr>
                    <w:t>08</w:t>
                  </w:r>
                </w:p>
              </w:tc>
              <w:tc>
                <w:tcPr>
                  <w:tcW w:w="1211" w:type="dxa"/>
                  <w:vAlign w:val="center"/>
                </w:tcPr>
                <w:p w14:paraId="29330A93">
                  <w:pPr>
                    <w:spacing w:line="300" w:lineRule="exact"/>
                    <w:jc w:val="center"/>
                    <w:rPr>
                      <w:rFonts w:hint="eastAsia" w:cs="Times New Roman"/>
                      <w:color w:val="auto"/>
                      <w:sz w:val="21"/>
                      <w:szCs w:val="21"/>
                      <w:lang w:val="en-US" w:eastAsia="zh-CN"/>
                    </w:rPr>
                  </w:pPr>
                  <w:r>
                    <w:rPr>
                      <w:rFonts w:hint="eastAsia"/>
                      <w:color w:val="auto"/>
                    </w:rPr>
                    <w:t>900-2</w:t>
                  </w:r>
                  <w:r>
                    <w:rPr>
                      <w:rFonts w:hint="eastAsia"/>
                      <w:color w:val="auto"/>
                      <w:lang w:val="en-US" w:eastAsia="zh-CN"/>
                    </w:rPr>
                    <w:t>49</w:t>
                  </w:r>
                  <w:r>
                    <w:rPr>
                      <w:rFonts w:hint="eastAsia"/>
                      <w:color w:val="auto"/>
                    </w:rPr>
                    <w:t>-08</w:t>
                  </w:r>
                </w:p>
              </w:tc>
              <w:tc>
                <w:tcPr>
                  <w:tcW w:w="827" w:type="dxa"/>
                  <w:vAlign w:val="center"/>
                </w:tcPr>
                <w:p w14:paraId="7F4037B1">
                  <w:pPr>
                    <w:adjustRightInd w:val="0"/>
                    <w:snapToGrid w:val="0"/>
                    <w:jc w:val="center"/>
                    <w:rPr>
                      <w:rFonts w:hint="eastAsia" w:cs="Times New Roman"/>
                      <w:b w:val="0"/>
                      <w:bCs/>
                      <w:color w:val="auto"/>
                      <w:sz w:val="21"/>
                      <w:szCs w:val="21"/>
                      <w:lang w:val="en-US" w:eastAsia="zh-CN"/>
                    </w:rPr>
                  </w:pPr>
                  <w:r>
                    <w:rPr>
                      <w:rFonts w:hint="eastAsia" w:cs="Times New Roman"/>
                      <w:b w:val="0"/>
                      <w:bCs w:val="0"/>
                      <w:color w:val="auto"/>
                      <w:kern w:val="2"/>
                      <w:sz w:val="21"/>
                      <w:szCs w:val="21"/>
                      <w:lang w:val="en-US" w:eastAsia="zh-CN" w:bidi="ar-SA"/>
                    </w:rPr>
                    <w:t>0.02</w:t>
                  </w:r>
                </w:p>
              </w:tc>
            </w:tr>
            <w:tr w14:paraId="6250C8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7" w:type="pct"/>
                  <w:vAlign w:val="center"/>
                </w:tcPr>
                <w:p w14:paraId="7F81BFF0">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5</w:t>
                  </w:r>
                </w:p>
              </w:tc>
              <w:tc>
                <w:tcPr>
                  <w:tcW w:w="559" w:type="pct"/>
                  <w:vAlign w:val="center"/>
                </w:tcPr>
                <w:p w14:paraId="1DABB9BA">
                  <w:pPr>
                    <w:adjustRightInd w:val="0"/>
                    <w:snapToGrid w:val="0"/>
                    <w:jc w:val="center"/>
                    <w:rPr>
                      <w:rFonts w:hint="default" w:ascii="Times New Roman" w:hAnsi="Times New Roman" w:cs="Times New Roman"/>
                      <w:color w:val="auto"/>
                      <w:sz w:val="21"/>
                      <w:szCs w:val="21"/>
                    </w:rPr>
                  </w:pPr>
                  <w:r>
                    <w:rPr>
                      <w:rFonts w:hint="eastAsia"/>
                      <w:color w:val="auto"/>
                      <w:szCs w:val="21"/>
                      <w:lang w:eastAsia="zh-CN"/>
                    </w:rPr>
                    <w:t>废含油抹布手套</w:t>
                  </w:r>
                </w:p>
              </w:tc>
              <w:tc>
                <w:tcPr>
                  <w:tcW w:w="356" w:type="pct"/>
                  <w:vMerge w:val="continue"/>
                  <w:vAlign w:val="center"/>
                </w:tcPr>
                <w:p w14:paraId="2A87FF39">
                  <w:pPr>
                    <w:adjustRightInd w:val="0"/>
                    <w:snapToGrid w:val="0"/>
                    <w:jc w:val="center"/>
                    <w:rPr>
                      <w:rFonts w:hint="eastAsia" w:ascii="Times New Roman" w:hAnsi="Times New Roman" w:eastAsia="宋体" w:cs="Times New Roman"/>
                      <w:color w:val="auto"/>
                      <w:sz w:val="21"/>
                      <w:szCs w:val="21"/>
                      <w:lang w:val="en-US" w:eastAsia="zh-CN"/>
                    </w:rPr>
                  </w:pPr>
                </w:p>
              </w:tc>
              <w:tc>
                <w:tcPr>
                  <w:tcW w:w="487" w:type="pct"/>
                  <w:vAlign w:val="center"/>
                </w:tcPr>
                <w:p w14:paraId="40E23543">
                  <w:pPr>
                    <w:adjustRightInd w:val="0"/>
                    <w:snapToGrid w:val="0"/>
                    <w:jc w:val="center"/>
                    <w:rPr>
                      <w:rFonts w:hint="default" w:ascii="Times New Roman" w:hAnsi="Times New Roman" w:cs="Times New Roman"/>
                      <w:color w:val="auto"/>
                      <w:sz w:val="21"/>
                      <w:szCs w:val="21"/>
                    </w:rPr>
                  </w:pPr>
                  <w:r>
                    <w:rPr>
                      <w:rFonts w:hint="eastAsia"/>
                      <w:color w:val="auto"/>
                    </w:rPr>
                    <w:t>设备保养</w:t>
                  </w:r>
                </w:p>
              </w:tc>
              <w:tc>
                <w:tcPr>
                  <w:tcW w:w="317" w:type="pct"/>
                  <w:vAlign w:val="center"/>
                </w:tcPr>
                <w:p w14:paraId="5E8CF2D1">
                  <w:pPr>
                    <w:adjustRightInd w:val="0"/>
                    <w:snapToGrid w:val="0"/>
                    <w:jc w:val="center"/>
                    <w:rPr>
                      <w:rFonts w:hint="default" w:ascii="Times New Roman" w:hAnsi="Times New Roman" w:eastAsia="宋体" w:cs="Times New Roman"/>
                      <w:color w:val="auto"/>
                      <w:sz w:val="21"/>
                      <w:szCs w:val="21"/>
                    </w:rPr>
                  </w:pPr>
                  <w:r>
                    <w:rPr>
                      <w:color w:val="auto"/>
                    </w:rPr>
                    <w:t>固</w:t>
                  </w:r>
                </w:p>
              </w:tc>
              <w:tc>
                <w:tcPr>
                  <w:tcW w:w="526" w:type="pct"/>
                  <w:vAlign w:val="center"/>
                </w:tcPr>
                <w:p w14:paraId="0B7263AC">
                  <w:pPr>
                    <w:adjustRightInd w:val="0"/>
                    <w:snapToGrid w:val="0"/>
                    <w:jc w:val="center"/>
                    <w:rPr>
                      <w:rFonts w:hint="default" w:ascii="Times New Roman" w:hAnsi="Times New Roman" w:eastAsia="宋体" w:cs="Times New Roman"/>
                      <w:color w:val="auto"/>
                      <w:sz w:val="21"/>
                      <w:szCs w:val="21"/>
                      <w:lang w:val="en-US" w:eastAsia="zh-CN"/>
                    </w:rPr>
                  </w:pPr>
                  <w:r>
                    <w:rPr>
                      <w:rFonts w:hint="eastAsia"/>
                      <w:color w:val="auto"/>
                    </w:rPr>
                    <w:t>布、有机物</w:t>
                  </w:r>
                </w:p>
              </w:tc>
              <w:tc>
                <w:tcPr>
                  <w:tcW w:w="648" w:type="pct"/>
                  <w:vMerge w:val="continue"/>
                  <w:vAlign w:val="center"/>
                </w:tcPr>
                <w:p w14:paraId="2F84A946">
                  <w:pPr>
                    <w:adjustRightInd w:val="0"/>
                    <w:snapToGrid w:val="0"/>
                    <w:jc w:val="center"/>
                    <w:rPr>
                      <w:rFonts w:hint="eastAsia" w:ascii="Times New Roman" w:hAnsi="Times New Roman" w:eastAsia="宋体" w:cs="Times New Roman"/>
                      <w:color w:val="auto"/>
                      <w:sz w:val="21"/>
                      <w:szCs w:val="21"/>
                      <w:lang w:val="en-US" w:eastAsia="zh-CN"/>
                    </w:rPr>
                  </w:pPr>
                </w:p>
              </w:tc>
              <w:tc>
                <w:tcPr>
                  <w:tcW w:w="584" w:type="dxa"/>
                  <w:vAlign w:val="center"/>
                </w:tcPr>
                <w:p w14:paraId="0E2E6D99">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T/In</w:t>
                  </w:r>
                </w:p>
              </w:tc>
              <w:tc>
                <w:tcPr>
                  <w:tcW w:w="718" w:type="dxa"/>
                  <w:vAlign w:val="center"/>
                </w:tcPr>
                <w:p w14:paraId="048EB245">
                  <w:pPr>
                    <w:adjustRightInd w:val="0"/>
                    <w:snapToGrid w:val="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sz w:val="21"/>
                      <w:szCs w:val="21"/>
                    </w:rPr>
                    <w:t>HW49</w:t>
                  </w:r>
                </w:p>
              </w:tc>
              <w:tc>
                <w:tcPr>
                  <w:tcW w:w="1211" w:type="dxa"/>
                  <w:vAlign w:val="center"/>
                </w:tcPr>
                <w:p w14:paraId="05A0F2C0">
                  <w:pPr>
                    <w:adjustRightInd w:val="0"/>
                    <w:snapToGrid w:val="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sz w:val="21"/>
                      <w:szCs w:val="21"/>
                    </w:rPr>
                    <w:t>900-041-49</w:t>
                  </w:r>
                </w:p>
              </w:tc>
              <w:tc>
                <w:tcPr>
                  <w:tcW w:w="827" w:type="dxa"/>
                  <w:vAlign w:val="center"/>
                </w:tcPr>
                <w:p w14:paraId="30924EE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0.05</w:t>
                  </w:r>
                </w:p>
              </w:tc>
            </w:tr>
          </w:tbl>
          <w:p w14:paraId="48E168D6">
            <w:pPr>
              <w:pStyle w:val="63"/>
              <w:keepNext w:val="0"/>
              <w:keepLines w:val="0"/>
              <w:pageBreakBefore w:val="0"/>
              <w:widowControl w:val="0"/>
              <w:tabs>
                <w:tab w:val="left" w:pos="3240"/>
              </w:tabs>
              <w:kinsoku/>
              <w:wordWrap/>
              <w:overflowPunct/>
              <w:topLinePunct w:val="0"/>
              <w:autoSpaceDE/>
              <w:autoSpaceDN/>
              <w:bidi w:val="0"/>
              <w:adjustRightInd w:val="0"/>
              <w:snapToGrid w:val="0"/>
              <w:spacing w:line="500" w:lineRule="atLeast"/>
              <w:jc w:val="center"/>
              <w:textAlignment w:val="auto"/>
              <w:rPr>
                <w:rFonts w:hint="default" w:ascii="Times New Roman" w:hAnsi="Times New Roman" w:eastAsia="宋体" w:cs="Times New Roman"/>
                <w:b/>
                <w:color w:val="FF0000"/>
                <w:sz w:val="21"/>
                <w:szCs w:val="21"/>
                <w:highlight w:val="none"/>
                <w:lang w:val="en-US" w:eastAsia="zh-CN"/>
              </w:rPr>
            </w:pPr>
            <w:r>
              <w:rPr>
                <w:rFonts w:hint="default" w:ascii="Times New Roman" w:hAnsi="Times New Roman" w:eastAsia="宋体" w:cs="Times New Roman"/>
                <w:b/>
                <w:color w:val="FF0000"/>
                <w:sz w:val="21"/>
                <w:szCs w:val="21"/>
                <w:highlight w:val="none"/>
                <w:lang w:val="en-US" w:eastAsia="zh-CN"/>
              </w:rPr>
              <w:t>表4-</w:t>
            </w:r>
            <w:r>
              <w:rPr>
                <w:rFonts w:hint="eastAsia" w:ascii="Times New Roman" w:hAnsi="Times New Roman" w:cs="Times New Roman"/>
                <w:b/>
                <w:color w:val="FF0000"/>
                <w:sz w:val="21"/>
                <w:szCs w:val="21"/>
                <w:highlight w:val="none"/>
                <w:lang w:val="en-US" w:eastAsia="zh-CN"/>
              </w:rPr>
              <w:t>17 本项目建成后全厂</w:t>
            </w:r>
            <w:r>
              <w:rPr>
                <w:rFonts w:hint="default" w:ascii="Times New Roman" w:hAnsi="Times New Roman" w:eastAsia="宋体" w:cs="Times New Roman"/>
                <w:b/>
                <w:color w:val="FF0000"/>
                <w:sz w:val="21"/>
                <w:szCs w:val="21"/>
                <w:highlight w:val="none"/>
                <w:lang w:val="en-US" w:eastAsia="zh-CN"/>
              </w:rPr>
              <w:t>固废产生情况</w:t>
            </w:r>
          </w:p>
          <w:tbl>
            <w:tblPr>
              <w:tblStyle w:val="31"/>
              <w:tblW w:w="4954"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46"/>
              <w:gridCol w:w="981"/>
              <w:gridCol w:w="625"/>
              <w:gridCol w:w="855"/>
              <w:gridCol w:w="556"/>
              <w:gridCol w:w="923"/>
              <w:gridCol w:w="1137"/>
              <w:gridCol w:w="584"/>
              <w:gridCol w:w="718"/>
              <w:gridCol w:w="1211"/>
              <w:gridCol w:w="827"/>
            </w:tblGrid>
            <w:tr w14:paraId="7C1ACC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29" w:hRule="atLeast"/>
                <w:jc w:val="center"/>
              </w:trPr>
              <w:tc>
                <w:tcPr>
                  <w:tcW w:w="197" w:type="pct"/>
                  <w:vAlign w:val="center"/>
                </w:tcPr>
                <w:p w14:paraId="739C2836">
                  <w:pPr>
                    <w:adjustRightInd w:val="0"/>
                    <w:snapToGrid w:val="0"/>
                    <w:jc w:val="center"/>
                    <w:rPr>
                      <w:rFonts w:hint="default" w:ascii="Times New Roman" w:hAnsi="Times New Roman" w:cs="Times New Roman"/>
                      <w:b/>
                      <w:bCs/>
                      <w:color w:val="FF0000"/>
                      <w:sz w:val="21"/>
                      <w:szCs w:val="21"/>
                    </w:rPr>
                  </w:pPr>
                  <w:r>
                    <w:rPr>
                      <w:rFonts w:hint="default" w:ascii="Times New Roman" w:hAnsi="Times New Roman" w:cs="Times New Roman"/>
                      <w:b/>
                      <w:bCs/>
                      <w:color w:val="FF0000"/>
                      <w:sz w:val="21"/>
                      <w:szCs w:val="21"/>
                    </w:rPr>
                    <w:t>序号</w:t>
                  </w:r>
                </w:p>
              </w:tc>
              <w:tc>
                <w:tcPr>
                  <w:tcW w:w="559" w:type="pct"/>
                  <w:vAlign w:val="center"/>
                </w:tcPr>
                <w:p w14:paraId="76B2F814">
                  <w:pPr>
                    <w:adjustRightInd w:val="0"/>
                    <w:snapToGrid w:val="0"/>
                    <w:jc w:val="center"/>
                    <w:rPr>
                      <w:rFonts w:hint="default" w:ascii="Times New Roman" w:hAnsi="Times New Roman" w:cs="Times New Roman"/>
                      <w:b/>
                      <w:bCs/>
                      <w:color w:val="FF0000"/>
                      <w:sz w:val="21"/>
                      <w:szCs w:val="21"/>
                    </w:rPr>
                  </w:pPr>
                  <w:r>
                    <w:rPr>
                      <w:rFonts w:hint="default" w:ascii="Times New Roman" w:hAnsi="Times New Roman" w:cs="Times New Roman"/>
                      <w:b/>
                      <w:bCs/>
                      <w:color w:val="FF0000"/>
                      <w:sz w:val="21"/>
                      <w:szCs w:val="21"/>
                    </w:rPr>
                    <w:t>固废名称</w:t>
                  </w:r>
                </w:p>
              </w:tc>
              <w:tc>
                <w:tcPr>
                  <w:tcW w:w="356" w:type="pct"/>
                  <w:tcBorders>
                    <w:bottom w:val="single" w:color="auto" w:sz="4" w:space="0"/>
                  </w:tcBorders>
                  <w:vAlign w:val="center"/>
                </w:tcPr>
                <w:p w14:paraId="1F6B370E">
                  <w:pPr>
                    <w:adjustRightInd w:val="0"/>
                    <w:snapToGrid w:val="0"/>
                    <w:jc w:val="center"/>
                    <w:rPr>
                      <w:rFonts w:hint="default" w:ascii="Times New Roman" w:hAnsi="Times New Roman" w:cs="Times New Roman"/>
                      <w:b/>
                      <w:bCs/>
                      <w:color w:val="FF0000"/>
                      <w:sz w:val="21"/>
                      <w:szCs w:val="21"/>
                    </w:rPr>
                  </w:pPr>
                  <w:r>
                    <w:rPr>
                      <w:rFonts w:hint="default" w:ascii="Times New Roman" w:hAnsi="Times New Roman" w:cs="Times New Roman"/>
                      <w:b/>
                      <w:bCs/>
                      <w:color w:val="FF0000"/>
                      <w:sz w:val="21"/>
                      <w:szCs w:val="21"/>
                    </w:rPr>
                    <w:t>属性</w:t>
                  </w:r>
                </w:p>
              </w:tc>
              <w:tc>
                <w:tcPr>
                  <w:tcW w:w="487" w:type="pct"/>
                  <w:vAlign w:val="center"/>
                </w:tcPr>
                <w:p w14:paraId="3B01CC1D">
                  <w:pPr>
                    <w:adjustRightInd w:val="0"/>
                    <w:snapToGrid w:val="0"/>
                    <w:jc w:val="center"/>
                    <w:rPr>
                      <w:rFonts w:hint="default" w:ascii="Times New Roman" w:hAnsi="Times New Roman" w:cs="Times New Roman"/>
                      <w:b/>
                      <w:bCs/>
                      <w:color w:val="FF0000"/>
                      <w:sz w:val="21"/>
                      <w:szCs w:val="21"/>
                    </w:rPr>
                  </w:pPr>
                  <w:r>
                    <w:rPr>
                      <w:rFonts w:hint="default" w:ascii="Times New Roman" w:hAnsi="Times New Roman" w:cs="Times New Roman"/>
                      <w:b/>
                      <w:bCs/>
                      <w:color w:val="FF0000"/>
                      <w:sz w:val="21"/>
                      <w:szCs w:val="21"/>
                    </w:rPr>
                    <w:t>产生来源</w:t>
                  </w:r>
                </w:p>
              </w:tc>
              <w:tc>
                <w:tcPr>
                  <w:tcW w:w="317" w:type="pct"/>
                  <w:vAlign w:val="center"/>
                </w:tcPr>
                <w:p w14:paraId="61E63C0A">
                  <w:pPr>
                    <w:adjustRightInd w:val="0"/>
                    <w:snapToGrid w:val="0"/>
                    <w:jc w:val="center"/>
                    <w:rPr>
                      <w:rFonts w:hint="default" w:ascii="Times New Roman" w:hAnsi="Times New Roman" w:cs="Times New Roman"/>
                      <w:b/>
                      <w:bCs/>
                      <w:color w:val="FF0000"/>
                      <w:sz w:val="21"/>
                      <w:szCs w:val="21"/>
                    </w:rPr>
                  </w:pPr>
                  <w:r>
                    <w:rPr>
                      <w:rFonts w:hint="default" w:ascii="Times New Roman" w:hAnsi="Times New Roman" w:cs="Times New Roman"/>
                      <w:b/>
                      <w:bCs/>
                      <w:color w:val="FF0000"/>
                      <w:sz w:val="21"/>
                      <w:szCs w:val="21"/>
                    </w:rPr>
                    <w:t>形态</w:t>
                  </w:r>
                </w:p>
              </w:tc>
              <w:tc>
                <w:tcPr>
                  <w:tcW w:w="526" w:type="pct"/>
                  <w:vAlign w:val="center"/>
                </w:tcPr>
                <w:p w14:paraId="087BFD6C">
                  <w:pPr>
                    <w:adjustRightInd w:val="0"/>
                    <w:snapToGrid w:val="0"/>
                    <w:jc w:val="center"/>
                    <w:rPr>
                      <w:rFonts w:hint="default" w:ascii="Times New Roman" w:hAnsi="Times New Roman" w:cs="Times New Roman"/>
                      <w:b/>
                      <w:bCs/>
                      <w:color w:val="FF0000"/>
                      <w:sz w:val="21"/>
                      <w:szCs w:val="21"/>
                    </w:rPr>
                  </w:pPr>
                  <w:r>
                    <w:rPr>
                      <w:rFonts w:hint="default" w:ascii="Times New Roman" w:hAnsi="Times New Roman" w:cs="Times New Roman"/>
                      <w:b/>
                      <w:bCs/>
                      <w:color w:val="FF0000"/>
                      <w:sz w:val="21"/>
                      <w:szCs w:val="21"/>
                    </w:rPr>
                    <w:t>主要成分</w:t>
                  </w:r>
                </w:p>
              </w:tc>
              <w:tc>
                <w:tcPr>
                  <w:tcW w:w="648" w:type="pct"/>
                  <w:vAlign w:val="center"/>
                </w:tcPr>
                <w:p w14:paraId="1BC461FF">
                  <w:pPr>
                    <w:adjustRightInd w:val="0"/>
                    <w:snapToGrid w:val="0"/>
                    <w:jc w:val="center"/>
                    <w:rPr>
                      <w:rFonts w:hint="default" w:ascii="Times New Roman" w:hAnsi="Times New Roman" w:cs="Times New Roman"/>
                      <w:b/>
                      <w:bCs/>
                      <w:color w:val="FF0000"/>
                      <w:sz w:val="21"/>
                      <w:szCs w:val="21"/>
                    </w:rPr>
                  </w:pPr>
                  <w:r>
                    <w:rPr>
                      <w:rFonts w:hint="default" w:ascii="Times New Roman" w:hAnsi="Times New Roman" w:cs="Times New Roman"/>
                      <w:b/>
                      <w:bCs/>
                      <w:color w:val="FF0000"/>
                      <w:sz w:val="21"/>
                      <w:szCs w:val="21"/>
                    </w:rPr>
                    <w:t>危险特性鉴别方法</w:t>
                  </w:r>
                </w:p>
              </w:tc>
              <w:tc>
                <w:tcPr>
                  <w:tcW w:w="333" w:type="pct"/>
                  <w:vAlign w:val="center"/>
                </w:tcPr>
                <w:p w14:paraId="7C269D94">
                  <w:pPr>
                    <w:adjustRightInd w:val="0"/>
                    <w:snapToGrid w:val="0"/>
                    <w:jc w:val="center"/>
                    <w:rPr>
                      <w:rFonts w:hint="default" w:ascii="Times New Roman" w:hAnsi="Times New Roman" w:cs="Times New Roman"/>
                      <w:b/>
                      <w:bCs/>
                      <w:color w:val="FF0000"/>
                      <w:sz w:val="21"/>
                      <w:szCs w:val="21"/>
                    </w:rPr>
                  </w:pPr>
                  <w:r>
                    <w:rPr>
                      <w:rFonts w:hint="default" w:ascii="Times New Roman" w:hAnsi="Times New Roman" w:cs="Times New Roman"/>
                      <w:b/>
                      <w:bCs/>
                      <w:color w:val="FF0000"/>
                      <w:sz w:val="21"/>
                      <w:szCs w:val="21"/>
                    </w:rPr>
                    <w:t>废物特性</w:t>
                  </w:r>
                </w:p>
              </w:tc>
              <w:tc>
                <w:tcPr>
                  <w:tcW w:w="409" w:type="pct"/>
                  <w:vAlign w:val="center"/>
                </w:tcPr>
                <w:p w14:paraId="6BCAE293">
                  <w:pPr>
                    <w:adjustRightInd w:val="0"/>
                    <w:snapToGrid w:val="0"/>
                    <w:jc w:val="center"/>
                    <w:rPr>
                      <w:rFonts w:hint="default" w:ascii="Times New Roman" w:hAnsi="Times New Roman" w:cs="Times New Roman"/>
                      <w:b/>
                      <w:bCs/>
                      <w:color w:val="FF0000"/>
                      <w:sz w:val="21"/>
                      <w:szCs w:val="21"/>
                    </w:rPr>
                  </w:pPr>
                  <w:r>
                    <w:rPr>
                      <w:rFonts w:hint="default" w:ascii="Times New Roman" w:hAnsi="Times New Roman" w:cs="Times New Roman"/>
                      <w:b/>
                      <w:bCs/>
                      <w:color w:val="FF0000"/>
                      <w:sz w:val="21"/>
                      <w:szCs w:val="21"/>
                    </w:rPr>
                    <w:t>废物类别</w:t>
                  </w:r>
                </w:p>
              </w:tc>
              <w:tc>
                <w:tcPr>
                  <w:tcW w:w="690" w:type="pct"/>
                  <w:vAlign w:val="center"/>
                </w:tcPr>
                <w:p w14:paraId="4059A30F">
                  <w:pPr>
                    <w:adjustRightInd w:val="0"/>
                    <w:snapToGrid w:val="0"/>
                    <w:jc w:val="center"/>
                    <w:rPr>
                      <w:rFonts w:hint="default" w:ascii="Times New Roman" w:hAnsi="Times New Roman" w:cs="Times New Roman"/>
                      <w:b/>
                      <w:bCs/>
                      <w:color w:val="FF0000"/>
                      <w:sz w:val="21"/>
                      <w:szCs w:val="21"/>
                    </w:rPr>
                  </w:pPr>
                  <w:r>
                    <w:rPr>
                      <w:rFonts w:hint="default" w:ascii="Times New Roman" w:hAnsi="Times New Roman" w:cs="Times New Roman"/>
                      <w:b/>
                      <w:bCs/>
                      <w:color w:val="FF0000"/>
                      <w:sz w:val="21"/>
                      <w:szCs w:val="21"/>
                    </w:rPr>
                    <w:t>废物代码</w:t>
                  </w:r>
                </w:p>
              </w:tc>
              <w:tc>
                <w:tcPr>
                  <w:tcW w:w="471" w:type="pct"/>
                  <w:vAlign w:val="center"/>
                </w:tcPr>
                <w:p w14:paraId="010E4E60">
                  <w:pPr>
                    <w:adjustRightInd w:val="0"/>
                    <w:snapToGrid w:val="0"/>
                    <w:jc w:val="center"/>
                    <w:rPr>
                      <w:rFonts w:hint="default" w:ascii="Times New Roman" w:hAnsi="Times New Roman" w:cs="Times New Roman"/>
                      <w:b/>
                      <w:bCs/>
                      <w:color w:val="FF0000"/>
                      <w:sz w:val="21"/>
                      <w:szCs w:val="21"/>
                    </w:rPr>
                  </w:pPr>
                  <w:r>
                    <w:rPr>
                      <w:rFonts w:hint="default" w:ascii="Times New Roman" w:hAnsi="Times New Roman" w:cs="Times New Roman"/>
                      <w:b/>
                      <w:bCs/>
                      <w:color w:val="FF0000"/>
                      <w:sz w:val="21"/>
                      <w:szCs w:val="21"/>
                    </w:rPr>
                    <w:t>估算产生量（t/a）</w:t>
                  </w:r>
                </w:p>
              </w:tc>
            </w:tr>
            <w:tr w14:paraId="71E84E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7" w:type="pct"/>
                  <w:vAlign w:val="center"/>
                </w:tcPr>
                <w:p w14:paraId="174A6D56">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1</w:t>
                  </w:r>
                </w:p>
              </w:tc>
              <w:tc>
                <w:tcPr>
                  <w:tcW w:w="559" w:type="pct"/>
                  <w:vAlign w:val="center"/>
                </w:tcPr>
                <w:p w14:paraId="3EC3BFDD">
                  <w:pPr>
                    <w:adjustRightInd w:val="0"/>
                    <w:snapToGrid w:val="0"/>
                    <w:jc w:val="center"/>
                    <w:rPr>
                      <w:rFonts w:hint="default" w:ascii="Times New Roman" w:hAnsi="Times New Roman" w:cs="Times New Roman"/>
                      <w:color w:val="FF0000"/>
                      <w:sz w:val="21"/>
                      <w:szCs w:val="21"/>
                    </w:rPr>
                  </w:pPr>
                  <w:r>
                    <w:rPr>
                      <w:rFonts w:hint="default" w:ascii="Times New Roman" w:hAnsi="Times New Roman" w:cs="Times New Roman" w:eastAsiaTheme="minorEastAsia"/>
                      <w:color w:val="FF0000"/>
                      <w:szCs w:val="21"/>
                    </w:rPr>
                    <w:t>废包装材料</w:t>
                  </w:r>
                </w:p>
              </w:tc>
              <w:tc>
                <w:tcPr>
                  <w:tcW w:w="356" w:type="pct"/>
                  <w:vMerge w:val="restart"/>
                  <w:tcBorders>
                    <w:top w:val="single" w:color="auto" w:sz="4" w:space="0"/>
                  </w:tcBorders>
                  <w:vAlign w:val="center"/>
                </w:tcPr>
                <w:p w14:paraId="72DFCBAF">
                  <w:pPr>
                    <w:adjustRightInd w:val="0"/>
                    <w:snapToGrid w:val="0"/>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一般固废</w:t>
                  </w:r>
                </w:p>
              </w:tc>
              <w:tc>
                <w:tcPr>
                  <w:tcW w:w="487" w:type="pct"/>
                  <w:vAlign w:val="center"/>
                </w:tcPr>
                <w:p w14:paraId="32AAC792">
                  <w:pPr>
                    <w:pStyle w:val="6"/>
                    <w:adjustRightInd w:val="0"/>
                    <w:snapToGrid w:val="0"/>
                    <w:ind w:firstLine="0" w:firstLineChars="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cs="Times New Roman"/>
                      <w:color w:val="FF0000"/>
                      <w:sz w:val="21"/>
                      <w:szCs w:val="21"/>
                      <w:lang w:val="en-US" w:eastAsia="zh-CN"/>
                    </w:rPr>
                    <w:t>原料包装</w:t>
                  </w:r>
                </w:p>
              </w:tc>
              <w:tc>
                <w:tcPr>
                  <w:tcW w:w="317" w:type="pct"/>
                  <w:vAlign w:val="center"/>
                </w:tcPr>
                <w:p w14:paraId="2BC9BCCD">
                  <w:pPr>
                    <w:pStyle w:val="6"/>
                    <w:adjustRightInd w:val="0"/>
                    <w:snapToGrid w:val="0"/>
                    <w:ind w:firstLine="0" w:firstLineChars="0"/>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cs="Times New Roman"/>
                      <w:color w:val="FF0000"/>
                      <w:sz w:val="21"/>
                      <w:szCs w:val="21"/>
                      <w:lang w:val="en-US" w:eastAsia="zh-CN"/>
                    </w:rPr>
                    <w:t>固</w:t>
                  </w:r>
                </w:p>
              </w:tc>
              <w:tc>
                <w:tcPr>
                  <w:tcW w:w="526" w:type="pct"/>
                  <w:vAlign w:val="center"/>
                </w:tcPr>
                <w:p w14:paraId="40C0744D">
                  <w:pPr>
                    <w:pStyle w:val="6"/>
                    <w:adjustRightInd w:val="0"/>
                    <w:snapToGrid w:val="0"/>
                    <w:ind w:firstLine="0" w:firstLineChars="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cs="Times New Roman"/>
                      <w:color w:val="FF0000"/>
                      <w:sz w:val="21"/>
                      <w:szCs w:val="21"/>
                      <w:lang w:val="en-US" w:eastAsia="zh-CN"/>
                    </w:rPr>
                    <w:t>塑料</w:t>
                  </w:r>
                </w:p>
              </w:tc>
              <w:tc>
                <w:tcPr>
                  <w:tcW w:w="648" w:type="pct"/>
                  <w:vMerge w:val="restart"/>
                  <w:vAlign w:val="center"/>
                </w:tcPr>
                <w:p w14:paraId="3114BC67">
                  <w:pPr>
                    <w:adjustRightInd w:val="0"/>
                    <w:snapToGrid w:val="0"/>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《固体废物分类与代码目录》</w:t>
                  </w:r>
                </w:p>
              </w:tc>
              <w:tc>
                <w:tcPr>
                  <w:tcW w:w="333" w:type="pct"/>
                  <w:vAlign w:val="center"/>
                </w:tcPr>
                <w:p w14:paraId="328D6514">
                  <w:pPr>
                    <w:snapToGrid w:val="0"/>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w:t>
                  </w:r>
                </w:p>
              </w:tc>
              <w:tc>
                <w:tcPr>
                  <w:tcW w:w="409" w:type="pct"/>
                  <w:vAlign w:val="center"/>
                </w:tcPr>
                <w:p w14:paraId="2B3F2007">
                  <w:pPr>
                    <w:snapToGrid w:val="0"/>
                    <w:jc w:val="center"/>
                    <w:rPr>
                      <w:rFonts w:hint="default" w:ascii="Times New Roman" w:hAnsi="Times New Roman" w:eastAsia="宋体" w:cs="Times New Roman"/>
                      <w:color w:val="FF0000"/>
                      <w:sz w:val="21"/>
                      <w:szCs w:val="21"/>
                      <w:lang w:val="en-US" w:eastAsia="zh-CN"/>
                    </w:rPr>
                  </w:pPr>
                  <w:r>
                    <w:rPr>
                      <w:rFonts w:hint="eastAsia" w:cs="Times New Roman"/>
                      <w:color w:val="FF0000"/>
                      <w:sz w:val="21"/>
                      <w:szCs w:val="21"/>
                      <w:lang w:val="en-US" w:eastAsia="zh-CN"/>
                    </w:rPr>
                    <w:t>SW17</w:t>
                  </w:r>
                </w:p>
              </w:tc>
              <w:tc>
                <w:tcPr>
                  <w:tcW w:w="690" w:type="pct"/>
                  <w:vAlign w:val="center"/>
                </w:tcPr>
                <w:p w14:paraId="71780ED4">
                  <w:pPr>
                    <w:snapToGrid w:val="0"/>
                    <w:jc w:val="center"/>
                    <w:rPr>
                      <w:rFonts w:hint="default" w:ascii="Times New Roman" w:hAnsi="Times New Roman" w:eastAsia="宋体" w:cs="Times New Roman"/>
                      <w:color w:val="FF0000"/>
                      <w:sz w:val="21"/>
                      <w:szCs w:val="21"/>
                      <w:lang w:val="en-US" w:eastAsia="zh-CN"/>
                    </w:rPr>
                  </w:pPr>
                  <w:r>
                    <w:rPr>
                      <w:rFonts w:hint="eastAsia" w:cs="Times New Roman"/>
                      <w:color w:val="FF0000"/>
                      <w:sz w:val="21"/>
                      <w:szCs w:val="21"/>
                      <w:lang w:val="en-US" w:eastAsia="zh-CN"/>
                    </w:rPr>
                    <w:t>900-003-S17</w:t>
                  </w:r>
                </w:p>
              </w:tc>
              <w:tc>
                <w:tcPr>
                  <w:tcW w:w="827" w:type="dxa"/>
                  <w:vAlign w:val="center"/>
                </w:tcPr>
                <w:p w14:paraId="12EBBC3B">
                  <w:pPr>
                    <w:adjustRightInd w:val="0"/>
                    <w:snapToGrid w:val="0"/>
                    <w:jc w:val="center"/>
                    <w:rPr>
                      <w:rFonts w:hint="default" w:ascii="Times New Roman" w:hAnsi="Times New Roman" w:cs="Times New Roman"/>
                      <w:color w:val="FF0000"/>
                      <w:sz w:val="21"/>
                      <w:szCs w:val="21"/>
                      <w:lang w:val="en-US" w:eastAsia="zh-CN"/>
                    </w:rPr>
                  </w:pPr>
                  <w:r>
                    <w:rPr>
                      <w:rFonts w:hint="eastAsia" w:eastAsia="仿宋" w:cs="Times New Roman"/>
                      <w:b w:val="0"/>
                      <w:bCs/>
                      <w:color w:val="FF0000"/>
                      <w:kern w:val="2"/>
                      <w:sz w:val="21"/>
                      <w:szCs w:val="21"/>
                      <w:lang w:val="en-US" w:eastAsia="zh-CN" w:bidi="ar-SA"/>
                    </w:rPr>
                    <w:t>108</w:t>
                  </w:r>
                </w:p>
              </w:tc>
            </w:tr>
            <w:tr w14:paraId="29CED2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7" w:type="pct"/>
                  <w:vAlign w:val="center"/>
                </w:tcPr>
                <w:p w14:paraId="0A0CD871">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2</w:t>
                  </w:r>
                </w:p>
              </w:tc>
              <w:tc>
                <w:tcPr>
                  <w:tcW w:w="559" w:type="pct"/>
                  <w:vAlign w:val="center"/>
                </w:tcPr>
                <w:p w14:paraId="3B82413F">
                  <w:pPr>
                    <w:adjustRightInd w:val="0"/>
                    <w:snapToGrid w:val="0"/>
                    <w:jc w:val="center"/>
                    <w:rPr>
                      <w:rFonts w:hint="eastAsia"/>
                      <w:color w:val="FF0000"/>
                      <w:szCs w:val="21"/>
                    </w:rPr>
                  </w:pPr>
                  <w:r>
                    <w:rPr>
                      <w:rFonts w:hint="default" w:ascii="Times New Roman" w:hAnsi="Times New Roman" w:cs="Times New Roman" w:eastAsiaTheme="minorEastAsia"/>
                      <w:color w:val="FF0000"/>
                      <w:szCs w:val="21"/>
                    </w:rPr>
                    <w:t>边角料</w:t>
                  </w:r>
                </w:p>
              </w:tc>
              <w:tc>
                <w:tcPr>
                  <w:tcW w:w="356" w:type="pct"/>
                  <w:vMerge w:val="continue"/>
                  <w:vAlign w:val="center"/>
                </w:tcPr>
                <w:p w14:paraId="50C989C7">
                  <w:pPr>
                    <w:adjustRightInd w:val="0"/>
                    <w:snapToGrid w:val="0"/>
                    <w:jc w:val="center"/>
                    <w:rPr>
                      <w:rFonts w:hint="default" w:ascii="Times New Roman" w:hAnsi="Times New Roman" w:cs="Times New Roman"/>
                      <w:color w:val="FF0000"/>
                      <w:sz w:val="21"/>
                      <w:szCs w:val="21"/>
                    </w:rPr>
                  </w:pPr>
                </w:p>
              </w:tc>
              <w:tc>
                <w:tcPr>
                  <w:tcW w:w="487" w:type="pct"/>
                  <w:vAlign w:val="center"/>
                </w:tcPr>
                <w:p w14:paraId="1F721B61">
                  <w:pPr>
                    <w:pStyle w:val="6"/>
                    <w:adjustRightInd w:val="0"/>
                    <w:snapToGrid w:val="0"/>
                    <w:ind w:firstLine="0" w:firstLineChars="0"/>
                    <w:jc w:val="center"/>
                    <w:rPr>
                      <w:rFonts w:hint="eastAsia" w:ascii="Times New Roman" w:hAnsi="Times New Roman" w:cs="Times New Roman"/>
                      <w:color w:val="FF0000"/>
                      <w:sz w:val="21"/>
                      <w:szCs w:val="21"/>
                      <w:lang w:val="en-US" w:eastAsia="zh-CN"/>
                    </w:rPr>
                  </w:pPr>
                  <w:r>
                    <w:rPr>
                      <w:rFonts w:hint="eastAsia" w:ascii="Times New Roman" w:hAnsi="Times New Roman" w:cs="Times New Roman"/>
                      <w:color w:val="FF0000"/>
                      <w:kern w:val="2"/>
                      <w:sz w:val="21"/>
                      <w:szCs w:val="21"/>
                      <w:lang w:val="en-US" w:eastAsia="zh-CN" w:bidi="ar-SA"/>
                    </w:rPr>
                    <w:t>挤出</w:t>
                  </w:r>
                </w:p>
              </w:tc>
              <w:tc>
                <w:tcPr>
                  <w:tcW w:w="317" w:type="pct"/>
                  <w:vAlign w:val="center"/>
                </w:tcPr>
                <w:p w14:paraId="3D6A4ECD">
                  <w:pPr>
                    <w:pStyle w:val="6"/>
                    <w:adjustRightInd w:val="0"/>
                    <w:snapToGrid w:val="0"/>
                    <w:ind w:firstLine="0" w:firstLineChars="0"/>
                    <w:jc w:val="center"/>
                    <w:rPr>
                      <w:rFonts w:hint="default" w:ascii="Times New Roman" w:hAnsi="Times New Roman" w:cs="Times New Roman"/>
                      <w:color w:val="FF0000"/>
                      <w:sz w:val="21"/>
                      <w:szCs w:val="21"/>
                      <w:lang w:val="en-US" w:eastAsia="zh-CN"/>
                    </w:rPr>
                  </w:pPr>
                  <w:r>
                    <w:rPr>
                      <w:rFonts w:hint="default" w:ascii="Times New Roman" w:hAnsi="Times New Roman" w:cs="Times New Roman"/>
                      <w:color w:val="FF0000"/>
                      <w:sz w:val="21"/>
                      <w:szCs w:val="21"/>
                      <w:lang w:val="en-US" w:eastAsia="zh-CN"/>
                    </w:rPr>
                    <w:t>固</w:t>
                  </w:r>
                </w:p>
              </w:tc>
              <w:tc>
                <w:tcPr>
                  <w:tcW w:w="526" w:type="pct"/>
                  <w:vAlign w:val="center"/>
                </w:tcPr>
                <w:p w14:paraId="2972AF70">
                  <w:pPr>
                    <w:pStyle w:val="6"/>
                    <w:adjustRightInd w:val="0"/>
                    <w:snapToGrid w:val="0"/>
                    <w:ind w:firstLine="0" w:firstLineChars="0"/>
                    <w:jc w:val="center"/>
                    <w:rPr>
                      <w:rFonts w:hint="eastAsia" w:ascii="Times New Roman" w:hAnsi="Times New Roman" w:cs="Times New Roman"/>
                      <w:color w:val="FF0000"/>
                      <w:sz w:val="21"/>
                      <w:szCs w:val="21"/>
                      <w:lang w:val="en-US" w:eastAsia="zh-CN"/>
                    </w:rPr>
                  </w:pPr>
                  <w:r>
                    <w:rPr>
                      <w:rFonts w:hint="eastAsia" w:ascii="Times New Roman" w:hAnsi="Times New Roman" w:cs="Times New Roman"/>
                      <w:color w:val="FF0000"/>
                      <w:sz w:val="21"/>
                      <w:szCs w:val="21"/>
                      <w:lang w:val="en-US" w:eastAsia="zh-CN"/>
                    </w:rPr>
                    <w:t>塑料</w:t>
                  </w:r>
                </w:p>
              </w:tc>
              <w:tc>
                <w:tcPr>
                  <w:tcW w:w="648" w:type="pct"/>
                  <w:vMerge w:val="continue"/>
                  <w:vAlign w:val="center"/>
                </w:tcPr>
                <w:p w14:paraId="463A54D1">
                  <w:pPr>
                    <w:adjustRightInd w:val="0"/>
                    <w:snapToGrid w:val="0"/>
                    <w:jc w:val="center"/>
                    <w:rPr>
                      <w:rFonts w:hint="default" w:ascii="Times New Roman" w:hAnsi="Times New Roman" w:cs="Times New Roman"/>
                      <w:color w:val="FF0000"/>
                      <w:sz w:val="21"/>
                      <w:szCs w:val="21"/>
                    </w:rPr>
                  </w:pPr>
                </w:p>
              </w:tc>
              <w:tc>
                <w:tcPr>
                  <w:tcW w:w="584" w:type="dxa"/>
                  <w:vAlign w:val="center"/>
                </w:tcPr>
                <w:p w14:paraId="7EDEBFA5">
                  <w:pPr>
                    <w:snapToGrid w:val="0"/>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w:t>
                  </w:r>
                </w:p>
              </w:tc>
              <w:tc>
                <w:tcPr>
                  <w:tcW w:w="718" w:type="dxa"/>
                  <w:vAlign w:val="center"/>
                </w:tcPr>
                <w:p w14:paraId="73690096">
                  <w:pPr>
                    <w:snapToGrid w:val="0"/>
                    <w:jc w:val="center"/>
                    <w:rPr>
                      <w:rFonts w:hint="eastAsia" w:cs="Times New Roman"/>
                      <w:color w:val="FF0000"/>
                      <w:sz w:val="21"/>
                      <w:szCs w:val="21"/>
                      <w:lang w:val="en-US" w:eastAsia="zh-CN"/>
                    </w:rPr>
                  </w:pPr>
                  <w:r>
                    <w:rPr>
                      <w:rFonts w:hint="eastAsia" w:cs="Times New Roman"/>
                      <w:color w:val="FF0000"/>
                      <w:sz w:val="21"/>
                      <w:szCs w:val="21"/>
                      <w:lang w:val="en-US" w:eastAsia="zh-CN"/>
                    </w:rPr>
                    <w:t>SW17</w:t>
                  </w:r>
                </w:p>
              </w:tc>
              <w:tc>
                <w:tcPr>
                  <w:tcW w:w="1211" w:type="dxa"/>
                  <w:vAlign w:val="center"/>
                </w:tcPr>
                <w:p w14:paraId="06510A3B">
                  <w:pPr>
                    <w:snapToGrid w:val="0"/>
                    <w:jc w:val="center"/>
                    <w:rPr>
                      <w:rFonts w:hint="eastAsia" w:cs="Times New Roman"/>
                      <w:color w:val="FF0000"/>
                      <w:sz w:val="21"/>
                      <w:szCs w:val="21"/>
                      <w:lang w:val="en-US" w:eastAsia="zh-CN"/>
                    </w:rPr>
                  </w:pPr>
                  <w:r>
                    <w:rPr>
                      <w:rFonts w:hint="eastAsia" w:cs="Times New Roman"/>
                      <w:color w:val="FF0000"/>
                      <w:sz w:val="21"/>
                      <w:szCs w:val="21"/>
                      <w:lang w:val="en-US" w:eastAsia="zh-CN"/>
                    </w:rPr>
                    <w:t>900-003-S17</w:t>
                  </w:r>
                </w:p>
              </w:tc>
              <w:tc>
                <w:tcPr>
                  <w:tcW w:w="827" w:type="dxa"/>
                  <w:vAlign w:val="center"/>
                </w:tcPr>
                <w:p w14:paraId="05955A67">
                  <w:pPr>
                    <w:adjustRightInd w:val="0"/>
                    <w:snapToGrid w:val="0"/>
                    <w:jc w:val="center"/>
                    <w:rPr>
                      <w:rFonts w:hint="eastAsia" w:cs="Times New Roman"/>
                      <w:bCs/>
                      <w:color w:val="FF0000"/>
                      <w:kern w:val="2"/>
                      <w:sz w:val="21"/>
                      <w:szCs w:val="21"/>
                      <w:lang w:val="en-US" w:eastAsia="zh-CN" w:bidi="ar-SA"/>
                    </w:rPr>
                  </w:pPr>
                  <w:r>
                    <w:rPr>
                      <w:rFonts w:hint="eastAsia" w:cs="Times New Roman"/>
                      <w:b w:val="0"/>
                      <w:bCs/>
                      <w:color w:val="FF0000"/>
                      <w:kern w:val="2"/>
                      <w:sz w:val="21"/>
                      <w:szCs w:val="21"/>
                      <w:lang w:val="en-US" w:eastAsia="zh-CN" w:bidi="ar-SA"/>
                    </w:rPr>
                    <w:t>4</w:t>
                  </w:r>
                </w:p>
              </w:tc>
            </w:tr>
            <w:tr w14:paraId="377828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7" w:type="pct"/>
                  <w:vAlign w:val="center"/>
                </w:tcPr>
                <w:p w14:paraId="3A614B99">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FF0000"/>
                      <w:sz w:val="21"/>
                      <w:szCs w:val="21"/>
                      <w:lang w:val="en-US" w:eastAsia="zh-CN"/>
                    </w:rPr>
                  </w:pPr>
                  <w:r>
                    <w:rPr>
                      <w:rFonts w:hint="default" w:ascii="Times New Roman" w:hAnsi="Times New Roman" w:cs="Times New Roman"/>
                      <w:color w:val="FF0000"/>
                      <w:sz w:val="21"/>
                      <w:szCs w:val="21"/>
                      <w:lang w:val="en-US" w:eastAsia="zh-CN"/>
                    </w:rPr>
                    <w:t>3</w:t>
                  </w:r>
                </w:p>
              </w:tc>
              <w:tc>
                <w:tcPr>
                  <w:tcW w:w="559" w:type="pct"/>
                  <w:vAlign w:val="center"/>
                </w:tcPr>
                <w:p w14:paraId="48B577FC">
                  <w:pPr>
                    <w:pStyle w:val="6"/>
                    <w:adjustRightInd w:val="0"/>
                    <w:snapToGrid w:val="0"/>
                    <w:ind w:firstLine="0" w:firstLineChars="0"/>
                    <w:jc w:val="center"/>
                    <w:rPr>
                      <w:rFonts w:hint="eastAsia" w:ascii="Times New Roman" w:hAnsi="Times New Roman" w:eastAsia="宋体" w:cs="Times New Roman"/>
                      <w:color w:val="FF0000"/>
                      <w:sz w:val="21"/>
                      <w:szCs w:val="21"/>
                      <w:lang w:eastAsia="zh-CN"/>
                    </w:rPr>
                  </w:pPr>
                  <w:r>
                    <w:rPr>
                      <w:rFonts w:hint="default" w:ascii="Times New Roman" w:hAnsi="Times New Roman" w:cs="Times New Roman"/>
                      <w:color w:val="FF0000"/>
                      <w:sz w:val="21"/>
                      <w:szCs w:val="21"/>
                      <w:lang w:val="en-US" w:eastAsia="zh-CN"/>
                    </w:rPr>
                    <w:t>废活性炭</w:t>
                  </w:r>
                </w:p>
              </w:tc>
              <w:tc>
                <w:tcPr>
                  <w:tcW w:w="356" w:type="pct"/>
                  <w:vMerge w:val="restart"/>
                  <w:vAlign w:val="center"/>
                </w:tcPr>
                <w:p w14:paraId="164DCC58">
                  <w:pPr>
                    <w:adjustRightInd w:val="0"/>
                    <w:snapToGrid w:val="0"/>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危险固废</w:t>
                  </w:r>
                </w:p>
                <w:p w14:paraId="058173C6">
                  <w:pPr>
                    <w:adjustRightInd w:val="0"/>
                    <w:snapToGrid w:val="0"/>
                    <w:jc w:val="center"/>
                    <w:rPr>
                      <w:rFonts w:hint="eastAsia" w:ascii="Times New Roman" w:hAnsi="Times New Roman" w:eastAsia="宋体" w:cs="Times New Roman"/>
                      <w:color w:val="FF0000"/>
                      <w:sz w:val="21"/>
                      <w:szCs w:val="21"/>
                      <w:lang w:val="en-US" w:eastAsia="zh-CN"/>
                    </w:rPr>
                  </w:pPr>
                </w:p>
              </w:tc>
              <w:tc>
                <w:tcPr>
                  <w:tcW w:w="487" w:type="pct"/>
                  <w:vAlign w:val="center"/>
                </w:tcPr>
                <w:p w14:paraId="25FA98CB">
                  <w:pPr>
                    <w:pStyle w:val="6"/>
                    <w:adjustRightInd w:val="0"/>
                    <w:snapToGrid w:val="0"/>
                    <w:ind w:firstLine="0" w:firstLineChars="0"/>
                    <w:jc w:val="center"/>
                    <w:rPr>
                      <w:rFonts w:hint="eastAsia" w:ascii="Times New Roman" w:hAnsi="Times New Roman" w:cs="Times New Roman"/>
                      <w:color w:val="FF0000"/>
                      <w:sz w:val="21"/>
                      <w:szCs w:val="21"/>
                      <w:lang w:val="en-US" w:eastAsia="zh-CN"/>
                    </w:rPr>
                  </w:pPr>
                  <w:r>
                    <w:rPr>
                      <w:rFonts w:hint="default" w:ascii="Times New Roman" w:hAnsi="Times New Roman" w:cs="Times New Roman"/>
                      <w:color w:val="FF0000"/>
                      <w:sz w:val="21"/>
                      <w:szCs w:val="21"/>
                      <w:lang w:val="en-US" w:eastAsia="zh-CN"/>
                    </w:rPr>
                    <w:t>废气处理</w:t>
                  </w:r>
                </w:p>
              </w:tc>
              <w:tc>
                <w:tcPr>
                  <w:tcW w:w="317" w:type="pct"/>
                  <w:vAlign w:val="center"/>
                </w:tcPr>
                <w:p w14:paraId="44D14B8B">
                  <w:pPr>
                    <w:pStyle w:val="6"/>
                    <w:adjustRightInd w:val="0"/>
                    <w:snapToGrid w:val="0"/>
                    <w:ind w:firstLine="0" w:firstLineChars="0"/>
                    <w:jc w:val="center"/>
                    <w:rPr>
                      <w:rFonts w:hint="default" w:ascii="Times New Roman" w:hAnsi="Times New Roman" w:eastAsia="宋体" w:cs="Times New Roman"/>
                      <w:color w:val="FF0000"/>
                      <w:sz w:val="21"/>
                      <w:szCs w:val="21"/>
                      <w:lang w:val="en-US" w:eastAsia="zh-CN"/>
                    </w:rPr>
                  </w:pPr>
                  <w:r>
                    <w:rPr>
                      <w:rFonts w:hint="default" w:ascii="Times New Roman" w:hAnsi="Times New Roman" w:cs="Times New Roman"/>
                      <w:color w:val="FF0000"/>
                      <w:sz w:val="21"/>
                      <w:szCs w:val="21"/>
                      <w:lang w:val="en-US" w:eastAsia="zh-CN"/>
                    </w:rPr>
                    <w:t>固</w:t>
                  </w:r>
                </w:p>
              </w:tc>
              <w:tc>
                <w:tcPr>
                  <w:tcW w:w="526" w:type="pct"/>
                  <w:vAlign w:val="center"/>
                </w:tcPr>
                <w:p w14:paraId="6F519351">
                  <w:pPr>
                    <w:pStyle w:val="6"/>
                    <w:adjustRightInd w:val="0"/>
                    <w:snapToGrid w:val="0"/>
                    <w:ind w:firstLine="0" w:firstLineChars="0"/>
                    <w:jc w:val="center"/>
                    <w:rPr>
                      <w:rFonts w:hint="eastAsia" w:ascii="Times New Roman" w:hAnsi="Times New Roman" w:eastAsia="宋体" w:cs="Times New Roman"/>
                      <w:color w:val="FF0000"/>
                      <w:sz w:val="21"/>
                      <w:szCs w:val="21"/>
                      <w:lang w:eastAsia="zh-CN"/>
                    </w:rPr>
                  </w:pPr>
                  <w:r>
                    <w:rPr>
                      <w:rFonts w:hint="default" w:ascii="Times New Roman" w:hAnsi="Times New Roman" w:cs="Times New Roman"/>
                      <w:color w:val="FF0000"/>
                      <w:sz w:val="21"/>
                      <w:szCs w:val="21"/>
                      <w:lang w:val="en-US" w:eastAsia="zh-CN"/>
                    </w:rPr>
                    <w:t>废活性炭</w:t>
                  </w:r>
                </w:p>
              </w:tc>
              <w:tc>
                <w:tcPr>
                  <w:tcW w:w="648" w:type="pct"/>
                  <w:vMerge w:val="restart"/>
                  <w:vAlign w:val="center"/>
                </w:tcPr>
                <w:p w14:paraId="1EA1D7C9">
                  <w:pPr>
                    <w:adjustRightInd w:val="0"/>
                    <w:snapToGrid w:val="0"/>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《国家危险废物名录》（202</w:t>
                  </w:r>
                  <w:r>
                    <w:rPr>
                      <w:rFonts w:hint="eastAsia" w:cs="Times New Roman"/>
                      <w:color w:val="FF0000"/>
                      <w:sz w:val="21"/>
                      <w:szCs w:val="21"/>
                      <w:lang w:val="en-US" w:eastAsia="zh-CN"/>
                    </w:rPr>
                    <w:t>5</w:t>
                  </w:r>
                  <w:r>
                    <w:rPr>
                      <w:rFonts w:hint="default" w:ascii="Times New Roman" w:hAnsi="Times New Roman" w:cs="Times New Roman"/>
                      <w:color w:val="FF0000"/>
                      <w:sz w:val="21"/>
                      <w:szCs w:val="21"/>
                    </w:rPr>
                    <w:t>年）</w:t>
                  </w:r>
                </w:p>
              </w:tc>
              <w:tc>
                <w:tcPr>
                  <w:tcW w:w="333" w:type="pct"/>
                  <w:vAlign w:val="center"/>
                </w:tcPr>
                <w:p w14:paraId="3C924892">
                  <w:pPr>
                    <w:snapToGrid w:val="0"/>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cs="Times New Roman"/>
                      <w:color w:val="FF0000"/>
                      <w:sz w:val="21"/>
                      <w:szCs w:val="21"/>
                    </w:rPr>
                    <w:t>T</w:t>
                  </w:r>
                </w:p>
              </w:tc>
              <w:tc>
                <w:tcPr>
                  <w:tcW w:w="409" w:type="pct"/>
                  <w:vAlign w:val="center"/>
                </w:tcPr>
                <w:p w14:paraId="7684E390">
                  <w:pPr>
                    <w:snapToGrid w:val="0"/>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cs="Times New Roman"/>
                      <w:color w:val="FF0000"/>
                      <w:sz w:val="21"/>
                      <w:szCs w:val="21"/>
                    </w:rPr>
                    <w:t>HW49</w:t>
                  </w:r>
                </w:p>
              </w:tc>
              <w:tc>
                <w:tcPr>
                  <w:tcW w:w="690" w:type="pct"/>
                  <w:vAlign w:val="center"/>
                </w:tcPr>
                <w:p w14:paraId="77BDAC53">
                  <w:pPr>
                    <w:snapToGrid w:val="0"/>
                    <w:jc w:val="center"/>
                    <w:rPr>
                      <w:bCs/>
                      <w:color w:val="FF0000"/>
                      <w:sz w:val="21"/>
                      <w:szCs w:val="21"/>
                    </w:rPr>
                  </w:pPr>
                  <w:r>
                    <w:rPr>
                      <w:rFonts w:hint="default" w:ascii="Times New Roman" w:hAnsi="Times New Roman" w:cs="Times New Roman"/>
                      <w:color w:val="FF0000"/>
                      <w:sz w:val="21"/>
                      <w:szCs w:val="21"/>
                    </w:rPr>
                    <w:t>900-039-49</w:t>
                  </w:r>
                </w:p>
              </w:tc>
              <w:tc>
                <w:tcPr>
                  <w:tcW w:w="471" w:type="pct"/>
                  <w:vAlign w:val="center"/>
                </w:tcPr>
                <w:p w14:paraId="632930D7">
                  <w:pPr>
                    <w:adjustRightInd w:val="0"/>
                    <w:snapToGrid w:val="0"/>
                    <w:jc w:val="center"/>
                    <w:rPr>
                      <w:rFonts w:hint="default" w:cs="Times New Roman"/>
                      <w:color w:val="FF0000"/>
                      <w:kern w:val="2"/>
                      <w:sz w:val="21"/>
                      <w:szCs w:val="21"/>
                      <w:lang w:val="en-US" w:eastAsia="zh-CN" w:bidi="ar-SA"/>
                    </w:rPr>
                  </w:pPr>
                  <w:r>
                    <w:rPr>
                      <w:rFonts w:hint="eastAsia" w:cs="Times New Roman"/>
                      <w:color w:val="FF0000"/>
                      <w:kern w:val="0"/>
                      <w:sz w:val="21"/>
                      <w:szCs w:val="21"/>
                      <w:lang w:val="en-US" w:eastAsia="zh-CN" w:bidi="ar-SA"/>
                    </w:rPr>
                    <w:t>84.227</w:t>
                  </w:r>
                </w:p>
              </w:tc>
            </w:tr>
            <w:tr w14:paraId="48D26C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7" w:type="pct"/>
                  <w:vAlign w:val="center"/>
                </w:tcPr>
                <w:p w14:paraId="248D0A78">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ascii="Times New Roman" w:hAnsi="Times New Roman" w:cs="Times New Roman"/>
                      <w:color w:val="FF0000"/>
                      <w:sz w:val="21"/>
                      <w:szCs w:val="21"/>
                      <w:lang w:val="en-US" w:eastAsia="zh-CN"/>
                    </w:rPr>
                  </w:pPr>
                  <w:r>
                    <w:rPr>
                      <w:rFonts w:hint="eastAsia" w:ascii="Times New Roman" w:hAnsi="Times New Roman" w:cs="Times New Roman"/>
                      <w:color w:val="FF0000"/>
                      <w:sz w:val="21"/>
                      <w:szCs w:val="21"/>
                      <w:lang w:val="en-US" w:eastAsia="zh-CN"/>
                    </w:rPr>
                    <w:t>4</w:t>
                  </w:r>
                </w:p>
              </w:tc>
              <w:tc>
                <w:tcPr>
                  <w:tcW w:w="559" w:type="pct"/>
                  <w:vAlign w:val="center"/>
                </w:tcPr>
                <w:p w14:paraId="6A8F270D">
                  <w:pPr>
                    <w:pStyle w:val="6"/>
                    <w:adjustRightInd w:val="0"/>
                    <w:snapToGrid w:val="0"/>
                    <w:ind w:firstLine="0" w:firstLineChars="0"/>
                    <w:jc w:val="center"/>
                    <w:rPr>
                      <w:rFonts w:hint="default" w:ascii="Times New Roman" w:hAnsi="Times New Roman" w:eastAsia="宋体" w:cs="Times New Roman"/>
                      <w:color w:val="FF0000"/>
                      <w:sz w:val="21"/>
                      <w:szCs w:val="21"/>
                      <w:lang w:val="en-US" w:eastAsia="zh-CN"/>
                    </w:rPr>
                  </w:pPr>
                  <w:r>
                    <w:rPr>
                      <w:rFonts w:hint="eastAsia" w:cs="Times New Roman"/>
                      <w:b w:val="0"/>
                      <w:bCs w:val="0"/>
                      <w:color w:val="FF0000"/>
                      <w:kern w:val="2"/>
                      <w:sz w:val="21"/>
                      <w:szCs w:val="21"/>
                      <w:lang w:val="en-US" w:eastAsia="zh-CN" w:bidi="ar-SA"/>
                    </w:rPr>
                    <w:t>废机油</w:t>
                  </w:r>
                </w:p>
              </w:tc>
              <w:tc>
                <w:tcPr>
                  <w:tcW w:w="356" w:type="pct"/>
                  <w:vMerge w:val="continue"/>
                  <w:vAlign w:val="center"/>
                </w:tcPr>
                <w:p w14:paraId="556B61A6">
                  <w:pPr>
                    <w:adjustRightInd w:val="0"/>
                    <w:snapToGrid w:val="0"/>
                    <w:jc w:val="center"/>
                    <w:rPr>
                      <w:rFonts w:hint="default" w:ascii="Times New Roman" w:hAnsi="Times New Roman" w:cs="Times New Roman"/>
                      <w:color w:val="FF0000"/>
                      <w:sz w:val="21"/>
                      <w:szCs w:val="21"/>
                    </w:rPr>
                  </w:pPr>
                </w:p>
              </w:tc>
              <w:tc>
                <w:tcPr>
                  <w:tcW w:w="487" w:type="pct"/>
                  <w:vAlign w:val="center"/>
                </w:tcPr>
                <w:p w14:paraId="710CEE04">
                  <w:pPr>
                    <w:adjustRightInd w:val="0"/>
                    <w:snapToGrid w:val="0"/>
                    <w:jc w:val="center"/>
                    <w:rPr>
                      <w:rFonts w:hint="eastAsia" w:ascii="Times New Roman" w:hAnsi="Times New Roman" w:eastAsia="宋体" w:cs="Times New Roman"/>
                      <w:color w:val="FF0000"/>
                      <w:sz w:val="21"/>
                      <w:szCs w:val="21"/>
                      <w:lang w:val="en-US" w:eastAsia="zh-CN"/>
                    </w:rPr>
                  </w:pPr>
                  <w:r>
                    <w:rPr>
                      <w:rFonts w:hint="eastAsia"/>
                      <w:color w:val="FF0000"/>
                    </w:rPr>
                    <w:t>设备保养</w:t>
                  </w:r>
                </w:p>
              </w:tc>
              <w:tc>
                <w:tcPr>
                  <w:tcW w:w="317" w:type="pct"/>
                  <w:vAlign w:val="center"/>
                </w:tcPr>
                <w:p w14:paraId="32E28B33">
                  <w:pPr>
                    <w:adjustRightInd w:val="0"/>
                    <w:snapToGrid w:val="0"/>
                    <w:jc w:val="center"/>
                    <w:rPr>
                      <w:rFonts w:hint="default" w:ascii="Times New Roman" w:hAnsi="Times New Roman" w:eastAsia="宋体" w:cs="Times New Roman"/>
                      <w:color w:val="FF0000"/>
                      <w:sz w:val="21"/>
                      <w:szCs w:val="21"/>
                    </w:rPr>
                  </w:pPr>
                  <w:r>
                    <w:rPr>
                      <w:rFonts w:hint="eastAsia"/>
                      <w:color w:val="FF0000"/>
                    </w:rPr>
                    <w:t>液</w:t>
                  </w:r>
                </w:p>
              </w:tc>
              <w:tc>
                <w:tcPr>
                  <w:tcW w:w="526" w:type="pct"/>
                  <w:vAlign w:val="center"/>
                </w:tcPr>
                <w:p w14:paraId="54FE910A">
                  <w:pPr>
                    <w:adjustRightInd w:val="0"/>
                    <w:snapToGrid w:val="0"/>
                    <w:jc w:val="center"/>
                    <w:rPr>
                      <w:rFonts w:hint="eastAsia" w:ascii="Times New Roman" w:hAnsi="Times New Roman" w:eastAsia="宋体" w:cs="Times New Roman"/>
                      <w:color w:val="FF0000"/>
                      <w:sz w:val="21"/>
                      <w:szCs w:val="21"/>
                      <w:lang w:val="en-US" w:eastAsia="zh-CN"/>
                    </w:rPr>
                  </w:pPr>
                  <w:r>
                    <w:rPr>
                      <w:rFonts w:hint="eastAsia"/>
                      <w:color w:val="FF0000"/>
                    </w:rPr>
                    <w:t>矿物油</w:t>
                  </w:r>
                </w:p>
              </w:tc>
              <w:tc>
                <w:tcPr>
                  <w:tcW w:w="648" w:type="pct"/>
                  <w:vMerge w:val="continue"/>
                  <w:vAlign w:val="center"/>
                </w:tcPr>
                <w:p w14:paraId="2885E132">
                  <w:pPr>
                    <w:adjustRightInd w:val="0"/>
                    <w:snapToGrid w:val="0"/>
                    <w:jc w:val="center"/>
                    <w:rPr>
                      <w:rFonts w:hint="default" w:ascii="Times New Roman" w:hAnsi="Times New Roman" w:cs="Times New Roman"/>
                      <w:color w:val="FF0000"/>
                      <w:sz w:val="21"/>
                      <w:szCs w:val="21"/>
                    </w:rPr>
                  </w:pPr>
                </w:p>
              </w:tc>
              <w:tc>
                <w:tcPr>
                  <w:tcW w:w="333" w:type="pct"/>
                  <w:vAlign w:val="center"/>
                </w:tcPr>
                <w:p w14:paraId="4D5A8C54">
                  <w:pPr>
                    <w:adjustRightInd w:val="0"/>
                    <w:snapToGrid w:val="0"/>
                    <w:jc w:val="center"/>
                    <w:rPr>
                      <w:rFonts w:hint="default" w:ascii="Times New Roman" w:hAnsi="Times New Roman" w:cs="Times New Roman"/>
                      <w:color w:val="FF0000"/>
                      <w:sz w:val="21"/>
                      <w:szCs w:val="21"/>
                    </w:rPr>
                  </w:pPr>
                  <w:r>
                    <w:rPr>
                      <w:color w:val="FF0000"/>
                    </w:rPr>
                    <w:t>T，I</w:t>
                  </w:r>
                </w:p>
              </w:tc>
              <w:tc>
                <w:tcPr>
                  <w:tcW w:w="409" w:type="pct"/>
                  <w:vAlign w:val="center"/>
                </w:tcPr>
                <w:p w14:paraId="137C4BB2">
                  <w:pPr>
                    <w:snapToGrid w:val="0"/>
                    <w:spacing w:line="300" w:lineRule="exact"/>
                    <w:jc w:val="center"/>
                    <w:rPr>
                      <w:rFonts w:hint="default" w:ascii="Times New Roman" w:hAnsi="Times New Roman" w:cs="Times New Roman"/>
                      <w:color w:val="FF0000"/>
                      <w:sz w:val="21"/>
                      <w:szCs w:val="21"/>
                    </w:rPr>
                  </w:pPr>
                  <w:r>
                    <w:rPr>
                      <w:color w:val="FF0000"/>
                    </w:rPr>
                    <w:t>HW</w:t>
                  </w:r>
                  <w:r>
                    <w:rPr>
                      <w:rFonts w:hint="eastAsia"/>
                      <w:color w:val="FF0000"/>
                    </w:rPr>
                    <w:t>08</w:t>
                  </w:r>
                </w:p>
              </w:tc>
              <w:tc>
                <w:tcPr>
                  <w:tcW w:w="690" w:type="pct"/>
                  <w:vAlign w:val="center"/>
                </w:tcPr>
                <w:p w14:paraId="7A407BE4">
                  <w:pPr>
                    <w:spacing w:line="300" w:lineRule="exact"/>
                    <w:jc w:val="center"/>
                    <w:rPr>
                      <w:rFonts w:hint="eastAsia" w:cs="Times New Roman"/>
                      <w:color w:val="FF0000"/>
                      <w:sz w:val="21"/>
                      <w:szCs w:val="21"/>
                      <w:lang w:val="en-US" w:eastAsia="zh-CN"/>
                    </w:rPr>
                  </w:pPr>
                  <w:r>
                    <w:rPr>
                      <w:rFonts w:hint="eastAsia"/>
                      <w:color w:val="FF0000"/>
                    </w:rPr>
                    <w:t>900-217-08</w:t>
                  </w:r>
                </w:p>
              </w:tc>
              <w:tc>
                <w:tcPr>
                  <w:tcW w:w="471" w:type="pct"/>
                  <w:vAlign w:val="center"/>
                </w:tcPr>
                <w:p w14:paraId="106E2595">
                  <w:pPr>
                    <w:adjustRightInd w:val="0"/>
                    <w:snapToGrid w:val="0"/>
                    <w:jc w:val="center"/>
                    <w:rPr>
                      <w:rFonts w:hint="eastAsia" w:cs="Times New Roman"/>
                      <w:b w:val="0"/>
                      <w:bCs/>
                      <w:color w:val="FF0000"/>
                      <w:sz w:val="21"/>
                      <w:szCs w:val="21"/>
                      <w:lang w:val="en-US" w:eastAsia="zh-CN"/>
                    </w:rPr>
                  </w:pPr>
                  <w:r>
                    <w:rPr>
                      <w:rFonts w:hint="eastAsia" w:cs="Times New Roman"/>
                      <w:color w:val="FF0000"/>
                      <w:kern w:val="0"/>
                      <w:sz w:val="21"/>
                      <w:szCs w:val="21"/>
                      <w:lang w:val="en-US" w:eastAsia="zh-CN" w:bidi="ar-SA"/>
                    </w:rPr>
                    <w:t>4.6</w:t>
                  </w:r>
                </w:p>
              </w:tc>
            </w:tr>
            <w:tr w14:paraId="515EBA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7" w:type="pct"/>
                  <w:vAlign w:val="center"/>
                </w:tcPr>
                <w:p w14:paraId="2FE57C31">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ascii="Times New Roman" w:hAnsi="Times New Roman" w:cs="Times New Roman"/>
                      <w:color w:val="FF0000"/>
                      <w:sz w:val="21"/>
                      <w:szCs w:val="21"/>
                      <w:lang w:val="en-US" w:eastAsia="zh-CN"/>
                    </w:rPr>
                  </w:pPr>
                  <w:r>
                    <w:rPr>
                      <w:rFonts w:hint="eastAsia" w:ascii="Times New Roman" w:hAnsi="Times New Roman" w:cs="Times New Roman"/>
                      <w:color w:val="FF0000"/>
                      <w:sz w:val="21"/>
                      <w:szCs w:val="21"/>
                      <w:lang w:val="en-US" w:eastAsia="zh-CN"/>
                    </w:rPr>
                    <w:t>5</w:t>
                  </w:r>
                </w:p>
              </w:tc>
              <w:tc>
                <w:tcPr>
                  <w:tcW w:w="559" w:type="pct"/>
                  <w:vAlign w:val="center"/>
                </w:tcPr>
                <w:p w14:paraId="500D4DE9">
                  <w:pPr>
                    <w:pStyle w:val="6"/>
                    <w:adjustRightInd w:val="0"/>
                    <w:snapToGrid w:val="0"/>
                    <w:ind w:firstLine="0" w:firstLineChars="0"/>
                    <w:jc w:val="center"/>
                    <w:rPr>
                      <w:rFonts w:hint="default" w:ascii="Times New Roman" w:hAnsi="Times New Roman" w:eastAsia="宋体" w:cs="Times New Roman"/>
                      <w:color w:val="FF0000"/>
                      <w:sz w:val="21"/>
                      <w:szCs w:val="21"/>
                      <w:lang w:val="en-US" w:eastAsia="zh-CN"/>
                    </w:rPr>
                  </w:pPr>
                  <w:r>
                    <w:rPr>
                      <w:rFonts w:hint="eastAsia" w:ascii="Times New Roman" w:hAnsi="Times New Roman" w:cs="Times New Roman"/>
                      <w:color w:val="FF0000"/>
                      <w:sz w:val="21"/>
                      <w:szCs w:val="21"/>
                      <w:lang w:val="en-US" w:eastAsia="zh-CN"/>
                    </w:rPr>
                    <w:t>废油桶</w:t>
                  </w:r>
                </w:p>
              </w:tc>
              <w:tc>
                <w:tcPr>
                  <w:tcW w:w="356" w:type="pct"/>
                  <w:vMerge w:val="continue"/>
                  <w:vAlign w:val="center"/>
                </w:tcPr>
                <w:p w14:paraId="09660B69">
                  <w:pPr>
                    <w:adjustRightInd w:val="0"/>
                    <w:snapToGrid w:val="0"/>
                    <w:jc w:val="center"/>
                    <w:rPr>
                      <w:rFonts w:hint="default" w:ascii="Times New Roman" w:hAnsi="Times New Roman" w:cs="Times New Roman"/>
                      <w:color w:val="FF0000"/>
                      <w:sz w:val="21"/>
                      <w:szCs w:val="21"/>
                    </w:rPr>
                  </w:pPr>
                </w:p>
              </w:tc>
              <w:tc>
                <w:tcPr>
                  <w:tcW w:w="487" w:type="pct"/>
                  <w:vAlign w:val="center"/>
                </w:tcPr>
                <w:p w14:paraId="27755937">
                  <w:pPr>
                    <w:pStyle w:val="6"/>
                    <w:adjustRightInd w:val="0"/>
                    <w:snapToGrid w:val="0"/>
                    <w:ind w:firstLine="0" w:firstLineChars="0"/>
                    <w:jc w:val="center"/>
                    <w:rPr>
                      <w:rFonts w:hint="eastAsia" w:ascii="Times New Roman" w:hAnsi="Times New Roman" w:eastAsia="宋体" w:cs="Times New Roman"/>
                      <w:color w:val="FF0000"/>
                      <w:sz w:val="21"/>
                      <w:szCs w:val="21"/>
                      <w:lang w:val="en-US" w:eastAsia="zh-CN"/>
                    </w:rPr>
                  </w:pPr>
                  <w:r>
                    <w:rPr>
                      <w:rFonts w:hint="eastAsia" w:ascii="Times New Roman" w:hAnsi="Times New Roman" w:cs="Times New Roman"/>
                      <w:color w:val="FF0000"/>
                      <w:sz w:val="21"/>
                      <w:szCs w:val="21"/>
                      <w:lang w:val="en-US" w:eastAsia="zh-CN"/>
                    </w:rPr>
                    <w:t>机油包装</w:t>
                  </w:r>
                </w:p>
              </w:tc>
              <w:tc>
                <w:tcPr>
                  <w:tcW w:w="317" w:type="pct"/>
                  <w:vAlign w:val="center"/>
                </w:tcPr>
                <w:p w14:paraId="57F10CED">
                  <w:pPr>
                    <w:pStyle w:val="6"/>
                    <w:adjustRightInd w:val="0"/>
                    <w:snapToGrid w:val="0"/>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cs="Times New Roman"/>
                      <w:color w:val="FF0000"/>
                      <w:sz w:val="21"/>
                      <w:szCs w:val="21"/>
                      <w:lang w:val="en-US" w:eastAsia="zh-CN"/>
                    </w:rPr>
                    <w:t>液</w:t>
                  </w:r>
                </w:p>
              </w:tc>
              <w:tc>
                <w:tcPr>
                  <w:tcW w:w="526" w:type="pct"/>
                  <w:vAlign w:val="center"/>
                </w:tcPr>
                <w:p w14:paraId="3964F440">
                  <w:pPr>
                    <w:pStyle w:val="6"/>
                    <w:adjustRightInd w:val="0"/>
                    <w:snapToGrid w:val="0"/>
                    <w:ind w:firstLine="0" w:firstLineChars="0"/>
                    <w:jc w:val="center"/>
                    <w:rPr>
                      <w:rFonts w:hint="eastAsia" w:ascii="Times New Roman" w:hAnsi="Times New Roman" w:eastAsia="宋体" w:cs="Times New Roman"/>
                      <w:color w:val="FF0000"/>
                      <w:sz w:val="21"/>
                      <w:szCs w:val="21"/>
                      <w:lang w:val="en-US" w:eastAsia="zh-CN"/>
                    </w:rPr>
                  </w:pPr>
                  <w:r>
                    <w:rPr>
                      <w:rFonts w:hint="eastAsia" w:ascii="Times New Roman" w:hAnsi="Times New Roman" w:cs="Times New Roman"/>
                      <w:color w:val="FF0000"/>
                      <w:sz w:val="21"/>
                      <w:szCs w:val="21"/>
                      <w:lang w:val="en-US" w:eastAsia="zh-CN"/>
                    </w:rPr>
                    <w:t>矿物油、铁等</w:t>
                  </w:r>
                </w:p>
              </w:tc>
              <w:tc>
                <w:tcPr>
                  <w:tcW w:w="648" w:type="pct"/>
                  <w:vMerge w:val="continue"/>
                  <w:vAlign w:val="center"/>
                </w:tcPr>
                <w:p w14:paraId="14A0695A">
                  <w:pPr>
                    <w:adjustRightInd w:val="0"/>
                    <w:snapToGrid w:val="0"/>
                    <w:jc w:val="center"/>
                    <w:rPr>
                      <w:rFonts w:hint="default" w:ascii="Times New Roman" w:hAnsi="Times New Roman" w:cs="Times New Roman"/>
                      <w:color w:val="FF0000"/>
                      <w:sz w:val="21"/>
                      <w:szCs w:val="21"/>
                    </w:rPr>
                  </w:pPr>
                </w:p>
              </w:tc>
              <w:tc>
                <w:tcPr>
                  <w:tcW w:w="333" w:type="pct"/>
                  <w:vAlign w:val="center"/>
                </w:tcPr>
                <w:p w14:paraId="45721042">
                  <w:pPr>
                    <w:adjustRightInd w:val="0"/>
                    <w:snapToGrid w:val="0"/>
                    <w:jc w:val="center"/>
                    <w:rPr>
                      <w:rFonts w:hint="default" w:ascii="Times New Roman" w:hAnsi="Times New Roman" w:cs="Times New Roman"/>
                      <w:color w:val="FF0000"/>
                      <w:sz w:val="21"/>
                      <w:szCs w:val="21"/>
                    </w:rPr>
                  </w:pPr>
                  <w:r>
                    <w:rPr>
                      <w:color w:val="FF0000"/>
                    </w:rPr>
                    <w:t>T，I</w:t>
                  </w:r>
                </w:p>
              </w:tc>
              <w:tc>
                <w:tcPr>
                  <w:tcW w:w="409" w:type="pct"/>
                  <w:vAlign w:val="center"/>
                </w:tcPr>
                <w:p w14:paraId="38A0C2EC">
                  <w:pPr>
                    <w:snapToGrid w:val="0"/>
                    <w:spacing w:line="300" w:lineRule="exact"/>
                    <w:jc w:val="center"/>
                    <w:rPr>
                      <w:rFonts w:hint="default" w:ascii="Times New Roman" w:hAnsi="Times New Roman" w:cs="Times New Roman"/>
                      <w:color w:val="FF0000"/>
                      <w:sz w:val="21"/>
                      <w:szCs w:val="21"/>
                    </w:rPr>
                  </w:pPr>
                  <w:r>
                    <w:rPr>
                      <w:color w:val="FF0000"/>
                    </w:rPr>
                    <w:t>HW</w:t>
                  </w:r>
                  <w:r>
                    <w:rPr>
                      <w:rFonts w:hint="eastAsia"/>
                      <w:color w:val="FF0000"/>
                    </w:rPr>
                    <w:t>08</w:t>
                  </w:r>
                </w:p>
              </w:tc>
              <w:tc>
                <w:tcPr>
                  <w:tcW w:w="690" w:type="pct"/>
                  <w:vAlign w:val="center"/>
                </w:tcPr>
                <w:p w14:paraId="7A090197">
                  <w:pPr>
                    <w:spacing w:line="300" w:lineRule="exact"/>
                    <w:jc w:val="center"/>
                    <w:rPr>
                      <w:rFonts w:hint="eastAsia" w:cs="Times New Roman"/>
                      <w:color w:val="FF0000"/>
                      <w:sz w:val="21"/>
                      <w:szCs w:val="21"/>
                      <w:lang w:val="en-US" w:eastAsia="zh-CN"/>
                    </w:rPr>
                  </w:pPr>
                  <w:r>
                    <w:rPr>
                      <w:rFonts w:hint="eastAsia"/>
                      <w:color w:val="FF0000"/>
                    </w:rPr>
                    <w:t>900-2</w:t>
                  </w:r>
                  <w:r>
                    <w:rPr>
                      <w:rFonts w:hint="eastAsia"/>
                      <w:color w:val="FF0000"/>
                      <w:lang w:val="en-US" w:eastAsia="zh-CN"/>
                    </w:rPr>
                    <w:t>49</w:t>
                  </w:r>
                  <w:r>
                    <w:rPr>
                      <w:rFonts w:hint="eastAsia"/>
                      <w:color w:val="FF0000"/>
                    </w:rPr>
                    <w:t>-08</w:t>
                  </w:r>
                </w:p>
              </w:tc>
              <w:tc>
                <w:tcPr>
                  <w:tcW w:w="471" w:type="pct"/>
                  <w:vAlign w:val="center"/>
                </w:tcPr>
                <w:p w14:paraId="52D8B44C">
                  <w:pPr>
                    <w:adjustRightInd w:val="0"/>
                    <w:snapToGrid w:val="0"/>
                    <w:jc w:val="center"/>
                    <w:rPr>
                      <w:rFonts w:hint="default" w:cs="Times New Roman"/>
                      <w:b w:val="0"/>
                      <w:bCs/>
                      <w:color w:val="FF0000"/>
                      <w:sz w:val="21"/>
                      <w:szCs w:val="21"/>
                      <w:lang w:val="en-US" w:eastAsia="zh-CN"/>
                    </w:rPr>
                  </w:pPr>
                  <w:r>
                    <w:rPr>
                      <w:rFonts w:hint="eastAsia" w:cs="Times New Roman"/>
                      <w:b w:val="0"/>
                      <w:bCs w:val="0"/>
                      <w:color w:val="FF0000"/>
                      <w:kern w:val="2"/>
                      <w:sz w:val="21"/>
                      <w:szCs w:val="21"/>
                      <w:lang w:val="en-US" w:eastAsia="zh-CN" w:bidi="ar-SA"/>
                    </w:rPr>
                    <w:t>0.17</w:t>
                  </w:r>
                </w:p>
              </w:tc>
            </w:tr>
            <w:tr w14:paraId="678A9D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7" w:type="pct"/>
                  <w:vAlign w:val="center"/>
                </w:tcPr>
                <w:p w14:paraId="1E7843E7">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eastAsia="宋体" w:cs="Times New Roman"/>
                      <w:color w:val="FF0000"/>
                      <w:kern w:val="2"/>
                      <w:sz w:val="21"/>
                      <w:szCs w:val="21"/>
                      <w:lang w:val="en-US" w:eastAsia="zh-CN" w:bidi="ar-SA"/>
                    </w:rPr>
                  </w:pPr>
                  <w:r>
                    <w:rPr>
                      <w:rFonts w:hint="eastAsia" w:ascii="Times New Roman" w:hAnsi="Times New Roman" w:cs="Times New Roman"/>
                      <w:color w:val="FF0000"/>
                      <w:sz w:val="21"/>
                      <w:szCs w:val="21"/>
                      <w:lang w:val="en-US" w:eastAsia="zh-CN"/>
                    </w:rPr>
                    <w:t>6</w:t>
                  </w:r>
                </w:p>
              </w:tc>
              <w:tc>
                <w:tcPr>
                  <w:tcW w:w="559" w:type="pct"/>
                  <w:vAlign w:val="center"/>
                </w:tcPr>
                <w:p w14:paraId="171D3FE2">
                  <w:pPr>
                    <w:adjustRightInd w:val="0"/>
                    <w:snapToGrid w:val="0"/>
                    <w:jc w:val="center"/>
                    <w:rPr>
                      <w:rFonts w:hint="default" w:ascii="Times New Roman" w:hAnsi="Times New Roman" w:cs="Times New Roman"/>
                      <w:color w:val="FF0000"/>
                      <w:sz w:val="21"/>
                      <w:szCs w:val="21"/>
                    </w:rPr>
                  </w:pPr>
                  <w:r>
                    <w:rPr>
                      <w:rFonts w:hint="eastAsia"/>
                      <w:color w:val="FF0000"/>
                      <w:szCs w:val="21"/>
                      <w:lang w:eastAsia="zh-CN"/>
                    </w:rPr>
                    <w:t>废含油抹布手套</w:t>
                  </w:r>
                </w:p>
              </w:tc>
              <w:tc>
                <w:tcPr>
                  <w:tcW w:w="356" w:type="pct"/>
                  <w:vMerge w:val="continue"/>
                  <w:vAlign w:val="center"/>
                </w:tcPr>
                <w:p w14:paraId="09F1CDD8">
                  <w:pPr>
                    <w:adjustRightInd w:val="0"/>
                    <w:snapToGrid w:val="0"/>
                    <w:jc w:val="center"/>
                    <w:rPr>
                      <w:rFonts w:hint="eastAsia" w:ascii="Times New Roman" w:hAnsi="Times New Roman" w:eastAsia="宋体" w:cs="Times New Roman"/>
                      <w:color w:val="FF0000"/>
                      <w:sz w:val="21"/>
                      <w:szCs w:val="21"/>
                      <w:lang w:val="en-US" w:eastAsia="zh-CN"/>
                    </w:rPr>
                  </w:pPr>
                </w:p>
              </w:tc>
              <w:tc>
                <w:tcPr>
                  <w:tcW w:w="487" w:type="pct"/>
                  <w:vAlign w:val="center"/>
                </w:tcPr>
                <w:p w14:paraId="131242A7">
                  <w:pPr>
                    <w:adjustRightInd w:val="0"/>
                    <w:snapToGrid w:val="0"/>
                    <w:jc w:val="center"/>
                    <w:rPr>
                      <w:rFonts w:hint="default" w:ascii="Times New Roman" w:hAnsi="Times New Roman" w:cs="Times New Roman"/>
                      <w:color w:val="FF0000"/>
                      <w:sz w:val="21"/>
                      <w:szCs w:val="21"/>
                    </w:rPr>
                  </w:pPr>
                  <w:r>
                    <w:rPr>
                      <w:rFonts w:hint="eastAsia"/>
                      <w:color w:val="FF0000"/>
                    </w:rPr>
                    <w:t>设备保养</w:t>
                  </w:r>
                </w:p>
              </w:tc>
              <w:tc>
                <w:tcPr>
                  <w:tcW w:w="317" w:type="pct"/>
                  <w:vAlign w:val="center"/>
                </w:tcPr>
                <w:p w14:paraId="53FE4925">
                  <w:pPr>
                    <w:adjustRightInd w:val="0"/>
                    <w:snapToGrid w:val="0"/>
                    <w:jc w:val="center"/>
                    <w:rPr>
                      <w:rFonts w:hint="default" w:ascii="Times New Roman" w:hAnsi="Times New Roman" w:eastAsia="宋体" w:cs="Times New Roman"/>
                      <w:color w:val="FF0000"/>
                      <w:sz w:val="21"/>
                      <w:szCs w:val="21"/>
                    </w:rPr>
                  </w:pPr>
                  <w:r>
                    <w:rPr>
                      <w:color w:val="FF0000"/>
                    </w:rPr>
                    <w:t>固</w:t>
                  </w:r>
                </w:p>
              </w:tc>
              <w:tc>
                <w:tcPr>
                  <w:tcW w:w="526" w:type="pct"/>
                  <w:vAlign w:val="center"/>
                </w:tcPr>
                <w:p w14:paraId="75F6C7FE">
                  <w:pPr>
                    <w:adjustRightInd w:val="0"/>
                    <w:snapToGrid w:val="0"/>
                    <w:jc w:val="center"/>
                    <w:rPr>
                      <w:rFonts w:hint="default" w:ascii="Times New Roman" w:hAnsi="Times New Roman" w:eastAsia="宋体" w:cs="Times New Roman"/>
                      <w:color w:val="FF0000"/>
                      <w:sz w:val="21"/>
                      <w:szCs w:val="21"/>
                      <w:lang w:val="en-US" w:eastAsia="zh-CN"/>
                    </w:rPr>
                  </w:pPr>
                  <w:r>
                    <w:rPr>
                      <w:rFonts w:hint="eastAsia"/>
                      <w:color w:val="FF0000"/>
                    </w:rPr>
                    <w:t>布、有机物</w:t>
                  </w:r>
                </w:p>
              </w:tc>
              <w:tc>
                <w:tcPr>
                  <w:tcW w:w="648" w:type="pct"/>
                  <w:vMerge w:val="continue"/>
                  <w:vAlign w:val="center"/>
                </w:tcPr>
                <w:p w14:paraId="66EA9A67">
                  <w:pPr>
                    <w:adjustRightInd w:val="0"/>
                    <w:snapToGrid w:val="0"/>
                    <w:jc w:val="center"/>
                    <w:rPr>
                      <w:rFonts w:hint="eastAsia" w:ascii="Times New Roman" w:hAnsi="Times New Roman" w:eastAsia="宋体" w:cs="Times New Roman"/>
                      <w:color w:val="FF0000"/>
                      <w:sz w:val="21"/>
                      <w:szCs w:val="21"/>
                      <w:lang w:val="en-US" w:eastAsia="zh-CN"/>
                    </w:rPr>
                  </w:pPr>
                </w:p>
              </w:tc>
              <w:tc>
                <w:tcPr>
                  <w:tcW w:w="333" w:type="pct"/>
                  <w:vAlign w:val="center"/>
                </w:tcPr>
                <w:p w14:paraId="59759B73">
                  <w:pPr>
                    <w:adjustRightInd w:val="0"/>
                    <w:snapToGrid w:val="0"/>
                    <w:jc w:val="center"/>
                    <w:rPr>
                      <w:rFonts w:hint="default" w:ascii="Times New Roman" w:hAnsi="Times New Roman" w:cs="Times New Roman"/>
                      <w:color w:val="FF0000"/>
                      <w:sz w:val="21"/>
                      <w:szCs w:val="21"/>
                    </w:rPr>
                  </w:pPr>
                  <w:r>
                    <w:rPr>
                      <w:rFonts w:hint="default" w:ascii="Times New Roman" w:hAnsi="Times New Roman" w:eastAsia="宋体" w:cs="Times New Roman"/>
                      <w:color w:val="FF0000"/>
                      <w:sz w:val="21"/>
                      <w:szCs w:val="21"/>
                    </w:rPr>
                    <w:t>T/In</w:t>
                  </w:r>
                </w:p>
              </w:tc>
              <w:tc>
                <w:tcPr>
                  <w:tcW w:w="409" w:type="pct"/>
                  <w:vAlign w:val="center"/>
                </w:tcPr>
                <w:p w14:paraId="6D5785CC">
                  <w:pPr>
                    <w:adjustRightInd w:val="0"/>
                    <w:snapToGrid w:val="0"/>
                    <w:jc w:val="center"/>
                    <w:rPr>
                      <w:rFonts w:hint="default" w:ascii="Times New Roman" w:hAnsi="Times New Roman" w:cs="Times New Roman"/>
                      <w:color w:val="FF0000"/>
                      <w:sz w:val="21"/>
                      <w:szCs w:val="21"/>
                      <w:lang w:val="en-US"/>
                    </w:rPr>
                  </w:pPr>
                  <w:r>
                    <w:rPr>
                      <w:rFonts w:hint="default" w:ascii="Times New Roman" w:hAnsi="Times New Roman" w:eastAsia="宋体" w:cs="Times New Roman"/>
                      <w:color w:val="FF0000"/>
                      <w:sz w:val="21"/>
                      <w:szCs w:val="21"/>
                    </w:rPr>
                    <w:t>HW49</w:t>
                  </w:r>
                </w:p>
              </w:tc>
              <w:tc>
                <w:tcPr>
                  <w:tcW w:w="690" w:type="pct"/>
                  <w:vAlign w:val="center"/>
                </w:tcPr>
                <w:p w14:paraId="0EFF4686">
                  <w:pPr>
                    <w:adjustRightInd w:val="0"/>
                    <w:snapToGrid w:val="0"/>
                    <w:jc w:val="center"/>
                    <w:rPr>
                      <w:rFonts w:hint="default" w:ascii="Times New Roman" w:hAnsi="Times New Roman" w:cs="Times New Roman"/>
                      <w:color w:val="FF0000"/>
                      <w:sz w:val="21"/>
                      <w:szCs w:val="21"/>
                      <w:lang w:val="en-US"/>
                    </w:rPr>
                  </w:pPr>
                  <w:r>
                    <w:rPr>
                      <w:rFonts w:hint="default" w:ascii="Times New Roman" w:hAnsi="Times New Roman" w:eastAsia="宋体" w:cs="Times New Roman"/>
                      <w:color w:val="FF0000"/>
                      <w:sz w:val="21"/>
                      <w:szCs w:val="21"/>
                    </w:rPr>
                    <w:t>900-041-49</w:t>
                  </w:r>
                </w:p>
              </w:tc>
              <w:tc>
                <w:tcPr>
                  <w:tcW w:w="471" w:type="pct"/>
                  <w:vAlign w:val="center"/>
                </w:tcPr>
                <w:p w14:paraId="6FF4A81D">
                  <w:pPr>
                    <w:adjustRightInd w:val="0"/>
                    <w:snapToGrid w:val="0"/>
                    <w:jc w:val="center"/>
                    <w:rPr>
                      <w:rFonts w:hint="default" w:ascii="Times New Roman" w:hAnsi="Times New Roman" w:eastAsia="宋体" w:cs="Times New Roman"/>
                      <w:color w:val="FF0000"/>
                      <w:kern w:val="2"/>
                      <w:sz w:val="21"/>
                      <w:szCs w:val="21"/>
                      <w:lang w:val="en-US" w:eastAsia="zh-CN" w:bidi="ar-SA"/>
                    </w:rPr>
                  </w:pPr>
                  <w:r>
                    <w:rPr>
                      <w:rFonts w:hint="eastAsia" w:cs="Times New Roman"/>
                      <w:color w:val="FF0000"/>
                      <w:kern w:val="0"/>
                      <w:sz w:val="21"/>
                      <w:szCs w:val="21"/>
                      <w:lang w:val="en-US" w:eastAsia="zh-CN" w:bidi="ar-SA"/>
                    </w:rPr>
                    <w:t>0.25</w:t>
                  </w:r>
                </w:p>
              </w:tc>
            </w:tr>
            <w:tr w14:paraId="2C87F9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7" w:type="pct"/>
                  <w:vAlign w:val="center"/>
                </w:tcPr>
                <w:p w14:paraId="395FC9F2">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FF0000"/>
                      <w:sz w:val="21"/>
                      <w:szCs w:val="21"/>
                      <w:lang w:val="en-US" w:eastAsia="zh-CN"/>
                    </w:rPr>
                  </w:pPr>
                  <w:r>
                    <w:rPr>
                      <w:rFonts w:hint="eastAsia" w:ascii="Times New Roman" w:hAnsi="Times New Roman" w:cs="Times New Roman"/>
                      <w:color w:val="FF0000"/>
                      <w:sz w:val="21"/>
                      <w:szCs w:val="21"/>
                      <w:lang w:val="en-US" w:eastAsia="zh-CN"/>
                    </w:rPr>
                    <w:t>7</w:t>
                  </w:r>
                </w:p>
              </w:tc>
              <w:tc>
                <w:tcPr>
                  <w:tcW w:w="559" w:type="pct"/>
                  <w:vAlign w:val="center"/>
                </w:tcPr>
                <w:p w14:paraId="34106C84">
                  <w:pPr>
                    <w:adjustRightInd w:val="0"/>
                    <w:snapToGrid w:val="0"/>
                    <w:jc w:val="center"/>
                    <w:rPr>
                      <w:rFonts w:hint="eastAsia"/>
                      <w:color w:val="FF0000"/>
                      <w:szCs w:val="21"/>
                      <w:lang w:eastAsia="zh-CN"/>
                    </w:rPr>
                  </w:pPr>
                  <w:r>
                    <w:rPr>
                      <w:rFonts w:hint="default" w:ascii="Times New Roman" w:hAnsi="Times New Roman" w:cs="Times New Roman"/>
                      <w:snapToGrid w:val="0"/>
                      <w:color w:val="FF0000"/>
                      <w:kern w:val="21"/>
                      <w:sz w:val="21"/>
                      <w:szCs w:val="21"/>
                    </w:rPr>
                    <w:t>生活垃圾</w:t>
                  </w:r>
                </w:p>
              </w:tc>
              <w:tc>
                <w:tcPr>
                  <w:tcW w:w="356" w:type="pct"/>
                  <w:vAlign w:val="center"/>
                </w:tcPr>
                <w:p w14:paraId="445601C1">
                  <w:pPr>
                    <w:adjustRightInd w:val="0"/>
                    <w:snapToGrid w:val="0"/>
                    <w:jc w:val="center"/>
                    <w:rPr>
                      <w:rFonts w:hint="eastAsia" w:ascii="Times New Roman" w:hAnsi="Times New Roman" w:eastAsia="宋体" w:cs="Times New Roman"/>
                      <w:color w:val="FF0000"/>
                      <w:sz w:val="21"/>
                      <w:szCs w:val="21"/>
                      <w:lang w:val="en-US" w:eastAsia="zh-CN"/>
                    </w:rPr>
                  </w:pPr>
                  <w:r>
                    <w:rPr>
                      <w:rFonts w:hint="eastAsia" w:ascii="Times New Roman" w:hAnsi="Times New Roman" w:cs="Times New Roman"/>
                      <w:color w:val="FF0000"/>
                      <w:sz w:val="21"/>
                      <w:szCs w:val="21"/>
                      <w:lang w:val="en-US" w:eastAsia="zh-CN"/>
                    </w:rPr>
                    <w:t>/</w:t>
                  </w:r>
                </w:p>
              </w:tc>
              <w:tc>
                <w:tcPr>
                  <w:tcW w:w="487" w:type="pct"/>
                  <w:vAlign w:val="center"/>
                </w:tcPr>
                <w:p w14:paraId="6546865A">
                  <w:pPr>
                    <w:adjustRightInd w:val="0"/>
                    <w:snapToGrid w:val="0"/>
                    <w:jc w:val="center"/>
                    <w:rPr>
                      <w:rFonts w:hint="default" w:eastAsia="宋体"/>
                      <w:color w:val="FF0000"/>
                      <w:lang w:val="en-US" w:eastAsia="zh-CN"/>
                    </w:rPr>
                  </w:pPr>
                  <w:r>
                    <w:rPr>
                      <w:rFonts w:hint="eastAsia"/>
                      <w:color w:val="FF0000"/>
                      <w:lang w:val="en-US" w:eastAsia="zh-CN"/>
                    </w:rPr>
                    <w:t>办公生活</w:t>
                  </w:r>
                </w:p>
              </w:tc>
              <w:tc>
                <w:tcPr>
                  <w:tcW w:w="317" w:type="pct"/>
                  <w:vAlign w:val="center"/>
                </w:tcPr>
                <w:p w14:paraId="028A9E11">
                  <w:pPr>
                    <w:adjustRightInd w:val="0"/>
                    <w:snapToGrid w:val="0"/>
                    <w:jc w:val="center"/>
                    <w:rPr>
                      <w:color w:val="FF0000"/>
                    </w:rPr>
                  </w:pPr>
                  <w:r>
                    <w:rPr>
                      <w:color w:val="FF0000"/>
                    </w:rPr>
                    <w:t>固</w:t>
                  </w:r>
                </w:p>
              </w:tc>
              <w:tc>
                <w:tcPr>
                  <w:tcW w:w="526" w:type="pct"/>
                  <w:vAlign w:val="center"/>
                </w:tcPr>
                <w:p w14:paraId="446E4CF7">
                  <w:pPr>
                    <w:adjustRightInd w:val="0"/>
                    <w:snapToGrid w:val="0"/>
                    <w:jc w:val="center"/>
                    <w:rPr>
                      <w:rFonts w:hint="default" w:eastAsia="宋体"/>
                      <w:color w:val="FF0000"/>
                      <w:lang w:val="en-US" w:eastAsia="zh-CN"/>
                    </w:rPr>
                  </w:pPr>
                  <w:r>
                    <w:rPr>
                      <w:rFonts w:hint="default" w:ascii="Times New Roman" w:hAnsi="Times New Roman" w:eastAsia="宋体" w:cs="Times New Roman"/>
                      <w:color w:val="FF0000"/>
                      <w:sz w:val="21"/>
                      <w:szCs w:val="21"/>
                      <w:lang w:eastAsia="zh-CN"/>
                    </w:rPr>
                    <w:t>纸张、塑料等</w:t>
                  </w:r>
                </w:p>
              </w:tc>
              <w:tc>
                <w:tcPr>
                  <w:tcW w:w="648" w:type="pct"/>
                  <w:vAlign w:val="center"/>
                </w:tcPr>
                <w:p w14:paraId="50A2B071">
                  <w:pPr>
                    <w:adjustRightInd w:val="0"/>
                    <w:snapToGrid w:val="0"/>
                    <w:jc w:val="center"/>
                    <w:rPr>
                      <w:rFonts w:hint="default" w:ascii="Times New Roman" w:hAnsi="Times New Roman" w:eastAsia="宋体" w:cs="Times New Roman"/>
                      <w:color w:val="FF0000"/>
                      <w:sz w:val="21"/>
                      <w:szCs w:val="21"/>
                      <w:lang w:val="en-US" w:eastAsia="zh-CN"/>
                    </w:rPr>
                  </w:pPr>
                  <w:r>
                    <w:rPr>
                      <w:rFonts w:hint="eastAsia" w:cs="Times New Roman"/>
                      <w:color w:val="FF0000"/>
                      <w:sz w:val="21"/>
                      <w:szCs w:val="21"/>
                      <w:lang w:val="en-US" w:eastAsia="zh-CN"/>
                    </w:rPr>
                    <w:t>/</w:t>
                  </w:r>
                </w:p>
              </w:tc>
              <w:tc>
                <w:tcPr>
                  <w:tcW w:w="333" w:type="pct"/>
                  <w:vAlign w:val="center"/>
                </w:tcPr>
                <w:p w14:paraId="66CAC7EF">
                  <w:pPr>
                    <w:adjustRightInd w:val="0"/>
                    <w:snapToGrid w:val="0"/>
                    <w:jc w:val="center"/>
                    <w:rPr>
                      <w:rFonts w:hint="default" w:ascii="Times New Roman" w:hAnsi="Times New Roman" w:eastAsia="宋体" w:cs="Times New Roman"/>
                      <w:color w:val="FF0000"/>
                      <w:sz w:val="21"/>
                      <w:szCs w:val="21"/>
                    </w:rPr>
                  </w:pPr>
                  <w:r>
                    <w:rPr>
                      <w:rFonts w:hint="default" w:ascii="Times New Roman" w:hAnsi="Times New Roman" w:cs="Times New Roman"/>
                      <w:color w:val="FF0000"/>
                      <w:sz w:val="21"/>
                      <w:szCs w:val="21"/>
                    </w:rPr>
                    <w:t>/</w:t>
                  </w:r>
                </w:p>
              </w:tc>
              <w:tc>
                <w:tcPr>
                  <w:tcW w:w="718" w:type="dxa"/>
                  <w:vAlign w:val="center"/>
                </w:tcPr>
                <w:p w14:paraId="369C52AB">
                  <w:pPr>
                    <w:snapToGrid w:val="0"/>
                    <w:jc w:val="center"/>
                    <w:rPr>
                      <w:rFonts w:hint="default" w:ascii="Times New Roman" w:hAnsi="Times New Roman" w:eastAsia="宋体" w:cs="Times New Roman"/>
                      <w:color w:val="FF0000"/>
                      <w:sz w:val="21"/>
                      <w:szCs w:val="21"/>
                    </w:rPr>
                  </w:pPr>
                  <w:r>
                    <w:rPr>
                      <w:rFonts w:hint="eastAsia" w:cs="Times New Roman"/>
                      <w:color w:val="FF0000"/>
                      <w:sz w:val="21"/>
                      <w:szCs w:val="21"/>
                      <w:lang w:val="en-US" w:eastAsia="zh-CN"/>
                    </w:rPr>
                    <w:t>SW64</w:t>
                  </w:r>
                </w:p>
              </w:tc>
              <w:tc>
                <w:tcPr>
                  <w:tcW w:w="1211" w:type="dxa"/>
                  <w:vAlign w:val="center"/>
                </w:tcPr>
                <w:p w14:paraId="393363DB">
                  <w:pPr>
                    <w:snapToGrid w:val="0"/>
                    <w:jc w:val="center"/>
                    <w:rPr>
                      <w:rFonts w:hint="default" w:ascii="Times New Roman" w:hAnsi="Times New Roman" w:eastAsia="宋体" w:cs="Times New Roman"/>
                      <w:color w:val="FF0000"/>
                      <w:sz w:val="21"/>
                      <w:szCs w:val="21"/>
                    </w:rPr>
                  </w:pPr>
                  <w:r>
                    <w:rPr>
                      <w:rFonts w:hint="eastAsia" w:cs="Times New Roman"/>
                      <w:color w:val="FF0000"/>
                      <w:sz w:val="21"/>
                      <w:szCs w:val="21"/>
                      <w:lang w:val="en-US" w:eastAsia="zh-CN"/>
                    </w:rPr>
                    <w:t>900-099-64</w:t>
                  </w:r>
                </w:p>
              </w:tc>
              <w:tc>
                <w:tcPr>
                  <w:tcW w:w="471" w:type="pct"/>
                  <w:vAlign w:val="center"/>
                </w:tcPr>
                <w:p w14:paraId="259E6643">
                  <w:pPr>
                    <w:adjustRightInd w:val="0"/>
                    <w:snapToGrid w:val="0"/>
                    <w:jc w:val="center"/>
                    <w:rPr>
                      <w:rFonts w:hint="eastAsia"/>
                      <w:color w:val="FF0000"/>
                      <w:lang w:val="en-US" w:eastAsia="zh-CN"/>
                    </w:rPr>
                  </w:pPr>
                  <w:r>
                    <w:rPr>
                      <w:rFonts w:hint="default" w:ascii="Times New Roman" w:hAnsi="Times New Roman" w:cs="Times New Roman" w:eastAsiaTheme="minorEastAsia"/>
                      <w:b w:val="0"/>
                      <w:bCs/>
                      <w:color w:val="FF0000"/>
                      <w:kern w:val="2"/>
                      <w:sz w:val="21"/>
                      <w:szCs w:val="21"/>
                      <w:lang w:val="en-US" w:eastAsia="zh-CN" w:bidi="ar-SA"/>
                    </w:rPr>
                    <w:t>94.2</w:t>
                  </w:r>
                </w:p>
              </w:tc>
            </w:tr>
          </w:tbl>
          <w:p w14:paraId="277EB1A6">
            <w:pPr>
              <w:adjustRightInd w:val="0"/>
              <w:snapToGrid w:val="0"/>
              <w:spacing w:line="500" w:lineRule="exact"/>
              <w:ind w:firstLine="422" w:firstLineChars="200"/>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处置利用情况</w:t>
            </w:r>
          </w:p>
          <w:p w14:paraId="151516B6">
            <w:pPr>
              <w:adjustRightInd w:val="0"/>
              <w:snapToGrid w:val="0"/>
              <w:spacing w:line="500" w:lineRule="exact"/>
              <w:ind w:firstLine="420" w:firstLineChars="20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本项目产生的一般工业固体废物主要为</w:t>
            </w:r>
            <w:r>
              <w:rPr>
                <w:rFonts w:hint="eastAsia"/>
                <w:szCs w:val="21"/>
              </w:rPr>
              <w:t>废包装材料</w:t>
            </w:r>
            <w:r>
              <w:rPr>
                <w:rFonts w:hint="eastAsia" w:ascii="Times New Roman" w:hAnsi="Times New Roman" w:eastAsia="宋体" w:cs="Times New Roman"/>
                <w:color w:val="auto"/>
                <w:sz w:val="21"/>
                <w:szCs w:val="21"/>
              </w:rPr>
              <w:t>，统一收集后外售物资公司</w:t>
            </w:r>
            <w:r>
              <w:rPr>
                <w:rFonts w:hint="eastAsia" w:ascii="Times New Roman" w:hAnsi="Times New Roman" w:eastAsia="宋体" w:cs="Times New Roman"/>
                <w:color w:val="auto"/>
                <w:sz w:val="21"/>
                <w:szCs w:val="21"/>
                <w:lang w:val="en-US" w:eastAsia="zh-CN"/>
              </w:rPr>
              <w:t>处置</w:t>
            </w:r>
            <w:r>
              <w:rPr>
                <w:rFonts w:hint="eastAsia" w:ascii="Times New Roman" w:hAnsi="Times New Roman" w:eastAsia="宋体" w:cs="Times New Roman"/>
                <w:color w:val="auto"/>
                <w:sz w:val="21"/>
                <w:szCs w:val="21"/>
              </w:rPr>
              <w:t>；产生的危险废物主要是</w:t>
            </w:r>
            <w:r>
              <w:rPr>
                <w:rFonts w:hint="eastAsia" w:cs="Times New Roman"/>
                <w:color w:val="auto"/>
                <w:sz w:val="21"/>
                <w:szCs w:val="21"/>
                <w:lang w:val="en-US" w:eastAsia="zh-CN"/>
              </w:rPr>
              <w:t>废机油、废油桶</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含油废抹布手套</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废活性炭</w:t>
            </w:r>
            <w:r>
              <w:rPr>
                <w:rFonts w:hint="eastAsia" w:ascii="Times New Roman" w:hAnsi="Times New Roman" w:eastAsia="宋体" w:cs="Times New Roman"/>
                <w:color w:val="auto"/>
                <w:sz w:val="21"/>
                <w:szCs w:val="21"/>
              </w:rPr>
              <w:t>，收集后委托有资质单位</w:t>
            </w:r>
            <w:r>
              <w:rPr>
                <w:rFonts w:hint="eastAsia" w:ascii="Times New Roman" w:hAnsi="Times New Roman" w:eastAsia="宋体" w:cs="Times New Roman"/>
                <w:color w:val="auto"/>
                <w:sz w:val="21"/>
                <w:szCs w:val="21"/>
                <w:lang w:val="en-US" w:eastAsia="zh-CN"/>
              </w:rPr>
              <w:t>处置</w:t>
            </w:r>
            <w:r>
              <w:rPr>
                <w:rFonts w:hint="eastAsia" w:ascii="Times New Roman" w:hAnsi="Times New Roman" w:eastAsia="宋体" w:cs="Times New Roman"/>
                <w:color w:val="auto"/>
                <w:sz w:val="21"/>
                <w:szCs w:val="21"/>
              </w:rPr>
              <w:t>。</w:t>
            </w:r>
          </w:p>
          <w:p w14:paraId="09CE9B90">
            <w:pPr>
              <w:adjustRightInd w:val="0"/>
              <w:snapToGrid w:val="0"/>
              <w:spacing w:line="500" w:lineRule="exact"/>
              <w:ind w:firstLine="420" w:firstLineChars="200"/>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cs="Times New Roman"/>
                <w:color w:val="auto"/>
                <w:sz w:val="21"/>
                <w:szCs w:val="21"/>
              </w:rPr>
              <w:t>按照《建设项目危险废物环境影响评价指南》（环保部公告</w:t>
            </w:r>
            <w:r>
              <w:rPr>
                <w:rFonts w:hint="eastAsia" w:cs="Times New Roman"/>
                <w:color w:val="auto"/>
                <w:sz w:val="21"/>
                <w:szCs w:val="21"/>
                <w:lang w:eastAsia="zh-CN"/>
              </w:rPr>
              <w:t>〔2017〕43号</w:t>
            </w:r>
            <w:r>
              <w:rPr>
                <w:rFonts w:hint="default" w:ascii="Times New Roman" w:hAnsi="Times New Roman" w:cs="Times New Roman"/>
                <w:color w:val="auto"/>
                <w:sz w:val="21"/>
                <w:szCs w:val="21"/>
              </w:rPr>
              <w:t>）要求，本项目固废产生及处理处置措施汇总表见</w:t>
            </w:r>
            <w:r>
              <w:rPr>
                <w:rFonts w:hint="default" w:ascii="Times New Roman" w:hAnsi="Times New Roman" w:cs="Times New Roman"/>
                <w:color w:val="auto"/>
                <w:sz w:val="21"/>
                <w:szCs w:val="21"/>
                <w:lang w:val="en-US" w:eastAsia="zh-CN"/>
              </w:rPr>
              <w:t>下</w:t>
            </w:r>
            <w:r>
              <w:rPr>
                <w:rFonts w:hint="default" w:ascii="Times New Roman" w:hAnsi="Times New Roman" w:cs="Times New Roman"/>
                <w:color w:val="auto"/>
                <w:sz w:val="21"/>
                <w:szCs w:val="21"/>
              </w:rPr>
              <w:t>表。</w:t>
            </w:r>
          </w:p>
          <w:p w14:paraId="2D034A1E">
            <w:pPr>
              <w:pStyle w:val="63"/>
              <w:keepNext w:val="0"/>
              <w:keepLines w:val="0"/>
              <w:pageBreakBefore w:val="0"/>
              <w:tabs>
                <w:tab w:val="left" w:pos="3240"/>
              </w:tabs>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color w:val="auto"/>
                <w:sz w:val="21"/>
                <w:szCs w:val="21"/>
                <w:highlight w:val="none"/>
                <w:lang w:val="en-US" w:eastAsia="zh-CN"/>
              </w:rPr>
            </w:pPr>
          </w:p>
          <w:p w14:paraId="45A823D0">
            <w:pPr>
              <w:pStyle w:val="63"/>
              <w:keepNext w:val="0"/>
              <w:keepLines w:val="0"/>
              <w:pageBreakBefore w:val="0"/>
              <w:tabs>
                <w:tab w:val="left" w:pos="3240"/>
              </w:tabs>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表4-</w:t>
            </w:r>
            <w:r>
              <w:rPr>
                <w:rFonts w:hint="eastAsia" w:ascii="Times New Roman" w:hAnsi="Times New Roman" w:cs="Times New Roman"/>
                <w:b/>
                <w:color w:val="auto"/>
                <w:sz w:val="21"/>
                <w:szCs w:val="21"/>
                <w:highlight w:val="none"/>
                <w:lang w:val="en-US" w:eastAsia="zh-CN"/>
              </w:rPr>
              <w:t>18 本项目</w:t>
            </w:r>
            <w:r>
              <w:rPr>
                <w:rFonts w:hint="default" w:ascii="Times New Roman" w:hAnsi="Times New Roman" w:eastAsia="宋体" w:cs="Times New Roman"/>
                <w:b/>
                <w:color w:val="auto"/>
                <w:sz w:val="21"/>
                <w:szCs w:val="21"/>
                <w:highlight w:val="none"/>
                <w:lang w:val="en-US" w:eastAsia="zh-CN"/>
              </w:rPr>
              <w:t>固废产生及处理措施汇总表</w:t>
            </w:r>
          </w:p>
          <w:tbl>
            <w:tblPr>
              <w:tblStyle w:val="31"/>
              <w:tblW w:w="48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449"/>
              <w:gridCol w:w="1150"/>
              <w:gridCol w:w="692"/>
              <w:gridCol w:w="968"/>
              <w:gridCol w:w="666"/>
              <w:gridCol w:w="696"/>
              <w:gridCol w:w="1273"/>
              <w:gridCol w:w="1089"/>
              <w:gridCol w:w="807"/>
              <w:gridCol w:w="874"/>
            </w:tblGrid>
            <w:tr w14:paraId="075103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9" w:type="pct"/>
                  <w:vAlign w:val="center"/>
                </w:tcPr>
                <w:p w14:paraId="789EFA18">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663" w:type="pct"/>
                  <w:vAlign w:val="center"/>
                </w:tcPr>
                <w:p w14:paraId="7B1B21A4">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固废名称</w:t>
                  </w:r>
                </w:p>
              </w:tc>
              <w:tc>
                <w:tcPr>
                  <w:tcW w:w="399" w:type="pct"/>
                  <w:tcBorders>
                    <w:bottom w:val="single" w:color="auto" w:sz="4" w:space="0"/>
                  </w:tcBorders>
                  <w:vAlign w:val="center"/>
                </w:tcPr>
                <w:p w14:paraId="3CE1C79F">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属性</w:t>
                  </w:r>
                </w:p>
              </w:tc>
              <w:tc>
                <w:tcPr>
                  <w:tcW w:w="558" w:type="pct"/>
                  <w:vAlign w:val="center"/>
                </w:tcPr>
                <w:p w14:paraId="023F41BD">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产生来源</w:t>
                  </w:r>
                </w:p>
              </w:tc>
              <w:tc>
                <w:tcPr>
                  <w:tcW w:w="384" w:type="pct"/>
                  <w:vAlign w:val="center"/>
                </w:tcPr>
                <w:p w14:paraId="4893D4B1">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危废毒性</w:t>
                  </w:r>
                </w:p>
              </w:tc>
              <w:tc>
                <w:tcPr>
                  <w:tcW w:w="401" w:type="pct"/>
                  <w:vAlign w:val="center"/>
                </w:tcPr>
                <w:p w14:paraId="3F62B6F9">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废物类别</w:t>
                  </w:r>
                </w:p>
              </w:tc>
              <w:tc>
                <w:tcPr>
                  <w:tcW w:w="734" w:type="pct"/>
                  <w:vAlign w:val="center"/>
                </w:tcPr>
                <w:p w14:paraId="4D232221">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废物代码</w:t>
                  </w:r>
                </w:p>
              </w:tc>
              <w:tc>
                <w:tcPr>
                  <w:tcW w:w="628" w:type="pct"/>
                  <w:vAlign w:val="center"/>
                </w:tcPr>
                <w:p w14:paraId="46ECFACE">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估算产生量（t/a）</w:t>
                  </w:r>
                </w:p>
              </w:tc>
              <w:tc>
                <w:tcPr>
                  <w:tcW w:w="465" w:type="pct"/>
                  <w:vAlign w:val="center"/>
                </w:tcPr>
                <w:p w14:paraId="6729F3B7">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利用处置方式</w:t>
                  </w:r>
                </w:p>
              </w:tc>
              <w:tc>
                <w:tcPr>
                  <w:tcW w:w="504" w:type="pct"/>
                  <w:vAlign w:val="center"/>
                </w:tcPr>
                <w:p w14:paraId="5C4D6BC1">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利用处置单位</w:t>
                  </w:r>
                </w:p>
              </w:tc>
            </w:tr>
            <w:tr w14:paraId="64A65D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9" w:type="pct"/>
                  <w:vAlign w:val="center"/>
                </w:tcPr>
                <w:p w14:paraId="2C0B56A4">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w:t>
                  </w:r>
                </w:p>
              </w:tc>
              <w:tc>
                <w:tcPr>
                  <w:tcW w:w="663" w:type="pct"/>
                  <w:vAlign w:val="center"/>
                </w:tcPr>
                <w:p w14:paraId="4F6D114C">
                  <w:pPr>
                    <w:pStyle w:val="6"/>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szCs w:val="21"/>
                    </w:rPr>
                    <w:t>废包装材料</w:t>
                  </w:r>
                </w:p>
              </w:tc>
              <w:tc>
                <w:tcPr>
                  <w:tcW w:w="399" w:type="pct"/>
                  <w:tcBorders>
                    <w:top w:val="single" w:color="auto" w:sz="4" w:space="0"/>
                  </w:tcBorders>
                  <w:vAlign w:val="center"/>
                </w:tcPr>
                <w:p w14:paraId="7E73755B">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一般固废</w:t>
                  </w:r>
                </w:p>
              </w:tc>
              <w:tc>
                <w:tcPr>
                  <w:tcW w:w="558" w:type="pct"/>
                  <w:vAlign w:val="center"/>
                </w:tcPr>
                <w:p w14:paraId="5855D084">
                  <w:pPr>
                    <w:pStyle w:val="6"/>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原料包装</w:t>
                  </w:r>
                </w:p>
              </w:tc>
              <w:tc>
                <w:tcPr>
                  <w:tcW w:w="384" w:type="pct"/>
                  <w:vAlign w:val="center"/>
                </w:tcPr>
                <w:p w14:paraId="7F28C176">
                  <w:pPr>
                    <w:snapToGrid w:val="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color w:val="auto"/>
                      <w:sz w:val="21"/>
                      <w:szCs w:val="21"/>
                    </w:rPr>
                    <w:t>/</w:t>
                  </w:r>
                </w:p>
              </w:tc>
              <w:tc>
                <w:tcPr>
                  <w:tcW w:w="401" w:type="pct"/>
                  <w:vAlign w:val="center"/>
                </w:tcPr>
                <w:p w14:paraId="2F2D0B51">
                  <w:pPr>
                    <w:snapToGrid w:val="0"/>
                    <w:jc w:val="center"/>
                    <w:rPr>
                      <w:rFonts w:hint="default" w:ascii="Times New Roman" w:hAnsi="Times New Roman" w:cs="Times New Roman"/>
                      <w:bCs/>
                      <w:color w:val="auto"/>
                      <w:sz w:val="21"/>
                      <w:szCs w:val="21"/>
                      <w:lang w:val="en-US" w:eastAsia="zh-CN"/>
                    </w:rPr>
                  </w:pPr>
                  <w:r>
                    <w:rPr>
                      <w:rFonts w:hint="eastAsia" w:cs="Times New Roman"/>
                      <w:color w:val="auto"/>
                      <w:sz w:val="21"/>
                      <w:szCs w:val="21"/>
                      <w:lang w:val="en-US" w:eastAsia="zh-CN"/>
                    </w:rPr>
                    <w:t>SW17</w:t>
                  </w:r>
                </w:p>
              </w:tc>
              <w:tc>
                <w:tcPr>
                  <w:tcW w:w="734" w:type="pct"/>
                  <w:vAlign w:val="center"/>
                </w:tcPr>
                <w:p w14:paraId="28CED164">
                  <w:pPr>
                    <w:snapToGrid w:val="0"/>
                    <w:jc w:val="center"/>
                    <w:rPr>
                      <w:rFonts w:hint="default" w:ascii="Times New Roman" w:hAnsi="Times New Roman" w:cs="Times New Roman"/>
                      <w:bCs/>
                      <w:color w:val="auto"/>
                      <w:sz w:val="21"/>
                      <w:szCs w:val="21"/>
                      <w:lang w:val="en-US" w:eastAsia="zh-CN"/>
                    </w:rPr>
                  </w:pPr>
                  <w:r>
                    <w:rPr>
                      <w:rFonts w:hint="eastAsia" w:cs="Times New Roman"/>
                      <w:color w:val="auto"/>
                      <w:sz w:val="21"/>
                      <w:szCs w:val="21"/>
                      <w:lang w:val="en-US" w:eastAsia="zh-CN"/>
                    </w:rPr>
                    <w:t>900-003-S17</w:t>
                  </w:r>
                </w:p>
              </w:tc>
              <w:tc>
                <w:tcPr>
                  <w:tcW w:w="628" w:type="pct"/>
                  <w:vAlign w:val="center"/>
                </w:tcPr>
                <w:p w14:paraId="361F6201">
                  <w:pPr>
                    <w:adjustRightInd w:val="0"/>
                    <w:snapToGrid w:val="0"/>
                    <w:jc w:val="center"/>
                    <w:rPr>
                      <w:rFonts w:hint="default" w:ascii="Times New Roman" w:hAnsi="Times New Roman" w:cs="Times New Roman"/>
                      <w:bCs/>
                      <w:color w:val="auto"/>
                      <w:sz w:val="21"/>
                      <w:szCs w:val="21"/>
                      <w:lang w:val="en-US" w:eastAsia="zh-CN"/>
                    </w:rPr>
                  </w:pPr>
                  <w:r>
                    <w:rPr>
                      <w:rFonts w:hint="eastAsia" w:cs="Times New Roman"/>
                      <w:bCs/>
                      <w:color w:val="auto"/>
                      <w:kern w:val="2"/>
                      <w:sz w:val="21"/>
                      <w:szCs w:val="21"/>
                      <w:lang w:val="en-US" w:eastAsia="zh-CN" w:bidi="ar-SA"/>
                    </w:rPr>
                    <w:t>24</w:t>
                  </w:r>
                </w:p>
              </w:tc>
              <w:tc>
                <w:tcPr>
                  <w:tcW w:w="465" w:type="pct"/>
                  <w:vAlign w:val="center"/>
                </w:tcPr>
                <w:p w14:paraId="1453A100">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外售综合利用</w:t>
                  </w:r>
                </w:p>
              </w:tc>
              <w:tc>
                <w:tcPr>
                  <w:tcW w:w="504" w:type="pct"/>
                  <w:vAlign w:val="center"/>
                </w:tcPr>
                <w:p w14:paraId="0F4CCB2A">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物资回收单位</w:t>
                  </w:r>
                </w:p>
              </w:tc>
            </w:tr>
            <w:tr w14:paraId="1E7199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9" w:type="pct"/>
                  <w:vAlign w:val="center"/>
                </w:tcPr>
                <w:p w14:paraId="0ECA87A9">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2</w:t>
                  </w:r>
                </w:p>
              </w:tc>
              <w:tc>
                <w:tcPr>
                  <w:tcW w:w="663" w:type="pct"/>
                  <w:vAlign w:val="center"/>
                </w:tcPr>
                <w:p w14:paraId="585C7810">
                  <w:pPr>
                    <w:pStyle w:val="6"/>
                    <w:adjustRightInd w:val="0"/>
                    <w:snapToGrid w:val="0"/>
                    <w:ind w:firstLine="0" w:firstLineChars="0"/>
                    <w:jc w:val="center"/>
                    <w:rPr>
                      <w:rFonts w:hint="eastAsia"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废活性炭</w:t>
                  </w:r>
                </w:p>
              </w:tc>
              <w:tc>
                <w:tcPr>
                  <w:tcW w:w="399" w:type="pct"/>
                  <w:vMerge w:val="restart"/>
                  <w:vAlign w:val="center"/>
                </w:tcPr>
                <w:p w14:paraId="3FA93E8A">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危险固废</w:t>
                  </w:r>
                </w:p>
              </w:tc>
              <w:tc>
                <w:tcPr>
                  <w:tcW w:w="558" w:type="pct"/>
                  <w:vAlign w:val="center"/>
                </w:tcPr>
                <w:p w14:paraId="6EFF032C">
                  <w:pPr>
                    <w:pStyle w:val="6"/>
                    <w:adjustRightInd w:val="0"/>
                    <w:snapToGrid w:val="0"/>
                    <w:ind w:firstLine="0" w:firstLineChars="0"/>
                    <w:jc w:val="center"/>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废气处理</w:t>
                  </w:r>
                </w:p>
              </w:tc>
              <w:tc>
                <w:tcPr>
                  <w:tcW w:w="384" w:type="pct"/>
                  <w:vAlign w:val="center"/>
                </w:tcPr>
                <w:p w14:paraId="201802D7">
                  <w:pPr>
                    <w:snapToGrid w:val="0"/>
                    <w:jc w:val="center"/>
                    <w:rPr>
                      <w:bCs/>
                      <w:color w:val="auto"/>
                      <w:sz w:val="21"/>
                      <w:szCs w:val="21"/>
                    </w:rPr>
                  </w:pPr>
                  <w:r>
                    <w:rPr>
                      <w:rFonts w:hint="default" w:ascii="Times New Roman" w:hAnsi="Times New Roman" w:cs="Times New Roman"/>
                      <w:color w:val="auto"/>
                      <w:sz w:val="21"/>
                      <w:szCs w:val="21"/>
                    </w:rPr>
                    <w:t>T</w:t>
                  </w:r>
                </w:p>
              </w:tc>
              <w:tc>
                <w:tcPr>
                  <w:tcW w:w="401" w:type="pct"/>
                  <w:vAlign w:val="center"/>
                </w:tcPr>
                <w:p w14:paraId="57CB6DC4">
                  <w:pPr>
                    <w:snapToGrid w:val="0"/>
                    <w:jc w:val="center"/>
                    <w:rPr>
                      <w:bCs/>
                      <w:color w:val="auto"/>
                      <w:sz w:val="21"/>
                      <w:szCs w:val="21"/>
                    </w:rPr>
                  </w:pPr>
                  <w:r>
                    <w:rPr>
                      <w:rFonts w:hint="default" w:ascii="Times New Roman" w:hAnsi="Times New Roman" w:cs="Times New Roman"/>
                      <w:color w:val="auto"/>
                      <w:sz w:val="21"/>
                      <w:szCs w:val="21"/>
                    </w:rPr>
                    <w:t>HW49</w:t>
                  </w:r>
                </w:p>
              </w:tc>
              <w:tc>
                <w:tcPr>
                  <w:tcW w:w="734" w:type="pct"/>
                  <w:vAlign w:val="center"/>
                </w:tcPr>
                <w:p w14:paraId="789C58F7">
                  <w:pPr>
                    <w:snapToGrid w:val="0"/>
                    <w:jc w:val="center"/>
                    <w:rPr>
                      <w:bCs/>
                      <w:color w:val="auto"/>
                      <w:sz w:val="21"/>
                      <w:szCs w:val="21"/>
                    </w:rPr>
                  </w:pPr>
                  <w:r>
                    <w:rPr>
                      <w:rFonts w:hint="default" w:ascii="Times New Roman" w:hAnsi="Times New Roman" w:cs="Times New Roman"/>
                      <w:color w:val="auto"/>
                      <w:sz w:val="21"/>
                      <w:szCs w:val="21"/>
                    </w:rPr>
                    <w:t>900-039-49</w:t>
                  </w:r>
                </w:p>
              </w:tc>
              <w:tc>
                <w:tcPr>
                  <w:tcW w:w="628" w:type="pct"/>
                  <w:vAlign w:val="center"/>
                </w:tcPr>
                <w:p w14:paraId="50153DB1">
                  <w:pPr>
                    <w:adjustRightInd w:val="0"/>
                    <w:snapToGrid w:val="0"/>
                    <w:jc w:val="center"/>
                    <w:rPr>
                      <w:rFonts w:hint="eastAsia" w:cs="Times New Roman"/>
                      <w:color w:val="auto"/>
                      <w:kern w:val="2"/>
                      <w:sz w:val="21"/>
                      <w:szCs w:val="21"/>
                      <w:lang w:val="en-US" w:eastAsia="zh-CN" w:bidi="ar-SA"/>
                    </w:rPr>
                  </w:pPr>
                  <w:r>
                    <w:rPr>
                      <w:rFonts w:hint="eastAsia" w:cs="Times New Roman"/>
                      <w:bCs/>
                      <w:color w:val="auto"/>
                      <w:kern w:val="2"/>
                      <w:sz w:val="21"/>
                      <w:szCs w:val="21"/>
                      <w:lang w:val="en-US" w:eastAsia="zh-CN" w:bidi="ar-SA"/>
                    </w:rPr>
                    <w:t>13.427</w:t>
                  </w:r>
                </w:p>
              </w:tc>
              <w:tc>
                <w:tcPr>
                  <w:tcW w:w="465" w:type="pct"/>
                  <w:vMerge w:val="restart"/>
                  <w:vAlign w:val="center"/>
                </w:tcPr>
                <w:p w14:paraId="20B2AC42">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bCs/>
                      <w:color w:val="auto"/>
                      <w:sz w:val="21"/>
                      <w:szCs w:val="21"/>
                      <w:lang w:val="en-US" w:eastAsia="zh-CN"/>
                    </w:rPr>
                    <w:t>委托处置</w:t>
                  </w:r>
                </w:p>
              </w:tc>
              <w:tc>
                <w:tcPr>
                  <w:tcW w:w="504" w:type="pct"/>
                  <w:vMerge w:val="restart"/>
                  <w:vAlign w:val="center"/>
                </w:tcPr>
                <w:p w14:paraId="2EF06C45">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有资质单位</w:t>
                  </w:r>
                </w:p>
              </w:tc>
            </w:tr>
            <w:tr w14:paraId="73DF7F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9" w:type="pct"/>
                  <w:vAlign w:val="center"/>
                </w:tcPr>
                <w:p w14:paraId="5B99456B">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663" w:type="pct"/>
                  <w:vAlign w:val="center"/>
                </w:tcPr>
                <w:p w14:paraId="21335E4F">
                  <w:pPr>
                    <w:pStyle w:val="6"/>
                    <w:adjustRightInd w:val="0"/>
                    <w:snapToGrid w:val="0"/>
                    <w:ind w:firstLine="0" w:firstLineChars="0"/>
                    <w:jc w:val="center"/>
                    <w:rPr>
                      <w:rFonts w:hint="eastAsia" w:ascii="Times New Roman" w:hAnsi="Times New Roman" w:eastAsia="宋体" w:cs="Times New Roman"/>
                      <w:color w:val="auto"/>
                      <w:sz w:val="21"/>
                      <w:szCs w:val="21"/>
                      <w:lang w:val="en-US" w:eastAsia="zh-CN"/>
                    </w:rPr>
                  </w:pPr>
                  <w:r>
                    <w:rPr>
                      <w:rFonts w:hint="eastAsia" w:cs="Times New Roman"/>
                      <w:b w:val="0"/>
                      <w:bCs w:val="0"/>
                      <w:color w:val="auto"/>
                      <w:kern w:val="2"/>
                      <w:sz w:val="21"/>
                      <w:szCs w:val="21"/>
                      <w:lang w:val="en-US" w:eastAsia="zh-CN" w:bidi="ar-SA"/>
                    </w:rPr>
                    <w:t>废机油</w:t>
                  </w:r>
                </w:p>
              </w:tc>
              <w:tc>
                <w:tcPr>
                  <w:tcW w:w="399" w:type="pct"/>
                  <w:vMerge w:val="continue"/>
                  <w:vAlign w:val="center"/>
                </w:tcPr>
                <w:p w14:paraId="5A45DC0F">
                  <w:pPr>
                    <w:adjustRightInd w:val="0"/>
                    <w:snapToGrid w:val="0"/>
                    <w:jc w:val="center"/>
                    <w:rPr>
                      <w:rFonts w:hint="default" w:ascii="Times New Roman" w:hAnsi="Times New Roman" w:cs="Times New Roman"/>
                      <w:color w:val="auto"/>
                      <w:sz w:val="21"/>
                      <w:szCs w:val="21"/>
                    </w:rPr>
                  </w:pPr>
                </w:p>
              </w:tc>
              <w:tc>
                <w:tcPr>
                  <w:tcW w:w="558" w:type="pct"/>
                  <w:vAlign w:val="center"/>
                </w:tcPr>
                <w:p w14:paraId="5F517792">
                  <w:pPr>
                    <w:adjustRightInd w:val="0"/>
                    <w:snapToGrid w:val="0"/>
                    <w:jc w:val="center"/>
                    <w:rPr>
                      <w:rFonts w:hint="eastAsia" w:ascii="Times New Roman" w:hAnsi="Times New Roman" w:eastAsia="宋体" w:cs="Times New Roman"/>
                      <w:color w:val="auto"/>
                      <w:sz w:val="21"/>
                      <w:szCs w:val="21"/>
                      <w:lang w:val="en-US" w:eastAsia="zh-CN"/>
                    </w:rPr>
                  </w:pPr>
                  <w:r>
                    <w:rPr>
                      <w:rFonts w:hint="eastAsia"/>
                      <w:color w:val="auto"/>
                    </w:rPr>
                    <w:t>设备保养</w:t>
                  </w:r>
                </w:p>
              </w:tc>
              <w:tc>
                <w:tcPr>
                  <w:tcW w:w="384" w:type="pct"/>
                  <w:vAlign w:val="center"/>
                </w:tcPr>
                <w:p w14:paraId="31A8B998">
                  <w:pPr>
                    <w:adjustRightInd w:val="0"/>
                    <w:snapToGrid w:val="0"/>
                    <w:jc w:val="center"/>
                    <w:rPr>
                      <w:rFonts w:hint="default" w:ascii="Times New Roman" w:hAnsi="Times New Roman" w:cs="Times New Roman"/>
                      <w:color w:val="auto"/>
                      <w:sz w:val="21"/>
                      <w:szCs w:val="21"/>
                    </w:rPr>
                  </w:pPr>
                  <w:r>
                    <w:rPr>
                      <w:color w:val="auto"/>
                    </w:rPr>
                    <w:t>T，I</w:t>
                  </w:r>
                </w:p>
              </w:tc>
              <w:tc>
                <w:tcPr>
                  <w:tcW w:w="401" w:type="pct"/>
                  <w:vAlign w:val="center"/>
                </w:tcPr>
                <w:p w14:paraId="31628650">
                  <w:pPr>
                    <w:snapToGrid w:val="0"/>
                    <w:spacing w:line="300" w:lineRule="exact"/>
                    <w:jc w:val="center"/>
                    <w:rPr>
                      <w:rFonts w:hint="default" w:ascii="Times New Roman" w:hAnsi="Times New Roman" w:eastAsia="宋体" w:cs="Times New Roman"/>
                      <w:color w:val="auto"/>
                      <w:sz w:val="21"/>
                      <w:szCs w:val="21"/>
                      <w:lang w:val="en-US" w:eastAsia="zh-CN"/>
                    </w:rPr>
                  </w:pPr>
                  <w:r>
                    <w:rPr>
                      <w:color w:val="auto"/>
                    </w:rPr>
                    <w:t>HW</w:t>
                  </w:r>
                  <w:r>
                    <w:rPr>
                      <w:rFonts w:hint="eastAsia"/>
                      <w:color w:val="auto"/>
                    </w:rPr>
                    <w:t>08</w:t>
                  </w:r>
                </w:p>
              </w:tc>
              <w:tc>
                <w:tcPr>
                  <w:tcW w:w="734" w:type="pct"/>
                  <w:vAlign w:val="center"/>
                </w:tcPr>
                <w:p w14:paraId="39555FC0">
                  <w:pPr>
                    <w:spacing w:line="300" w:lineRule="exact"/>
                    <w:jc w:val="center"/>
                    <w:rPr>
                      <w:rFonts w:hint="default" w:ascii="Times New Roman" w:hAnsi="Times New Roman" w:eastAsia="宋体" w:cs="Times New Roman"/>
                      <w:color w:val="auto"/>
                      <w:spacing w:val="2"/>
                      <w:kern w:val="2"/>
                      <w:sz w:val="21"/>
                      <w:szCs w:val="21"/>
                      <w:lang w:val="en-US" w:eastAsia="zh-CN" w:bidi="ar-SA"/>
                    </w:rPr>
                  </w:pPr>
                  <w:r>
                    <w:rPr>
                      <w:rFonts w:hint="eastAsia"/>
                      <w:color w:val="auto"/>
                    </w:rPr>
                    <w:t>900-217-08</w:t>
                  </w:r>
                </w:p>
              </w:tc>
              <w:tc>
                <w:tcPr>
                  <w:tcW w:w="628" w:type="pct"/>
                  <w:vAlign w:val="center"/>
                </w:tcPr>
                <w:p w14:paraId="62667D33">
                  <w:pPr>
                    <w:adjustRightInd w:val="0"/>
                    <w:snapToGrid w:val="0"/>
                    <w:jc w:val="center"/>
                    <w:rPr>
                      <w:rFonts w:hint="default" w:cs="Times New Roman"/>
                      <w:color w:val="auto"/>
                      <w:sz w:val="21"/>
                      <w:szCs w:val="21"/>
                      <w:highlight w:val="none"/>
                      <w:lang w:val="en-US" w:eastAsia="zh-CN"/>
                    </w:rPr>
                  </w:pPr>
                  <w:r>
                    <w:rPr>
                      <w:rFonts w:hint="eastAsia" w:cs="Times New Roman"/>
                      <w:bCs/>
                      <w:color w:val="auto"/>
                      <w:kern w:val="2"/>
                      <w:sz w:val="21"/>
                      <w:szCs w:val="21"/>
                      <w:lang w:val="en-US" w:eastAsia="zh-CN" w:bidi="ar-SA"/>
                    </w:rPr>
                    <w:t>0.2</w:t>
                  </w:r>
                </w:p>
              </w:tc>
              <w:tc>
                <w:tcPr>
                  <w:tcW w:w="465" w:type="pct"/>
                  <w:vMerge w:val="continue"/>
                  <w:vAlign w:val="center"/>
                </w:tcPr>
                <w:p w14:paraId="34B43BEE">
                  <w:pPr>
                    <w:adjustRightInd w:val="0"/>
                    <w:snapToGrid w:val="0"/>
                    <w:jc w:val="center"/>
                    <w:rPr>
                      <w:rFonts w:hint="default" w:ascii="Times New Roman" w:hAnsi="Times New Roman" w:cs="Times New Roman"/>
                      <w:bCs/>
                      <w:color w:val="auto"/>
                      <w:sz w:val="21"/>
                      <w:szCs w:val="21"/>
                      <w:lang w:val="en-US" w:eastAsia="zh-CN"/>
                    </w:rPr>
                  </w:pPr>
                </w:p>
              </w:tc>
              <w:tc>
                <w:tcPr>
                  <w:tcW w:w="504" w:type="pct"/>
                  <w:vMerge w:val="continue"/>
                  <w:vAlign w:val="center"/>
                </w:tcPr>
                <w:p w14:paraId="4ED3F647">
                  <w:pPr>
                    <w:adjustRightInd w:val="0"/>
                    <w:snapToGrid w:val="0"/>
                    <w:jc w:val="center"/>
                    <w:rPr>
                      <w:rFonts w:hint="default" w:ascii="Times New Roman" w:hAnsi="Times New Roman" w:cs="Times New Roman"/>
                      <w:bCs/>
                      <w:color w:val="auto"/>
                      <w:sz w:val="21"/>
                      <w:szCs w:val="21"/>
                    </w:rPr>
                  </w:pPr>
                </w:p>
              </w:tc>
            </w:tr>
            <w:tr w14:paraId="3AC7A7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9" w:type="pct"/>
                  <w:vAlign w:val="center"/>
                </w:tcPr>
                <w:p w14:paraId="55AD1784">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663" w:type="pct"/>
                  <w:vAlign w:val="center"/>
                </w:tcPr>
                <w:p w14:paraId="65C8E178">
                  <w:pPr>
                    <w:pStyle w:val="6"/>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废油桶</w:t>
                  </w:r>
                </w:p>
              </w:tc>
              <w:tc>
                <w:tcPr>
                  <w:tcW w:w="399" w:type="pct"/>
                  <w:vMerge w:val="continue"/>
                  <w:vAlign w:val="center"/>
                </w:tcPr>
                <w:p w14:paraId="2CABFEB1">
                  <w:pPr>
                    <w:adjustRightInd w:val="0"/>
                    <w:snapToGrid w:val="0"/>
                    <w:jc w:val="center"/>
                    <w:rPr>
                      <w:rFonts w:hint="default" w:ascii="Times New Roman" w:hAnsi="Times New Roman" w:cs="Times New Roman"/>
                      <w:color w:val="auto"/>
                      <w:sz w:val="21"/>
                      <w:szCs w:val="21"/>
                    </w:rPr>
                  </w:pPr>
                </w:p>
              </w:tc>
              <w:tc>
                <w:tcPr>
                  <w:tcW w:w="558" w:type="pct"/>
                  <w:vAlign w:val="center"/>
                </w:tcPr>
                <w:p w14:paraId="0B85D3B3">
                  <w:pPr>
                    <w:pStyle w:val="6"/>
                    <w:adjustRightInd w:val="0"/>
                    <w:snapToGrid w:val="0"/>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机油包装</w:t>
                  </w:r>
                </w:p>
              </w:tc>
              <w:tc>
                <w:tcPr>
                  <w:tcW w:w="384" w:type="pct"/>
                  <w:vAlign w:val="center"/>
                </w:tcPr>
                <w:p w14:paraId="4A178DC3">
                  <w:pPr>
                    <w:adjustRightInd w:val="0"/>
                    <w:snapToGrid w:val="0"/>
                    <w:jc w:val="center"/>
                    <w:rPr>
                      <w:rFonts w:hint="default" w:ascii="Times New Roman" w:hAnsi="Times New Roman" w:cs="Times New Roman"/>
                      <w:color w:val="auto"/>
                      <w:sz w:val="21"/>
                      <w:szCs w:val="21"/>
                    </w:rPr>
                  </w:pPr>
                  <w:r>
                    <w:rPr>
                      <w:color w:val="auto"/>
                    </w:rPr>
                    <w:t>T，I</w:t>
                  </w:r>
                </w:p>
              </w:tc>
              <w:tc>
                <w:tcPr>
                  <w:tcW w:w="401" w:type="pct"/>
                  <w:vAlign w:val="center"/>
                </w:tcPr>
                <w:p w14:paraId="3E177788">
                  <w:pPr>
                    <w:snapToGrid w:val="0"/>
                    <w:spacing w:line="300" w:lineRule="exact"/>
                    <w:jc w:val="center"/>
                    <w:rPr>
                      <w:rFonts w:hint="default" w:ascii="Times New Roman" w:hAnsi="Times New Roman" w:cs="Times New Roman"/>
                      <w:color w:val="auto"/>
                      <w:sz w:val="21"/>
                      <w:szCs w:val="21"/>
                    </w:rPr>
                  </w:pPr>
                  <w:r>
                    <w:rPr>
                      <w:color w:val="auto"/>
                    </w:rPr>
                    <w:t>HW</w:t>
                  </w:r>
                  <w:r>
                    <w:rPr>
                      <w:rFonts w:hint="eastAsia"/>
                      <w:color w:val="auto"/>
                    </w:rPr>
                    <w:t>08</w:t>
                  </w:r>
                </w:p>
              </w:tc>
              <w:tc>
                <w:tcPr>
                  <w:tcW w:w="734" w:type="pct"/>
                  <w:vAlign w:val="center"/>
                </w:tcPr>
                <w:p w14:paraId="1A82EEFC">
                  <w:pPr>
                    <w:spacing w:line="300" w:lineRule="exact"/>
                    <w:jc w:val="center"/>
                    <w:rPr>
                      <w:rFonts w:hint="eastAsia" w:cs="Times New Roman"/>
                      <w:color w:val="auto"/>
                      <w:sz w:val="21"/>
                      <w:szCs w:val="21"/>
                      <w:lang w:val="en-US" w:eastAsia="zh-CN"/>
                    </w:rPr>
                  </w:pPr>
                  <w:r>
                    <w:rPr>
                      <w:rFonts w:hint="eastAsia"/>
                      <w:color w:val="auto"/>
                    </w:rPr>
                    <w:t>900-2</w:t>
                  </w:r>
                  <w:r>
                    <w:rPr>
                      <w:rFonts w:hint="eastAsia"/>
                      <w:color w:val="auto"/>
                      <w:lang w:val="en-US" w:eastAsia="zh-CN"/>
                    </w:rPr>
                    <w:t>49</w:t>
                  </w:r>
                  <w:r>
                    <w:rPr>
                      <w:rFonts w:hint="eastAsia"/>
                      <w:color w:val="auto"/>
                    </w:rPr>
                    <w:t>-08</w:t>
                  </w:r>
                </w:p>
              </w:tc>
              <w:tc>
                <w:tcPr>
                  <w:tcW w:w="628" w:type="pct"/>
                  <w:vAlign w:val="center"/>
                </w:tcPr>
                <w:p w14:paraId="20D214B7">
                  <w:pPr>
                    <w:adjustRightInd w:val="0"/>
                    <w:snapToGrid w:val="0"/>
                    <w:jc w:val="center"/>
                    <w:rPr>
                      <w:rFonts w:hint="eastAsia" w:cs="Times New Roman"/>
                      <w:b w:val="0"/>
                      <w:bCs/>
                      <w:color w:val="auto"/>
                      <w:sz w:val="21"/>
                      <w:szCs w:val="21"/>
                      <w:lang w:val="en-US" w:eastAsia="zh-CN"/>
                    </w:rPr>
                  </w:pPr>
                  <w:r>
                    <w:rPr>
                      <w:rFonts w:hint="eastAsia" w:cs="Times New Roman"/>
                      <w:b w:val="0"/>
                      <w:bCs w:val="0"/>
                      <w:color w:val="auto"/>
                      <w:kern w:val="2"/>
                      <w:sz w:val="21"/>
                      <w:szCs w:val="21"/>
                      <w:lang w:val="en-US" w:eastAsia="zh-CN" w:bidi="ar-SA"/>
                    </w:rPr>
                    <w:t>0.02</w:t>
                  </w:r>
                </w:p>
              </w:tc>
              <w:tc>
                <w:tcPr>
                  <w:tcW w:w="465" w:type="pct"/>
                  <w:vMerge w:val="continue"/>
                  <w:vAlign w:val="center"/>
                </w:tcPr>
                <w:p w14:paraId="2AB650C2">
                  <w:pPr>
                    <w:adjustRightInd w:val="0"/>
                    <w:snapToGrid w:val="0"/>
                    <w:jc w:val="center"/>
                    <w:rPr>
                      <w:rFonts w:hint="default" w:ascii="Times New Roman" w:hAnsi="Times New Roman" w:cs="Times New Roman"/>
                      <w:color w:val="auto"/>
                      <w:sz w:val="21"/>
                      <w:szCs w:val="21"/>
                    </w:rPr>
                  </w:pPr>
                </w:p>
              </w:tc>
              <w:tc>
                <w:tcPr>
                  <w:tcW w:w="504" w:type="pct"/>
                  <w:vMerge w:val="continue"/>
                  <w:vAlign w:val="center"/>
                </w:tcPr>
                <w:p w14:paraId="4268A6EB">
                  <w:pPr>
                    <w:adjustRightInd w:val="0"/>
                    <w:snapToGrid w:val="0"/>
                    <w:jc w:val="center"/>
                    <w:rPr>
                      <w:rFonts w:hint="default" w:ascii="Times New Roman" w:hAnsi="Times New Roman" w:cs="Times New Roman"/>
                      <w:color w:val="auto"/>
                      <w:sz w:val="21"/>
                      <w:szCs w:val="21"/>
                    </w:rPr>
                  </w:pPr>
                </w:p>
              </w:tc>
            </w:tr>
            <w:tr w14:paraId="648DD5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9" w:type="pct"/>
                  <w:vAlign w:val="center"/>
                </w:tcPr>
                <w:p w14:paraId="7F2FC4BF">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5</w:t>
                  </w:r>
                </w:p>
              </w:tc>
              <w:tc>
                <w:tcPr>
                  <w:tcW w:w="663" w:type="pct"/>
                  <w:vAlign w:val="center"/>
                </w:tcPr>
                <w:p w14:paraId="2F26AB10">
                  <w:pPr>
                    <w:adjustRightInd w:val="0"/>
                    <w:snapToGrid w:val="0"/>
                    <w:jc w:val="center"/>
                    <w:rPr>
                      <w:rFonts w:hint="default" w:ascii="Times New Roman" w:hAnsi="Times New Roman" w:cs="Times New Roman"/>
                      <w:color w:val="auto"/>
                      <w:sz w:val="21"/>
                      <w:szCs w:val="21"/>
                    </w:rPr>
                  </w:pPr>
                  <w:r>
                    <w:rPr>
                      <w:rFonts w:hint="eastAsia"/>
                      <w:color w:val="auto"/>
                      <w:szCs w:val="21"/>
                      <w:lang w:eastAsia="zh-CN"/>
                    </w:rPr>
                    <w:t>废含油抹布手套</w:t>
                  </w:r>
                </w:p>
              </w:tc>
              <w:tc>
                <w:tcPr>
                  <w:tcW w:w="399" w:type="pct"/>
                  <w:vMerge w:val="continue"/>
                  <w:vAlign w:val="center"/>
                </w:tcPr>
                <w:p w14:paraId="086DDA42">
                  <w:pPr>
                    <w:adjustRightInd w:val="0"/>
                    <w:snapToGrid w:val="0"/>
                    <w:jc w:val="center"/>
                    <w:rPr>
                      <w:rFonts w:hint="eastAsia" w:ascii="Times New Roman" w:hAnsi="Times New Roman" w:eastAsia="宋体" w:cs="Times New Roman"/>
                      <w:color w:val="auto"/>
                      <w:sz w:val="21"/>
                      <w:szCs w:val="21"/>
                      <w:lang w:val="en-US" w:eastAsia="zh-CN"/>
                    </w:rPr>
                  </w:pPr>
                </w:p>
              </w:tc>
              <w:tc>
                <w:tcPr>
                  <w:tcW w:w="558" w:type="pct"/>
                  <w:vAlign w:val="center"/>
                </w:tcPr>
                <w:p w14:paraId="4016867E">
                  <w:pPr>
                    <w:adjustRightInd w:val="0"/>
                    <w:snapToGrid w:val="0"/>
                    <w:jc w:val="center"/>
                    <w:rPr>
                      <w:rFonts w:hint="eastAsia" w:ascii="Times New Roman" w:hAnsi="Times New Roman" w:cs="Times New Roman"/>
                      <w:color w:val="auto"/>
                      <w:sz w:val="21"/>
                      <w:szCs w:val="21"/>
                      <w:lang w:val="en-US" w:eastAsia="zh-CN"/>
                    </w:rPr>
                  </w:pPr>
                  <w:r>
                    <w:rPr>
                      <w:rFonts w:hint="eastAsia"/>
                      <w:color w:val="auto"/>
                    </w:rPr>
                    <w:t>设备保养</w:t>
                  </w:r>
                </w:p>
              </w:tc>
              <w:tc>
                <w:tcPr>
                  <w:tcW w:w="384" w:type="pct"/>
                  <w:vAlign w:val="center"/>
                </w:tcPr>
                <w:p w14:paraId="7817A3F7">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T/In</w:t>
                  </w:r>
                </w:p>
              </w:tc>
              <w:tc>
                <w:tcPr>
                  <w:tcW w:w="401" w:type="pct"/>
                  <w:vAlign w:val="center"/>
                </w:tcPr>
                <w:p w14:paraId="69FD8243">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HW49</w:t>
                  </w:r>
                </w:p>
              </w:tc>
              <w:tc>
                <w:tcPr>
                  <w:tcW w:w="734" w:type="pct"/>
                  <w:vAlign w:val="center"/>
                </w:tcPr>
                <w:p w14:paraId="2A2CC204">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900-041-49</w:t>
                  </w:r>
                </w:p>
              </w:tc>
              <w:tc>
                <w:tcPr>
                  <w:tcW w:w="628" w:type="pct"/>
                  <w:vAlign w:val="center"/>
                </w:tcPr>
                <w:p w14:paraId="4D99F1CF">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color w:val="auto"/>
                      <w:lang w:val="en-US" w:eastAsia="zh-CN"/>
                    </w:rPr>
                    <w:t>0.05</w:t>
                  </w:r>
                </w:p>
              </w:tc>
              <w:tc>
                <w:tcPr>
                  <w:tcW w:w="465" w:type="pct"/>
                  <w:vMerge w:val="continue"/>
                  <w:vAlign w:val="center"/>
                </w:tcPr>
                <w:p w14:paraId="3C8D4CA3">
                  <w:pPr>
                    <w:adjustRightInd w:val="0"/>
                    <w:snapToGrid w:val="0"/>
                    <w:jc w:val="center"/>
                    <w:rPr>
                      <w:rFonts w:hint="default" w:ascii="Times New Roman" w:hAnsi="Times New Roman" w:cs="Times New Roman"/>
                      <w:bCs/>
                      <w:color w:val="auto"/>
                      <w:sz w:val="21"/>
                      <w:szCs w:val="21"/>
                    </w:rPr>
                  </w:pPr>
                </w:p>
              </w:tc>
              <w:tc>
                <w:tcPr>
                  <w:tcW w:w="504" w:type="pct"/>
                  <w:vMerge w:val="continue"/>
                  <w:vAlign w:val="center"/>
                </w:tcPr>
                <w:p w14:paraId="1FA5BEA0">
                  <w:pPr>
                    <w:adjustRightInd w:val="0"/>
                    <w:snapToGrid w:val="0"/>
                    <w:jc w:val="center"/>
                    <w:rPr>
                      <w:rFonts w:hint="default" w:ascii="Times New Roman" w:hAnsi="Times New Roman" w:eastAsia="宋体" w:cs="Times New Roman"/>
                      <w:bCs/>
                      <w:color w:val="auto"/>
                      <w:sz w:val="21"/>
                      <w:szCs w:val="21"/>
                      <w:lang w:val="en-US" w:eastAsia="zh-CN"/>
                    </w:rPr>
                  </w:pPr>
                </w:p>
              </w:tc>
            </w:tr>
          </w:tbl>
          <w:p w14:paraId="746A7F92">
            <w:pPr>
              <w:adjustRightInd w:val="0"/>
              <w:snapToGrid w:val="0"/>
              <w:spacing w:line="500" w:lineRule="exact"/>
              <w:ind w:firstLine="422" w:firstLineChars="200"/>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3、</w:t>
            </w:r>
            <w:r>
              <w:rPr>
                <w:rFonts w:hint="default" w:ascii="Times New Roman" w:hAnsi="Times New Roman" w:cs="Times New Roman"/>
                <w:b/>
                <w:bCs/>
                <w:color w:val="auto"/>
                <w:sz w:val="21"/>
                <w:szCs w:val="21"/>
                <w:highlight w:val="none"/>
                <w:lang w:val="en-US" w:eastAsia="zh-CN"/>
              </w:rPr>
              <w:t>固废环境影响分析</w:t>
            </w:r>
          </w:p>
          <w:p w14:paraId="1AA4FAD1">
            <w:pPr>
              <w:adjustRightInd w:val="0"/>
              <w:snapToGrid w:val="0"/>
              <w:spacing w:line="500" w:lineRule="exact"/>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临时贮存可行性分析：</w:t>
            </w:r>
          </w:p>
          <w:p w14:paraId="72AABA52">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项目产生的废物应分类收集、分类贮存，并张贴标签储存在专门的场所内，一般固废、生活垃圾、危险废物应分开储存，不得混放。危废每季度周转一次，危废暂存场所按照《危险废物贮存污染控制标准》规范要求设置，设有防风、防雨、防晒、防渗漏等措施，并设置危险废物标识和警示牌。各堆场场所按照《环境保护图形标志-固体废物贮存（处置场）》设置</w:t>
            </w:r>
            <w:r>
              <w:rPr>
                <w:rFonts w:hint="eastAsia" w:cs="Times New Roman"/>
                <w:color w:val="auto"/>
                <w:sz w:val="21"/>
                <w:szCs w:val="21"/>
                <w:highlight w:val="none"/>
                <w:lang w:val="en-US" w:eastAsia="zh-CN"/>
              </w:rPr>
              <w:t>标识牌</w:t>
            </w:r>
            <w:r>
              <w:rPr>
                <w:rFonts w:hint="default" w:ascii="Times New Roman" w:hAnsi="Times New Roman" w:eastAsia="宋体" w:cs="Times New Roman"/>
                <w:color w:val="auto"/>
                <w:sz w:val="21"/>
                <w:szCs w:val="21"/>
                <w:highlight w:val="none"/>
                <w:lang w:val="en-US" w:eastAsia="zh-CN"/>
              </w:rPr>
              <w:t>。</w:t>
            </w:r>
          </w:p>
          <w:p w14:paraId="68415603">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企业应根据危险废物的种类和特性进行分区、分类贮存，设置防雨、防火、防雷、防扬散、防渗漏装置及泄漏液体收集装置。对易爆、易燃及排出有毒气体的危险废物进行预处理，稳定后贮存，否则按易爆、易燃危险品贮存。贮存废弃剧毒化学品的，应按照公安机关要求落实治安防范措施。</w:t>
            </w:r>
            <w:r>
              <w:rPr>
                <w:rFonts w:hint="default" w:ascii="Times New Roman" w:hAnsi="Times New Roman" w:eastAsia="宋体" w:cs="Times New Roman"/>
                <w:bCs/>
                <w:color w:val="auto"/>
                <w:sz w:val="21"/>
                <w:szCs w:val="21"/>
                <w:lang w:val="en-US" w:eastAsia="zh-CN"/>
              </w:rPr>
              <w:t>危险废物经营单位需制定废物入场控制措施，并不得接受核准经营许可以外的种类；贮存设施周转的累积贮存量不得超过年许可经营能力的六分之一，贮存期限原则上不得超过三个月。</w:t>
            </w:r>
          </w:p>
          <w:p w14:paraId="1F2B0F54">
            <w:pPr>
              <w:pStyle w:val="89"/>
              <w:keepNext w:val="0"/>
              <w:keepLines w:val="0"/>
              <w:pageBreakBefore w:val="0"/>
              <w:widowControl w:val="0"/>
              <w:kinsoku/>
              <w:wordWrap/>
              <w:overflowPunct/>
              <w:topLinePunct w:val="0"/>
              <w:autoSpaceDE w:val="0"/>
              <w:autoSpaceDN w:val="0"/>
              <w:bidi w:val="0"/>
              <w:adjustRightInd w:val="0"/>
              <w:snapToGrid w:val="0"/>
              <w:spacing w:beforeLines="0" w:line="500" w:lineRule="exact"/>
              <w:ind w:firstLine="0" w:firstLineChars="0"/>
              <w:jc w:val="center"/>
              <w:textAlignment w:val="auto"/>
              <w:rPr>
                <w:rFonts w:hint="default" w:ascii="Times New Roman" w:hAnsi="Times New Roman" w:eastAsia="宋体" w:cs="Times New Roman"/>
                <w:b/>
                <w:color w:val="FF0000"/>
                <w:sz w:val="21"/>
                <w:szCs w:val="21"/>
                <w:lang w:val="en-US" w:eastAsia="zh-CN"/>
              </w:rPr>
            </w:pPr>
            <w:r>
              <w:rPr>
                <w:rFonts w:hint="default" w:ascii="Times New Roman" w:hAnsi="Times New Roman" w:eastAsia="宋体" w:cs="Times New Roman"/>
                <w:b/>
                <w:color w:val="FF0000"/>
                <w:sz w:val="21"/>
                <w:szCs w:val="21"/>
                <w:lang w:val="en-US" w:eastAsia="zh-CN"/>
              </w:rPr>
              <w:t>表4-</w:t>
            </w:r>
            <w:r>
              <w:rPr>
                <w:rFonts w:hint="eastAsia" w:cs="Times New Roman"/>
                <w:b/>
                <w:color w:val="FF0000"/>
                <w:sz w:val="21"/>
                <w:szCs w:val="21"/>
                <w:lang w:val="en-US" w:eastAsia="zh-CN"/>
              </w:rPr>
              <w:t>19 项目建成后全厂</w:t>
            </w:r>
            <w:r>
              <w:rPr>
                <w:rFonts w:hint="default" w:ascii="Times New Roman" w:hAnsi="Times New Roman" w:eastAsia="宋体" w:cs="Times New Roman"/>
                <w:b/>
                <w:color w:val="FF0000"/>
                <w:sz w:val="21"/>
                <w:szCs w:val="21"/>
                <w:lang w:val="en-US" w:eastAsia="zh-CN"/>
              </w:rPr>
              <w:t>危险废物贮存场所（设施）基本情况表</w:t>
            </w:r>
          </w:p>
          <w:tbl>
            <w:tblPr>
              <w:tblStyle w:val="31"/>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84"/>
              <w:gridCol w:w="1308"/>
              <w:gridCol w:w="660"/>
              <w:gridCol w:w="644"/>
              <w:gridCol w:w="1190"/>
              <w:gridCol w:w="753"/>
              <w:gridCol w:w="713"/>
              <w:gridCol w:w="713"/>
              <w:gridCol w:w="713"/>
              <w:gridCol w:w="716"/>
              <w:gridCol w:w="1043"/>
            </w:tblGrid>
            <w:tr w14:paraId="4D3D90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218" w:type="pct"/>
                  <w:noWrap w:val="0"/>
                  <w:tcMar>
                    <w:top w:w="0" w:type="dxa"/>
                    <w:left w:w="11" w:type="dxa"/>
                    <w:bottom w:w="0" w:type="dxa"/>
                    <w:right w:w="11" w:type="dxa"/>
                  </w:tcMar>
                  <w:vAlign w:val="center"/>
                </w:tcPr>
                <w:p w14:paraId="22EE8A9A">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FF0000"/>
                      <w:sz w:val="21"/>
                      <w:szCs w:val="21"/>
                      <w:lang w:val="en-US" w:eastAsia="zh-CN"/>
                    </w:rPr>
                  </w:pPr>
                  <w:r>
                    <w:rPr>
                      <w:rFonts w:hint="default" w:ascii="Times New Roman" w:hAnsi="Times New Roman" w:eastAsia="宋体" w:cs="Times New Roman"/>
                      <w:b/>
                      <w:bCs/>
                      <w:color w:val="FF0000"/>
                      <w:sz w:val="21"/>
                      <w:szCs w:val="21"/>
                      <w:lang w:val="en-US" w:eastAsia="zh-CN"/>
                    </w:rPr>
                    <w:t>序号</w:t>
                  </w:r>
                </w:p>
              </w:tc>
              <w:tc>
                <w:tcPr>
                  <w:tcW w:w="740" w:type="pct"/>
                  <w:noWrap w:val="0"/>
                  <w:tcMar>
                    <w:top w:w="0" w:type="dxa"/>
                    <w:left w:w="11" w:type="dxa"/>
                    <w:bottom w:w="0" w:type="dxa"/>
                    <w:right w:w="11" w:type="dxa"/>
                  </w:tcMar>
                  <w:vAlign w:val="center"/>
                </w:tcPr>
                <w:p w14:paraId="1467A6DF">
                  <w:pPr>
                    <w:pStyle w:val="10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FF0000"/>
                      <w:sz w:val="21"/>
                      <w:szCs w:val="21"/>
                      <w:lang w:val="en-US" w:eastAsia="zh-CN"/>
                    </w:rPr>
                  </w:pPr>
                  <w:r>
                    <w:rPr>
                      <w:rFonts w:hint="default" w:ascii="Times New Roman" w:hAnsi="Times New Roman" w:eastAsia="宋体" w:cs="Times New Roman"/>
                      <w:b/>
                      <w:bCs/>
                      <w:color w:val="FF0000"/>
                      <w:sz w:val="21"/>
                      <w:szCs w:val="21"/>
                      <w:lang w:val="en-US" w:eastAsia="zh-CN"/>
                    </w:rPr>
                    <w:t>名称</w:t>
                  </w:r>
                </w:p>
              </w:tc>
              <w:tc>
                <w:tcPr>
                  <w:tcW w:w="373" w:type="pct"/>
                  <w:noWrap w:val="0"/>
                  <w:tcMar>
                    <w:top w:w="0" w:type="dxa"/>
                    <w:left w:w="11" w:type="dxa"/>
                    <w:bottom w:w="0" w:type="dxa"/>
                    <w:right w:w="11" w:type="dxa"/>
                  </w:tcMar>
                  <w:vAlign w:val="center"/>
                </w:tcPr>
                <w:p w14:paraId="21916A78">
                  <w:pPr>
                    <w:pStyle w:val="10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FF0000"/>
                      <w:sz w:val="21"/>
                      <w:szCs w:val="21"/>
                      <w:lang w:val="en-US" w:eastAsia="zh-CN"/>
                    </w:rPr>
                  </w:pPr>
                  <w:r>
                    <w:rPr>
                      <w:rFonts w:hint="default" w:ascii="Times New Roman" w:hAnsi="Times New Roman" w:eastAsia="宋体" w:cs="Times New Roman"/>
                      <w:b/>
                      <w:bCs/>
                      <w:color w:val="FF0000"/>
                      <w:sz w:val="21"/>
                      <w:szCs w:val="21"/>
                      <w:lang w:val="en-US" w:eastAsia="zh-CN"/>
                    </w:rPr>
                    <w:t>属性</w:t>
                  </w:r>
                </w:p>
              </w:tc>
              <w:tc>
                <w:tcPr>
                  <w:tcW w:w="364" w:type="pct"/>
                  <w:noWrap w:val="0"/>
                  <w:tcMar>
                    <w:top w:w="0" w:type="dxa"/>
                    <w:left w:w="11" w:type="dxa"/>
                    <w:bottom w:w="0" w:type="dxa"/>
                    <w:right w:w="11" w:type="dxa"/>
                  </w:tcMar>
                  <w:vAlign w:val="center"/>
                </w:tcPr>
                <w:p w14:paraId="02F98DC7">
                  <w:pPr>
                    <w:pStyle w:val="10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FF0000"/>
                      <w:sz w:val="21"/>
                      <w:szCs w:val="21"/>
                      <w:lang w:val="en-US" w:eastAsia="zh-CN"/>
                    </w:rPr>
                  </w:pPr>
                  <w:r>
                    <w:rPr>
                      <w:rFonts w:hint="default" w:ascii="Times New Roman" w:hAnsi="Times New Roman" w:eastAsia="宋体" w:cs="Times New Roman"/>
                      <w:b/>
                      <w:bCs/>
                      <w:color w:val="FF0000"/>
                      <w:sz w:val="21"/>
                      <w:szCs w:val="21"/>
                      <w:lang w:val="en-US" w:eastAsia="zh-CN"/>
                    </w:rPr>
                    <w:t>类别</w:t>
                  </w:r>
                </w:p>
              </w:tc>
              <w:tc>
                <w:tcPr>
                  <w:tcW w:w="672" w:type="pct"/>
                  <w:noWrap w:val="0"/>
                  <w:tcMar>
                    <w:top w:w="0" w:type="dxa"/>
                    <w:left w:w="11" w:type="dxa"/>
                    <w:bottom w:w="0" w:type="dxa"/>
                    <w:right w:w="11" w:type="dxa"/>
                  </w:tcMar>
                  <w:vAlign w:val="center"/>
                </w:tcPr>
                <w:p w14:paraId="43658E30">
                  <w:pPr>
                    <w:pStyle w:val="10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FF0000"/>
                      <w:sz w:val="21"/>
                      <w:szCs w:val="21"/>
                      <w:lang w:val="en-US" w:eastAsia="zh-CN"/>
                    </w:rPr>
                  </w:pPr>
                  <w:r>
                    <w:rPr>
                      <w:rFonts w:hint="default" w:ascii="Times New Roman" w:hAnsi="Times New Roman" w:eastAsia="宋体" w:cs="Times New Roman"/>
                      <w:b/>
                      <w:bCs/>
                      <w:color w:val="FF0000"/>
                      <w:sz w:val="21"/>
                      <w:szCs w:val="21"/>
                      <w:lang w:val="en-US" w:eastAsia="zh-CN"/>
                    </w:rPr>
                    <w:t>代码</w:t>
                  </w:r>
                </w:p>
              </w:tc>
              <w:tc>
                <w:tcPr>
                  <w:tcW w:w="426" w:type="pct"/>
                  <w:noWrap w:val="0"/>
                  <w:tcMar>
                    <w:top w:w="0" w:type="dxa"/>
                    <w:left w:w="11" w:type="dxa"/>
                    <w:bottom w:w="0" w:type="dxa"/>
                    <w:right w:w="11" w:type="dxa"/>
                  </w:tcMar>
                  <w:vAlign w:val="center"/>
                </w:tcPr>
                <w:p w14:paraId="72B825A5">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FF0000"/>
                      <w:sz w:val="21"/>
                      <w:szCs w:val="21"/>
                      <w:lang w:val="en-US" w:eastAsia="zh-CN"/>
                    </w:rPr>
                  </w:pPr>
                  <w:r>
                    <w:rPr>
                      <w:rFonts w:hint="default" w:ascii="Times New Roman" w:hAnsi="Times New Roman" w:eastAsia="宋体" w:cs="Times New Roman"/>
                      <w:b/>
                      <w:bCs/>
                      <w:color w:val="FF0000"/>
                      <w:sz w:val="21"/>
                      <w:szCs w:val="21"/>
                      <w:lang w:val="en-US" w:eastAsia="zh-CN"/>
                    </w:rPr>
                    <w:t>产生量t/a</w:t>
                  </w:r>
                </w:p>
              </w:tc>
              <w:tc>
                <w:tcPr>
                  <w:tcW w:w="403" w:type="pct"/>
                  <w:noWrap w:val="0"/>
                  <w:tcMar>
                    <w:top w:w="0" w:type="dxa"/>
                    <w:left w:w="11" w:type="dxa"/>
                    <w:bottom w:w="0" w:type="dxa"/>
                    <w:right w:w="11" w:type="dxa"/>
                  </w:tcMar>
                  <w:vAlign w:val="center"/>
                </w:tcPr>
                <w:p w14:paraId="1DA8BF28">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FF0000"/>
                      <w:sz w:val="21"/>
                      <w:szCs w:val="21"/>
                      <w:lang w:val="en-US" w:eastAsia="zh-CN"/>
                    </w:rPr>
                  </w:pPr>
                  <w:r>
                    <w:rPr>
                      <w:rFonts w:hint="default" w:ascii="Times New Roman" w:hAnsi="Times New Roman" w:eastAsia="宋体" w:cs="Times New Roman"/>
                      <w:b/>
                      <w:bCs/>
                      <w:color w:val="FF0000"/>
                      <w:sz w:val="21"/>
                      <w:szCs w:val="21"/>
                      <w:lang w:val="en-US" w:eastAsia="zh-CN"/>
                    </w:rPr>
                    <w:t>贮存方式</w:t>
                  </w:r>
                </w:p>
              </w:tc>
              <w:tc>
                <w:tcPr>
                  <w:tcW w:w="403" w:type="pct"/>
                  <w:noWrap w:val="0"/>
                  <w:tcMar>
                    <w:top w:w="0" w:type="dxa"/>
                    <w:left w:w="11" w:type="dxa"/>
                    <w:bottom w:w="0" w:type="dxa"/>
                    <w:right w:w="11" w:type="dxa"/>
                  </w:tcMar>
                  <w:vAlign w:val="center"/>
                </w:tcPr>
                <w:p w14:paraId="2D32E613">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FF0000"/>
                      <w:sz w:val="21"/>
                      <w:szCs w:val="21"/>
                      <w:lang w:val="en-US" w:eastAsia="zh-CN"/>
                    </w:rPr>
                  </w:pPr>
                  <w:r>
                    <w:rPr>
                      <w:rFonts w:hint="default" w:ascii="Times New Roman" w:hAnsi="Times New Roman" w:eastAsia="宋体" w:cs="Times New Roman"/>
                      <w:b/>
                      <w:bCs/>
                      <w:color w:val="FF0000"/>
                      <w:sz w:val="21"/>
                      <w:szCs w:val="21"/>
                      <w:lang w:val="en-US" w:eastAsia="zh-CN"/>
                    </w:rPr>
                    <w:t>贮存周期</w:t>
                  </w:r>
                </w:p>
              </w:tc>
              <w:tc>
                <w:tcPr>
                  <w:tcW w:w="403" w:type="pct"/>
                  <w:noWrap w:val="0"/>
                  <w:tcMar>
                    <w:top w:w="0" w:type="dxa"/>
                    <w:left w:w="11" w:type="dxa"/>
                    <w:bottom w:w="0" w:type="dxa"/>
                    <w:right w:w="11" w:type="dxa"/>
                  </w:tcMar>
                  <w:vAlign w:val="center"/>
                </w:tcPr>
                <w:p w14:paraId="54F9E808">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FF0000"/>
                      <w:sz w:val="21"/>
                      <w:szCs w:val="21"/>
                      <w:lang w:val="en-US" w:eastAsia="zh-CN"/>
                    </w:rPr>
                  </w:pPr>
                  <w:r>
                    <w:rPr>
                      <w:rFonts w:hint="default" w:ascii="Times New Roman" w:hAnsi="Times New Roman" w:eastAsia="宋体" w:cs="Times New Roman"/>
                      <w:b/>
                      <w:bCs/>
                      <w:color w:val="FF0000"/>
                      <w:sz w:val="21"/>
                      <w:szCs w:val="21"/>
                      <w:lang w:val="en-US" w:eastAsia="zh-CN"/>
                    </w:rPr>
                    <w:t>占地面积m</w:t>
                  </w:r>
                  <w:r>
                    <w:rPr>
                      <w:rFonts w:hint="default" w:ascii="Times New Roman" w:hAnsi="Times New Roman" w:eastAsia="宋体" w:cs="Times New Roman"/>
                      <w:b/>
                      <w:bCs/>
                      <w:color w:val="FF0000"/>
                      <w:sz w:val="21"/>
                      <w:szCs w:val="21"/>
                      <w:vertAlign w:val="superscript"/>
                      <w:lang w:val="en-US" w:eastAsia="zh-CN"/>
                    </w:rPr>
                    <w:t>2</w:t>
                  </w:r>
                </w:p>
              </w:tc>
              <w:tc>
                <w:tcPr>
                  <w:tcW w:w="405" w:type="pct"/>
                  <w:noWrap w:val="0"/>
                  <w:tcMar>
                    <w:top w:w="0" w:type="dxa"/>
                    <w:left w:w="11" w:type="dxa"/>
                    <w:bottom w:w="0" w:type="dxa"/>
                    <w:right w:w="11" w:type="dxa"/>
                  </w:tcMar>
                  <w:vAlign w:val="center"/>
                </w:tcPr>
                <w:p w14:paraId="5C4A6F55">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FF0000"/>
                      <w:sz w:val="21"/>
                      <w:szCs w:val="21"/>
                      <w:lang w:val="en-US" w:eastAsia="zh-CN"/>
                    </w:rPr>
                  </w:pPr>
                  <w:r>
                    <w:rPr>
                      <w:rFonts w:hint="default" w:ascii="Times New Roman" w:hAnsi="Times New Roman" w:eastAsia="宋体" w:cs="Times New Roman"/>
                      <w:b/>
                      <w:bCs/>
                      <w:color w:val="FF0000"/>
                      <w:sz w:val="21"/>
                      <w:szCs w:val="21"/>
                      <w:shd w:val="clear" w:fill="auto"/>
                      <w:lang w:val="en-US" w:eastAsia="zh-CN"/>
                    </w:rPr>
                    <w:t>设计最大</w:t>
                  </w:r>
                  <w:r>
                    <w:rPr>
                      <w:rFonts w:hint="default" w:ascii="Times New Roman" w:hAnsi="Times New Roman" w:eastAsia="宋体" w:cs="Times New Roman"/>
                      <w:b/>
                      <w:bCs/>
                      <w:color w:val="FF0000"/>
                      <w:sz w:val="21"/>
                      <w:szCs w:val="21"/>
                      <w:lang w:val="en-US" w:eastAsia="zh-CN"/>
                    </w:rPr>
                    <w:t>贮存量t</w:t>
                  </w:r>
                </w:p>
              </w:tc>
              <w:tc>
                <w:tcPr>
                  <w:tcW w:w="590" w:type="pct"/>
                  <w:noWrap w:val="0"/>
                  <w:tcMar>
                    <w:top w:w="0" w:type="dxa"/>
                    <w:left w:w="11" w:type="dxa"/>
                    <w:bottom w:w="0" w:type="dxa"/>
                    <w:right w:w="11" w:type="dxa"/>
                  </w:tcMar>
                  <w:vAlign w:val="center"/>
                </w:tcPr>
                <w:p w14:paraId="2E564457">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FF0000"/>
                      <w:sz w:val="21"/>
                      <w:szCs w:val="21"/>
                      <w:lang w:val="en-US" w:eastAsia="zh-CN"/>
                    </w:rPr>
                  </w:pPr>
                  <w:r>
                    <w:rPr>
                      <w:rFonts w:hint="default" w:ascii="Times New Roman" w:hAnsi="Times New Roman" w:eastAsia="宋体" w:cs="Times New Roman"/>
                      <w:b/>
                      <w:bCs/>
                      <w:color w:val="FF0000"/>
                      <w:sz w:val="21"/>
                      <w:szCs w:val="21"/>
                      <w:lang w:val="en-US" w:eastAsia="zh-CN"/>
                    </w:rPr>
                    <w:t>贮存位置</w:t>
                  </w:r>
                </w:p>
              </w:tc>
            </w:tr>
            <w:tr w14:paraId="0EBCDB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 w:type="pct"/>
                  <w:noWrap w:val="0"/>
                  <w:tcMar>
                    <w:top w:w="0" w:type="dxa"/>
                    <w:left w:w="11" w:type="dxa"/>
                    <w:bottom w:w="0" w:type="dxa"/>
                    <w:right w:w="11" w:type="dxa"/>
                  </w:tcMar>
                  <w:vAlign w:val="center"/>
                </w:tcPr>
                <w:p w14:paraId="3D23825B">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FF0000"/>
                      <w:sz w:val="21"/>
                      <w:szCs w:val="21"/>
                      <w:lang w:val="en-US" w:eastAsia="zh-CN"/>
                    </w:rPr>
                  </w:pPr>
                  <w:r>
                    <w:rPr>
                      <w:rFonts w:hint="eastAsia" w:cs="Times New Roman"/>
                      <w:color w:val="FF0000"/>
                      <w:sz w:val="21"/>
                      <w:szCs w:val="21"/>
                      <w:lang w:val="en-US" w:eastAsia="zh-CN"/>
                    </w:rPr>
                    <w:t>1</w:t>
                  </w:r>
                </w:p>
              </w:tc>
              <w:tc>
                <w:tcPr>
                  <w:tcW w:w="740" w:type="pct"/>
                  <w:noWrap w:val="0"/>
                  <w:tcMar>
                    <w:top w:w="0" w:type="dxa"/>
                    <w:left w:w="11" w:type="dxa"/>
                    <w:bottom w:w="0" w:type="dxa"/>
                    <w:right w:w="11" w:type="dxa"/>
                  </w:tcMar>
                  <w:vAlign w:val="center"/>
                </w:tcPr>
                <w:p w14:paraId="674C8C4F">
                  <w:pPr>
                    <w:pStyle w:val="6"/>
                    <w:adjustRightInd w:val="0"/>
                    <w:snapToGrid w:val="0"/>
                    <w:ind w:firstLine="0" w:firstLineChars="0"/>
                    <w:jc w:val="center"/>
                    <w:rPr>
                      <w:rFonts w:hint="eastAsia" w:cs="Times New Roman"/>
                      <w:color w:val="FF0000"/>
                      <w:spacing w:val="2"/>
                      <w:kern w:val="2"/>
                      <w:sz w:val="21"/>
                      <w:szCs w:val="21"/>
                      <w:lang w:val="en-US" w:eastAsia="zh-CN" w:bidi="ar-SA"/>
                    </w:rPr>
                  </w:pPr>
                  <w:r>
                    <w:rPr>
                      <w:rFonts w:hint="default" w:ascii="Times New Roman" w:hAnsi="Times New Roman" w:cs="Times New Roman"/>
                      <w:color w:val="FF0000"/>
                      <w:sz w:val="21"/>
                      <w:szCs w:val="21"/>
                      <w:lang w:val="en-US" w:eastAsia="zh-CN"/>
                    </w:rPr>
                    <w:t>废活性炭</w:t>
                  </w:r>
                </w:p>
              </w:tc>
              <w:tc>
                <w:tcPr>
                  <w:tcW w:w="373" w:type="pct"/>
                  <w:vMerge w:val="restart"/>
                  <w:noWrap w:val="0"/>
                  <w:tcMar>
                    <w:top w:w="0" w:type="dxa"/>
                    <w:left w:w="11" w:type="dxa"/>
                    <w:bottom w:w="0" w:type="dxa"/>
                    <w:right w:w="11" w:type="dxa"/>
                  </w:tcMar>
                  <w:vAlign w:val="center"/>
                </w:tcPr>
                <w:p w14:paraId="6938B2C7">
                  <w:pPr>
                    <w:pStyle w:val="10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FF0000"/>
                      <w:sz w:val="21"/>
                      <w:szCs w:val="21"/>
                      <w:lang w:val="en-US" w:eastAsia="zh-CN"/>
                    </w:rPr>
                  </w:pPr>
                  <w:r>
                    <w:rPr>
                      <w:rFonts w:hint="eastAsia" w:cs="Times New Roman"/>
                      <w:color w:val="FF0000"/>
                      <w:sz w:val="21"/>
                      <w:szCs w:val="21"/>
                      <w:lang w:val="en-US" w:eastAsia="zh-CN"/>
                    </w:rPr>
                    <w:t>危险废物</w:t>
                  </w:r>
                </w:p>
              </w:tc>
              <w:tc>
                <w:tcPr>
                  <w:tcW w:w="364" w:type="pct"/>
                  <w:noWrap w:val="0"/>
                  <w:tcMar>
                    <w:top w:w="0" w:type="dxa"/>
                    <w:left w:w="11" w:type="dxa"/>
                    <w:bottom w:w="0" w:type="dxa"/>
                    <w:right w:w="11" w:type="dxa"/>
                  </w:tcMar>
                  <w:vAlign w:val="center"/>
                </w:tcPr>
                <w:p w14:paraId="412A0632">
                  <w:pPr>
                    <w:snapToGrid w:val="0"/>
                    <w:jc w:val="center"/>
                    <w:rPr>
                      <w:bCs/>
                      <w:color w:val="FF0000"/>
                      <w:sz w:val="21"/>
                      <w:szCs w:val="21"/>
                    </w:rPr>
                  </w:pPr>
                  <w:r>
                    <w:rPr>
                      <w:rFonts w:hint="default" w:ascii="Times New Roman" w:hAnsi="Times New Roman" w:cs="Times New Roman"/>
                      <w:color w:val="FF0000"/>
                      <w:sz w:val="21"/>
                      <w:szCs w:val="21"/>
                    </w:rPr>
                    <w:t>HW49</w:t>
                  </w:r>
                </w:p>
              </w:tc>
              <w:tc>
                <w:tcPr>
                  <w:tcW w:w="672" w:type="pct"/>
                  <w:noWrap w:val="0"/>
                  <w:tcMar>
                    <w:top w:w="0" w:type="dxa"/>
                    <w:left w:w="11" w:type="dxa"/>
                    <w:bottom w:w="0" w:type="dxa"/>
                    <w:right w:w="11" w:type="dxa"/>
                  </w:tcMar>
                  <w:vAlign w:val="center"/>
                </w:tcPr>
                <w:p w14:paraId="708F75BD">
                  <w:pPr>
                    <w:snapToGrid w:val="0"/>
                    <w:jc w:val="center"/>
                    <w:rPr>
                      <w:bCs/>
                      <w:color w:val="FF0000"/>
                      <w:sz w:val="21"/>
                      <w:szCs w:val="21"/>
                    </w:rPr>
                  </w:pPr>
                  <w:r>
                    <w:rPr>
                      <w:rFonts w:hint="default" w:ascii="Times New Roman" w:hAnsi="Times New Roman" w:cs="Times New Roman"/>
                      <w:color w:val="FF0000"/>
                      <w:sz w:val="21"/>
                      <w:szCs w:val="21"/>
                    </w:rPr>
                    <w:t>900-039-49</w:t>
                  </w:r>
                </w:p>
              </w:tc>
              <w:tc>
                <w:tcPr>
                  <w:tcW w:w="426" w:type="pct"/>
                  <w:noWrap w:val="0"/>
                  <w:tcMar>
                    <w:top w:w="0" w:type="dxa"/>
                    <w:left w:w="11" w:type="dxa"/>
                    <w:bottom w:w="0" w:type="dxa"/>
                    <w:right w:w="11" w:type="dxa"/>
                  </w:tcMar>
                  <w:vAlign w:val="center"/>
                </w:tcPr>
                <w:p w14:paraId="012F092B">
                  <w:pPr>
                    <w:adjustRightInd w:val="0"/>
                    <w:snapToGrid w:val="0"/>
                    <w:jc w:val="center"/>
                    <w:rPr>
                      <w:rFonts w:hint="default" w:cs="Times New Roman"/>
                      <w:color w:val="FF0000"/>
                      <w:sz w:val="21"/>
                      <w:szCs w:val="21"/>
                      <w:lang w:val="en-US" w:eastAsia="zh-CN"/>
                    </w:rPr>
                  </w:pPr>
                  <w:r>
                    <w:rPr>
                      <w:rFonts w:hint="eastAsia" w:cs="Times New Roman"/>
                      <w:color w:val="FF0000"/>
                      <w:kern w:val="0"/>
                      <w:sz w:val="21"/>
                      <w:szCs w:val="21"/>
                      <w:lang w:val="en-US" w:eastAsia="zh-CN" w:bidi="ar-SA"/>
                    </w:rPr>
                    <w:t>84.227</w:t>
                  </w:r>
                </w:p>
              </w:tc>
              <w:tc>
                <w:tcPr>
                  <w:tcW w:w="403" w:type="pct"/>
                  <w:noWrap w:val="0"/>
                  <w:tcMar>
                    <w:top w:w="0" w:type="dxa"/>
                    <w:left w:w="11" w:type="dxa"/>
                    <w:bottom w:w="0" w:type="dxa"/>
                    <w:right w:w="11" w:type="dxa"/>
                  </w:tcMar>
                  <w:vAlign w:val="center"/>
                </w:tcPr>
                <w:p w14:paraId="3481F1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lang w:val="en-US" w:eastAsia="zh-CN"/>
                    </w:rPr>
                  </w:pPr>
                  <w:r>
                    <w:rPr>
                      <w:rFonts w:hint="eastAsia" w:cs="Times New Roman"/>
                      <w:color w:val="FF0000"/>
                      <w:sz w:val="21"/>
                      <w:szCs w:val="21"/>
                      <w:lang w:val="en-US" w:eastAsia="zh-CN"/>
                    </w:rPr>
                    <w:t>袋装</w:t>
                  </w:r>
                </w:p>
              </w:tc>
              <w:tc>
                <w:tcPr>
                  <w:tcW w:w="403" w:type="pct"/>
                  <w:noWrap w:val="0"/>
                  <w:tcMar>
                    <w:top w:w="0" w:type="dxa"/>
                    <w:left w:w="11" w:type="dxa"/>
                    <w:bottom w:w="0" w:type="dxa"/>
                    <w:right w:w="11" w:type="dxa"/>
                  </w:tcMar>
                  <w:vAlign w:val="center"/>
                </w:tcPr>
                <w:p w14:paraId="727E27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FF0000"/>
                      <w:sz w:val="21"/>
                      <w:szCs w:val="21"/>
                      <w:lang w:val="en-US" w:eastAsia="zh-CN"/>
                    </w:rPr>
                  </w:pPr>
                  <w:r>
                    <w:rPr>
                      <w:rFonts w:hint="eastAsia" w:cs="Times New Roman"/>
                      <w:color w:val="FF0000"/>
                      <w:sz w:val="21"/>
                      <w:szCs w:val="21"/>
                      <w:lang w:val="en-US" w:eastAsia="zh-CN"/>
                    </w:rPr>
                    <w:t>3</w:t>
                  </w:r>
                  <w:r>
                    <w:rPr>
                      <w:rFonts w:hint="default" w:ascii="Times New Roman" w:hAnsi="Times New Roman" w:eastAsia="宋体" w:cs="Times New Roman"/>
                      <w:color w:val="FF0000"/>
                      <w:sz w:val="21"/>
                      <w:szCs w:val="21"/>
                      <w:lang w:val="en-US" w:eastAsia="zh-CN"/>
                    </w:rPr>
                    <w:t>个月</w:t>
                  </w:r>
                </w:p>
              </w:tc>
              <w:tc>
                <w:tcPr>
                  <w:tcW w:w="403" w:type="pct"/>
                  <w:noWrap w:val="0"/>
                  <w:tcMar>
                    <w:top w:w="0" w:type="dxa"/>
                    <w:left w:w="11" w:type="dxa"/>
                    <w:bottom w:w="0" w:type="dxa"/>
                    <w:right w:w="11" w:type="dxa"/>
                  </w:tcMar>
                  <w:vAlign w:val="center"/>
                </w:tcPr>
                <w:p w14:paraId="44549F46">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FF0000"/>
                      <w:sz w:val="21"/>
                      <w:szCs w:val="21"/>
                      <w:lang w:val="en-US" w:eastAsia="zh-CN"/>
                    </w:rPr>
                  </w:pPr>
                  <w:r>
                    <w:rPr>
                      <w:rFonts w:hint="eastAsia" w:cs="Times New Roman"/>
                      <w:color w:val="FF0000"/>
                      <w:sz w:val="21"/>
                      <w:szCs w:val="21"/>
                      <w:lang w:val="en-US" w:eastAsia="zh-CN"/>
                    </w:rPr>
                    <w:t>22</w:t>
                  </w:r>
                </w:p>
              </w:tc>
              <w:tc>
                <w:tcPr>
                  <w:tcW w:w="405" w:type="pct"/>
                  <w:noWrap w:val="0"/>
                  <w:tcMar>
                    <w:top w:w="0" w:type="dxa"/>
                    <w:left w:w="11" w:type="dxa"/>
                    <w:bottom w:w="0" w:type="dxa"/>
                    <w:right w:w="11" w:type="dxa"/>
                  </w:tcMar>
                  <w:vAlign w:val="center"/>
                </w:tcPr>
                <w:p w14:paraId="4A330F75">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FF0000"/>
                      <w:sz w:val="21"/>
                      <w:szCs w:val="21"/>
                      <w:lang w:val="en-US" w:eastAsia="zh-CN"/>
                    </w:rPr>
                  </w:pPr>
                  <w:r>
                    <w:rPr>
                      <w:rFonts w:hint="eastAsia" w:cs="Times New Roman"/>
                      <w:color w:val="FF0000"/>
                      <w:sz w:val="21"/>
                      <w:szCs w:val="21"/>
                      <w:lang w:val="en-US" w:eastAsia="zh-CN"/>
                    </w:rPr>
                    <w:t>21.06</w:t>
                  </w:r>
                </w:p>
              </w:tc>
              <w:tc>
                <w:tcPr>
                  <w:tcW w:w="590" w:type="pct"/>
                  <w:vMerge w:val="restart"/>
                  <w:noWrap w:val="0"/>
                  <w:tcMar>
                    <w:top w:w="0" w:type="dxa"/>
                    <w:left w:w="11" w:type="dxa"/>
                    <w:bottom w:w="0" w:type="dxa"/>
                    <w:right w:w="11" w:type="dxa"/>
                  </w:tcMar>
                  <w:vAlign w:val="center"/>
                </w:tcPr>
                <w:p w14:paraId="63D89473">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危险</w:t>
                  </w:r>
                  <w:r>
                    <w:rPr>
                      <w:rFonts w:hint="default" w:ascii="Times New Roman" w:hAnsi="Times New Roman" w:eastAsia="宋体" w:cs="Times New Roman"/>
                      <w:color w:val="FF0000"/>
                      <w:sz w:val="21"/>
                      <w:szCs w:val="21"/>
                      <w:shd w:val="clear" w:fill="auto"/>
                      <w:lang w:val="en-US" w:eastAsia="zh-CN"/>
                    </w:rPr>
                    <w:t>废物</w:t>
                  </w:r>
                  <w:r>
                    <w:rPr>
                      <w:rFonts w:hint="eastAsia" w:cs="Times New Roman"/>
                      <w:color w:val="FF0000"/>
                      <w:sz w:val="21"/>
                      <w:szCs w:val="21"/>
                      <w:lang w:val="en-US" w:eastAsia="zh-CN"/>
                    </w:rPr>
                    <w:t>仓库</w:t>
                  </w:r>
                </w:p>
              </w:tc>
            </w:tr>
            <w:tr w14:paraId="606ACC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 w:type="pct"/>
                  <w:noWrap w:val="0"/>
                  <w:tcMar>
                    <w:top w:w="0" w:type="dxa"/>
                    <w:left w:w="11" w:type="dxa"/>
                    <w:bottom w:w="0" w:type="dxa"/>
                    <w:right w:w="11" w:type="dxa"/>
                  </w:tcMar>
                  <w:vAlign w:val="center"/>
                </w:tcPr>
                <w:p w14:paraId="42265655">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FF0000"/>
                      <w:sz w:val="21"/>
                      <w:szCs w:val="21"/>
                      <w:lang w:val="en-US" w:eastAsia="zh-CN"/>
                    </w:rPr>
                  </w:pPr>
                  <w:r>
                    <w:rPr>
                      <w:rFonts w:hint="eastAsia" w:cs="Times New Roman"/>
                      <w:color w:val="FF0000"/>
                      <w:sz w:val="21"/>
                      <w:szCs w:val="21"/>
                      <w:lang w:val="en-US" w:eastAsia="zh-CN"/>
                    </w:rPr>
                    <w:t>2</w:t>
                  </w:r>
                </w:p>
              </w:tc>
              <w:tc>
                <w:tcPr>
                  <w:tcW w:w="740" w:type="pct"/>
                  <w:noWrap w:val="0"/>
                  <w:tcMar>
                    <w:top w:w="0" w:type="dxa"/>
                    <w:left w:w="11" w:type="dxa"/>
                    <w:bottom w:w="0" w:type="dxa"/>
                    <w:right w:w="11" w:type="dxa"/>
                  </w:tcMar>
                  <w:vAlign w:val="center"/>
                </w:tcPr>
                <w:p w14:paraId="1C4F4752">
                  <w:pPr>
                    <w:pStyle w:val="6"/>
                    <w:adjustRightInd w:val="0"/>
                    <w:snapToGrid w:val="0"/>
                    <w:ind w:firstLine="0" w:firstLineChars="0"/>
                    <w:jc w:val="center"/>
                    <w:rPr>
                      <w:rFonts w:hint="default" w:ascii="Times New Roman" w:hAnsi="Times New Roman" w:cs="Times New Roman"/>
                      <w:color w:val="FF0000"/>
                      <w:sz w:val="21"/>
                      <w:szCs w:val="21"/>
                      <w:lang w:val="en-US" w:eastAsia="zh-CN"/>
                    </w:rPr>
                  </w:pPr>
                  <w:r>
                    <w:rPr>
                      <w:rFonts w:hint="eastAsia" w:cs="Times New Roman"/>
                      <w:b w:val="0"/>
                      <w:bCs w:val="0"/>
                      <w:color w:val="FF0000"/>
                      <w:kern w:val="2"/>
                      <w:sz w:val="21"/>
                      <w:szCs w:val="21"/>
                      <w:lang w:val="en-US" w:eastAsia="zh-CN" w:bidi="ar-SA"/>
                    </w:rPr>
                    <w:t>废机油</w:t>
                  </w:r>
                </w:p>
              </w:tc>
              <w:tc>
                <w:tcPr>
                  <w:tcW w:w="373" w:type="pct"/>
                  <w:vMerge w:val="continue"/>
                  <w:noWrap w:val="0"/>
                  <w:tcMar>
                    <w:top w:w="0" w:type="dxa"/>
                    <w:left w:w="11" w:type="dxa"/>
                    <w:bottom w:w="0" w:type="dxa"/>
                    <w:right w:w="11" w:type="dxa"/>
                  </w:tcMar>
                  <w:vAlign w:val="center"/>
                </w:tcPr>
                <w:p w14:paraId="1123BD7F">
                  <w:pPr>
                    <w:pStyle w:val="10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FF0000"/>
                      <w:sz w:val="21"/>
                      <w:szCs w:val="21"/>
                      <w:lang w:val="en-US" w:eastAsia="zh-CN"/>
                    </w:rPr>
                  </w:pPr>
                </w:p>
              </w:tc>
              <w:tc>
                <w:tcPr>
                  <w:tcW w:w="364" w:type="pct"/>
                  <w:noWrap w:val="0"/>
                  <w:tcMar>
                    <w:top w:w="0" w:type="dxa"/>
                    <w:left w:w="11" w:type="dxa"/>
                    <w:bottom w:w="0" w:type="dxa"/>
                    <w:right w:w="11" w:type="dxa"/>
                  </w:tcMar>
                  <w:vAlign w:val="center"/>
                </w:tcPr>
                <w:p w14:paraId="2AF13572">
                  <w:pPr>
                    <w:snapToGrid w:val="0"/>
                    <w:spacing w:line="300" w:lineRule="exact"/>
                    <w:jc w:val="center"/>
                    <w:rPr>
                      <w:rFonts w:hint="default" w:ascii="Times New Roman" w:hAnsi="Times New Roman" w:cs="Times New Roman"/>
                      <w:color w:val="FF0000"/>
                      <w:sz w:val="21"/>
                      <w:szCs w:val="21"/>
                    </w:rPr>
                  </w:pPr>
                  <w:r>
                    <w:rPr>
                      <w:color w:val="FF0000"/>
                    </w:rPr>
                    <w:t>HW</w:t>
                  </w:r>
                  <w:r>
                    <w:rPr>
                      <w:rFonts w:hint="eastAsia"/>
                      <w:color w:val="FF0000"/>
                    </w:rPr>
                    <w:t>08</w:t>
                  </w:r>
                </w:p>
              </w:tc>
              <w:tc>
                <w:tcPr>
                  <w:tcW w:w="672" w:type="pct"/>
                  <w:noWrap w:val="0"/>
                  <w:tcMar>
                    <w:top w:w="0" w:type="dxa"/>
                    <w:left w:w="11" w:type="dxa"/>
                    <w:bottom w:w="0" w:type="dxa"/>
                    <w:right w:w="11" w:type="dxa"/>
                  </w:tcMar>
                  <w:vAlign w:val="center"/>
                </w:tcPr>
                <w:p w14:paraId="14291759">
                  <w:pPr>
                    <w:spacing w:line="300" w:lineRule="exact"/>
                    <w:jc w:val="center"/>
                    <w:rPr>
                      <w:rFonts w:hint="default" w:ascii="Times New Roman" w:hAnsi="Times New Roman" w:cs="Times New Roman"/>
                      <w:color w:val="FF0000"/>
                      <w:sz w:val="21"/>
                      <w:szCs w:val="21"/>
                    </w:rPr>
                  </w:pPr>
                  <w:r>
                    <w:rPr>
                      <w:rFonts w:hint="eastAsia"/>
                      <w:color w:val="FF0000"/>
                    </w:rPr>
                    <w:t>900-217-08</w:t>
                  </w:r>
                </w:p>
              </w:tc>
              <w:tc>
                <w:tcPr>
                  <w:tcW w:w="426" w:type="pct"/>
                  <w:noWrap w:val="0"/>
                  <w:tcMar>
                    <w:top w:w="0" w:type="dxa"/>
                    <w:left w:w="11" w:type="dxa"/>
                    <w:bottom w:w="0" w:type="dxa"/>
                    <w:right w:w="11" w:type="dxa"/>
                  </w:tcMar>
                  <w:vAlign w:val="center"/>
                </w:tcPr>
                <w:p w14:paraId="026DE7F3">
                  <w:pPr>
                    <w:adjustRightInd w:val="0"/>
                    <w:snapToGrid w:val="0"/>
                    <w:jc w:val="center"/>
                    <w:rPr>
                      <w:rFonts w:hint="eastAsia" w:cs="Times New Roman"/>
                      <w:bCs/>
                      <w:color w:val="FF0000"/>
                      <w:kern w:val="2"/>
                      <w:sz w:val="21"/>
                      <w:szCs w:val="21"/>
                      <w:lang w:val="en-US" w:eastAsia="zh-CN" w:bidi="ar-SA"/>
                    </w:rPr>
                  </w:pPr>
                  <w:r>
                    <w:rPr>
                      <w:rFonts w:hint="eastAsia" w:cs="Times New Roman"/>
                      <w:color w:val="FF0000"/>
                      <w:kern w:val="0"/>
                      <w:sz w:val="21"/>
                      <w:szCs w:val="21"/>
                      <w:lang w:val="en-US" w:eastAsia="zh-CN" w:bidi="ar-SA"/>
                    </w:rPr>
                    <w:t>4.6</w:t>
                  </w:r>
                </w:p>
              </w:tc>
              <w:tc>
                <w:tcPr>
                  <w:tcW w:w="403" w:type="pct"/>
                  <w:noWrap w:val="0"/>
                  <w:tcMar>
                    <w:top w:w="0" w:type="dxa"/>
                    <w:left w:w="11" w:type="dxa"/>
                    <w:bottom w:w="0" w:type="dxa"/>
                    <w:right w:w="11" w:type="dxa"/>
                  </w:tcMar>
                  <w:vAlign w:val="center"/>
                </w:tcPr>
                <w:p w14:paraId="76B2E3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桶装</w:t>
                  </w:r>
                </w:p>
              </w:tc>
              <w:tc>
                <w:tcPr>
                  <w:tcW w:w="403" w:type="pct"/>
                  <w:noWrap w:val="0"/>
                  <w:tcMar>
                    <w:top w:w="0" w:type="dxa"/>
                    <w:left w:w="11" w:type="dxa"/>
                    <w:bottom w:w="0" w:type="dxa"/>
                    <w:right w:w="11" w:type="dxa"/>
                  </w:tcMar>
                  <w:vAlign w:val="center"/>
                </w:tcPr>
                <w:p w14:paraId="05FDC5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FF0000"/>
                      <w:sz w:val="21"/>
                      <w:szCs w:val="21"/>
                      <w:lang w:val="en-US" w:eastAsia="zh-CN"/>
                    </w:rPr>
                  </w:pPr>
                  <w:r>
                    <w:rPr>
                      <w:rFonts w:hint="eastAsia" w:cs="Times New Roman"/>
                      <w:color w:val="FF0000"/>
                      <w:sz w:val="21"/>
                      <w:szCs w:val="21"/>
                      <w:lang w:val="en-US" w:eastAsia="zh-CN"/>
                    </w:rPr>
                    <w:t>3</w:t>
                  </w:r>
                  <w:r>
                    <w:rPr>
                      <w:rFonts w:hint="default" w:ascii="Times New Roman" w:hAnsi="Times New Roman" w:eastAsia="宋体" w:cs="Times New Roman"/>
                      <w:color w:val="FF0000"/>
                      <w:sz w:val="21"/>
                      <w:szCs w:val="21"/>
                      <w:lang w:val="en-US" w:eastAsia="zh-CN"/>
                    </w:rPr>
                    <w:t>个月</w:t>
                  </w:r>
                </w:p>
              </w:tc>
              <w:tc>
                <w:tcPr>
                  <w:tcW w:w="403" w:type="pct"/>
                  <w:noWrap w:val="0"/>
                  <w:tcMar>
                    <w:top w:w="0" w:type="dxa"/>
                    <w:left w:w="11" w:type="dxa"/>
                    <w:bottom w:w="0" w:type="dxa"/>
                    <w:right w:w="11" w:type="dxa"/>
                  </w:tcMar>
                  <w:vAlign w:val="center"/>
                </w:tcPr>
                <w:p w14:paraId="55C07BD1">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FF0000"/>
                      <w:sz w:val="21"/>
                      <w:szCs w:val="21"/>
                      <w:lang w:val="en-US" w:eastAsia="zh-CN"/>
                    </w:rPr>
                  </w:pPr>
                  <w:r>
                    <w:rPr>
                      <w:rFonts w:hint="eastAsia" w:cs="Times New Roman"/>
                      <w:color w:val="FF0000"/>
                      <w:sz w:val="21"/>
                      <w:szCs w:val="21"/>
                      <w:lang w:val="en-US" w:eastAsia="zh-CN"/>
                    </w:rPr>
                    <w:t>2</w:t>
                  </w:r>
                </w:p>
              </w:tc>
              <w:tc>
                <w:tcPr>
                  <w:tcW w:w="405" w:type="pct"/>
                  <w:noWrap w:val="0"/>
                  <w:tcMar>
                    <w:top w:w="0" w:type="dxa"/>
                    <w:left w:w="11" w:type="dxa"/>
                    <w:bottom w:w="0" w:type="dxa"/>
                    <w:right w:w="11" w:type="dxa"/>
                  </w:tcMar>
                  <w:vAlign w:val="center"/>
                </w:tcPr>
                <w:p w14:paraId="0D7A7E17">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FF0000"/>
                      <w:sz w:val="21"/>
                      <w:szCs w:val="21"/>
                      <w:lang w:val="en-US" w:eastAsia="zh-CN"/>
                    </w:rPr>
                  </w:pPr>
                  <w:r>
                    <w:rPr>
                      <w:rFonts w:hint="eastAsia" w:cs="Times New Roman"/>
                      <w:color w:val="FF0000"/>
                      <w:sz w:val="21"/>
                      <w:szCs w:val="21"/>
                      <w:lang w:val="en-US" w:eastAsia="zh-CN"/>
                    </w:rPr>
                    <w:t>1.15</w:t>
                  </w:r>
                </w:p>
              </w:tc>
              <w:tc>
                <w:tcPr>
                  <w:tcW w:w="590" w:type="pct"/>
                  <w:vMerge w:val="continue"/>
                  <w:noWrap w:val="0"/>
                  <w:tcMar>
                    <w:top w:w="0" w:type="dxa"/>
                    <w:left w:w="11" w:type="dxa"/>
                    <w:bottom w:w="0" w:type="dxa"/>
                    <w:right w:w="11" w:type="dxa"/>
                  </w:tcMar>
                  <w:vAlign w:val="center"/>
                </w:tcPr>
                <w:p w14:paraId="38441A75">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lang w:val="en-US" w:eastAsia="zh-CN"/>
                    </w:rPr>
                  </w:pPr>
                </w:p>
              </w:tc>
            </w:tr>
            <w:tr w14:paraId="7D6CC5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 w:type="pct"/>
                  <w:noWrap w:val="0"/>
                  <w:tcMar>
                    <w:top w:w="0" w:type="dxa"/>
                    <w:left w:w="11" w:type="dxa"/>
                    <w:bottom w:w="0" w:type="dxa"/>
                    <w:right w:w="11" w:type="dxa"/>
                  </w:tcMar>
                  <w:vAlign w:val="center"/>
                </w:tcPr>
                <w:p w14:paraId="49FB3671">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FF0000"/>
                      <w:sz w:val="21"/>
                      <w:szCs w:val="21"/>
                      <w:lang w:val="en-US" w:eastAsia="zh-CN"/>
                    </w:rPr>
                  </w:pPr>
                  <w:r>
                    <w:rPr>
                      <w:rFonts w:hint="eastAsia" w:cs="Times New Roman"/>
                      <w:color w:val="FF0000"/>
                      <w:sz w:val="21"/>
                      <w:szCs w:val="21"/>
                      <w:lang w:val="en-US" w:eastAsia="zh-CN"/>
                    </w:rPr>
                    <w:t>3</w:t>
                  </w:r>
                </w:p>
              </w:tc>
              <w:tc>
                <w:tcPr>
                  <w:tcW w:w="740" w:type="pct"/>
                  <w:noWrap w:val="0"/>
                  <w:tcMar>
                    <w:top w:w="0" w:type="dxa"/>
                    <w:left w:w="11" w:type="dxa"/>
                    <w:bottom w:w="0" w:type="dxa"/>
                    <w:right w:w="11" w:type="dxa"/>
                  </w:tcMar>
                  <w:vAlign w:val="center"/>
                </w:tcPr>
                <w:p w14:paraId="5EFF6588">
                  <w:pPr>
                    <w:pStyle w:val="6"/>
                    <w:adjustRightInd w:val="0"/>
                    <w:snapToGrid w:val="0"/>
                    <w:ind w:firstLine="0" w:firstLineChars="0"/>
                    <w:jc w:val="center"/>
                    <w:rPr>
                      <w:rFonts w:hint="eastAsia" w:ascii="Times New Roman" w:hAnsi="Times New Roman" w:eastAsia="宋体" w:cs="Times New Roman"/>
                      <w:color w:val="FF0000"/>
                      <w:sz w:val="21"/>
                      <w:szCs w:val="21"/>
                      <w:lang w:val="en-US" w:eastAsia="zh-CN"/>
                    </w:rPr>
                  </w:pPr>
                  <w:r>
                    <w:rPr>
                      <w:rFonts w:hint="eastAsia" w:ascii="Times New Roman" w:hAnsi="Times New Roman" w:cs="Times New Roman"/>
                      <w:color w:val="FF0000"/>
                      <w:sz w:val="21"/>
                      <w:szCs w:val="21"/>
                      <w:lang w:val="en-US" w:eastAsia="zh-CN"/>
                    </w:rPr>
                    <w:t>废油桶</w:t>
                  </w:r>
                </w:p>
              </w:tc>
              <w:tc>
                <w:tcPr>
                  <w:tcW w:w="373" w:type="pct"/>
                  <w:vMerge w:val="continue"/>
                  <w:noWrap w:val="0"/>
                  <w:tcMar>
                    <w:top w:w="0" w:type="dxa"/>
                    <w:left w:w="11" w:type="dxa"/>
                    <w:bottom w:w="0" w:type="dxa"/>
                    <w:right w:w="11" w:type="dxa"/>
                  </w:tcMar>
                  <w:vAlign w:val="center"/>
                </w:tcPr>
                <w:p w14:paraId="5EC7EBEF">
                  <w:pPr>
                    <w:pStyle w:val="10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FF0000"/>
                      <w:sz w:val="21"/>
                      <w:szCs w:val="21"/>
                      <w:lang w:val="en-US" w:eastAsia="zh-CN"/>
                    </w:rPr>
                  </w:pPr>
                </w:p>
              </w:tc>
              <w:tc>
                <w:tcPr>
                  <w:tcW w:w="364" w:type="pct"/>
                  <w:noWrap w:val="0"/>
                  <w:tcMar>
                    <w:top w:w="0" w:type="dxa"/>
                    <w:left w:w="11" w:type="dxa"/>
                    <w:bottom w:w="0" w:type="dxa"/>
                    <w:right w:w="11" w:type="dxa"/>
                  </w:tcMar>
                  <w:vAlign w:val="center"/>
                </w:tcPr>
                <w:p w14:paraId="746636A9">
                  <w:pPr>
                    <w:snapToGrid w:val="0"/>
                    <w:spacing w:line="300" w:lineRule="exact"/>
                    <w:jc w:val="center"/>
                    <w:rPr>
                      <w:rFonts w:hint="default" w:ascii="Times New Roman" w:hAnsi="Times New Roman" w:eastAsia="宋体" w:cs="Times New Roman"/>
                      <w:color w:val="FF0000"/>
                      <w:sz w:val="21"/>
                      <w:szCs w:val="21"/>
                      <w:lang w:val="en-US" w:eastAsia="zh-CN"/>
                    </w:rPr>
                  </w:pPr>
                  <w:r>
                    <w:rPr>
                      <w:color w:val="FF0000"/>
                    </w:rPr>
                    <w:t>HW</w:t>
                  </w:r>
                  <w:r>
                    <w:rPr>
                      <w:rFonts w:hint="eastAsia"/>
                      <w:color w:val="FF0000"/>
                    </w:rPr>
                    <w:t>08</w:t>
                  </w:r>
                </w:p>
              </w:tc>
              <w:tc>
                <w:tcPr>
                  <w:tcW w:w="672" w:type="pct"/>
                  <w:noWrap w:val="0"/>
                  <w:tcMar>
                    <w:top w:w="0" w:type="dxa"/>
                    <w:left w:w="11" w:type="dxa"/>
                    <w:bottom w:w="0" w:type="dxa"/>
                    <w:right w:w="11" w:type="dxa"/>
                  </w:tcMar>
                  <w:vAlign w:val="center"/>
                </w:tcPr>
                <w:p w14:paraId="730C6D1D">
                  <w:pPr>
                    <w:spacing w:line="300" w:lineRule="exact"/>
                    <w:jc w:val="center"/>
                    <w:rPr>
                      <w:rFonts w:hint="default" w:ascii="Times New Roman" w:hAnsi="Times New Roman" w:eastAsia="宋体" w:cs="Times New Roman"/>
                      <w:color w:val="FF0000"/>
                      <w:spacing w:val="2"/>
                      <w:kern w:val="2"/>
                      <w:sz w:val="21"/>
                      <w:szCs w:val="21"/>
                      <w:lang w:val="en-US" w:eastAsia="zh-CN" w:bidi="ar-SA"/>
                    </w:rPr>
                  </w:pPr>
                  <w:r>
                    <w:rPr>
                      <w:rFonts w:hint="eastAsia"/>
                      <w:color w:val="FF0000"/>
                    </w:rPr>
                    <w:t>900-2</w:t>
                  </w:r>
                  <w:r>
                    <w:rPr>
                      <w:rFonts w:hint="eastAsia"/>
                      <w:color w:val="FF0000"/>
                      <w:lang w:val="en-US" w:eastAsia="zh-CN"/>
                    </w:rPr>
                    <w:t>49</w:t>
                  </w:r>
                  <w:r>
                    <w:rPr>
                      <w:rFonts w:hint="eastAsia"/>
                      <w:color w:val="FF0000"/>
                    </w:rPr>
                    <w:t>-08</w:t>
                  </w:r>
                </w:p>
              </w:tc>
              <w:tc>
                <w:tcPr>
                  <w:tcW w:w="426" w:type="pct"/>
                  <w:noWrap w:val="0"/>
                  <w:tcMar>
                    <w:top w:w="0" w:type="dxa"/>
                    <w:left w:w="11" w:type="dxa"/>
                    <w:bottom w:w="0" w:type="dxa"/>
                    <w:right w:w="11" w:type="dxa"/>
                  </w:tcMar>
                  <w:vAlign w:val="center"/>
                </w:tcPr>
                <w:p w14:paraId="56BB68F2">
                  <w:pPr>
                    <w:adjustRightInd w:val="0"/>
                    <w:snapToGrid w:val="0"/>
                    <w:jc w:val="center"/>
                    <w:rPr>
                      <w:rFonts w:hint="default" w:cs="Times New Roman"/>
                      <w:color w:val="FF0000"/>
                      <w:sz w:val="21"/>
                      <w:szCs w:val="21"/>
                      <w:highlight w:val="none"/>
                      <w:lang w:val="en-US" w:eastAsia="zh-CN"/>
                    </w:rPr>
                  </w:pPr>
                  <w:r>
                    <w:rPr>
                      <w:rFonts w:hint="eastAsia" w:cs="Times New Roman"/>
                      <w:b w:val="0"/>
                      <w:bCs w:val="0"/>
                      <w:color w:val="FF0000"/>
                      <w:kern w:val="2"/>
                      <w:sz w:val="21"/>
                      <w:szCs w:val="21"/>
                      <w:lang w:val="en-US" w:eastAsia="zh-CN" w:bidi="ar-SA"/>
                    </w:rPr>
                    <w:t>0.17</w:t>
                  </w:r>
                </w:p>
              </w:tc>
              <w:tc>
                <w:tcPr>
                  <w:tcW w:w="403" w:type="pct"/>
                  <w:noWrap w:val="0"/>
                  <w:tcMar>
                    <w:top w:w="0" w:type="dxa"/>
                    <w:left w:w="11" w:type="dxa"/>
                    <w:bottom w:w="0" w:type="dxa"/>
                    <w:right w:w="11" w:type="dxa"/>
                  </w:tcMar>
                  <w:vAlign w:val="center"/>
                </w:tcPr>
                <w:p w14:paraId="752BAD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lang w:val="en-US" w:eastAsia="zh-CN"/>
                    </w:rPr>
                  </w:pPr>
                  <w:r>
                    <w:rPr>
                      <w:rFonts w:hint="eastAsia" w:cs="Times New Roman"/>
                      <w:color w:val="FF0000"/>
                      <w:sz w:val="21"/>
                      <w:szCs w:val="21"/>
                      <w:lang w:val="en-US" w:eastAsia="zh-CN"/>
                    </w:rPr>
                    <w:t>防渗托盘</w:t>
                  </w:r>
                </w:p>
              </w:tc>
              <w:tc>
                <w:tcPr>
                  <w:tcW w:w="403" w:type="pct"/>
                  <w:noWrap w:val="0"/>
                  <w:tcMar>
                    <w:top w:w="0" w:type="dxa"/>
                    <w:left w:w="11" w:type="dxa"/>
                    <w:bottom w:w="0" w:type="dxa"/>
                    <w:right w:w="11" w:type="dxa"/>
                  </w:tcMar>
                  <w:vAlign w:val="center"/>
                </w:tcPr>
                <w:p w14:paraId="189AAA72">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FF0000"/>
                      <w:sz w:val="21"/>
                      <w:szCs w:val="21"/>
                      <w:lang w:val="en-US" w:eastAsia="zh-CN"/>
                    </w:rPr>
                  </w:pPr>
                  <w:r>
                    <w:rPr>
                      <w:rFonts w:hint="eastAsia" w:cs="Times New Roman"/>
                      <w:color w:val="FF0000"/>
                      <w:sz w:val="21"/>
                      <w:szCs w:val="21"/>
                      <w:lang w:val="en-US" w:eastAsia="zh-CN"/>
                    </w:rPr>
                    <w:t>3</w:t>
                  </w:r>
                  <w:r>
                    <w:rPr>
                      <w:rFonts w:hint="default" w:ascii="Times New Roman" w:hAnsi="Times New Roman" w:eastAsia="宋体" w:cs="Times New Roman"/>
                      <w:color w:val="FF0000"/>
                      <w:sz w:val="21"/>
                      <w:szCs w:val="21"/>
                      <w:lang w:val="en-US" w:eastAsia="zh-CN"/>
                    </w:rPr>
                    <w:t>个月</w:t>
                  </w:r>
                </w:p>
              </w:tc>
              <w:tc>
                <w:tcPr>
                  <w:tcW w:w="403" w:type="pct"/>
                  <w:noWrap w:val="0"/>
                  <w:tcMar>
                    <w:top w:w="0" w:type="dxa"/>
                    <w:left w:w="11" w:type="dxa"/>
                    <w:bottom w:w="0" w:type="dxa"/>
                    <w:right w:w="11" w:type="dxa"/>
                  </w:tcMar>
                  <w:vAlign w:val="center"/>
                </w:tcPr>
                <w:p w14:paraId="6982F04F">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FF0000"/>
                      <w:sz w:val="21"/>
                      <w:szCs w:val="21"/>
                      <w:lang w:val="en-US" w:eastAsia="zh-CN"/>
                    </w:rPr>
                  </w:pPr>
                  <w:r>
                    <w:rPr>
                      <w:rFonts w:hint="eastAsia" w:cs="Times New Roman"/>
                      <w:color w:val="FF0000"/>
                      <w:sz w:val="21"/>
                      <w:szCs w:val="21"/>
                      <w:lang w:val="en-US" w:eastAsia="zh-CN"/>
                    </w:rPr>
                    <w:t>0.5</w:t>
                  </w:r>
                </w:p>
              </w:tc>
              <w:tc>
                <w:tcPr>
                  <w:tcW w:w="405" w:type="pct"/>
                  <w:noWrap w:val="0"/>
                  <w:tcMar>
                    <w:top w:w="0" w:type="dxa"/>
                    <w:left w:w="11" w:type="dxa"/>
                    <w:bottom w:w="0" w:type="dxa"/>
                    <w:right w:w="11" w:type="dxa"/>
                  </w:tcMar>
                  <w:vAlign w:val="center"/>
                </w:tcPr>
                <w:p w14:paraId="5DBB1D45">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FF0000"/>
                      <w:sz w:val="21"/>
                      <w:szCs w:val="21"/>
                      <w:lang w:val="en-US" w:eastAsia="zh-CN"/>
                    </w:rPr>
                  </w:pPr>
                  <w:r>
                    <w:rPr>
                      <w:rFonts w:hint="eastAsia" w:cs="Times New Roman"/>
                      <w:color w:val="FF0000"/>
                      <w:sz w:val="21"/>
                      <w:szCs w:val="21"/>
                      <w:lang w:val="en-US" w:eastAsia="zh-CN"/>
                    </w:rPr>
                    <w:t>0.04</w:t>
                  </w:r>
                </w:p>
              </w:tc>
              <w:tc>
                <w:tcPr>
                  <w:tcW w:w="590" w:type="pct"/>
                  <w:vMerge w:val="continue"/>
                  <w:noWrap w:val="0"/>
                  <w:tcMar>
                    <w:top w:w="0" w:type="dxa"/>
                    <w:left w:w="11" w:type="dxa"/>
                    <w:bottom w:w="0" w:type="dxa"/>
                    <w:right w:w="11" w:type="dxa"/>
                  </w:tcMar>
                  <w:vAlign w:val="center"/>
                </w:tcPr>
                <w:p w14:paraId="35C24778">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lang w:val="en-US" w:eastAsia="zh-CN"/>
                    </w:rPr>
                  </w:pPr>
                </w:p>
              </w:tc>
            </w:tr>
            <w:tr w14:paraId="1FD105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 w:type="pct"/>
                  <w:noWrap w:val="0"/>
                  <w:tcMar>
                    <w:top w:w="0" w:type="dxa"/>
                    <w:left w:w="11" w:type="dxa"/>
                    <w:bottom w:w="0" w:type="dxa"/>
                    <w:right w:w="11" w:type="dxa"/>
                  </w:tcMar>
                  <w:vAlign w:val="center"/>
                </w:tcPr>
                <w:p w14:paraId="3AF8E3DB">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FF0000"/>
                      <w:sz w:val="21"/>
                      <w:szCs w:val="21"/>
                      <w:lang w:val="en-US" w:eastAsia="zh-CN"/>
                    </w:rPr>
                  </w:pPr>
                  <w:r>
                    <w:rPr>
                      <w:rFonts w:hint="eastAsia" w:cs="Times New Roman"/>
                      <w:color w:val="FF0000"/>
                      <w:sz w:val="21"/>
                      <w:szCs w:val="21"/>
                      <w:lang w:val="en-US" w:eastAsia="zh-CN"/>
                    </w:rPr>
                    <w:t>4</w:t>
                  </w:r>
                </w:p>
              </w:tc>
              <w:tc>
                <w:tcPr>
                  <w:tcW w:w="740" w:type="pct"/>
                  <w:noWrap w:val="0"/>
                  <w:tcMar>
                    <w:top w:w="0" w:type="dxa"/>
                    <w:left w:w="11" w:type="dxa"/>
                    <w:bottom w:w="0" w:type="dxa"/>
                    <w:right w:w="11" w:type="dxa"/>
                  </w:tcMar>
                  <w:vAlign w:val="center"/>
                </w:tcPr>
                <w:p w14:paraId="3E264179">
                  <w:pPr>
                    <w:adjustRightInd w:val="0"/>
                    <w:snapToGrid w:val="0"/>
                    <w:jc w:val="center"/>
                    <w:rPr>
                      <w:rFonts w:hint="eastAsia" w:ascii="Times New Roman" w:hAnsi="Times New Roman" w:cs="Times New Roman"/>
                      <w:color w:val="FF0000"/>
                      <w:sz w:val="21"/>
                      <w:szCs w:val="21"/>
                      <w:lang w:val="en-US" w:eastAsia="zh-CN"/>
                    </w:rPr>
                  </w:pPr>
                  <w:r>
                    <w:rPr>
                      <w:rFonts w:hint="eastAsia"/>
                      <w:color w:val="FF0000"/>
                      <w:szCs w:val="21"/>
                      <w:lang w:eastAsia="zh-CN"/>
                    </w:rPr>
                    <w:t>废含油抹布手套</w:t>
                  </w:r>
                </w:p>
              </w:tc>
              <w:tc>
                <w:tcPr>
                  <w:tcW w:w="373" w:type="pct"/>
                  <w:vMerge w:val="continue"/>
                  <w:noWrap w:val="0"/>
                  <w:tcMar>
                    <w:top w:w="0" w:type="dxa"/>
                    <w:left w:w="11" w:type="dxa"/>
                    <w:bottom w:w="0" w:type="dxa"/>
                    <w:right w:w="11" w:type="dxa"/>
                  </w:tcMar>
                  <w:vAlign w:val="center"/>
                </w:tcPr>
                <w:p w14:paraId="41D64724">
                  <w:pPr>
                    <w:pStyle w:val="10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FF0000"/>
                      <w:sz w:val="21"/>
                      <w:szCs w:val="21"/>
                      <w:lang w:val="en-US" w:eastAsia="zh-CN"/>
                    </w:rPr>
                  </w:pPr>
                </w:p>
              </w:tc>
              <w:tc>
                <w:tcPr>
                  <w:tcW w:w="364" w:type="pct"/>
                  <w:noWrap w:val="0"/>
                  <w:tcMar>
                    <w:top w:w="0" w:type="dxa"/>
                    <w:left w:w="11" w:type="dxa"/>
                    <w:bottom w:w="0" w:type="dxa"/>
                    <w:right w:w="11" w:type="dxa"/>
                  </w:tcMar>
                  <w:vAlign w:val="center"/>
                </w:tcPr>
                <w:p w14:paraId="20466EAE">
                  <w:pPr>
                    <w:adjustRightInd w:val="0"/>
                    <w:snapToGrid w:val="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HW49</w:t>
                  </w:r>
                </w:p>
              </w:tc>
              <w:tc>
                <w:tcPr>
                  <w:tcW w:w="672" w:type="pct"/>
                  <w:noWrap w:val="0"/>
                  <w:tcMar>
                    <w:top w:w="0" w:type="dxa"/>
                    <w:left w:w="11" w:type="dxa"/>
                    <w:bottom w:w="0" w:type="dxa"/>
                    <w:right w:w="11" w:type="dxa"/>
                  </w:tcMar>
                  <w:vAlign w:val="center"/>
                </w:tcPr>
                <w:p w14:paraId="0A73AAAF">
                  <w:pPr>
                    <w:adjustRightInd w:val="0"/>
                    <w:snapToGrid w:val="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900-041-49</w:t>
                  </w:r>
                </w:p>
              </w:tc>
              <w:tc>
                <w:tcPr>
                  <w:tcW w:w="426" w:type="pct"/>
                  <w:noWrap w:val="0"/>
                  <w:tcMar>
                    <w:top w:w="0" w:type="dxa"/>
                    <w:left w:w="11" w:type="dxa"/>
                    <w:bottom w:w="0" w:type="dxa"/>
                    <w:right w:w="11" w:type="dxa"/>
                  </w:tcMar>
                  <w:vAlign w:val="center"/>
                </w:tcPr>
                <w:p w14:paraId="4ED2C27C">
                  <w:pPr>
                    <w:adjustRightInd w:val="0"/>
                    <w:snapToGrid w:val="0"/>
                    <w:jc w:val="center"/>
                    <w:rPr>
                      <w:rFonts w:hint="eastAsia" w:cs="Times New Roman"/>
                      <w:b w:val="0"/>
                      <w:bCs w:val="0"/>
                      <w:color w:val="FF0000"/>
                      <w:kern w:val="2"/>
                      <w:sz w:val="21"/>
                      <w:szCs w:val="21"/>
                      <w:lang w:val="en-US" w:eastAsia="zh-CN" w:bidi="ar-SA"/>
                    </w:rPr>
                  </w:pPr>
                  <w:r>
                    <w:rPr>
                      <w:rFonts w:hint="eastAsia" w:cs="Times New Roman"/>
                      <w:color w:val="FF0000"/>
                      <w:kern w:val="0"/>
                      <w:sz w:val="21"/>
                      <w:szCs w:val="21"/>
                      <w:lang w:val="en-US" w:eastAsia="zh-CN" w:bidi="ar-SA"/>
                    </w:rPr>
                    <w:t>0.25</w:t>
                  </w:r>
                </w:p>
              </w:tc>
              <w:tc>
                <w:tcPr>
                  <w:tcW w:w="403" w:type="pct"/>
                  <w:noWrap w:val="0"/>
                  <w:tcMar>
                    <w:top w:w="0" w:type="dxa"/>
                    <w:left w:w="11" w:type="dxa"/>
                    <w:bottom w:w="0" w:type="dxa"/>
                    <w:right w:w="11" w:type="dxa"/>
                  </w:tcMar>
                  <w:vAlign w:val="center"/>
                </w:tcPr>
                <w:p w14:paraId="36002B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FF0000"/>
                      <w:sz w:val="21"/>
                      <w:szCs w:val="21"/>
                      <w:lang w:val="en-US" w:eastAsia="zh-CN"/>
                    </w:rPr>
                  </w:pPr>
                  <w:r>
                    <w:rPr>
                      <w:rFonts w:hint="eastAsia" w:cs="Times New Roman"/>
                      <w:color w:val="FF0000"/>
                      <w:sz w:val="21"/>
                      <w:szCs w:val="21"/>
                      <w:lang w:val="en-US" w:eastAsia="zh-CN"/>
                    </w:rPr>
                    <w:t>袋装</w:t>
                  </w:r>
                </w:p>
              </w:tc>
              <w:tc>
                <w:tcPr>
                  <w:tcW w:w="403" w:type="pct"/>
                  <w:noWrap w:val="0"/>
                  <w:tcMar>
                    <w:top w:w="0" w:type="dxa"/>
                    <w:left w:w="11" w:type="dxa"/>
                    <w:bottom w:w="0" w:type="dxa"/>
                    <w:right w:w="11" w:type="dxa"/>
                  </w:tcMar>
                  <w:vAlign w:val="center"/>
                </w:tcPr>
                <w:p w14:paraId="2C6E17E1">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FF0000"/>
                      <w:sz w:val="21"/>
                      <w:szCs w:val="21"/>
                      <w:lang w:val="en-US" w:eastAsia="zh-CN"/>
                    </w:rPr>
                  </w:pPr>
                  <w:r>
                    <w:rPr>
                      <w:rFonts w:hint="eastAsia" w:cs="Times New Roman"/>
                      <w:color w:val="FF0000"/>
                      <w:sz w:val="21"/>
                      <w:szCs w:val="21"/>
                      <w:lang w:val="en-US" w:eastAsia="zh-CN"/>
                    </w:rPr>
                    <w:t>3</w:t>
                  </w:r>
                  <w:r>
                    <w:rPr>
                      <w:rFonts w:hint="default" w:ascii="Times New Roman" w:hAnsi="Times New Roman" w:eastAsia="宋体" w:cs="Times New Roman"/>
                      <w:color w:val="FF0000"/>
                      <w:sz w:val="21"/>
                      <w:szCs w:val="21"/>
                      <w:lang w:val="en-US" w:eastAsia="zh-CN"/>
                    </w:rPr>
                    <w:t>个月</w:t>
                  </w:r>
                </w:p>
              </w:tc>
              <w:tc>
                <w:tcPr>
                  <w:tcW w:w="403" w:type="pct"/>
                  <w:noWrap w:val="0"/>
                  <w:tcMar>
                    <w:top w:w="0" w:type="dxa"/>
                    <w:left w:w="11" w:type="dxa"/>
                    <w:bottom w:w="0" w:type="dxa"/>
                    <w:right w:w="11" w:type="dxa"/>
                  </w:tcMar>
                  <w:vAlign w:val="center"/>
                </w:tcPr>
                <w:p w14:paraId="45B7B6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FF0000"/>
                      <w:sz w:val="21"/>
                      <w:szCs w:val="21"/>
                      <w:lang w:val="en-US" w:eastAsia="zh-CN"/>
                    </w:rPr>
                  </w:pPr>
                  <w:r>
                    <w:rPr>
                      <w:rFonts w:hint="eastAsia" w:cs="Times New Roman"/>
                      <w:color w:val="FF0000"/>
                      <w:sz w:val="21"/>
                      <w:szCs w:val="21"/>
                      <w:lang w:val="en-US" w:eastAsia="zh-CN"/>
                    </w:rPr>
                    <w:t>0.5</w:t>
                  </w:r>
                </w:p>
              </w:tc>
              <w:tc>
                <w:tcPr>
                  <w:tcW w:w="405" w:type="pct"/>
                  <w:noWrap w:val="0"/>
                  <w:tcMar>
                    <w:top w:w="0" w:type="dxa"/>
                    <w:left w:w="11" w:type="dxa"/>
                    <w:bottom w:w="0" w:type="dxa"/>
                    <w:right w:w="11" w:type="dxa"/>
                  </w:tcMar>
                  <w:vAlign w:val="center"/>
                </w:tcPr>
                <w:p w14:paraId="1D0D1123">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FF0000"/>
                      <w:sz w:val="21"/>
                      <w:szCs w:val="21"/>
                      <w:lang w:val="en-US" w:eastAsia="zh-CN"/>
                    </w:rPr>
                  </w:pPr>
                  <w:r>
                    <w:rPr>
                      <w:rFonts w:hint="eastAsia" w:cs="Times New Roman"/>
                      <w:color w:val="FF0000"/>
                      <w:sz w:val="21"/>
                      <w:szCs w:val="21"/>
                      <w:lang w:val="en-US" w:eastAsia="zh-CN"/>
                    </w:rPr>
                    <w:t>0.06</w:t>
                  </w:r>
                </w:p>
              </w:tc>
              <w:tc>
                <w:tcPr>
                  <w:tcW w:w="590" w:type="pct"/>
                  <w:vMerge w:val="continue"/>
                  <w:noWrap w:val="0"/>
                  <w:tcMar>
                    <w:top w:w="0" w:type="dxa"/>
                    <w:left w:w="11" w:type="dxa"/>
                    <w:bottom w:w="0" w:type="dxa"/>
                    <w:right w:w="11" w:type="dxa"/>
                  </w:tcMar>
                  <w:vAlign w:val="center"/>
                </w:tcPr>
                <w:p w14:paraId="27293943">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lang w:val="en-US" w:eastAsia="zh-CN"/>
                    </w:rPr>
                  </w:pPr>
                </w:p>
              </w:tc>
            </w:tr>
            <w:tr w14:paraId="10A1C2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8" w:type="pct"/>
                  <w:gridSpan w:val="5"/>
                  <w:noWrap w:val="0"/>
                  <w:tcMar>
                    <w:top w:w="0" w:type="dxa"/>
                    <w:left w:w="11" w:type="dxa"/>
                    <w:bottom w:w="0" w:type="dxa"/>
                    <w:right w:w="11" w:type="dxa"/>
                  </w:tcMar>
                  <w:vAlign w:val="center"/>
                </w:tcPr>
                <w:p w14:paraId="38517DBA">
                  <w:pPr>
                    <w:pStyle w:val="10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合计</w:t>
                  </w:r>
                </w:p>
              </w:tc>
              <w:tc>
                <w:tcPr>
                  <w:tcW w:w="426" w:type="pct"/>
                  <w:noWrap w:val="0"/>
                  <w:tcMar>
                    <w:top w:w="0" w:type="dxa"/>
                    <w:left w:w="11" w:type="dxa"/>
                    <w:bottom w:w="0" w:type="dxa"/>
                    <w:right w:w="11" w:type="dxa"/>
                  </w:tcMar>
                  <w:vAlign w:val="center"/>
                </w:tcPr>
                <w:p w14:paraId="4683114D">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w:t>
                  </w:r>
                </w:p>
              </w:tc>
              <w:tc>
                <w:tcPr>
                  <w:tcW w:w="403" w:type="pct"/>
                  <w:noWrap w:val="0"/>
                  <w:tcMar>
                    <w:top w:w="0" w:type="dxa"/>
                    <w:left w:w="11" w:type="dxa"/>
                    <w:bottom w:w="0" w:type="dxa"/>
                    <w:right w:w="11" w:type="dxa"/>
                  </w:tcMar>
                  <w:vAlign w:val="center"/>
                </w:tcPr>
                <w:p w14:paraId="1D6E8E52">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w:t>
                  </w:r>
                </w:p>
              </w:tc>
              <w:tc>
                <w:tcPr>
                  <w:tcW w:w="403" w:type="pct"/>
                  <w:noWrap w:val="0"/>
                  <w:tcMar>
                    <w:top w:w="0" w:type="dxa"/>
                    <w:left w:w="11" w:type="dxa"/>
                    <w:bottom w:w="0" w:type="dxa"/>
                    <w:right w:w="11" w:type="dxa"/>
                  </w:tcMar>
                  <w:vAlign w:val="center"/>
                </w:tcPr>
                <w:p w14:paraId="1B7EB92B">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w:t>
                  </w:r>
                </w:p>
              </w:tc>
              <w:tc>
                <w:tcPr>
                  <w:tcW w:w="403" w:type="pct"/>
                  <w:noWrap w:val="0"/>
                  <w:tcMar>
                    <w:top w:w="0" w:type="dxa"/>
                    <w:left w:w="11" w:type="dxa"/>
                    <w:bottom w:w="0" w:type="dxa"/>
                    <w:right w:w="11" w:type="dxa"/>
                  </w:tcMar>
                  <w:vAlign w:val="center"/>
                </w:tcPr>
                <w:p w14:paraId="1F132882">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lang w:val="en-US" w:eastAsia="zh-CN"/>
                    </w:rPr>
                  </w:pPr>
                  <w:r>
                    <w:rPr>
                      <w:rFonts w:hint="eastAsia" w:cs="Times New Roman"/>
                      <w:color w:val="FF0000"/>
                      <w:sz w:val="21"/>
                      <w:szCs w:val="21"/>
                      <w:lang w:val="en-US" w:eastAsia="zh-CN"/>
                    </w:rPr>
                    <w:t>25</w:t>
                  </w:r>
                </w:p>
              </w:tc>
              <w:tc>
                <w:tcPr>
                  <w:tcW w:w="405" w:type="pct"/>
                  <w:noWrap w:val="0"/>
                  <w:tcMar>
                    <w:top w:w="0" w:type="dxa"/>
                    <w:left w:w="11" w:type="dxa"/>
                    <w:bottom w:w="0" w:type="dxa"/>
                    <w:right w:w="11" w:type="dxa"/>
                  </w:tcMar>
                  <w:vAlign w:val="center"/>
                </w:tcPr>
                <w:p w14:paraId="176841A5">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w:t>
                  </w:r>
                </w:p>
              </w:tc>
              <w:tc>
                <w:tcPr>
                  <w:tcW w:w="590" w:type="pct"/>
                  <w:noWrap w:val="0"/>
                  <w:tcMar>
                    <w:top w:w="0" w:type="dxa"/>
                    <w:left w:w="11" w:type="dxa"/>
                    <w:bottom w:w="0" w:type="dxa"/>
                    <w:right w:w="11" w:type="dxa"/>
                  </w:tcMar>
                  <w:vAlign w:val="center"/>
                </w:tcPr>
                <w:p w14:paraId="2318E883">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w:t>
                  </w:r>
                </w:p>
              </w:tc>
            </w:tr>
          </w:tbl>
          <w:p w14:paraId="7AD67FA7">
            <w:pPr>
              <w:pStyle w:val="6"/>
              <w:adjustRightInd w:val="0"/>
              <w:snapToGrid w:val="0"/>
              <w:spacing w:line="500" w:lineRule="exact"/>
              <w:ind w:firstLine="420" w:firstLineChars="200"/>
              <w:rPr>
                <w:color w:val="auto"/>
                <w:sz w:val="21"/>
                <w:szCs w:val="21"/>
              </w:rPr>
            </w:pPr>
            <w:r>
              <w:rPr>
                <w:rFonts w:hint="default" w:ascii="Times New Roman" w:hAnsi="Times New Roman" w:eastAsia="宋体" w:cs="Times New Roman"/>
                <w:color w:val="auto"/>
                <w:sz w:val="21"/>
                <w:szCs w:val="21"/>
                <w:lang w:val="en-US" w:eastAsia="zh-CN"/>
              </w:rPr>
              <w:t>本项目危险废物收集后密闭袋装或桶装暂存于危险废物</w:t>
            </w:r>
            <w:r>
              <w:rPr>
                <w:rFonts w:hint="default" w:ascii="Times New Roman" w:hAnsi="Times New Roman" w:cs="Times New Roman"/>
                <w:color w:val="auto"/>
                <w:sz w:val="21"/>
                <w:szCs w:val="21"/>
                <w:lang w:val="en-US" w:eastAsia="zh-CN"/>
              </w:rPr>
              <w:t>仓库</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FF0000"/>
                <w:sz w:val="21"/>
                <w:szCs w:val="21"/>
                <w:lang w:val="en-US" w:eastAsia="zh-CN"/>
              </w:rPr>
              <w:t>由上表可知</w:t>
            </w:r>
            <w:r>
              <w:rPr>
                <w:rFonts w:hint="eastAsia" w:ascii="Times New Roman" w:hAnsi="Times New Roman" w:cs="Times New Roman"/>
                <w:color w:val="FF0000"/>
                <w:sz w:val="21"/>
                <w:szCs w:val="21"/>
                <w:lang w:val="en-US" w:eastAsia="zh-CN"/>
              </w:rPr>
              <w:t>项目建成后全厂</w:t>
            </w:r>
            <w:r>
              <w:rPr>
                <w:rFonts w:hint="default" w:ascii="Times New Roman" w:hAnsi="Times New Roman" w:eastAsia="宋体" w:cs="Times New Roman"/>
                <w:color w:val="FF0000"/>
                <w:sz w:val="21"/>
                <w:szCs w:val="21"/>
                <w:lang w:val="en-US" w:eastAsia="zh-CN"/>
              </w:rPr>
              <w:t>危险废物贮存占用面积约为</w:t>
            </w:r>
            <w:r>
              <w:rPr>
                <w:rFonts w:hint="eastAsia" w:ascii="Times New Roman" w:hAnsi="Times New Roman" w:cs="Times New Roman"/>
                <w:color w:val="FF0000"/>
                <w:sz w:val="21"/>
                <w:szCs w:val="21"/>
                <w:lang w:val="en-US" w:eastAsia="zh-CN"/>
              </w:rPr>
              <w:t>25</w:t>
            </w:r>
            <w:r>
              <w:rPr>
                <w:rFonts w:hint="default" w:ascii="Times New Roman" w:hAnsi="Times New Roman" w:eastAsia="宋体" w:cs="Times New Roman"/>
                <w:color w:val="FF0000"/>
                <w:sz w:val="21"/>
                <w:szCs w:val="21"/>
                <w:lang w:val="en-US" w:eastAsia="zh-CN"/>
              </w:rPr>
              <w:t>m</w:t>
            </w:r>
            <w:r>
              <w:rPr>
                <w:rFonts w:hint="default" w:ascii="Times New Roman" w:hAnsi="Times New Roman" w:eastAsia="宋体" w:cs="Times New Roman"/>
                <w:color w:val="FF0000"/>
                <w:sz w:val="21"/>
                <w:szCs w:val="21"/>
                <w:vertAlign w:val="superscript"/>
                <w:lang w:val="en-US" w:eastAsia="zh-CN"/>
              </w:rPr>
              <w:t>2</w:t>
            </w:r>
            <w:r>
              <w:rPr>
                <w:rFonts w:hint="default" w:ascii="Times New Roman" w:hAnsi="Times New Roman" w:eastAsia="宋体" w:cs="Times New Roman"/>
                <w:color w:val="FF0000"/>
                <w:sz w:val="21"/>
                <w:szCs w:val="21"/>
                <w:lang w:val="en-US" w:eastAsia="zh-CN"/>
              </w:rPr>
              <w:t>，</w:t>
            </w:r>
            <w:r>
              <w:rPr>
                <w:rFonts w:hint="eastAsia" w:ascii="Times New Roman" w:hAnsi="Times New Roman" w:cs="Times New Roman"/>
                <w:color w:val="auto"/>
                <w:sz w:val="21"/>
                <w:szCs w:val="21"/>
                <w:lang w:val="en-US" w:eastAsia="zh-CN"/>
              </w:rPr>
              <w:t>现有</w:t>
            </w:r>
            <w:r>
              <w:rPr>
                <w:rFonts w:hint="default" w:ascii="Times New Roman" w:hAnsi="Times New Roman" w:eastAsia="宋体" w:cs="Times New Roman"/>
                <w:color w:val="auto"/>
                <w:sz w:val="21"/>
                <w:szCs w:val="21"/>
                <w:lang w:val="en-US" w:eastAsia="zh-CN"/>
              </w:rPr>
              <w:t>项目</w:t>
            </w:r>
            <w:r>
              <w:rPr>
                <w:rFonts w:hint="eastAsia" w:ascii="Times New Roman" w:hAnsi="Times New Roman" w:cs="Times New Roman"/>
                <w:color w:val="auto"/>
                <w:sz w:val="21"/>
                <w:szCs w:val="21"/>
                <w:lang w:val="en-US" w:eastAsia="zh-CN"/>
              </w:rPr>
              <w:t>已</w:t>
            </w:r>
            <w:r>
              <w:rPr>
                <w:rFonts w:hint="default" w:ascii="Times New Roman" w:hAnsi="Times New Roman" w:eastAsia="宋体" w:cs="Times New Roman"/>
                <w:color w:val="auto"/>
                <w:sz w:val="21"/>
                <w:szCs w:val="21"/>
                <w:lang w:val="en-US" w:eastAsia="zh-CN"/>
              </w:rPr>
              <w:t>设置一</w:t>
            </w:r>
            <w:r>
              <w:rPr>
                <w:rFonts w:hint="eastAsia" w:ascii="Times New Roman" w:hAnsi="Times New Roman" w:cs="Times New Roman"/>
                <w:color w:val="auto"/>
                <w:kern w:val="0"/>
                <w:sz w:val="21"/>
                <w:szCs w:val="21"/>
                <w:lang w:val="en-US" w:eastAsia="zh-CN"/>
              </w:rPr>
              <w:t>座</w:t>
            </w:r>
            <w:r>
              <w:rPr>
                <w:rFonts w:hint="eastAsia"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lang w:val="en-US" w:eastAsia="zh-CN"/>
              </w:rPr>
              <w:t>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危险废物</w:t>
            </w:r>
            <w:r>
              <w:rPr>
                <w:rFonts w:hint="default" w:ascii="Times New Roman" w:hAnsi="Times New Roman" w:cs="Times New Roman"/>
                <w:color w:val="auto"/>
                <w:sz w:val="21"/>
                <w:szCs w:val="21"/>
                <w:lang w:val="en-US" w:eastAsia="zh-CN"/>
              </w:rPr>
              <w:t>仓库</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可满足</w:t>
            </w:r>
            <w:r>
              <w:rPr>
                <w:rFonts w:hint="default" w:ascii="Times New Roman" w:hAnsi="Times New Roman" w:cs="Times New Roman"/>
                <w:color w:val="auto"/>
                <w:sz w:val="21"/>
                <w:szCs w:val="21"/>
                <w:lang w:val="en-US" w:eastAsia="zh-CN"/>
              </w:rPr>
              <w:t>本项目</w:t>
            </w:r>
            <w:r>
              <w:rPr>
                <w:rFonts w:hint="default" w:ascii="Times New Roman" w:hAnsi="Times New Roman" w:eastAsia="宋体" w:cs="Times New Roman"/>
                <w:color w:val="auto"/>
                <w:sz w:val="21"/>
                <w:szCs w:val="21"/>
                <w:lang w:val="en-US" w:eastAsia="zh-CN"/>
              </w:rPr>
              <w:t>各类危险废物暂存需求</w:t>
            </w:r>
            <w:r>
              <w:rPr>
                <w:rFonts w:hint="default" w:ascii="Times New Roman" w:hAnsi="Times New Roman" w:cs="Times New Roman"/>
                <w:color w:val="auto"/>
                <w:sz w:val="21"/>
                <w:szCs w:val="21"/>
                <w:lang w:val="en-US" w:eastAsia="zh-CN"/>
              </w:rPr>
              <w:t>。</w:t>
            </w:r>
          </w:p>
          <w:p w14:paraId="057E6D31">
            <w:pPr>
              <w:keepNext w:val="0"/>
              <w:keepLines w:val="0"/>
              <w:pageBreakBefore w:val="0"/>
              <w:widowControl w:val="0"/>
              <w:tabs>
                <w:tab w:val="left" w:pos="7560"/>
              </w:tabs>
              <w:kinsoku/>
              <w:wordWrap/>
              <w:overflowPunct/>
              <w:topLinePunct w:val="0"/>
              <w:bidi w:val="0"/>
              <w:adjustRightInd w:val="0"/>
              <w:snapToGrid w:val="0"/>
              <w:spacing w:line="460" w:lineRule="exact"/>
              <w:ind w:firstLine="420" w:firstLineChars="200"/>
              <w:textAlignment w:val="auto"/>
              <w:rPr>
                <w:rFonts w:hint="default"/>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本项目生产过程产生的废活性炭（HW49，900-039-49）可委托常州富创再生资源有限公司</w:t>
            </w:r>
            <w:r>
              <w:rPr>
                <w:rFonts w:hint="eastAsia" w:ascii="Times New Roman" w:hAnsi="Times New Roman" w:eastAsia="宋体" w:cs="Times New Roman"/>
                <w:color w:val="auto"/>
                <w:kern w:val="2"/>
                <w:sz w:val="21"/>
                <w:szCs w:val="21"/>
                <w:lang w:val="en-US" w:eastAsia="zh-CN" w:bidi="ar-SA"/>
              </w:rPr>
              <w:t>（利用废活性炭（HW05，266-001-05）、(HW06，900-405-06) （不包括900-401-06中所列废有机溶剂再生处理过程中产生的废活性炭）、（HW39，261-071-39）、（HW49，900-039-49、900-041-49）5000吨/年）</w:t>
            </w:r>
            <w:r>
              <w:rPr>
                <w:rFonts w:hint="default" w:ascii="Times New Roman" w:hAnsi="Times New Roman" w:eastAsia="宋体" w:cs="Times New Roman"/>
                <w:color w:val="auto"/>
                <w:kern w:val="2"/>
                <w:sz w:val="21"/>
                <w:szCs w:val="21"/>
                <w:lang w:val="en-US" w:eastAsia="zh-CN" w:bidi="ar-SA"/>
              </w:rPr>
              <w:t>等单位无害化处置；</w:t>
            </w:r>
            <w:r>
              <w:rPr>
                <w:rFonts w:hint="eastAsia"/>
                <w:color w:val="auto"/>
                <w:szCs w:val="21"/>
                <w:lang w:eastAsia="zh-CN"/>
              </w:rPr>
              <w:t>废含油抹布手套</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HW</w:t>
            </w:r>
            <w:r>
              <w:rPr>
                <w:rFonts w:hint="eastAsia" w:ascii="Times New Roman" w:hAnsi="Times New Roman" w:eastAsia="宋体" w:cs="Times New Roman"/>
                <w:color w:val="auto"/>
                <w:kern w:val="2"/>
                <w:sz w:val="21"/>
                <w:szCs w:val="21"/>
                <w:lang w:val="en-US" w:eastAsia="zh-CN" w:bidi="ar-SA"/>
              </w:rPr>
              <w:t>49</w:t>
            </w:r>
            <w:r>
              <w:rPr>
                <w:rFonts w:hint="default" w:ascii="Times New Roman" w:hAnsi="Times New Roman" w:eastAsia="宋体" w:cs="Times New Roman"/>
                <w:color w:val="auto"/>
                <w:kern w:val="2"/>
                <w:sz w:val="21"/>
                <w:szCs w:val="21"/>
                <w:lang w:val="en-US" w:eastAsia="zh-CN" w:bidi="ar-SA"/>
              </w:rPr>
              <w:t>，900-041-49</w:t>
            </w:r>
            <w:r>
              <w:rPr>
                <w:rFonts w:hint="eastAsia" w:ascii="Times New Roman" w:hAnsi="Times New Roman" w:eastAsia="宋体" w:cs="Times New Roman"/>
                <w:color w:val="auto"/>
                <w:kern w:val="2"/>
                <w:sz w:val="21"/>
                <w:szCs w:val="21"/>
                <w:lang w:val="en-US" w:eastAsia="zh-CN" w:bidi="ar-SA"/>
              </w:rPr>
              <w:t>）</w:t>
            </w:r>
            <w:r>
              <w:rPr>
                <w:rFonts w:hint="eastAsia" w:cs="Times New Roman"/>
                <w:color w:val="auto"/>
                <w:kern w:val="2"/>
                <w:sz w:val="21"/>
                <w:szCs w:val="21"/>
                <w:lang w:val="en-US" w:eastAsia="zh-CN" w:bidi="ar-SA"/>
              </w:rPr>
              <w:t>、废油桶</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HW</w:t>
            </w:r>
            <w:r>
              <w:rPr>
                <w:rFonts w:hint="eastAsia" w:cs="Times New Roman"/>
                <w:color w:val="auto"/>
                <w:kern w:val="2"/>
                <w:sz w:val="21"/>
                <w:szCs w:val="21"/>
                <w:lang w:val="en-US" w:eastAsia="zh-CN" w:bidi="ar-SA"/>
              </w:rPr>
              <w:t>08</w:t>
            </w:r>
            <w:r>
              <w:rPr>
                <w:rFonts w:hint="default" w:ascii="Times New Roman" w:hAnsi="Times New Roman" w:eastAsia="宋体" w:cs="Times New Roman"/>
                <w:color w:val="auto"/>
                <w:kern w:val="2"/>
                <w:sz w:val="21"/>
                <w:szCs w:val="21"/>
                <w:lang w:val="en-US" w:eastAsia="zh-CN" w:bidi="ar-SA"/>
              </w:rPr>
              <w:t>，</w:t>
            </w:r>
            <w:r>
              <w:rPr>
                <w:rFonts w:hint="eastAsia"/>
                <w:color w:val="auto"/>
              </w:rPr>
              <w:t>900-2</w:t>
            </w:r>
            <w:r>
              <w:rPr>
                <w:rFonts w:hint="eastAsia"/>
                <w:color w:val="auto"/>
                <w:lang w:val="en-US" w:eastAsia="zh-CN"/>
              </w:rPr>
              <w:t>49</w:t>
            </w:r>
            <w:r>
              <w:rPr>
                <w:rFonts w:hint="eastAsia"/>
                <w:color w:val="auto"/>
              </w:rPr>
              <w:t>-08</w:t>
            </w:r>
            <w:r>
              <w:rPr>
                <w:rFonts w:hint="eastAsia" w:ascii="Times New Roman" w:hAnsi="Times New Roman" w:eastAsia="宋体" w:cs="Times New Roman"/>
                <w:color w:val="auto"/>
                <w:kern w:val="2"/>
                <w:sz w:val="21"/>
                <w:szCs w:val="21"/>
                <w:lang w:val="en-US" w:eastAsia="zh-CN" w:bidi="ar-SA"/>
              </w:rPr>
              <w:t>）</w:t>
            </w:r>
            <w:r>
              <w:rPr>
                <w:rFonts w:hint="eastAsia" w:cs="Times New Roman"/>
                <w:color w:val="auto"/>
                <w:kern w:val="2"/>
                <w:sz w:val="21"/>
                <w:szCs w:val="21"/>
                <w:lang w:val="en-US" w:eastAsia="zh-CN" w:bidi="ar-SA"/>
              </w:rPr>
              <w:t>、</w:t>
            </w:r>
            <w:r>
              <w:rPr>
                <w:rFonts w:hint="eastAsia" w:cs="Times New Roman"/>
                <w:b w:val="0"/>
                <w:bCs w:val="0"/>
                <w:color w:val="auto"/>
                <w:kern w:val="2"/>
                <w:sz w:val="21"/>
                <w:szCs w:val="21"/>
                <w:lang w:val="en-US" w:eastAsia="zh-CN" w:bidi="ar-SA"/>
              </w:rPr>
              <w:t>废机油</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HW</w:t>
            </w:r>
            <w:r>
              <w:rPr>
                <w:rFonts w:hint="eastAsia" w:cs="Times New Roman"/>
                <w:color w:val="auto"/>
                <w:kern w:val="2"/>
                <w:sz w:val="21"/>
                <w:szCs w:val="21"/>
                <w:lang w:val="en-US" w:eastAsia="zh-CN" w:bidi="ar-SA"/>
              </w:rPr>
              <w:t>08</w:t>
            </w:r>
            <w:r>
              <w:rPr>
                <w:rFonts w:hint="default" w:ascii="Times New Roman" w:hAnsi="Times New Roman" w:eastAsia="宋体" w:cs="Times New Roman"/>
                <w:color w:val="auto"/>
                <w:kern w:val="2"/>
                <w:sz w:val="21"/>
                <w:szCs w:val="21"/>
                <w:lang w:val="en-US" w:eastAsia="zh-CN" w:bidi="ar-SA"/>
              </w:rPr>
              <w:t>，</w:t>
            </w:r>
            <w:r>
              <w:rPr>
                <w:rFonts w:hint="eastAsia"/>
                <w:color w:val="auto"/>
              </w:rPr>
              <w:t>900-2</w:t>
            </w:r>
            <w:r>
              <w:rPr>
                <w:rFonts w:hint="eastAsia"/>
                <w:color w:val="auto"/>
                <w:lang w:val="en-US" w:eastAsia="zh-CN"/>
              </w:rPr>
              <w:t>17</w:t>
            </w:r>
            <w:r>
              <w:rPr>
                <w:rFonts w:hint="eastAsia"/>
                <w:color w:val="auto"/>
              </w:rPr>
              <w:t>-08</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可委托常州市和润环保科技有限公司</w:t>
            </w:r>
            <w:r>
              <w:rPr>
                <w:rFonts w:hint="eastAsia" w:ascii="Times New Roman" w:hAnsi="Times New Roman" w:eastAsia="宋体" w:cs="Times New Roman"/>
                <w:color w:val="auto"/>
                <w:kern w:val="2"/>
                <w:sz w:val="21"/>
                <w:szCs w:val="21"/>
                <w:lang w:val="en-US" w:eastAsia="zh-CN" w:bidi="ar-SA"/>
              </w:rPr>
              <w:t>（焚烧处置医药废物（HW02）、废药物、药品（HW03）、农药废物（HW04）、木材防腐剂废物（HW05)、废有机溶剂与含有机溶剂废物</w:t>
            </w:r>
            <w:r>
              <w:rPr>
                <w:rFonts w:hint="eastAsia" w:cs="Times New Roman"/>
                <w:color w:val="auto"/>
                <w:kern w:val="2"/>
                <w:sz w:val="21"/>
                <w:szCs w:val="21"/>
                <w:lang w:val="en-US" w:eastAsia="zh-CN" w:bidi="ar-SA"/>
              </w:rPr>
              <w:t>（HW06）、热处理含氰废物（HW07）、废矿物油与含矿物油废物（HW08）、油/水、烃/水混合物或乳化液（HW09）、精（蒸）馏残渣（HW11）、染料、涂料废物（HW12）、有机树脂类废物（HW13）、新化学物质废物（HW14）、感光材料废物（HW16，仅限266-009-16、266-010-16、231-001-16、231-002-16、398-001-16、806-001-16、900-019-16）、表面处理废物（HW17）、含金属羰基化合物废物（HW19）、废酸（HW34，仅限251-014-34）、废碱（HW35，仅限251-015-35、261-059-35、900-399-35）、有机磷化合物废物（HW37）、有机氰化物废物（HW38）、含酚废物（HW39）、含醚废物（HW40）、含有机卤化物废物（HW45）、其他废物（HW49，仅限309-001-49、900-039-49、900-041-49、900-042-49、900-046-49、900-047-49、900-999-49）共计25000吨/年）</w:t>
            </w:r>
            <w:r>
              <w:rPr>
                <w:rFonts w:hint="default" w:ascii="Times New Roman" w:hAnsi="Times New Roman" w:eastAsia="宋体" w:cs="Times New Roman"/>
                <w:color w:val="auto"/>
                <w:kern w:val="2"/>
                <w:sz w:val="21"/>
                <w:szCs w:val="21"/>
                <w:lang w:val="en-US" w:eastAsia="zh-CN" w:bidi="ar-SA"/>
              </w:rPr>
              <w:t>等单位无害化处理处置。</w:t>
            </w:r>
          </w:p>
          <w:p w14:paraId="3D25CC1B">
            <w:pPr>
              <w:pStyle w:val="6"/>
              <w:adjustRightInd w:val="0"/>
              <w:snapToGrid w:val="0"/>
              <w:spacing w:line="500" w:lineRule="exact"/>
              <w:ind w:firstLine="422" w:firstLineChars="200"/>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lang w:val="en-US" w:eastAsia="zh-CN"/>
              </w:rPr>
              <w:t>4、</w:t>
            </w:r>
            <w:r>
              <w:rPr>
                <w:rFonts w:hint="default" w:ascii="Times New Roman" w:hAnsi="Times New Roman" w:cs="Times New Roman"/>
                <w:b/>
                <w:bCs/>
                <w:color w:val="auto"/>
                <w:sz w:val="21"/>
                <w:szCs w:val="21"/>
              </w:rPr>
              <w:t>环境管理要求</w:t>
            </w:r>
          </w:p>
          <w:p w14:paraId="353E9D19">
            <w:pPr>
              <w:adjustRightInd w:val="0"/>
              <w:snapToGrid w:val="0"/>
              <w:spacing w:line="500" w:lineRule="exact"/>
              <w:ind w:firstLine="420" w:firstLineChars="200"/>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val="en-US" w:eastAsia="zh-CN"/>
              </w:rPr>
              <w:t>①</w:t>
            </w:r>
            <w:r>
              <w:rPr>
                <w:rFonts w:hint="default" w:ascii="Times New Roman" w:hAnsi="Times New Roman" w:eastAsia="宋体" w:cs="Times New Roman"/>
                <w:bCs/>
                <w:color w:val="auto"/>
                <w:sz w:val="21"/>
                <w:szCs w:val="21"/>
                <w:lang w:eastAsia="zh-CN"/>
              </w:rPr>
              <w:t>危险</w:t>
            </w:r>
            <w:r>
              <w:rPr>
                <w:rFonts w:hint="default" w:ascii="Times New Roman" w:hAnsi="Times New Roman" w:eastAsia="宋体" w:cs="Times New Roman"/>
                <w:bCs/>
                <w:color w:val="auto"/>
                <w:sz w:val="21"/>
                <w:szCs w:val="21"/>
                <w:lang w:val="en-US" w:eastAsia="zh-CN"/>
              </w:rPr>
              <w:t>废物</w:t>
            </w:r>
            <w:r>
              <w:rPr>
                <w:rFonts w:hint="default" w:ascii="Times New Roman" w:hAnsi="Times New Roman" w:eastAsia="宋体" w:cs="Times New Roman"/>
                <w:bCs/>
                <w:color w:val="auto"/>
                <w:sz w:val="21"/>
                <w:szCs w:val="21"/>
                <w:lang w:eastAsia="zh-CN"/>
              </w:rPr>
              <w:t>管理要求</w:t>
            </w:r>
          </w:p>
          <w:p w14:paraId="28E5D155">
            <w:pPr>
              <w:adjustRightInd w:val="0"/>
              <w:snapToGrid w:val="0"/>
              <w:spacing w:line="500" w:lineRule="exact"/>
              <w:ind w:firstLine="420" w:firstLineChars="200"/>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rPr>
              <w:t>根据《</w:t>
            </w:r>
            <w:r>
              <w:rPr>
                <w:rFonts w:hint="eastAsia" w:cs="Times New Roman"/>
                <w:bCs/>
                <w:color w:val="auto"/>
                <w:sz w:val="21"/>
                <w:szCs w:val="21"/>
                <w:lang w:val="en-US" w:eastAsia="zh-CN"/>
              </w:rPr>
              <w:t>江苏省固体废物全过程环境监管工作意见</w:t>
            </w:r>
            <w:r>
              <w:rPr>
                <w:rFonts w:hint="default" w:ascii="Times New Roman" w:hAnsi="Times New Roman" w:cs="Times New Roman"/>
                <w:bCs/>
                <w:color w:val="auto"/>
                <w:sz w:val="21"/>
                <w:szCs w:val="21"/>
              </w:rPr>
              <w:t>》（</w:t>
            </w:r>
            <w:r>
              <w:rPr>
                <w:rFonts w:hint="default" w:ascii="Times New Roman" w:hAnsi="Times New Roman" w:eastAsia="宋体" w:cs="Times New Roman"/>
                <w:bCs/>
                <w:color w:val="auto"/>
                <w:sz w:val="21"/>
                <w:szCs w:val="21"/>
                <w:lang w:eastAsia="zh-CN"/>
              </w:rPr>
              <w:t>苏环办</w:t>
            </w:r>
            <w:r>
              <w:rPr>
                <w:rFonts w:hint="eastAsia" w:cs="Times New Roman"/>
                <w:bCs/>
                <w:color w:val="auto"/>
                <w:sz w:val="21"/>
                <w:szCs w:val="21"/>
                <w:lang w:eastAsia="zh-CN"/>
              </w:rPr>
              <w:t>〔2024〕16号</w:t>
            </w:r>
            <w:r>
              <w:rPr>
                <w:rFonts w:hint="default" w:ascii="Times New Roman" w:hAnsi="Times New Roman" w:eastAsia="宋体" w:cs="Times New Roman"/>
                <w:bCs/>
                <w:color w:val="auto"/>
                <w:sz w:val="21"/>
                <w:szCs w:val="21"/>
                <w:lang w:eastAsia="zh-CN"/>
              </w:rPr>
              <w:t>）要求：</w:t>
            </w:r>
          </w:p>
          <w:p w14:paraId="2202AF7A">
            <w:pPr>
              <w:adjustRightInd w:val="0"/>
              <w:snapToGrid w:val="0"/>
              <w:spacing w:line="500" w:lineRule="exact"/>
              <w:ind w:firstLine="420" w:firstLineChars="200"/>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val="en-US" w:eastAsia="zh-CN"/>
              </w:rPr>
              <w:t>规范贮存管理要求。根据《危险废物贮存污染控制标准》(GB18597-2023)，企业可根据实际情况选择采用危险废物贮存设施或贮存点两类方式进行贮存，符合相应的污染控制标准;不具备建设贮存设施条件、选用贮存点方式的，除符合国家关于贮存点控制要求外，还要执行《江苏省危险废物集中收集体系建设工作方案(试行)》(苏环办</w:t>
            </w:r>
            <w:r>
              <w:rPr>
                <w:rFonts w:hint="eastAsia" w:cs="Times New Roman"/>
                <w:bCs/>
                <w:color w:val="auto"/>
                <w:sz w:val="21"/>
                <w:szCs w:val="21"/>
                <w:lang w:val="en-US" w:eastAsia="zh-CN"/>
              </w:rPr>
              <w:t>〔2021〕290号</w:t>
            </w:r>
            <w:r>
              <w:rPr>
                <w:rFonts w:hint="default" w:ascii="Times New Roman" w:hAnsi="Times New Roman" w:eastAsia="宋体" w:cs="Times New Roman"/>
                <w:bCs/>
                <w:color w:val="auto"/>
                <w:sz w:val="21"/>
                <w:szCs w:val="21"/>
                <w:lang w:val="en-US" w:eastAsia="zh-CN"/>
              </w:rPr>
              <w:t>)中关于贮存周期和贮存量的要求，I级、II级、</w:t>
            </w:r>
            <w:r>
              <w:rPr>
                <w:rFonts w:hint="default" w:ascii="Times New Roman" w:hAnsi="Times New Roman" w:eastAsia="宋体" w:cs="Times New Roman"/>
                <w:bCs/>
                <w:color w:val="auto"/>
                <w:sz w:val="21"/>
                <w:szCs w:val="21"/>
                <w:lang w:val="en-US" w:eastAsia="zh-CN"/>
              </w:rPr>
              <w:fldChar w:fldCharType="begin"/>
            </w:r>
            <w:r>
              <w:rPr>
                <w:rFonts w:hint="default" w:ascii="Times New Roman" w:hAnsi="Times New Roman" w:eastAsia="宋体" w:cs="Times New Roman"/>
                <w:bCs/>
                <w:color w:val="auto"/>
                <w:sz w:val="21"/>
                <w:szCs w:val="21"/>
                <w:lang w:val="en-US" w:eastAsia="zh-CN"/>
              </w:rPr>
              <w:instrText xml:space="preserve"> = 3 \* ROMAN \* MERGEFORMAT </w:instrText>
            </w:r>
            <w:r>
              <w:rPr>
                <w:rFonts w:hint="default" w:ascii="Times New Roman" w:hAnsi="Times New Roman" w:eastAsia="宋体" w:cs="Times New Roman"/>
                <w:bCs/>
                <w:color w:val="auto"/>
                <w:sz w:val="21"/>
                <w:szCs w:val="21"/>
                <w:lang w:val="en-US" w:eastAsia="zh-CN"/>
              </w:rPr>
              <w:fldChar w:fldCharType="separate"/>
            </w:r>
            <w:r>
              <w:rPr>
                <w:color w:val="auto"/>
                <w:sz w:val="21"/>
                <w:szCs w:val="21"/>
              </w:rPr>
              <w:t>III</w:t>
            </w:r>
            <w:r>
              <w:rPr>
                <w:rFonts w:hint="default" w:ascii="Times New Roman" w:hAnsi="Times New Roman" w:eastAsia="宋体" w:cs="Times New Roman"/>
                <w:bCs/>
                <w:color w:val="auto"/>
                <w:sz w:val="21"/>
                <w:szCs w:val="21"/>
                <w:lang w:val="en-US" w:eastAsia="zh-CN"/>
              </w:rPr>
              <w:fldChar w:fldCharType="end"/>
            </w:r>
            <w:r>
              <w:rPr>
                <w:rFonts w:hint="default" w:ascii="Times New Roman" w:hAnsi="Times New Roman" w:eastAsia="宋体" w:cs="Times New Roman"/>
                <w:bCs/>
                <w:color w:val="auto"/>
                <w:sz w:val="21"/>
                <w:szCs w:val="21"/>
                <w:lang w:val="en-US" w:eastAsia="zh-CN"/>
              </w:rPr>
              <w:t>级危险废物贮存时间分别不得超过30天、60天、90天，最大贮存量不得超过1吨。</w:t>
            </w:r>
          </w:p>
          <w:p w14:paraId="3A4D9533">
            <w:pPr>
              <w:adjustRightInd w:val="0"/>
              <w:snapToGrid w:val="0"/>
              <w:spacing w:line="500" w:lineRule="exact"/>
              <w:ind w:firstLine="420" w:firstLineChars="200"/>
              <w:rPr>
                <w:rFonts w:hint="default" w:ascii="Times New Roman" w:hAnsi="Times New Roman" w:cs="Times New Roman"/>
                <w:color w:val="auto"/>
                <w:sz w:val="21"/>
                <w:szCs w:val="21"/>
              </w:rPr>
            </w:pPr>
            <w:r>
              <w:rPr>
                <w:rFonts w:hint="default" w:ascii="Times New Roman" w:hAnsi="Times New Roman" w:eastAsia="宋体" w:cs="Times New Roman"/>
                <w:bCs/>
                <w:color w:val="auto"/>
                <w:sz w:val="21"/>
                <w:szCs w:val="21"/>
                <w:lang w:val="en-US" w:eastAsia="zh-CN"/>
              </w:rPr>
              <w:t>落实信息公开制度。危险废物环境重点监管单位要在出入口、设施内部、危险废物运输车辆通道等关键位置设置视频监控并与中控室联网，通过设立公开栏、标志牌等方式，主动公开危险废物产生和利用处置等有关信息。集中焚烧处置单位及有自建危废焚烧处置设施的单位要依法及时公开二燃室温度等工况运行指标以及污染物排放指标、浓度等有关信息，并联网至属地生态环境部门。危险废物经营单位应同步公开许可证、许可条件等全文信息</w:t>
            </w:r>
            <w:r>
              <w:rPr>
                <w:rFonts w:hint="default" w:ascii="Times New Roman" w:hAnsi="Times New Roman" w:cs="Times New Roman"/>
                <w:color w:val="auto"/>
                <w:kern w:val="0"/>
                <w:sz w:val="21"/>
                <w:szCs w:val="21"/>
              </w:rPr>
              <w:t>。</w:t>
            </w:r>
          </w:p>
          <w:p w14:paraId="7FBB31A1">
            <w:pPr>
              <w:adjustRightInd w:val="0"/>
              <w:snapToGrid w:val="0"/>
              <w:spacing w:line="500" w:lineRule="exact"/>
              <w:ind w:firstLine="420" w:firstLineChars="200"/>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val="en-US" w:eastAsia="zh-CN"/>
              </w:rPr>
              <w:t>②</w:t>
            </w:r>
            <w:r>
              <w:rPr>
                <w:rFonts w:hint="default" w:ascii="Times New Roman" w:hAnsi="Times New Roman" w:eastAsia="宋体" w:cs="Times New Roman"/>
                <w:bCs/>
                <w:color w:val="auto"/>
                <w:sz w:val="21"/>
                <w:szCs w:val="21"/>
                <w:lang w:eastAsia="zh-CN"/>
              </w:rPr>
              <w:t>一般工业固废管理要求</w:t>
            </w:r>
          </w:p>
          <w:p w14:paraId="4B459C21">
            <w:pPr>
              <w:pStyle w:val="6"/>
              <w:adjustRightInd w:val="0"/>
              <w:snapToGrid w:val="0"/>
              <w:spacing w:line="500" w:lineRule="exact"/>
              <w:ind w:firstLine="420" w:firstLineChars="200"/>
              <w:rPr>
                <w:rFonts w:hint="default"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val="en-US" w:eastAsia="zh-CN"/>
              </w:rPr>
              <w:t>现有项目已设置一座150m</w:t>
            </w:r>
            <w:r>
              <w:rPr>
                <w:rFonts w:hint="eastAsia" w:ascii="Times New Roman" w:hAnsi="Times New Roman" w:cs="Times New Roman"/>
                <w:color w:val="auto"/>
                <w:kern w:val="0"/>
                <w:sz w:val="21"/>
                <w:szCs w:val="21"/>
                <w:vertAlign w:val="superscript"/>
                <w:lang w:val="en-US" w:eastAsia="zh-CN"/>
              </w:rPr>
              <w:t>2</w:t>
            </w:r>
            <w:r>
              <w:rPr>
                <w:rFonts w:hint="eastAsia" w:ascii="Times New Roman" w:hAnsi="Times New Roman" w:eastAsia="宋体" w:cs="Times New Roman"/>
                <w:color w:val="auto"/>
                <w:kern w:val="0"/>
                <w:sz w:val="21"/>
                <w:szCs w:val="21"/>
                <w:lang w:val="en-US" w:eastAsia="zh-CN"/>
              </w:rPr>
              <w:t>一般固废仓库</w:t>
            </w:r>
            <w:r>
              <w:rPr>
                <w:rFonts w:hint="eastAsia" w:ascii="Times New Roman" w:hAnsi="Times New Roman" w:cs="Times New Roman"/>
                <w:color w:val="auto"/>
                <w:kern w:val="0"/>
                <w:sz w:val="21"/>
                <w:szCs w:val="21"/>
                <w:lang w:val="en-US" w:eastAsia="zh-CN"/>
              </w:rPr>
              <w:t>，</w:t>
            </w:r>
            <w:r>
              <w:rPr>
                <w:rFonts w:hint="eastAsia" w:ascii="Times New Roman" w:hAnsi="Times New Roman" w:eastAsia="宋体" w:cs="Times New Roman"/>
                <w:color w:val="auto"/>
                <w:kern w:val="0"/>
                <w:sz w:val="21"/>
                <w:szCs w:val="21"/>
                <w:lang w:val="en-US" w:eastAsia="zh-CN"/>
              </w:rPr>
              <w:t>满足防渗漏、防雨淋、防扬尘的环境管理要求</w:t>
            </w:r>
            <w:r>
              <w:rPr>
                <w:rFonts w:hint="default" w:ascii="Times New Roman" w:hAnsi="Times New Roman" w:eastAsia="宋体" w:cs="Times New Roman"/>
                <w:color w:val="auto"/>
                <w:kern w:val="0"/>
                <w:sz w:val="21"/>
                <w:szCs w:val="21"/>
                <w:lang w:val="en-US" w:eastAsia="zh-CN"/>
              </w:rPr>
              <w:t>，</w:t>
            </w:r>
            <w:r>
              <w:rPr>
                <w:rFonts w:hint="eastAsia" w:ascii="Times New Roman" w:hAnsi="Times New Roman" w:cs="Times New Roman"/>
                <w:color w:val="auto"/>
                <w:kern w:val="0"/>
                <w:sz w:val="21"/>
                <w:szCs w:val="21"/>
                <w:lang w:val="en-US" w:eastAsia="zh-CN"/>
              </w:rPr>
              <w:t>项目</w:t>
            </w:r>
            <w:r>
              <w:rPr>
                <w:rFonts w:hint="eastAsia" w:ascii="Times New Roman" w:hAnsi="Times New Roman" w:eastAsia="宋体" w:cs="Times New Roman"/>
                <w:color w:val="auto"/>
                <w:kern w:val="0"/>
                <w:sz w:val="21"/>
                <w:szCs w:val="21"/>
                <w:lang w:val="en-US" w:eastAsia="zh-CN"/>
              </w:rPr>
              <w:t>废包装</w:t>
            </w:r>
            <w:r>
              <w:rPr>
                <w:rFonts w:hint="eastAsia" w:ascii="Times New Roman" w:hAnsi="Times New Roman" w:cs="Times New Roman"/>
                <w:color w:val="auto"/>
                <w:kern w:val="0"/>
                <w:sz w:val="21"/>
                <w:szCs w:val="21"/>
                <w:lang w:val="en-US" w:eastAsia="zh-CN"/>
              </w:rPr>
              <w:t>材料</w:t>
            </w:r>
            <w:r>
              <w:rPr>
                <w:rFonts w:hint="default" w:ascii="Times New Roman" w:hAnsi="Times New Roman" w:cs="Times New Roman"/>
                <w:color w:val="auto"/>
                <w:kern w:val="0"/>
                <w:sz w:val="21"/>
                <w:szCs w:val="21"/>
              </w:rPr>
              <w:t>收集后送至一般固废暂</w:t>
            </w:r>
            <w:r>
              <w:rPr>
                <w:rFonts w:hint="default" w:ascii="Times New Roman" w:hAnsi="Times New Roman" w:eastAsia="宋体" w:cs="Times New Roman"/>
                <w:color w:val="auto"/>
                <w:kern w:val="0"/>
                <w:sz w:val="21"/>
                <w:szCs w:val="21"/>
              </w:rPr>
              <w:t>存场所暂存。</w:t>
            </w:r>
          </w:p>
          <w:p w14:paraId="4BEF3083">
            <w:pPr>
              <w:pStyle w:val="6"/>
              <w:adjustRightInd w:val="0"/>
              <w:snapToGrid w:val="0"/>
              <w:spacing w:line="500" w:lineRule="exact"/>
              <w:ind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企业在做好废物产生、收集、贮运、处置各环节的措施及厂内管理后，固废均能得到合理、有效</w:t>
            </w:r>
            <w:r>
              <w:rPr>
                <w:rFonts w:hint="eastAsia" w:ascii="Times New Roman" w:hAnsi="Times New Roman" w:cs="Times New Roman"/>
                <w:color w:val="auto"/>
                <w:kern w:val="0"/>
                <w:sz w:val="21"/>
                <w:szCs w:val="21"/>
                <w:lang w:val="en-US" w:eastAsia="zh-CN"/>
              </w:rPr>
              <w:t>地</w:t>
            </w:r>
            <w:r>
              <w:rPr>
                <w:rFonts w:hint="default" w:ascii="Times New Roman" w:hAnsi="Times New Roman" w:eastAsia="宋体" w:cs="Times New Roman"/>
                <w:color w:val="auto"/>
                <w:kern w:val="0"/>
                <w:sz w:val="21"/>
                <w:szCs w:val="21"/>
                <w:lang w:val="en-US" w:eastAsia="zh-CN"/>
              </w:rPr>
              <w:t>处置。因此，厂内产生的固体废物经有效处理和处置后对环境影响较小。</w:t>
            </w:r>
          </w:p>
          <w:p w14:paraId="763DE632">
            <w:pPr>
              <w:pStyle w:val="6"/>
              <w:adjustRightInd w:val="0"/>
              <w:snapToGrid w:val="0"/>
              <w:spacing w:line="500" w:lineRule="exact"/>
              <w:ind w:firstLine="0"/>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lang w:eastAsia="zh-CN"/>
              </w:rPr>
              <w:t>五</w:t>
            </w:r>
            <w:r>
              <w:rPr>
                <w:rFonts w:hint="default" w:ascii="Times New Roman" w:hAnsi="Times New Roman" w:cs="Times New Roman"/>
                <w:b/>
                <w:bCs/>
                <w:color w:val="auto"/>
                <w:sz w:val="21"/>
                <w:szCs w:val="21"/>
              </w:rPr>
              <w:t>、土壤、地下水</w:t>
            </w:r>
          </w:p>
          <w:p w14:paraId="588E5683">
            <w:pPr>
              <w:adjustRightInd w:val="0"/>
              <w:snapToGrid w:val="0"/>
              <w:spacing w:line="500" w:lineRule="exact"/>
              <w:ind w:firstLine="420" w:firstLineChars="200"/>
              <w:rPr>
                <w:rFonts w:hint="default" w:ascii="Times New Roman" w:hAnsi="Times New Roman" w:cs="Times New Roman"/>
                <w:color w:val="auto"/>
                <w:sz w:val="21"/>
                <w:szCs w:val="21"/>
              </w:rPr>
            </w:pPr>
            <w:r>
              <w:rPr>
                <w:rFonts w:hint="eastAsia" w:cs="Times New Roman"/>
                <w:color w:val="auto"/>
                <w:sz w:val="21"/>
                <w:szCs w:val="21"/>
                <w:lang w:val="en-US" w:eastAsia="zh-CN"/>
              </w:rPr>
              <w:t>1、</w:t>
            </w:r>
            <w:r>
              <w:rPr>
                <w:rFonts w:hint="default" w:ascii="Times New Roman" w:hAnsi="Times New Roman" w:cs="Times New Roman"/>
                <w:color w:val="auto"/>
                <w:sz w:val="21"/>
                <w:szCs w:val="21"/>
              </w:rPr>
              <w:t>土壤、地下水环境影响分析</w:t>
            </w:r>
          </w:p>
          <w:p w14:paraId="5347DD57">
            <w:pPr>
              <w:spacing w:line="480" w:lineRule="exact"/>
              <w:ind w:firstLine="420" w:firstLineChars="200"/>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本项目</w:t>
            </w:r>
            <w:r>
              <w:rPr>
                <w:rFonts w:hint="eastAsia" w:cs="Times New Roman"/>
                <w:color w:val="auto"/>
                <w:sz w:val="21"/>
                <w:szCs w:val="21"/>
                <w:lang w:val="en-US" w:eastAsia="zh-CN"/>
              </w:rPr>
              <w:t>所在车间地面已全部硬化</w:t>
            </w:r>
            <w:r>
              <w:rPr>
                <w:rFonts w:hint="default" w:ascii="Times New Roman" w:hAnsi="Times New Roman" w:cs="Times New Roman"/>
                <w:color w:val="auto"/>
                <w:sz w:val="21"/>
                <w:szCs w:val="21"/>
              </w:rPr>
              <w:t>。建设项目正常运行过程中，</w:t>
            </w:r>
            <w:r>
              <w:rPr>
                <w:rFonts w:hint="eastAsia" w:cs="Times New Roman"/>
                <w:color w:val="auto"/>
                <w:sz w:val="21"/>
                <w:szCs w:val="21"/>
                <w:lang w:val="en-US" w:eastAsia="zh-CN"/>
              </w:rPr>
              <w:t>在</w:t>
            </w:r>
            <w:r>
              <w:rPr>
                <w:rFonts w:hint="default" w:ascii="Times New Roman" w:hAnsi="Times New Roman" w:cs="Times New Roman"/>
                <w:color w:val="auto"/>
                <w:sz w:val="21"/>
                <w:szCs w:val="21"/>
              </w:rPr>
              <w:t>落实各项污染防渗措施的情况下，项目不会对当地</w:t>
            </w:r>
            <w:r>
              <w:rPr>
                <w:rFonts w:hint="default" w:ascii="Times New Roman" w:hAnsi="Times New Roman" w:cs="Times New Roman"/>
                <w:color w:val="auto"/>
                <w:sz w:val="21"/>
                <w:szCs w:val="21"/>
                <w:lang w:val="en-US" w:eastAsia="zh-CN"/>
              </w:rPr>
              <w:t>土壤及</w:t>
            </w:r>
            <w:r>
              <w:rPr>
                <w:rFonts w:hint="default" w:ascii="Times New Roman" w:hAnsi="Times New Roman" w:cs="Times New Roman"/>
                <w:color w:val="auto"/>
                <w:sz w:val="21"/>
                <w:szCs w:val="21"/>
              </w:rPr>
              <w:t>地下水水质产生影响。若</w:t>
            </w:r>
            <w:r>
              <w:rPr>
                <w:rFonts w:hint="eastAsia" w:ascii="Times New Roman" w:hAnsi="Times New Roman" w:cs="Times New Roman"/>
                <w:color w:val="auto"/>
                <w:sz w:val="21"/>
                <w:szCs w:val="21"/>
                <w:lang w:val="en-US" w:eastAsia="zh-CN"/>
              </w:rPr>
              <w:t>发生</w:t>
            </w:r>
            <w:r>
              <w:rPr>
                <w:rFonts w:hint="eastAsia" w:cs="Times New Roman"/>
                <w:color w:val="auto"/>
                <w:sz w:val="21"/>
                <w:szCs w:val="21"/>
                <w:lang w:val="en-US" w:eastAsia="zh-CN"/>
              </w:rPr>
              <w:t>机油</w:t>
            </w:r>
            <w:r>
              <w:rPr>
                <w:rFonts w:hint="eastAsia" w:ascii="Times New Roman" w:hAnsi="Times New Roman" w:cs="Times New Roman"/>
                <w:color w:val="auto"/>
                <w:sz w:val="21"/>
                <w:szCs w:val="21"/>
                <w:lang w:val="en-US" w:eastAsia="zh-CN"/>
              </w:rPr>
              <w:t>、危废等</w:t>
            </w:r>
            <w:r>
              <w:rPr>
                <w:rFonts w:hint="default" w:ascii="Times New Roman" w:hAnsi="Times New Roman" w:cs="Times New Roman"/>
                <w:color w:val="auto"/>
                <w:sz w:val="21"/>
                <w:szCs w:val="21"/>
              </w:rPr>
              <w:t>泄漏，污染物下渗则可能会在厂区及周边较小范围内造成</w:t>
            </w:r>
            <w:r>
              <w:rPr>
                <w:rFonts w:hint="default" w:ascii="Times New Roman" w:hAnsi="Times New Roman" w:cs="Times New Roman"/>
                <w:color w:val="auto"/>
                <w:sz w:val="21"/>
                <w:szCs w:val="21"/>
                <w:lang w:val="en-US" w:eastAsia="zh-CN"/>
              </w:rPr>
              <w:t>土壤及地下水</w:t>
            </w:r>
            <w:r>
              <w:rPr>
                <w:rFonts w:hint="default" w:ascii="Times New Roman" w:hAnsi="Times New Roman" w:cs="Times New Roman"/>
                <w:color w:val="auto"/>
                <w:sz w:val="21"/>
                <w:szCs w:val="21"/>
              </w:rPr>
              <w:t>水质污染。项目所在地水文地质单元内水力梯度小，水流速度较慢，污染物不易随水流迁移。区域地层以风化基岩为主，透水性较小，污染物在其中迁移距离较小，对地下水基本无影响。</w:t>
            </w:r>
          </w:p>
          <w:p w14:paraId="67AA60B9">
            <w:pPr>
              <w:adjustRightInd w:val="0"/>
              <w:snapToGrid w:val="0"/>
              <w:spacing w:line="500" w:lineRule="exact"/>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若固体废物不考虑设置废物堆放处或者没有适当的防漏措施，其中的有害组分很容易经过风化、雨水淋溶、地表径流的侵蚀，产生有毒液体渗入土壤，</w:t>
            </w:r>
            <w:r>
              <w:rPr>
                <w:rFonts w:hint="default" w:ascii="Times New Roman" w:hAnsi="Times New Roman" w:cs="Times New Roman"/>
                <w:color w:val="auto"/>
                <w:sz w:val="21"/>
                <w:szCs w:val="21"/>
                <w:lang w:val="en-US" w:eastAsia="zh-CN"/>
              </w:rPr>
              <w:t>对土壤环境造成污染</w:t>
            </w:r>
            <w:r>
              <w:rPr>
                <w:rFonts w:hint="default" w:ascii="Times New Roman" w:hAnsi="Times New Roman" w:cs="Times New Roman"/>
                <w:color w:val="auto"/>
                <w:sz w:val="21"/>
                <w:szCs w:val="21"/>
              </w:rPr>
              <w:t>。同时这些水分经土壤渗入地下水，对地下水水质也造成污染。本项目危险废物仓库采取“三防”（防扬散、防流失、防渗漏）和防腐措施。因此，项目运行期可有效避免由于固废的</w:t>
            </w:r>
            <w:r>
              <w:rPr>
                <w:rFonts w:hint="eastAsia" w:cs="Times New Roman"/>
                <w:color w:val="auto"/>
                <w:sz w:val="21"/>
                <w:szCs w:val="21"/>
                <w:lang w:eastAsia="zh-CN"/>
              </w:rPr>
              <w:t>泄漏</w:t>
            </w:r>
            <w:r>
              <w:rPr>
                <w:rFonts w:hint="default" w:ascii="Times New Roman" w:hAnsi="Times New Roman" w:cs="Times New Roman"/>
                <w:color w:val="auto"/>
                <w:sz w:val="21"/>
                <w:szCs w:val="21"/>
              </w:rPr>
              <w:t>而造成土壤环境的污染。</w:t>
            </w:r>
          </w:p>
          <w:p w14:paraId="182C122E">
            <w:pPr>
              <w:adjustRightInd w:val="0"/>
              <w:snapToGrid w:val="0"/>
              <w:spacing w:line="500" w:lineRule="exact"/>
              <w:ind w:firstLine="420" w:firstLineChars="20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大气沉降主要考虑重点重金属、持久性有机污染物（特别是二噁英，典型行业有铅蓄电池和危废焚烧等）、难降解有机污染物（苯系物等）以及最高法司法解释中规定的（主要有危废、剧毒化合物、重金属、农药等持久性有机污染物）。本项目废气不属于重点重金属、持久性有机污染物或难降解有机污染物，大气沉降对土壤基本无影响。</w:t>
            </w:r>
          </w:p>
          <w:p w14:paraId="583A6AD6">
            <w:pPr>
              <w:snapToGrid w:val="0"/>
              <w:spacing w:line="500" w:lineRule="exact"/>
              <w:ind w:firstLine="420" w:firstLineChars="200"/>
              <w:rPr>
                <w:rFonts w:hint="default" w:ascii="Times New Roman" w:hAnsi="Times New Roman" w:cs="Times New Roman"/>
                <w:bCs/>
                <w:color w:val="auto"/>
                <w:sz w:val="21"/>
                <w:szCs w:val="21"/>
              </w:rPr>
            </w:pPr>
            <w:r>
              <w:rPr>
                <w:rFonts w:hint="eastAsia" w:cs="Times New Roman"/>
                <w:color w:val="auto"/>
                <w:sz w:val="21"/>
                <w:szCs w:val="21"/>
                <w:lang w:val="en-US" w:eastAsia="zh-CN"/>
              </w:rPr>
              <w:t>2、</w:t>
            </w:r>
            <w:r>
              <w:rPr>
                <w:rFonts w:hint="default" w:ascii="Times New Roman" w:hAnsi="Times New Roman" w:cs="Times New Roman"/>
                <w:bCs/>
                <w:color w:val="auto"/>
                <w:sz w:val="21"/>
                <w:szCs w:val="21"/>
              </w:rPr>
              <w:t>土壤</w:t>
            </w:r>
            <w:r>
              <w:rPr>
                <w:rFonts w:hint="default" w:ascii="Times New Roman" w:hAnsi="Times New Roman" w:cs="Times New Roman"/>
                <w:bCs/>
                <w:color w:val="auto"/>
                <w:sz w:val="21"/>
                <w:szCs w:val="21"/>
                <w:lang w:eastAsia="zh-CN"/>
              </w:rPr>
              <w:t>、</w:t>
            </w:r>
            <w:r>
              <w:rPr>
                <w:rFonts w:hint="default" w:ascii="Times New Roman" w:hAnsi="Times New Roman" w:cs="Times New Roman"/>
                <w:bCs/>
                <w:color w:val="auto"/>
                <w:sz w:val="21"/>
                <w:szCs w:val="21"/>
              </w:rPr>
              <w:t>地下水污染防治措施</w:t>
            </w:r>
          </w:p>
          <w:p w14:paraId="66316207">
            <w:pPr>
              <w:spacing w:line="500" w:lineRule="exact"/>
              <w:ind w:firstLine="420" w:firstLineChars="20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本项目土壤地下水污染防治措施按照“源头控制、分区防治、污染监控、应急响应”相结合的原则，从污染物的产生、入渗、扩散、应急响应进行控制。</w:t>
            </w:r>
          </w:p>
          <w:p w14:paraId="3A8F9838">
            <w:pPr>
              <w:spacing w:line="500" w:lineRule="exact"/>
              <w:ind w:firstLine="420" w:firstLineChars="200"/>
              <w:rPr>
                <w:rFonts w:hint="default" w:ascii="Times New Roman" w:hAnsi="Times New Roman" w:cs="Times New Roman"/>
                <w:bCs/>
                <w:color w:val="auto"/>
                <w:sz w:val="21"/>
                <w:szCs w:val="21"/>
              </w:rPr>
            </w:pPr>
            <w:r>
              <w:rPr>
                <w:rFonts w:hint="eastAsia" w:cs="Times New Roman"/>
                <w:bCs/>
                <w:color w:val="auto"/>
                <w:sz w:val="21"/>
                <w:szCs w:val="21"/>
                <w:lang w:eastAsia="zh-CN"/>
              </w:rPr>
              <w:t>（</w:t>
            </w:r>
            <w:r>
              <w:rPr>
                <w:rFonts w:hint="eastAsia" w:cs="Times New Roman"/>
                <w:bCs/>
                <w:color w:val="auto"/>
                <w:sz w:val="21"/>
                <w:szCs w:val="21"/>
                <w:lang w:val="en-US" w:eastAsia="zh-CN"/>
              </w:rPr>
              <w:t>1</w:t>
            </w:r>
            <w:r>
              <w:rPr>
                <w:rFonts w:hint="eastAsia" w:cs="Times New Roman"/>
                <w:bCs/>
                <w:color w:val="auto"/>
                <w:sz w:val="21"/>
                <w:szCs w:val="21"/>
                <w:lang w:eastAsia="zh-CN"/>
              </w:rPr>
              <w:t>）</w:t>
            </w:r>
            <w:r>
              <w:rPr>
                <w:rFonts w:hint="default" w:ascii="Times New Roman" w:hAnsi="Times New Roman" w:cs="Times New Roman"/>
                <w:bCs/>
                <w:color w:val="auto"/>
                <w:sz w:val="21"/>
                <w:szCs w:val="21"/>
              </w:rPr>
              <w:t>源头控制措施</w:t>
            </w:r>
          </w:p>
          <w:p w14:paraId="727DB818">
            <w:pPr>
              <w:spacing w:line="500" w:lineRule="exact"/>
              <w:ind w:firstLine="420" w:firstLineChars="20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本项目以先进工艺、管道、设备储存，尽可能从源头上减少废水产生；严格按照国家相关规范要求，对工艺、管道、设备采取相应的措施，以防止和降低</w:t>
            </w:r>
            <w:r>
              <w:rPr>
                <w:rFonts w:hint="eastAsia" w:cs="Times New Roman"/>
                <w:bCs/>
                <w:color w:val="auto"/>
                <w:sz w:val="21"/>
                <w:szCs w:val="21"/>
                <w:lang w:val="en-US" w:eastAsia="zh-CN"/>
              </w:rPr>
              <w:t>液体原料</w:t>
            </w:r>
            <w:r>
              <w:rPr>
                <w:rFonts w:hint="default" w:ascii="Times New Roman" w:hAnsi="Times New Roman" w:cs="Times New Roman"/>
                <w:bCs/>
                <w:color w:val="auto"/>
                <w:sz w:val="21"/>
                <w:szCs w:val="21"/>
              </w:rPr>
              <w:t>的跑、冒、滴、漏，将</w:t>
            </w:r>
            <w:r>
              <w:rPr>
                <w:rFonts w:hint="eastAsia" w:cs="Times New Roman"/>
                <w:bCs/>
                <w:color w:val="auto"/>
                <w:sz w:val="21"/>
                <w:szCs w:val="21"/>
                <w:lang w:val="en-US" w:eastAsia="zh-CN"/>
              </w:rPr>
              <w:t>物料</w:t>
            </w:r>
            <w:r>
              <w:rPr>
                <w:rFonts w:hint="default" w:ascii="Times New Roman" w:hAnsi="Times New Roman" w:cs="Times New Roman"/>
                <w:bCs/>
                <w:color w:val="auto"/>
                <w:sz w:val="21"/>
                <w:szCs w:val="21"/>
              </w:rPr>
              <w:t>泄漏的环境风险事故降到最低程度。</w:t>
            </w:r>
          </w:p>
          <w:p w14:paraId="542AB2C9">
            <w:pPr>
              <w:spacing w:line="500" w:lineRule="exact"/>
              <w:ind w:firstLine="420" w:firstLineChars="200"/>
              <w:rPr>
                <w:rFonts w:hint="default" w:ascii="Times New Roman" w:hAnsi="Times New Roman" w:cs="Times New Roman"/>
                <w:bCs/>
                <w:color w:val="auto"/>
                <w:sz w:val="21"/>
                <w:szCs w:val="21"/>
              </w:rPr>
            </w:pPr>
            <w:r>
              <w:rPr>
                <w:rFonts w:hint="eastAsia" w:cs="Times New Roman"/>
                <w:bCs/>
                <w:color w:val="auto"/>
                <w:sz w:val="21"/>
                <w:szCs w:val="21"/>
                <w:lang w:eastAsia="zh-CN"/>
              </w:rPr>
              <w:t>（</w:t>
            </w:r>
            <w:r>
              <w:rPr>
                <w:rFonts w:hint="eastAsia" w:cs="Times New Roman"/>
                <w:bCs/>
                <w:color w:val="auto"/>
                <w:sz w:val="21"/>
                <w:szCs w:val="21"/>
                <w:lang w:val="en-US" w:eastAsia="zh-CN"/>
              </w:rPr>
              <w:t>2</w:t>
            </w:r>
            <w:r>
              <w:rPr>
                <w:rFonts w:hint="eastAsia" w:cs="Times New Roman"/>
                <w:bCs/>
                <w:color w:val="auto"/>
                <w:sz w:val="21"/>
                <w:szCs w:val="21"/>
                <w:lang w:eastAsia="zh-CN"/>
              </w:rPr>
              <w:t>）</w:t>
            </w:r>
            <w:r>
              <w:rPr>
                <w:rFonts w:hint="default" w:ascii="Times New Roman" w:hAnsi="Times New Roman" w:cs="Times New Roman"/>
                <w:bCs/>
                <w:color w:val="auto"/>
                <w:sz w:val="21"/>
                <w:szCs w:val="21"/>
              </w:rPr>
              <w:t>分区防渗措施</w:t>
            </w:r>
          </w:p>
          <w:p w14:paraId="2E11BC81">
            <w:pPr>
              <w:spacing w:line="500" w:lineRule="exact"/>
              <w:ind w:firstLine="420" w:firstLineChars="200"/>
              <w:rPr>
                <w:rFonts w:hint="default" w:ascii="Times New Roman" w:hAnsi="Times New Roman" w:eastAsia="宋体" w:cs="Times New Roman"/>
                <w:bCs/>
                <w:color w:val="auto"/>
                <w:sz w:val="21"/>
                <w:szCs w:val="21"/>
              </w:rPr>
            </w:pPr>
            <w:bookmarkStart w:id="9" w:name="OLE_LINK23"/>
            <w:r>
              <w:rPr>
                <w:rFonts w:hint="default" w:ascii="Times New Roman" w:hAnsi="Times New Roman" w:cs="Times New Roman"/>
                <w:bCs/>
                <w:color w:val="auto"/>
                <w:sz w:val="21"/>
                <w:szCs w:val="21"/>
              </w:rPr>
              <w:t>①</w:t>
            </w:r>
            <w:r>
              <w:rPr>
                <w:rFonts w:hint="default" w:ascii="Times New Roman" w:hAnsi="Times New Roman" w:eastAsia="宋体" w:cs="Times New Roman"/>
                <w:bCs/>
                <w:color w:val="auto"/>
                <w:sz w:val="21"/>
                <w:szCs w:val="21"/>
              </w:rPr>
              <w:t>重点防渗区</w:t>
            </w:r>
            <w:bookmarkEnd w:id="9"/>
          </w:p>
          <w:p w14:paraId="190B6BB4">
            <w:pPr>
              <w:spacing w:line="480" w:lineRule="exact"/>
              <w:ind w:firstLine="420" w:firstLineChars="20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本项目建成后，</w:t>
            </w:r>
            <w:r>
              <w:rPr>
                <w:rFonts w:hint="eastAsia" w:ascii="Times New Roman" w:hAnsi="Times New Roman" w:eastAsia="宋体" w:cs="Times New Roman"/>
                <w:bCs/>
                <w:color w:val="auto"/>
                <w:sz w:val="21"/>
                <w:szCs w:val="21"/>
                <w:lang w:eastAsia="zh-CN"/>
              </w:rPr>
              <w:t>厂区</w:t>
            </w:r>
            <w:r>
              <w:rPr>
                <w:rFonts w:hint="default" w:cs="Times New Roman"/>
                <w:bCs/>
                <w:color w:val="auto"/>
                <w:sz w:val="21"/>
                <w:szCs w:val="21"/>
                <w:lang w:val="en-US" w:eastAsia="zh-CN"/>
              </w:rPr>
              <w:t>重点防渗区</w:t>
            </w:r>
            <w:r>
              <w:rPr>
                <w:rFonts w:hint="eastAsia" w:cs="Times New Roman"/>
                <w:bCs/>
                <w:color w:val="auto"/>
                <w:sz w:val="21"/>
                <w:szCs w:val="21"/>
                <w:lang w:val="en-US" w:eastAsia="zh-CN"/>
              </w:rPr>
              <w:t>主要为油品暂存间、危废仓库、事故应急池</w:t>
            </w:r>
            <w:r>
              <w:rPr>
                <w:rFonts w:hint="default" w:cs="Times New Roman"/>
                <w:bCs/>
                <w:color w:val="auto"/>
                <w:sz w:val="21"/>
                <w:szCs w:val="21"/>
                <w:lang w:val="en-US" w:eastAsia="zh-CN"/>
              </w:rPr>
              <w:t>等。</w:t>
            </w:r>
            <w:r>
              <w:rPr>
                <w:rFonts w:hint="eastAsia" w:cs="Times New Roman"/>
                <w:bCs/>
                <w:color w:val="auto"/>
                <w:sz w:val="21"/>
                <w:szCs w:val="21"/>
                <w:lang w:val="en-US" w:eastAsia="zh-CN"/>
              </w:rPr>
              <w:t>油品暂存间、危废仓库、事故应急池为现有设施，已按照</w:t>
            </w:r>
            <w:r>
              <w:rPr>
                <w:rFonts w:hint="default" w:cs="Times New Roman"/>
                <w:bCs/>
                <w:color w:val="auto"/>
                <w:sz w:val="21"/>
                <w:szCs w:val="21"/>
                <w:lang w:val="en-US" w:eastAsia="zh-CN"/>
              </w:rPr>
              <w:t>《危险废物贮存污染控制标准》</w:t>
            </w:r>
            <w:r>
              <w:rPr>
                <w:rFonts w:hint="eastAsia" w:cs="Times New Roman"/>
                <w:bCs/>
                <w:color w:val="auto"/>
                <w:sz w:val="21"/>
                <w:szCs w:val="21"/>
                <w:lang w:val="en-US" w:eastAsia="zh-CN"/>
              </w:rPr>
              <w:t>（GB 18597-2023）</w:t>
            </w:r>
            <w:r>
              <w:rPr>
                <w:rFonts w:hint="default" w:cs="Times New Roman"/>
                <w:bCs/>
                <w:color w:val="auto"/>
                <w:sz w:val="21"/>
                <w:szCs w:val="21"/>
                <w:lang w:val="en-US" w:eastAsia="zh-CN"/>
              </w:rPr>
              <w:t>进行</w:t>
            </w:r>
            <w:r>
              <w:rPr>
                <w:rFonts w:hint="eastAsia" w:cs="Times New Roman"/>
                <w:bCs/>
                <w:color w:val="auto"/>
                <w:sz w:val="21"/>
                <w:szCs w:val="21"/>
                <w:lang w:val="en-US" w:eastAsia="zh-CN"/>
              </w:rPr>
              <w:t>防腐</w:t>
            </w:r>
            <w:r>
              <w:rPr>
                <w:rFonts w:hint="default" w:cs="Times New Roman"/>
                <w:bCs/>
                <w:color w:val="auto"/>
                <w:sz w:val="21"/>
                <w:szCs w:val="21"/>
                <w:lang w:val="en-US" w:eastAsia="zh-CN"/>
              </w:rPr>
              <w:t>防渗设计。</w:t>
            </w:r>
          </w:p>
          <w:p w14:paraId="48FE0244">
            <w:pPr>
              <w:spacing w:line="500" w:lineRule="exact"/>
              <w:ind w:firstLine="420" w:firstLineChars="20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②</w:t>
            </w:r>
            <w:r>
              <w:rPr>
                <w:rFonts w:hint="default" w:ascii="Times New Roman" w:hAnsi="Times New Roman" w:eastAsia="宋体" w:cs="Times New Roman"/>
                <w:bCs/>
                <w:color w:val="auto"/>
                <w:sz w:val="21"/>
                <w:szCs w:val="21"/>
              </w:rPr>
              <w:t>一般防渗区</w:t>
            </w:r>
          </w:p>
          <w:p w14:paraId="0E1899F1">
            <w:pPr>
              <w:spacing w:line="500" w:lineRule="exact"/>
              <w:ind w:firstLine="420" w:firstLineChars="200"/>
              <w:rPr>
                <w:rFonts w:hint="eastAsia"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rPr>
              <w:t>本项目建成后，一般防渗区主要为</w:t>
            </w:r>
            <w:r>
              <w:rPr>
                <w:rFonts w:hint="eastAsia" w:ascii="Times New Roman" w:hAnsi="Times New Roman" w:cs="Times New Roman"/>
                <w:bCs/>
                <w:color w:val="auto"/>
                <w:sz w:val="21"/>
                <w:szCs w:val="21"/>
                <w:lang w:val="en-US" w:eastAsia="zh-CN"/>
              </w:rPr>
              <w:t>生产车间、原料仓库、成品仓库、</w:t>
            </w:r>
            <w:r>
              <w:rPr>
                <w:rFonts w:hint="eastAsia" w:ascii="Times New Roman" w:hAnsi="Times New Roman" w:cs="Times New Roman"/>
                <w:bCs/>
                <w:color w:val="auto"/>
                <w:sz w:val="21"/>
                <w:szCs w:val="21"/>
                <w:lang w:eastAsia="zh-CN"/>
              </w:rPr>
              <w:t>一般固废仓库</w:t>
            </w:r>
            <w:r>
              <w:rPr>
                <w:rFonts w:hint="default" w:ascii="Times New Roman" w:hAnsi="Times New Roman" w:cs="Times New Roman"/>
                <w:bCs/>
                <w:color w:val="auto"/>
                <w:sz w:val="21"/>
                <w:szCs w:val="21"/>
              </w:rPr>
              <w:t>等</w:t>
            </w:r>
            <w:r>
              <w:rPr>
                <w:rFonts w:hint="eastAsia" w:ascii="Times New Roman" w:hAnsi="Times New Roman" w:cs="Times New Roman"/>
                <w:bCs/>
                <w:color w:val="auto"/>
                <w:sz w:val="21"/>
                <w:szCs w:val="21"/>
                <w:lang w:eastAsia="zh-CN"/>
              </w:rPr>
              <w:t>，</w:t>
            </w:r>
            <w:r>
              <w:rPr>
                <w:rFonts w:hint="eastAsia" w:ascii="Times New Roman" w:hAnsi="Times New Roman" w:cs="Times New Roman"/>
                <w:bCs/>
                <w:color w:val="auto"/>
                <w:sz w:val="21"/>
                <w:szCs w:val="21"/>
                <w:lang w:val="en-US" w:eastAsia="zh-CN"/>
              </w:rPr>
              <w:t>均为现有</w:t>
            </w:r>
            <w:r>
              <w:rPr>
                <w:rFonts w:hint="eastAsia" w:ascii="Times New Roman" w:hAnsi="Times New Roman" w:cs="Times New Roman"/>
                <w:bCs/>
                <w:color w:val="auto"/>
                <w:sz w:val="21"/>
                <w:szCs w:val="21"/>
                <w:lang w:eastAsia="zh-CN"/>
              </w:rPr>
              <w:t>设施</w:t>
            </w:r>
            <w:r>
              <w:rPr>
                <w:rFonts w:hint="default" w:ascii="Times New Roman" w:hAnsi="Times New Roman" w:cs="Times New Roman"/>
                <w:bCs/>
                <w:color w:val="auto"/>
                <w:sz w:val="21"/>
                <w:szCs w:val="21"/>
              </w:rPr>
              <w:t>。</w:t>
            </w:r>
            <w:r>
              <w:rPr>
                <w:rFonts w:hint="eastAsia" w:ascii="Times New Roman" w:hAnsi="Times New Roman" w:cs="Times New Roman"/>
                <w:bCs/>
                <w:color w:val="auto"/>
                <w:sz w:val="21"/>
                <w:szCs w:val="21"/>
                <w:lang w:val="en-US" w:eastAsia="zh-CN"/>
              </w:rPr>
              <w:t>厂房一、</w:t>
            </w:r>
            <w:r>
              <w:rPr>
                <w:rFonts w:hint="eastAsia" w:ascii="Times New Roman" w:hAnsi="Times New Roman" w:cs="Times New Roman"/>
                <w:bCs/>
                <w:color w:val="auto"/>
                <w:sz w:val="21"/>
                <w:szCs w:val="21"/>
                <w:lang w:eastAsia="zh-CN"/>
              </w:rPr>
              <w:t>一般固废库房</w:t>
            </w:r>
            <w:r>
              <w:rPr>
                <w:rFonts w:hint="eastAsia" w:ascii="Times New Roman" w:hAnsi="Times New Roman" w:cs="Times New Roman"/>
                <w:bCs/>
                <w:color w:val="auto"/>
                <w:sz w:val="21"/>
                <w:szCs w:val="21"/>
                <w:lang w:val="en-US" w:eastAsia="zh-CN"/>
              </w:rPr>
              <w:t>已</w:t>
            </w:r>
            <w:r>
              <w:rPr>
                <w:rFonts w:hint="default" w:ascii="Times New Roman" w:hAnsi="Times New Roman" w:cs="Times New Roman"/>
                <w:bCs/>
                <w:color w:val="auto"/>
                <w:sz w:val="21"/>
                <w:szCs w:val="21"/>
              </w:rPr>
              <w:t>进行水泥硬化处理，确保渗透系数≤1.0×10</w:t>
            </w:r>
            <w:r>
              <w:rPr>
                <w:rFonts w:hint="default" w:ascii="Times New Roman" w:hAnsi="Times New Roman" w:cs="Times New Roman"/>
                <w:bCs/>
                <w:color w:val="auto"/>
                <w:sz w:val="21"/>
                <w:szCs w:val="21"/>
                <w:vertAlign w:val="superscript"/>
              </w:rPr>
              <w:t>-7</w:t>
            </w:r>
            <w:r>
              <w:rPr>
                <w:rFonts w:hint="default" w:ascii="Times New Roman" w:hAnsi="Times New Roman" w:cs="Times New Roman"/>
                <w:bCs/>
                <w:color w:val="auto"/>
                <w:sz w:val="21"/>
                <w:szCs w:val="21"/>
              </w:rPr>
              <w:t>cm/s</w:t>
            </w:r>
            <w:r>
              <w:rPr>
                <w:rFonts w:hint="eastAsia" w:ascii="Times New Roman" w:hAnsi="Times New Roman" w:eastAsia="宋体" w:cs="Times New Roman"/>
                <w:bCs/>
                <w:color w:val="auto"/>
                <w:sz w:val="21"/>
                <w:szCs w:val="21"/>
                <w:lang w:eastAsia="zh-CN"/>
              </w:rPr>
              <w:t>。</w:t>
            </w:r>
          </w:p>
          <w:p w14:paraId="02436C9B">
            <w:pPr>
              <w:spacing w:line="500" w:lineRule="exact"/>
              <w:ind w:firstLine="420" w:firstLineChars="200"/>
              <w:rPr>
                <w:rFonts w:hint="default" w:ascii="Times New Roman" w:hAnsi="Times New Roman" w:cs="Times New Roman"/>
                <w:bCs/>
                <w:color w:val="auto"/>
                <w:sz w:val="21"/>
                <w:szCs w:val="21"/>
              </w:rPr>
            </w:pPr>
            <w:r>
              <w:rPr>
                <w:rFonts w:hint="eastAsia" w:cs="Times New Roman"/>
                <w:bCs/>
                <w:color w:val="auto"/>
                <w:sz w:val="21"/>
                <w:szCs w:val="21"/>
                <w:lang w:eastAsia="zh-CN"/>
              </w:rPr>
              <w:t>（</w:t>
            </w:r>
            <w:r>
              <w:rPr>
                <w:rFonts w:hint="eastAsia" w:cs="Times New Roman"/>
                <w:bCs/>
                <w:color w:val="auto"/>
                <w:sz w:val="21"/>
                <w:szCs w:val="21"/>
                <w:lang w:val="en-US" w:eastAsia="zh-CN"/>
              </w:rPr>
              <w:t>3</w:t>
            </w:r>
            <w:r>
              <w:rPr>
                <w:rFonts w:hint="eastAsia" w:cs="Times New Roman"/>
                <w:bCs/>
                <w:color w:val="auto"/>
                <w:sz w:val="21"/>
                <w:szCs w:val="21"/>
                <w:lang w:eastAsia="zh-CN"/>
              </w:rPr>
              <w:t>）</w:t>
            </w:r>
            <w:r>
              <w:rPr>
                <w:rFonts w:hint="default" w:ascii="Times New Roman" w:hAnsi="Times New Roman" w:cs="Times New Roman"/>
                <w:bCs/>
                <w:color w:val="auto"/>
                <w:sz w:val="21"/>
                <w:szCs w:val="21"/>
              </w:rPr>
              <w:t>应急处置</w:t>
            </w:r>
          </w:p>
          <w:p w14:paraId="333BDC3B">
            <w:pPr>
              <w:spacing w:line="500" w:lineRule="exact"/>
              <w:ind w:firstLine="420" w:firstLineChars="20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当发生异常情况，需要马上采取紧急措施。按照装置制定的环境事故应急预案，启动应急预案。在第一时间内尽快上报主管领导，启动周围社会预案，密切关注地下水水质变化情况。组织专业队伍负责查找环境事故发生地点，分析事故原因，尽量将紧急</w:t>
            </w:r>
            <w:r>
              <w:rPr>
                <w:rFonts w:hint="eastAsia"/>
                <w:color w:val="auto"/>
                <w:sz w:val="21"/>
                <w:szCs w:val="21"/>
                <w:lang w:val="en-US" w:eastAsia="zh-CN"/>
              </w:rPr>
              <w:t>事件</w:t>
            </w:r>
            <w:r>
              <w:rPr>
                <w:rFonts w:hint="default" w:ascii="Times New Roman" w:hAnsi="Times New Roman" w:cs="Times New Roman"/>
                <w:bCs/>
                <w:color w:val="auto"/>
                <w:sz w:val="21"/>
                <w:szCs w:val="21"/>
              </w:rPr>
              <w:t>局部化，如可能应予以消除，尽量缩小环境事故对人和财产的影响，减低事故后果的手段，包括切断生产装置或设施。对事故现场</w:t>
            </w:r>
            <w:r>
              <w:rPr>
                <w:rFonts w:hint="eastAsia" w:cs="Times New Roman"/>
                <w:bCs/>
                <w:color w:val="auto"/>
                <w:sz w:val="21"/>
                <w:szCs w:val="21"/>
                <w:lang w:val="en-US" w:eastAsia="zh-CN"/>
              </w:rPr>
              <w:t>进行</w:t>
            </w:r>
            <w:r>
              <w:rPr>
                <w:rFonts w:hint="default" w:ascii="Times New Roman" w:hAnsi="Times New Roman" w:cs="Times New Roman"/>
                <w:bCs/>
                <w:color w:val="auto"/>
                <w:sz w:val="21"/>
                <w:szCs w:val="21"/>
              </w:rPr>
              <w:t>调查、监测、处理。对事故后果进行评估，采取紧急措施制止事故的扩散、扩大，并制定防止类似事件发生的措施。如果本公司力量不足，需要请求社会应急力量协助。</w:t>
            </w:r>
          </w:p>
          <w:p w14:paraId="3CE87685">
            <w:pPr>
              <w:adjustRightInd w:val="0"/>
              <w:snapToGrid w:val="0"/>
              <w:spacing w:line="500" w:lineRule="exact"/>
              <w:rPr>
                <w:rFonts w:hint="default" w:ascii="Times New Roman" w:hAnsi="Times New Roman" w:cs="Times New Roman"/>
                <w:b/>
                <w:bCs/>
                <w:color w:val="auto"/>
                <w:sz w:val="21"/>
                <w:szCs w:val="21"/>
              </w:rPr>
            </w:pPr>
            <w:r>
              <w:rPr>
                <w:rFonts w:hint="eastAsia" w:cs="Times New Roman"/>
                <w:b/>
                <w:bCs/>
                <w:color w:val="auto"/>
                <w:sz w:val="21"/>
                <w:szCs w:val="21"/>
                <w:lang w:eastAsia="zh-CN"/>
              </w:rPr>
              <w:t>六</w:t>
            </w:r>
            <w:r>
              <w:rPr>
                <w:rFonts w:hint="default" w:ascii="Times New Roman" w:hAnsi="Times New Roman" w:cs="Times New Roman"/>
                <w:b/>
                <w:bCs/>
                <w:color w:val="auto"/>
                <w:sz w:val="21"/>
                <w:szCs w:val="21"/>
              </w:rPr>
              <w:t>、生态</w:t>
            </w:r>
          </w:p>
          <w:p w14:paraId="74B04280">
            <w:pPr>
              <w:adjustRightInd w:val="0"/>
              <w:snapToGrid w:val="0"/>
              <w:spacing w:line="500" w:lineRule="exact"/>
              <w:ind w:firstLine="420" w:firstLineChars="20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本项目不在已划定的生态空间管控区域和生态红线区内，无须设置生态保护措施。</w:t>
            </w:r>
          </w:p>
          <w:p w14:paraId="11BA2D3E">
            <w:pPr>
              <w:adjustRightInd w:val="0"/>
              <w:snapToGrid w:val="0"/>
              <w:spacing w:line="500" w:lineRule="exact"/>
              <w:rPr>
                <w:rFonts w:hint="default" w:ascii="Times New Roman" w:hAnsi="Times New Roman" w:cs="Times New Roman"/>
                <w:b/>
                <w:bCs/>
                <w:color w:val="auto"/>
                <w:sz w:val="21"/>
                <w:szCs w:val="21"/>
              </w:rPr>
            </w:pPr>
            <w:r>
              <w:rPr>
                <w:rFonts w:hint="eastAsia" w:cs="Times New Roman"/>
                <w:b/>
                <w:bCs/>
                <w:color w:val="auto"/>
                <w:sz w:val="21"/>
                <w:szCs w:val="21"/>
                <w:lang w:eastAsia="zh-CN"/>
              </w:rPr>
              <w:t>七</w:t>
            </w:r>
            <w:r>
              <w:rPr>
                <w:rFonts w:hint="default" w:ascii="Times New Roman" w:hAnsi="Times New Roman" w:cs="Times New Roman"/>
                <w:b/>
                <w:bCs/>
                <w:color w:val="auto"/>
                <w:sz w:val="21"/>
                <w:szCs w:val="21"/>
              </w:rPr>
              <w:t>、环境风险</w:t>
            </w:r>
          </w:p>
          <w:p w14:paraId="0FD704D8">
            <w:pPr>
              <w:spacing w:line="500" w:lineRule="exact"/>
              <w:ind w:firstLine="420" w:firstLineChars="200"/>
              <w:rPr>
                <w:rFonts w:hint="default" w:ascii="Times New Roman" w:hAnsi="Times New Roman" w:cs="Times New Roman"/>
                <w:bCs/>
                <w:color w:val="auto"/>
                <w:sz w:val="21"/>
                <w:szCs w:val="21"/>
              </w:rPr>
            </w:pPr>
            <w:r>
              <w:rPr>
                <w:rFonts w:hint="eastAsia" w:cs="Times New Roman"/>
                <w:bCs/>
                <w:color w:val="auto"/>
                <w:sz w:val="21"/>
                <w:szCs w:val="21"/>
                <w:lang w:val="en-US" w:eastAsia="zh-CN"/>
              </w:rPr>
              <w:t>1、</w:t>
            </w:r>
            <w:r>
              <w:rPr>
                <w:rFonts w:hint="default" w:ascii="Times New Roman" w:hAnsi="Times New Roman" w:cs="Times New Roman"/>
                <w:bCs/>
                <w:color w:val="auto"/>
                <w:sz w:val="21"/>
                <w:szCs w:val="21"/>
              </w:rPr>
              <w:t>风险识别</w:t>
            </w:r>
          </w:p>
          <w:p w14:paraId="489061AB">
            <w:pPr>
              <w:spacing w:line="500" w:lineRule="exact"/>
              <w:ind w:firstLine="420" w:firstLineChars="20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本项目涉及的风险物质最大存储量与临界量见下表。</w:t>
            </w:r>
          </w:p>
          <w:p w14:paraId="5EF8D87E">
            <w:pPr>
              <w:spacing w:line="500" w:lineRule="exac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表4</w:t>
            </w:r>
            <w:r>
              <w:rPr>
                <w:rFonts w:hint="eastAsia" w:cs="Times New Roman"/>
                <w:b/>
                <w:bCs/>
                <w:color w:val="auto"/>
                <w:sz w:val="21"/>
                <w:szCs w:val="21"/>
                <w:highlight w:val="none"/>
                <w:lang w:val="en-US" w:eastAsia="zh-CN"/>
              </w:rPr>
              <w:t xml:space="preserve">-20  </w:t>
            </w:r>
            <w:r>
              <w:rPr>
                <w:rFonts w:hint="default" w:ascii="Times New Roman" w:hAnsi="Times New Roman" w:cs="Times New Roman"/>
                <w:b/>
                <w:bCs/>
                <w:color w:val="auto"/>
                <w:sz w:val="21"/>
                <w:szCs w:val="21"/>
                <w:highlight w:val="none"/>
              </w:rPr>
              <w:t>风险物质与临界量比值结果表</w:t>
            </w:r>
          </w:p>
          <w:tbl>
            <w:tblPr>
              <w:tblStyle w:val="32"/>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835"/>
              <w:gridCol w:w="1503"/>
              <w:gridCol w:w="1119"/>
              <w:gridCol w:w="1892"/>
              <w:gridCol w:w="1786"/>
            </w:tblGrid>
            <w:tr w14:paraId="3EF522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 w:type="pct"/>
                  <w:vAlign w:val="center"/>
                </w:tcPr>
                <w:p w14:paraId="1FC6DB72">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序号</w:t>
                  </w:r>
                </w:p>
              </w:tc>
              <w:tc>
                <w:tcPr>
                  <w:tcW w:w="1038" w:type="pct"/>
                  <w:vAlign w:val="center"/>
                </w:tcPr>
                <w:p w14:paraId="7795BFEB">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名称</w:t>
                  </w:r>
                </w:p>
              </w:tc>
              <w:tc>
                <w:tcPr>
                  <w:tcW w:w="850" w:type="pct"/>
                  <w:tcBorders>
                    <w:right w:val="single" w:color="000000" w:sz="4" w:space="0"/>
                  </w:tcBorders>
                  <w:vAlign w:val="center"/>
                </w:tcPr>
                <w:p w14:paraId="36041FBA">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最大存在总量（t）</w:t>
                  </w:r>
                </w:p>
              </w:tc>
              <w:tc>
                <w:tcPr>
                  <w:tcW w:w="632" w:type="pct"/>
                  <w:tcBorders>
                    <w:left w:val="single" w:color="000000" w:sz="4" w:space="0"/>
                  </w:tcBorders>
                  <w:vAlign w:val="center"/>
                </w:tcPr>
                <w:p w14:paraId="2D08DD08">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临界量（t）</w:t>
                  </w:r>
                </w:p>
              </w:tc>
              <w:tc>
                <w:tcPr>
                  <w:tcW w:w="1070" w:type="pct"/>
                  <w:vAlign w:val="center"/>
                </w:tcPr>
                <w:p w14:paraId="7737425F">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最大储存量与临界量的比值（q</w:t>
                  </w:r>
                  <w:r>
                    <w:rPr>
                      <w:rFonts w:hint="default" w:ascii="Times New Roman" w:hAnsi="Times New Roman" w:cs="Times New Roman"/>
                      <w:b/>
                      <w:color w:val="auto"/>
                      <w:sz w:val="21"/>
                      <w:szCs w:val="21"/>
                      <w:vertAlign w:val="subscript"/>
                    </w:rPr>
                    <w:t>i</w:t>
                  </w:r>
                  <w:r>
                    <w:rPr>
                      <w:rFonts w:hint="default" w:ascii="Times New Roman" w:hAnsi="Times New Roman" w:cs="Times New Roman"/>
                      <w:b/>
                      <w:color w:val="auto"/>
                      <w:sz w:val="21"/>
                      <w:szCs w:val="21"/>
                    </w:rPr>
                    <w:t>/Q</w:t>
                  </w:r>
                  <w:r>
                    <w:rPr>
                      <w:rFonts w:hint="default" w:ascii="Times New Roman" w:hAnsi="Times New Roman" w:cs="Times New Roman"/>
                      <w:b/>
                      <w:color w:val="auto"/>
                      <w:sz w:val="21"/>
                      <w:szCs w:val="21"/>
                      <w:vertAlign w:val="subscript"/>
                    </w:rPr>
                    <w:t>i</w:t>
                  </w:r>
                  <w:r>
                    <w:rPr>
                      <w:rFonts w:hint="default" w:ascii="Times New Roman" w:hAnsi="Times New Roman" w:cs="Times New Roman"/>
                      <w:b/>
                      <w:color w:val="auto"/>
                      <w:sz w:val="21"/>
                      <w:szCs w:val="21"/>
                    </w:rPr>
                    <w:t>）</w:t>
                  </w:r>
                </w:p>
              </w:tc>
              <w:tc>
                <w:tcPr>
                  <w:tcW w:w="1010" w:type="pct"/>
                  <w:vAlign w:val="center"/>
                </w:tcPr>
                <w:p w14:paraId="506A0266">
                  <w:pPr>
                    <w:adjustRightInd w:val="0"/>
                    <w:snapToGrid w:val="0"/>
                    <w:jc w:val="center"/>
                    <w:rPr>
                      <w:rFonts w:hint="eastAsia" w:ascii="Times New Roman" w:hAnsi="Times New Roman" w:eastAsia="宋体" w:cs="Times New Roman"/>
                      <w:b/>
                      <w:color w:val="auto"/>
                      <w:sz w:val="21"/>
                      <w:szCs w:val="21"/>
                      <w:lang w:eastAsia="zh-CN"/>
                    </w:rPr>
                  </w:pPr>
                  <w:r>
                    <w:rPr>
                      <w:rFonts w:hint="eastAsia" w:cs="Times New Roman"/>
                      <w:b/>
                      <w:color w:val="auto"/>
                      <w:sz w:val="21"/>
                      <w:szCs w:val="21"/>
                      <w:lang w:eastAsia="zh-CN"/>
                    </w:rPr>
                    <w:t>储存地点</w:t>
                  </w:r>
                </w:p>
              </w:tc>
            </w:tr>
            <w:tr w14:paraId="1340E6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 w:type="pct"/>
                  <w:vAlign w:val="center"/>
                </w:tcPr>
                <w:p w14:paraId="628FA160">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038" w:type="pct"/>
                  <w:shd w:val="clear" w:color="auto" w:fill="FFFFFF"/>
                  <w:vAlign w:val="center"/>
                </w:tcPr>
                <w:p w14:paraId="0B54A00C">
                  <w:pPr>
                    <w:pStyle w:val="25"/>
                    <w:keepNext w:val="0"/>
                    <w:keepLines w:val="0"/>
                    <w:widowControl/>
                    <w:suppressLineNumbers w:val="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机油</w:t>
                  </w:r>
                </w:p>
              </w:tc>
              <w:tc>
                <w:tcPr>
                  <w:tcW w:w="850" w:type="pct"/>
                  <w:tcBorders>
                    <w:right w:val="single" w:color="000000" w:sz="4" w:space="0"/>
                  </w:tcBorders>
                  <w:vAlign w:val="center"/>
                </w:tcPr>
                <w:p w14:paraId="079C77FF">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2.8</w:t>
                  </w:r>
                </w:p>
              </w:tc>
              <w:tc>
                <w:tcPr>
                  <w:tcW w:w="632" w:type="pct"/>
                  <w:tcBorders>
                    <w:left w:val="single" w:color="000000" w:sz="4" w:space="0"/>
                  </w:tcBorders>
                  <w:vAlign w:val="center"/>
                </w:tcPr>
                <w:p w14:paraId="661F0E29">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2500</w:t>
                  </w:r>
                </w:p>
              </w:tc>
              <w:tc>
                <w:tcPr>
                  <w:tcW w:w="1070" w:type="pct"/>
                  <w:vAlign w:val="center"/>
                </w:tcPr>
                <w:p w14:paraId="0E71BFB7">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0.00112</w:t>
                  </w:r>
                </w:p>
              </w:tc>
              <w:tc>
                <w:tcPr>
                  <w:tcW w:w="1010" w:type="pct"/>
                  <w:vAlign w:val="center"/>
                </w:tcPr>
                <w:p w14:paraId="519499DC">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油品暂存区/车间</w:t>
                  </w:r>
                </w:p>
              </w:tc>
            </w:tr>
            <w:tr w14:paraId="608E7D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 w:type="pct"/>
                  <w:vAlign w:val="center"/>
                </w:tcPr>
                <w:p w14:paraId="50124B3D">
                  <w:pPr>
                    <w:adjustRightInd w:val="0"/>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2</w:t>
                  </w:r>
                </w:p>
              </w:tc>
              <w:tc>
                <w:tcPr>
                  <w:tcW w:w="1038" w:type="pct"/>
                  <w:shd w:val="clear" w:color="auto" w:fill="FFFFFF"/>
                  <w:vAlign w:val="center"/>
                </w:tcPr>
                <w:p w14:paraId="2B0B9DFE">
                  <w:pPr>
                    <w:pStyle w:val="6"/>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废活性炭</w:t>
                  </w:r>
                </w:p>
              </w:tc>
              <w:tc>
                <w:tcPr>
                  <w:tcW w:w="850" w:type="pct"/>
                  <w:tcBorders>
                    <w:right w:val="single" w:color="000000" w:sz="4" w:space="0"/>
                  </w:tcBorders>
                  <w:vAlign w:val="center"/>
                </w:tcPr>
                <w:p w14:paraId="6499B7E2">
                  <w:pPr>
                    <w:adjustRightInd w:val="0"/>
                    <w:snapToGrid w:val="0"/>
                    <w:jc w:val="center"/>
                    <w:rPr>
                      <w:rFonts w:hint="default" w:cs="Times New Roman"/>
                      <w:color w:val="FF0000"/>
                      <w:sz w:val="21"/>
                      <w:szCs w:val="21"/>
                      <w:lang w:val="en-US" w:eastAsia="zh-CN"/>
                    </w:rPr>
                  </w:pPr>
                  <w:r>
                    <w:rPr>
                      <w:rFonts w:hint="eastAsia" w:cs="Times New Roman"/>
                      <w:color w:val="FF0000"/>
                      <w:sz w:val="21"/>
                      <w:szCs w:val="21"/>
                      <w:lang w:val="en-US" w:eastAsia="zh-CN"/>
                    </w:rPr>
                    <w:t>21.06</w:t>
                  </w:r>
                </w:p>
              </w:tc>
              <w:tc>
                <w:tcPr>
                  <w:tcW w:w="632" w:type="pct"/>
                  <w:tcBorders>
                    <w:left w:val="single" w:color="000000" w:sz="4" w:space="0"/>
                  </w:tcBorders>
                  <w:vAlign w:val="center"/>
                </w:tcPr>
                <w:p w14:paraId="48687024">
                  <w:pPr>
                    <w:adjustRightInd w:val="0"/>
                    <w:snapToGrid w:val="0"/>
                    <w:jc w:val="center"/>
                    <w:rPr>
                      <w:rFonts w:hint="default" w:cs="Times New Roman"/>
                      <w:color w:val="FF0000"/>
                      <w:sz w:val="21"/>
                      <w:szCs w:val="21"/>
                      <w:lang w:val="en-US" w:eastAsia="zh-CN"/>
                    </w:rPr>
                  </w:pPr>
                  <w:r>
                    <w:rPr>
                      <w:rFonts w:hint="eastAsia" w:cs="Times New Roman"/>
                      <w:color w:val="FF0000"/>
                      <w:sz w:val="21"/>
                      <w:szCs w:val="21"/>
                      <w:lang w:val="en-US" w:eastAsia="zh-CN"/>
                    </w:rPr>
                    <w:t>50</w:t>
                  </w:r>
                </w:p>
              </w:tc>
              <w:tc>
                <w:tcPr>
                  <w:tcW w:w="1070" w:type="pct"/>
                  <w:vAlign w:val="center"/>
                </w:tcPr>
                <w:p w14:paraId="0BBFD5DD">
                  <w:pPr>
                    <w:adjustRightInd w:val="0"/>
                    <w:snapToGrid w:val="0"/>
                    <w:jc w:val="center"/>
                    <w:rPr>
                      <w:rFonts w:hint="default" w:cs="Times New Roman"/>
                      <w:color w:val="FF0000"/>
                      <w:sz w:val="21"/>
                      <w:szCs w:val="21"/>
                      <w:lang w:val="en-US" w:eastAsia="zh-CN"/>
                    </w:rPr>
                  </w:pPr>
                  <w:r>
                    <w:rPr>
                      <w:rFonts w:hint="eastAsia" w:cs="Times New Roman"/>
                      <w:color w:val="FF0000"/>
                      <w:sz w:val="21"/>
                      <w:szCs w:val="21"/>
                      <w:lang w:val="en-US" w:eastAsia="zh-CN"/>
                    </w:rPr>
                    <w:t>0.4212</w:t>
                  </w:r>
                </w:p>
              </w:tc>
              <w:tc>
                <w:tcPr>
                  <w:tcW w:w="1010" w:type="pct"/>
                  <w:vMerge w:val="restart"/>
                  <w:shd w:val="clear" w:color="auto" w:fill="auto"/>
                  <w:vAlign w:val="center"/>
                </w:tcPr>
                <w:p w14:paraId="71976C6E">
                  <w:pPr>
                    <w:adjustRightInd w:val="0"/>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危废仓库</w:t>
                  </w:r>
                </w:p>
              </w:tc>
            </w:tr>
            <w:tr w14:paraId="2C42F2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 w:type="pct"/>
                  <w:vAlign w:val="center"/>
                </w:tcPr>
                <w:p w14:paraId="4A74B126">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3</w:t>
                  </w:r>
                </w:p>
              </w:tc>
              <w:tc>
                <w:tcPr>
                  <w:tcW w:w="1038" w:type="pct"/>
                  <w:vAlign w:val="center"/>
                </w:tcPr>
                <w:p w14:paraId="199BAD21">
                  <w:pPr>
                    <w:pStyle w:val="6"/>
                    <w:adjustRightInd w:val="0"/>
                    <w:snapToGrid w:val="0"/>
                    <w:ind w:firstLine="0" w:firstLineChars="0"/>
                    <w:jc w:val="center"/>
                    <w:rPr>
                      <w:rFonts w:hint="eastAsia" w:ascii="Times New Roman" w:hAnsi="Times New Roman" w:cs="Times New Roman"/>
                      <w:color w:val="auto"/>
                      <w:sz w:val="21"/>
                      <w:szCs w:val="21"/>
                      <w:highlight w:val="none"/>
                      <w:lang w:eastAsia="zh-CN"/>
                    </w:rPr>
                  </w:pPr>
                  <w:r>
                    <w:rPr>
                      <w:rFonts w:hint="eastAsia" w:cs="Times New Roman"/>
                      <w:b w:val="0"/>
                      <w:bCs w:val="0"/>
                      <w:color w:val="auto"/>
                      <w:kern w:val="2"/>
                      <w:sz w:val="21"/>
                      <w:szCs w:val="21"/>
                      <w:lang w:val="en-US" w:eastAsia="zh-CN" w:bidi="ar-SA"/>
                    </w:rPr>
                    <w:t>废机油</w:t>
                  </w:r>
                </w:p>
              </w:tc>
              <w:tc>
                <w:tcPr>
                  <w:tcW w:w="850" w:type="pct"/>
                  <w:tcBorders>
                    <w:bottom w:val="single" w:color="000000" w:sz="4" w:space="0"/>
                    <w:right w:val="single" w:color="000000" w:sz="4" w:space="0"/>
                  </w:tcBorders>
                  <w:vAlign w:val="center"/>
                </w:tcPr>
                <w:p w14:paraId="6694801C">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1.15</w:t>
                  </w:r>
                </w:p>
              </w:tc>
              <w:tc>
                <w:tcPr>
                  <w:tcW w:w="632" w:type="pct"/>
                  <w:tcBorders>
                    <w:left w:val="single" w:color="000000" w:sz="4" w:space="0"/>
                    <w:bottom w:val="single" w:color="000000" w:sz="4" w:space="0"/>
                  </w:tcBorders>
                  <w:vAlign w:val="center"/>
                </w:tcPr>
                <w:p w14:paraId="6FC01787">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2500</w:t>
                  </w:r>
                </w:p>
              </w:tc>
              <w:tc>
                <w:tcPr>
                  <w:tcW w:w="1070" w:type="pct"/>
                  <w:vAlign w:val="center"/>
                </w:tcPr>
                <w:p w14:paraId="619C4F3C">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0.00046</w:t>
                  </w:r>
                </w:p>
              </w:tc>
              <w:tc>
                <w:tcPr>
                  <w:tcW w:w="1010" w:type="pct"/>
                  <w:vMerge w:val="continue"/>
                  <w:vAlign w:val="center"/>
                </w:tcPr>
                <w:p w14:paraId="4DDCA457">
                  <w:pPr>
                    <w:adjustRightInd w:val="0"/>
                    <w:snapToGrid w:val="0"/>
                    <w:jc w:val="center"/>
                    <w:rPr>
                      <w:rFonts w:hint="eastAsia" w:cs="Times New Roman"/>
                      <w:color w:val="auto"/>
                      <w:sz w:val="21"/>
                      <w:szCs w:val="21"/>
                      <w:lang w:val="en-US" w:eastAsia="zh-CN"/>
                    </w:rPr>
                  </w:pPr>
                </w:p>
              </w:tc>
            </w:tr>
            <w:tr w14:paraId="38A388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 w:type="pct"/>
                  <w:vAlign w:val="center"/>
                </w:tcPr>
                <w:p w14:paraId="25C92936">
                  <w:pPr>
                    <w:adjustRightInd w:val="0"/>
                    <w:snapToGrid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w:t>
                  </w:r>
                </w:p>
              </w:tc>
              <w:tc>
                <w:tcPr>
                  <w:tcW w:w="1038" w:type="pct"/>
                  <w:vAlign w:val="center"/>
                </w:tcPr>
                <w:p w14:paraId="2CDF8D96">
                  <w:pPr>
                    <w:pStyle w:val="6"/>
                    <w:adjustRightInd w:val="0"/>
                    <w:snapToGrid w:val="0"/>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lang w:val="en-US" w:eastAsia="zh-CN"/>
                    </w:rPr>
                    <w:t>废油桶</w:t>
                  </w:r>
                </w:p>
              </w:tc>
              <w:tc>
                <w:tcPr>
                  <w:tcW w:w="850" w:type="pct"/>
                  <w:tcBorders>
                    <w:bottom w:val="single" w:color="000000" w:sz="4" w:space="0"/>
                    <w:right w:val="single" w:color="000000" w:sz="4" w:space="0"/>
                  </w:tcBorders>
                  <w:vAlign w:val="center"/>
                </w:tcPr>
                <w:p w14:paraId="096B83C4">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0.04</w:t>
                  </w:r>
                </w:p>
              </w:tc>
              <w:tc>
                <w:tcPr>
                  <w:tcW w:w="632" w:type="pct"/>
                  <w:tcBorders>
                    <w:left w:val="single" w:color="000000" w:sz="4" w:space="0"/>
                    <w:bottom w:val="single" w:color="000000" w:sz="4" w:space="0"/>
                  </w:tcBorders>
                  <w:vAlign w:val="center"/>
                </w:tcPr>
                <w:p w14:paraId="6D063175">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50</w:t>
                  </w:r>
                </w:p>
              </w:tc>
              <w:tc>
                <w:tcPr>
                  <w:tcW w:w="1070" w:type="pct"/>
                  <w:vAlign w:val="center"/>
                </w:tcPr>
                <w:p w14:paraId="0715C65F">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0.0008</w:t>
                  </w:r>
                </w:p>
              </w:tc>
              <w:tc>
                <w:tcPr>
                  <w:tcW w:w="1010" w:type="pct"/>
                  <w:vMerge w:val="continue"/>
                  <w:vAlign w:val="center"/>
                </w:tcPr>
                <w:p w14:paraId="03D30CA1">
                  <w:pPr>
                    <w:adjustRightInd w:val="0"/>
                    <w:snapToGrid w:val="0"/>
                    <w:jc w:val="center"/>
                    <w:rPr>
                      <w:rFonts w:hint="eastAsia" w:cs="Times New Roman"/>
                      <w:color w:val="auto"/>
                      <w:sz w:val="21"/>
                      <w:szCs w:val="21"/>
                      <w:lang w:val="en-US" w:eastAsia="zh-CN"/>
                    </w:rPr>
                  </w:pPr>
                </w:p>
              </w:tc>
            </w:tr>
            <w:tr w14:paraId="5D4507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 w:type="pct"/>
                  <w:vAlign w:val="center"/>
                </w:tcPr>
                <w:p w14:paraId="2E1C04EC">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5</w:t>
                  </w:r>
                </w:p>
              </w:tc>
              <w:tc>
                <w:tcPr>
                  <w:tcW w:w="1038" w:type="pct"/>
                  <w:vAlign w:val="center"/>
                </w:tcPr>
                <w:p w14:paraId="08FD0DC4">
                  <w:pPr>
                    <w:adjustRightInd w:val="0"/>
                    <w:snapToGrid w:val="0"/>
                    <w:jc w:val="center"/>
                    <w:rPr>
                      <w:rFonts w:hint="eastAsia" w:ascii="Times New Roman" w:hAnsi="Times New Roman" w:eastAsia="宋体" w:cs="Times New Roman"/>
                      <w:color w:val="auto"/>
                      <w:sz w:val="21"/>
                      <w:szCs w:val="21"/>
                      <w:lang w:val="en-US" w:eastAsia="zh-CN"/>
                    </w:rPr>
                  </w:pPr>
                  <w:r>
                    <w:rPr>
                      <w:rFonts w:hint="eastAsia"/>
                      <w:color w:val="auto"/>
                      <w:szCs w:val="21"/>
                      <w:lang w:eastAsia="zh-CN"/>
                    </w:rPr>
                    <w:t>废含油抹布手套</w:t>
                  </w:r>
                </w:p>
              </w:tc>
              <w:tc>
                <w:tcPr>
                  <w:tcW w:w="850" w:type="pct"/>
                  <w:tcBorders>
                    <w:bottom w:val="single" w:color="000000" w:sz="4" w:space="0"/>
                    <w:right w:val="single" w:color="000000" w:sz="4" w:space="0"/>
                  </w:tcBorders>
                  <w:vAlign w:val="center"/>
                </w:tcPr>
                <w:p w14:paraId="0B4E1075">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0.06</w:t>
                  </w:r>
                </w:p>
              </w:tc>
              <w:tc>
                <w:tcPr>
                  <w:tcW w:w="632" w:type="pct"/>
                  <w:tcBorders>
                    <w:left w:val="single" w:color="000000" w:sz="4" w:space="0"/>
                    <w:bottom w:val="single" w:color="000000" w:sz="4" w:space="0"/>
                  </w:tcBorders>
                  <w:vAlign w:val="center"/>
                </w:tcPr>
                <w:p w14:paraId="5CC2612B">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50</w:t>
                  </w:r>
                </w:p>
              </w:tc>
              <w:tc>
                <w:tcPr>
                  <w:tcW w:w="1070" w:type="pct"/>
                  <w:vAlign w:val="center"/>
                </w:tcPr>
                <w:p w14:paraId="116C968C">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0.0012</w:t>
                  </w:r>
                </w:p>
              </w:tc>
              <w:tc>
                <w:tcPr>
                  <w:tcW w:w="1010" w:type="pct"/>
                  <w:vMerge w:val="continue"/>
                  <w:vAlign w:val="center"/>
                </w:tcPr>
                <w:p w14:paraId="259961E3">
                  <w:pPr>
                    <w:adjustRightInd w:val="0"/>
                    <w:snapToGrid w:val="0"/>
                    <w:jc w:val="center"/>
                    <w:rPr>
                      <w:rFonts w:hint="eastAsia" w:cs="Times New Roman"/>
                      <w:color w:val="auto"/>
                      <w:sz w:val="21"/>
                      <w:szCs w:val="21"/>
                      <w:lang w:val="en-US" w:eastAsia="zh-CN"/>
                    </w:rPr>
                  </w:pPr>
                </w:p>
              </w:tc>
            </w:tr>
            <w:tr w14:paraId="7175FA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9" w:type="pct"/>
                  <w:gridSpan w:val="4"/>
                  <w:vAlign w:val="center"/>
                </w:tcPr>
                <w:p w14:paraId="4F8A74CB">
                  <w:pPr>
                    <w:adjustRightInd w:val="0"/>
                    <w:snapToGrid w:val="0"/>
                    <w:jc w:val="center"/>
                    <w:rPr>
                      <w:rFonts w:hint="default" w:cs="Times New Roman"/>
                      <w:color w:val="auto"/>
                      <w:sz w:val="21"/>
                      <w:szCs w:val="21"/>
                      <w:lang w:val="en-US" w:eastAsia="zh-CN"/>
                    </w:rPr>
                  </w:pPr>
                  <w:r>
                    <w:rPr>
                      <w:rFonts w:hint="default" w:cs="Times New Roman"/>
                      <w:color w:val="auto"/>
                      <w:sz w:val="21"/>
                      <w:szCs w:val="21"/>
                      <w:lang w:val="en-US" w:eastAsia="zh-CN"/>
                    </w:rPr>
                    <w:t>合计</w:t>
                  </w:r>
                </w:p>
              </w:tc>
              <w:tc>
                <w:tcPr>
                  <w:tcW w:w="1070" w:type="pct"/>
                  <w:vAlign w:val="center"/>
                </w:tcPr>
                <w:p w14:paraId="20F96FB7">
                  <w:pPr>
                    <w:adjustRightInd w:val="0"/>
                    <w:snapToGrid w:val="0"/>
                    <w:jc w:val="center"/>
                    <w:rPr>
                      <w:rFonts w:hint="default" w:cs="Times New Roman"/>
                      <w:color w:val="auto"/>
                      <w:sz w:val="21"/>
                      <w:szCs w:val="21"/>
                      <w:lang w:val="en-US" w:eastAsia="zh-CN"/>
                    </w:rPr>
                  </w:pPr>
                  <w:r>
                    <w:rPr>
                      <w:rFonts w:hint="eastAsia" w:cs="Times New Roman"/>
                      <w:color w:val="FF0000"/>
                      <w:sz w:val="21"/>
                      <w:szCs w:val="21"/>
                      <w:lang w:val="en-US" w:eastAsia="zh-CN"/>
                    </w:rPr>
                    <w:t>0.42478</w:t>
                  </w:r>
                </w:p>
              </w:tc>
              <w:tc>
                <w:tcPr>
                  <w:tcW w:w="1010" w:type="pct"/>
                  <w:vAlign w:val="center"/>
                </w:tcPr>
                <w:p w14:paraId="6AA96305">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bl>
          <w:p w14:paraId="57DC568E">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注：项目机油、危废依托现有设施储存，故以油品暂存区、危废仓库最大库存统计风险物质存量。</w:t>
            </w:r>
          </w:p>
          <w:p w14:paraId="1DDDE962">
            <w:pPr>
              <w:spacing w:line="500" w:lineRule="exact"/>
              <w:ind w:firstLine="420" w:firstLineChars="200"/>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由上表可知风险物质与临界量比值Q＜1，故本项目环境风险潜势等级低。</w:t>
            </w:r>
          </w:p>
          <w:p w14:paraId="79DA632D">
            <w:pPr>
              <w:snapToGrid w:val="0"/>
              <w:spacing w:line="500" w:lineRule="exact"/>
              <w:ind w:firstLine="420" w:firstLineChars="20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通过对本项目的风险识别，参考同类企业的有关资料，本项目可能发生的突发环境事件为</w:t>
            </w:r>
            <w:r>
              <w:rPr>
                <w:rFonts w:hint="eastAsia" w:cs="Times New Roman"/>
                <w:bCs/>
                <w:color w:val="auto"/>
                <w:sz w:val="21"/>
                <w:szCs w:val="21"/>
                <w:lang w:eastAsia="zh-CN"/>
              </w:rPr>
              <w:t>：</w:t>
            </w:r>
            <w:r>
              <w:rPr>
                <w:rFonts w:hint="default" w:ascii="Times New Roman" w:hAnsi="Times New Roman" w:cs="Times New Roman"/>
                <w:bCs/>
                <w:color w:val="auto"/>
                <w:sz w:val="21"/>
                <w:szCs w:val="21"/>
              </w:rPr>
              <w:t>①存放</w:t>
            </w:r>
            <w:r>
              <w:rPr>
                <w:rFonts w:hint="eastAsia" w:cs="Times New Roman"/>
                <w:color w:val="auto"/>
                <w:kern w:val="2"/>
                <w:sz w:val="21"/>
                <w:szCs w:val="21"/>
                <w:lang w:val="en-US" w:eastAsia="zh-CN" w:bidi="ar-SA"/>
              </w:rPr>
              <w:t>机油</w:t>
            </w:r>
            <w:r>
              <w:rPr>
                <w:rFonts w:hint="default" w:ascii="Times New Roman" w:hAnsi="Times New Roman" w:cs="Times New Roman"/>
                <w:bCs/>
                <w:color w:val="auto"/>
                <w:sz w:val="21"/>
                <w:szCs w:val="21"/>
              </w:rPr>
              <w:t>的</w:t>
            </w:r>
            <w:r>
              <w:rPr>
                <w:rFonts w:hint="eastAsia" w:cs="Times New Roman"/>
                <w:bCs/>
                <w:color w:val="auto"/>
                <w:sz w:val="21"/>
                <w:szCs w:val="21"/>
                <w:lang w:val="en-US" w:eastAsia="zh-CN"/>
              </w:rPr>
              <w:t>包装桶</w:t>
            </w:r>
            <w:r>
              <w:rPr>
                <w:rFonts w:hint="default" w:ascii="Times New Roman" w:hAnsi="Times New Roman" w:cs="Times New Roman"/>
                <w:bCs/>
                <w:color w:val="auto"/>
                <w:sz w:val="21"/>
                <w:szCs w:val="21"/>
              </w:rPr>
              <w:t>破损导致物料</w:t>
            </w:r>
            <w:r>
              <w:rPr>
                <w:rFonts w:hint="eastAsia" w:cs="Times New Roman"/>
                <w:bCs/>
                <w:color w:val="auto"/>
                <w:sz w:val="21"/>
                <w:szCs w:val="21"/>
                <w:lang w:eastAsia="zh-CN"/>
              </w:rPr>
              <w:t>泄漏</w:t>
            </w:r>
            <w:r>
              <w:rPr>
                <w:rFonts w:hint="default" w:ascii="Times New Roman" w:hAnsi="Times New Roman" w:cs="Times New Roman"/>
                <w:bCs/>
                <w:color w:val="auto"/>
                <w:sz w:val="21"/>
                <w:szCs w:val="21"/>
              </w:rPr>
              <w:t>进入厂区内雨水管道，通过雨水冲刷和下渗影响土壤、地表水和地下水环境；②项目</w:t>
            </w:r>
            <w:r>
              <w:rPr>
                <w:rFonts w:hint="eastAsia" w:cs="Times New Roman"/>
                <w:color w:val="auto"/>
                <w:kern w:val="2"/>
                <w:sz w:val="21"/>
                <w:szCs w:val="21"/>
                <w:lang w:val="en-US" w:eastAsia="zh-CN" w:bidi="ar-SA"/>
              </w:rPr>
              <w:t>塑料粒子</w:t>
            </w:r>
            <w:r>
              <w:rPr>
                <w:rFonts w:hint="default" w:ascii="Times New Roman" w:hAnsi="Times New Roman" w:cs="Times New Roman"/>
                <w:bCs/>
                <w:color w:val="auto"/>
                <w:sz w:val="21"/>
                <w:szCs w:val="21"/>
              </w:rPr>
              <w:t>、</w:t>
            </w:r>
            <w:r>
              <w:rPr>
                <w:rFonts w:hint="eastAsia" w:cs="Times New Roman"/>
                <w:color w:val="auto"/>
                <w:kern w:val="2"/>
                <w:sz w:val="21"/>
                <w:szCs w:val="21"/>
                <w:lang w:val="en-US" w:eastAsia="zh-CN" w:bidi="ar-SA"/>
              </w:rPr>
              <w:t>机油</w:t>
            </w:r>
            <w:r>
              <w:rPr>
                <w:rFonts w:hint="eastAsia" w:cs="Times New Roman"/>
                <w:bCs/>
                <w:color w:val="auto"/>
                <w:sz w:val="21"/>
                <w:szCs w:val="21"/>
                <w:lang w:val="en-US" w:eastAsia="zh-CN"/>
              </w:rPr>
              <w:t>及成品均</w:t>
            </w:r>
            <w:r>
              <w:rPr>
                <w:rFonts w:hint="eastAsia" w:cs="Times New Roman"/>
                <w:bCs/>
                <w:color w:val="auto"/>
                <w:sz w:val="21"/>
                <w:szCs w:val="21"/>
                <w:lang w:eastAsia="zh-CN"/>
              </w:rPr>
              <w:t>可燃</w:t>
            </w:r>
            <w:r>
              <w:rPr>
                <w:rFonts w:hint="default" w:ascii="Times New Roman" w:hAnsi="Times New Roman" w:cs="Times New Roman"/>
                <w:bCs/>
                <w:color w:val="auto"/>
                <w:sz w:val="21"/>
                <w:szCs w:val="21"/>
              </w:rPr>
              <w:t>，遇明火可能发生火灾爆炸事故，次生</w:t>
            </w:r>
            <w:r>
              <w:rPr>
                <w:rFonts w:hint="eastAsia" w:cs="Times New Roman"/>
                <w:bCs/>
                <w:color w:val="auto"/>
                <w:sz w:val="21"/>
                <w:szCs w:val="21"/>
                <w:lang w:eastAsia="zh-CN"/>
              </w:rPr>
              <w:t>的</w:t>
            </w:r>
            <w:r>
              <w:rPr>
                <w:rFonts w:hint="eastAsia" w:cs="Times New Roman"/>
                <w:bCs/>
                <w:color w:val="auto"/>
                <w:sz w:val="21"/>
                <w:szCs w:val="21"/>
                <w:lang w:val="en-US" w:eastAsia="zh-CN"/>
              </w:rPr>
              <w:t>CO、颗粒物等污染物会污染周边大气</w:t>
            </w:r>
            <w:r>
              <w:rPr>
                <w:rFonts w:hint="default" w:ascii="Times New Roman" w:hAnsi="Times New Roman" w:cs="Times New Roman"/>
                <w:bCs/>
                <w:color w:val="auto"/>
                <w:sz w:val="21"/>
                <w:szCs w:val="21"/>
              </w:rPr>
              <w:t>环境。</w:t>
            </w:r>
          </w:p>
          <w:p w14:paraId="54EBC1E5">
            <w:pPr>
              <w:snapToGrid w:val="0"/>
              <w:spacing w:line="500" w:lineRule="exact"/>
              <w:ind w:firstLine="420" w:firstLineChars="200"/>
              <w:rPr>
                <w:rFonts w:hint="default" w:ascii="Times New Roman" w:hAnsi="Times New Roman" w:cs="Times New Roman"/>
                <w:bCs/>
                <w:color w:val="auto"/>
                <w:sz w:val="21"/>
                <w:szCs w:val="21"/>
              </w:rPr>
            </w:pPr>
            <w:r>
              <w:rPr>
                <w:rFonts w:hint="eastAsia" w:cs="Times New Roman"/>
                <w:bCs/>
                <w:color w:val="auto"/>
                <w:sz w:val="21"/>
                <w:szCs w:val="21"/>
                <w:lang w:val="en-US" w:eastAsia="zh-CN"/>
              </w:rPr>
              <w:t>2、</w:t>
            </w:r>
            <w:r>
              <w:rPr>
                <w:rFonts w:hint="default" w:ascii="Times New Roman" w:hAnsi="Times New Roman" w:cs="Times New Roman"/>
                <w:bCs/>
                <w:color w:val="auto"/>
                <w:sz w:val="21"/>
                <w:szCs w:val="21"/>
              </w:rPr>
              <w:t>环境风险防范及应急管理要求</w:t>
            </w:r>
          </w:p>
          <w:p w14:paraId="26FA8A6E">
            <w:pPr>
              <w:snapToGrid w:val="0"/>
              <w:spacing w:line="500" w:lineRule="exact"/>
              <w:ind w:firstLine="420" w:firstLineChars="20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1）</w:t>
            </w:r>
            <w:r>
              <w:rPr>
                <w:rFonts w:hint="default" w:ascii="Times New Roman" w:hAnsi="Times New Roman" w:cs="Times New Roman"/>
                <w:bCs/>
                <w:color w:val="auto"/>
                <w:sz w:val="21"/>
                <w:szCs w:val="21"/>
              </w:rPr>
              <w:t>管理、储存、使用、运输中的防范措施</w:t>
            </w:r>
          </w:p>
          <w:p w14:paraId="79DE8D47">
            <w:pPr>
              <w:snapToGrid w:val="0"/>
              <w:spacing w:line="500" w:lineRule="exact"/>
              <w:ind w:firstLine="420" w:firstLineChars="20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加强对液态物料和危险废物的管理；制定相应的安全操作规程，要求操作人员严格按操作规程作业；对相关作业人员定期进行安全培训教育；对作业场所定期进行安全检查。液态物料和危险废物在厂区内转运时，通道、出入口和通向消防设施的道路保持畅通，运输人员应配置必要且质量合格的防护器材。</w:t>
            </w:r>
          </w:p>
          <w:p w14:paraId="77B0FE8E">
            <w:pPr>
              <w:snapToGrid w:val="0"/>
              <w:spacing w:line="500" w:lineRule="exact"/>
              <w:ind w:firstLine="420" w:firstLineChars="20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2）</w:t>
            </w:r>
            <w:r>
              <w:rPr>
                <w:rFonts w:hint="default" w:ascii="Times New Roman" w:hAnsi="Times New Roman" w:cs="Times New Roman"/>
                <w:bCs/>
                <w:color w:val="auto"/>
                <w:sz w:val="21"/>
                <w:szCs w:val="21"/>
              </w:rPr>
              <w:t>存放区风险防范措施</w:t>
            </w:r>
          </w:p>
          <w:p w14:paraId="09275743">
            <w:pPr>
              <w:snapToGrid w:val="0"/>
              <w:spacing w:line="500" w:lineRule="exact"/>
              <w:ind w:firstLine="420" w:firstLineChars="200"/>
              <w:rPr>
                <w:rFonts w:hint="default" w:ascii="Times New Roman" w:hAnsi="Times New Roman" w:cs="Times New Roman"/>
                <w:bCs/>
                <w:color w:val="auto"/>
                <w:sz w:val="21"/>
                <w:szCs w:val="21"/>
              </w:rPr>
            </w:pPr>
            <w:r>
              <w:rPr>
                <w:rFonts w:hint="eastAsia" w:cs="Times New Roman"/>
                <w:bCs/>
                <w:color w:val="auto"/>
                <w:sz w:val="21"/>
                <w:szCs w:val="21"/>
                <w:lang w:val="en-US" w:eastAsia="zh-CN"/>
              </w:rPr>
              <w:t>油品</w:t>
            </w:r>
            <w:r>
              <w:rPr>
                <w:rFonts w:hint="default" w:ascii="Times New Roman" w:hAnsi="Times New Roman" w:cs="Times New Roman"/>
                <w:bCs/>
                <w:color w:val="auto"/>
                <w:sz w:val="21"/>
                <w:szCs w:val="21"/>
              </w:rPr>
              <w:t>必须设置于阴凉、通风的库房，库房必须防渗、防漏、防雨；危废仓库内应设置</w:t>
            </w:r>
            <w:r>
              <w:rPr>
                <w:rFonts w:hint="eastAsia" w:cs="Times New Roman"/>
                <w:bCs/>
                <w:color w:val="auto"/>
                <w:sz w:val="21"/>
                <w:szCs w:val="21"/>
                <w:lang w:val="en-US" w:eastAsia="zh-CN"/>
              </w:rPr>
              <w:t>导流槽和</w:t>
            </w:r>
            <w:r>
              <w:rPr>
                <w:rFonts w:hint="default" w:ascii="Times New Roman" w:hAnsi="Times New Roman" w:cs="Times New Roman"/>
                <w:bCs/>
                <w:color w:val="auto"/>
                <w:sz w:val="21"/>
                <w:szCs w:val="21"/>
              </w:rPr>
              <w:t>集</w:t>
            </w:r>
            <w:r>
              <w:rPr>
                <w:rFonts w:hint="eastAsia" w:cs="Times New Roman"/>
                <w:bCs/>
                <w:color w:val="auto"/>
                <w:sz w:val="21"/>
                <w:szCs w:val="21"/>
                <w:lang w:val="en-US" w:eastAsia="zh-CN"/>
              </w:rPr>
              <w:t>液井</w:t>
            </w:r>
            <w:r>
              <w:rPr>
                <w:rFonts w:hint="default" w:ascii="Times New Roman" w:hAnsi="Times New Roman" w:cs="Times New Roman"/>
                <w:bCs/>
                <w:color w:val="auto"/>
                <w:sz w:val="21"/>
                <w:szCs w:val="21"/>
              </w:rPr>
              <w:t>，当泄漏事故发生时，可及时将泄漏的</w:t>
            </w:r>
            <w:r>
              <w:rPr>
                <w:rFonts w:hint="eastAsia" w:cs="Times New Roman"/>
                <w:bCs/>
                <w:color w:val="auto"/>
                <w:sz w:val="21"/>
                <w:szCs w:val="21"/>
                <w:lang w:val="en-US" w:eastAsia="zh-CN"/>
              </w:rPr>
              <w:t>危废</w:t>
            </w:r>
            <w:r>
              <w:rPr>
                <w:rFonts w:hint="default" w:ascii="Times New Roman" w:hAnsi="Times New Roman" w:cs="Times New Roman"/>
                <w:bCs/>
                <w:color w:val="auto"/>
                <w:sz w:val="21"/>
                <w:szCs w:val="21"/>
              </w:rPr>
              <w:t>收集至集</w:t>
            </w:r>
            <w:r>
              <w:rPr>
                <w:rFonts w:hint="eastAsia" w:cs="Times New Roman"/>
                <w:bCs/>
                <w:color w:val="auto"/>
                <w:sz w:val="21"/>
                <w:szCs w:val="21"/>
                <w:lang w:val="en-US" w:eastAsia="zh-CN"/>
              </w:rPr>
              <w:t>液井</w:t>
            </w:r>
            <w:r>
              <w:rPr>
                <w:rFonts w:hint="default" w:ascii="Times New Roman" w:hAnsi="Times New Roman" w:cs="Times New Roman"/>
                <w:bCs/>
                <w:color w:val="auto"/>
                <w:sz w:val="21"/>
                <w:szCs w:val="21"/>
              </w:rPr>
              <w:t>内暂存，最终作为危险废物处理；</w:t>
            </w:r>
            <w:r>
              <w:rPr>
                <w:rFonts w:hint="eastAsia" w:cs="Times New Roman"/>
                <w:bCs/>
                <w:color w:val="auto"/>
                <w:sz w:val="21"/>
                <w:szCs w:val="21"/>
                <w:lang w:val="en-US" w:eastAsia="zh-CN"/>
              </w:rPr>
              <w:t>油品暂存区</w:t>
            </w:r>
            <w:r>
              <w:rPr>
                <w:rFonts w:hint="default" w:ascii="Times New Roman" w:hAnsi="Times New Roman" w:cs="Times New Roman"/>
                <w:bCs/>
                <w:color w:val="auto"/>
                <w:sz w:val="21"/>
                <w:szCs w:val="21"/>
              </w:rPr>
              <w:t>、危废仓库应配备吸附剂等材料，防止发生事故时能对事故进行应急处理。</w:t>
            </w:r>
          </w:p>
          <w:p w14:paraId="4777552B">
            <w:pPr>
              <w:snapToGrid w:val="0"/>
              <w:spacing w:line="500" w:lineRule="exact"/>
              <w:ind w:firstLine="420" w:firstLineChars="200"/>
              <w:rPr>
                <w:rFonts w:hint="default" w:ascii="Times New Roman" w:hAnsi="Times New Roman" w:cs="Times New Roman"/>
                <w:bCs/>
                <w:color w:val="auto"/>
                <w:sz w:val="21"/>
                <w:szCs w:val="21"/>
              </w:rPr>
            </w:pPr>
            <w:r>
              <w:rPr>
                <w:rFonts w:hint="eastAsia" w:cs="Times New Roman"/>
                <w:bCs/>
                <w:color w:val="auto"/>
                <w:sz w:val="21"/>
                <w:szCs w:val="21"/>
                <w:lang w:val="en-US" w:eastAsia="zh-CN"/>
              </w:rPr>
              <w:t>3</w:t>
            </w:r>
            <w:r>
              <w:rPr>
                <w:rFonts w:hint="default" w:ascii="Times New Roman" w:hAnsi="Times New Roman" w:cs="Times New Roman"/>
                <w:bCs/>
                <w:color w:val="auto"/>
                <w:sz w:val="21"/>
                <w:szCs w:val="21"/>
                <w:lang w:val="en-US" w:eastAsia="zh-CN"/>
              </w:rPr>
              <w:t>）</w:t>
            </w:r>
            <w:r>
              <w:rPr>
                <w:rFonts w:hint="default" w:ascii="Times New Roman" w:hAnsi="Times New Roman" w:cs="Times New Roman"/>
                <w:bCs/>
                <w:color w:val="auto"/>
                <w:sz w:val="21"/>
                <w:szCs w:val="21"/>
              </w:rPr>
              <w:t>事故应急对策措施</w:t>
            </w:r>
          </w:p>
          <w:p w14:paraId="0189EB57">
            <w:pPr>
              <w:snapToGrid w:val="0"/>
              <w:spacing w:line="500" w:lineRule="exact"/>
              <w:ind w:firstLine="420" w:firstLineChars="20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泄漏</w:t>
            </w:r>
            <w:r>
              <w:rPr>
                <w:rFonts w:hint="eastAsia" w:cs="Times New Roman"/>
                <w:bCs/>
                <w:color w:val="auto"/>
                <w:sz w:val="21"/>
                <w:szCs w:val="21"/>
                <w:lang w:val="en-US" w:eastAsia="zh-CN"/>
              </w:rPr>
              <w:t>事故</w:t>
            </w:r>
            <w:r>
              <w:rPr>
                <w:rFonts w:hint="default" w:ascii="Times New Roman" w:hAnsi="Times New Roman" w:cs="Times New Roman"/>
                <w:bCs/>
                <w:color w:val="auto"/>
                <w:sz w:val="21"/>
                <w:szCs w:val="21"/>
              </w:rPr>
              <w:t>：尽可能采用不产生冲击、静电火花的工具进行泄漏物的回收，将泄漏物收集在密闭容器内，用</w:t>
            </w:r>
            <w:r>
              <w:rPr>
                <w:rFonts w:hint="eastAsia" w:cs="Times New Roman"/>
                <w:bCs/>
                <w:color w:val="auto"/>
                <w:sz w:val="21"/>
                <w:szCs w:val="21"/>
                <w:lang w:val="en-US" w:eastAsia="zh-CN"/>
              </w:rPr>
              <w:t>沙土</w:t>
            </w:r>
            <w:r>
              <w:rPr>
                <w:rFonts w:hint="default" w:ascii="Times New Roman" w:hAnsi="Times New Roman" w:cs="Times New Roman"/>
                <w:bCs/>
                <w:color w:val="auto"/>
                <w:sz w:val="21"/>
                <w:szCs w:val="21"/>
              </w:rPr>
              <w:t>、活性炭或</w:t>
            </w:r>
            <w:r>
              <w:rPr>
                <w:rFonts w:hint="eastAsia" w:cs="Times New Roman"/>
                <w:bCs/>
                <w:color w:val="auto"/>
                <w:sz w:val="21"/>
                <w:szCs w:val="21"/>
                <w:lang w:val="en-US" w:eastAsia="zh-CN"/>
              </w:rPr>
              <w:t>其他</w:t>
            </w:r>
            <w:r>
              <w:rPr>
                <w:rFonts w:hint="default" w:ascii="Times New Roman" w:hAnsi="Times New Roman" w:cs="Times New Roman"/>
                <w:bCs/>
                <w:color w:val="auto"/>
                <w:sz w:val="21"/>
                <w:szCs w:val="21"/>
              </w:rPr>
              <w:t>惰性材料吸收</w:t>
            </w:r>
            <w:r>
              <w:rPr>
                <w:rFonts w:hint="eastAsia" w:ascii="Times New Roman" w:hAnsi="Times New Roman" w:cs="Times New Roman"/>
                <w:bCs/>
                <w:color w:val="auto"/>
                <w:sz w:val="21"/>
                <w:szCs w:val="21"/>
                <w:lang w:val="en-US" w:eastAsia="zh-CN"/>
              </w:rPr>
              <w:t>残液</w:t>
            </w:r>
            <w:r>
              <w:rPr>
                <w:rFonts w:hint="default" w:ascii="Times New Roman" w:hAnsi="Times New Roman" w:cs="Times New Roman"/>
                <w:bCs/>
                <w:color w:val="auto"/>
                <w:sz w:val="21"/>
                <w:szCs w:val="21"/>
              </w:rPr>
              <w:t>。</w:t>
            </w:r>
          </w:p>
          <w:p w14:paraId="4299DCCF">
            <w:pPr>
              <w:snapToGrid w:val="0"/>
              <w:spacing w:line="500" w:lineRule="exact"/>
              <w:ind w:firstLine="420" w:firstLineChars="20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4）火灾爆炸事故风险防范措施</w:t>
            </w:r>
          </w:p>
          <w:p w14:paraId="40688DF9">
            <w:pPr>
              <w:snapToGrid w:val="0"/>
              <w:spacing w:line="500" w:lineRule="exact"/>
              <w:ind w:firstLine="420" w:firstLineChars="200"/>
              <w:rPr>
                <w:rFonts w:hint="default" w:ascii="Times New Roman" w:hAnsi="Times New Roman" w:eastAsia="宋体" w:cs="Times New Roman"/>
                <w:bCs/>
                <w:color w:val="auto"/>
                <w:sz w:val="21"/>
                <w:szCs w:val="21"/>
              </w:rPr>
            </w:pPr>
            <w:r>
              <w:rPr>
                <w:rFonts w:hint="default" w:ascii="Times New Roman" w:hAnsi="Times New Roman" w:cs="Times New Roman"/>
                <w:bCs/>
                <w:color w:val="auto"/>
                <w:sz w:val="21"/>
                <w:szCs w:val="21"/>
              </w:rPr>
              <w:t>①</w:t>
            </w:r>
            <w:r>
              <w:rPr>
                <w:rFonts w:hint="default" w:ascii="Times New Roman" w:hAnsi="Times New Roman" w:eastAsia="宋体" w:cs="Times New Roman"/>
                <w:bCs/>
                <w:color w:val="auto"/>
                <w:sz w:val="21"/>
                <w:szCs w:val="21"/>
                <w:lang w:val="en-US" w:eastAsia="zh-CN"/>
              </w:rPr>
              <w:t>定期对储运设备进行安全检测，检测内容、时间、人员应有记录保存。安全检测应根据设备的安全性、危险性设定检测频次。</w:t>
            </w:r>
          </w:p>
          <w:p w14:paraId="38DF499B">
            <w:pPr>
              <w:snapToGrid w:val="0"/>
              <w:spacing w:line="500" w:lineRule="exact"/>
              <w:ind w:firstLine="420" w:firstLineChars="200"/>
              <w:rPr>
                <w:rFonts w:hint="default" w:ascii="Times New Roman" w:hAnsi="Times New Roman" w:eastAsia="宋体" w:cs="Times New Roman"/>
                <w:bCs/>
                <w:color w:val="auto"/>
                <w:sz w:val="21"/>
                <w:szCs w:val="21"/>
              </w:rPr>
            </w:pPr>
            <w:r>
              <w:rPr>
                <w:rFonts w:hint="default" w:ascii="Times New Roman" w:hAnsi="Times New Roman" w:cs="Times New Roman"/>
                <w:bCs/>
                <w:color w:val="auto"/>
                <w:sz w:val="21"/>
                <w:szCs w:val="21"/>
              </w:rPr>
              <w:t>②</w:t>
            </w:r>
            <w:r>
              <w:rPr>
                <w:rFonts w:hint="default" w:ascii="Times New Roman" w:hAnsi="Times New Roman" w:eastAsia="宋体" w:cs="Times New Roman"/>
                <w:bCs/>
                <w:color w:val="auto"/>
                <w:sz w:val="21"/>
                <w:szCs w:val="21"/>
                <w:lang w:val="en-US" w:eastAsia="zh-CN"/>
              </w:rPr>
              <w:t>在管道以及其他设备上，设置永久性接地装置；在危险操作时，操作人员应使用抗静电工作帽和具有导电性的作业鞋；有防雷装置，特别防止雷击。</w:t>
            </w:r>
          </w:p>
          <w:p w14:paraId="3791B4DA">
            <w:pPr>
              <w:snapToGrid w:val="0"/>
              <w:spacing w:line="500" w:lineRule="exact"/>
              <w:ind w:firstLine="420" w:firstLineChars="200"/>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rPr>
              <w:t>③</w:t>
            </w:r>
            <w:r>
              <w:rPr>
                <w:rFonts w:hint="default" w:ascii="Times New Roman" w:hAnsi="Times New Roman" w:eastAsia="宋体" w:cs="Times New Roman"/>
                <w:bCs/>
                <w:color w:val="auto"/>
                <w:sz w:val="21"/>
                <w:szCs w:val="21"/>
                <w:lang w:val="en-US" w:eastAsia="zh-CN"/>
              </w:rPr>
              <w:t>应加强火源的管理，严禁烟火带入，对设备需进行维修焊接，应经安全部门确认、准许，并有记录。</w:t>
            </w:r>
          </w:p>
          <w:p w14:paraId="722A4BC4">
            <w:pPr>
              <w:keepNext w:val="0"/>
              <w:keepLines w:val="0"/>
              <w:pageBreakBefore w:val="0"/>
              <w:widowControl w:val="0"/>
              <w:kinsoku/>
              <w:wordWrap/>
              <w:overflowPunct/>
              <w:topLinePunct w:val="0"/>
              <w:bidi w:val="0"/>
              <w:snapToGrid w:val="0"/>
              <w:spacing w:line="500" w:lineRule="exact"/>
              <w:ind w:firstLine="420" w:firstLineChars="20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④要有完善的安全消防措施。各重点部位建议设置灭火器，并且对其作定期检查。</w:t>
            </w:r>
          </w:p>
          <w:p w14:paraId="796BD9D6">
            <w:pPr>
              <w:keepNext w:val="0"/>
              <w:keepLines w:val="0"/>
              <w:pageBreakBefore w:val="0"/>
              <w:widowControl w:val="0"/>
              <w:kinsoku/>
              <w:wordWrap/>
              <w:overflowPunct/>
              <w:topLinePunct w:val="0"/>
              <w:bidi w:val="0"/>
              <w:snapToGrid w:val="0"/>
              <w:spacing w:line="500" w:lineRule="exact"/>
              <w:ind w:firstLine="420" w:firstLineChars="200"/>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5）</w:t>
            </w:r>
            <w:r>
              <w:rPr>
                <w:rFonts w:hint="eastAsia" w:ascii="Times New Roman" w:hAnsi="Times New Roman" w:eastAsia="宋体" w:cs="Times New Roman"/>
                <w:bCs/>
                <w:color w:val="auto"/>
                <w:sz w:val="21"/>
                <w:szCs w:val="21"/>
                <w:lang w:val="en-US" w:eastAsia="zh-CN"/>
              </w:rPr>
              <w:t>废气</w:t>
            </w:r>
            <w:r>
              <w:rPr>
                <w:rFonts w:hint="eastAsia" w:cs="Times New Roman"/>
                <w:bCs/>
                <w:color w:val="auto"/>
                <w:sz w:val="21"/>
                <w:szCs w:val="21"/>
                <w:lang w:val="en-US" w:eastAsia="zh-CN"/>
              </w:rPr>
              <w:t>处理设施</w:t>
            </w:r>
            <w:r>
              <w:rPr>
                <w:rFonts w:hint="eastAsia" w:ascii="Times New Roman" w:hAnsi="Times New Roman" w:eastAsia="宋体" w:cs="Times New Roman"/>
                <w:bCs/>
                <w:color w:val="auto"/>
                <w:sz w:val="21"/>
                <w:szCs w:val="21"/>
                <w:lang w:val="en-US" w:eastAsia="zh-CN"/>
              </w:rPr>
              <w:t>风险防范措施</w:t>
            </w:r>
          </w:p>
          <w:p w14:paraId="210C5058">
            <w:pPr>
              <w:keepNext w:val="0"/>
              <w:keepLines w:val="0"/>
              <w:pageBreakBefore w:val="0"/>
              <w:widowControl w:val="0"/>
              <w:kinsoku/>
              <w:wordWrap/>
              <w:overflowPunct/>
              <w:topLinePunct w:val="0"/>
              <w:bidi w:val="0"/>
              <w:snapToGrid w:val="0"/>
              <w:spacing w:line="500" w:lineRule="exact"/>
              <w:ind w:firstLine="420" w:firstLineChars="200"/>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加强“</w:t>
            </w:r>
            <w:r>
              <w:rPr>
                <w:rFonts w:hint="eastAsia" w:cs="Times New Roman"/>
                <w:bCs/>
                <w:color w:val="auto"/>
                <w:sz w:val="21"/>
                <w:szCs w:val="21"/>
                <w:lang w:val="en-US" w:eastAsia="zh-CN"/>
              </w:rPr>
              <w:t>活性炭吸附</w:t>
            </w:r>
            <w:r>
              <w:rPr>
                <w:rFonts w:hint="eastAsia" w:ascii="Times New Roman" w:hAnsi="Times New Roman" w:eastAsia="宋体" w:cs="Times New Roman"/>
                <w:bCs/>
                <w:color w:val="auto"/>
                <w:sz w:val="21"/>
                <w:szCs w:val="21"/>
                <w:lang w:val="en-US" w:eastAsia="zh-CN"/>
              </w:rPr>
              <w:t>”装置运行维护管理，做到治理设施较生产设备“先启后停”，在治理设施达到正常运行条件后方可启动生产设备，在生产设备停止、残留废气收集处理完毕后，方可停运治理设施，防止易燃废气的</w:t>
            </w:r>
            <w:r>
              <w:rPr>
                <w:rFonts w:hint="eastAsia" w:cs="Times New Roman"/>
                <w:bCs/>
                <w:color w:val="auto"/>
                <w:sz w:val="21"/>
                <w:szCs w:val="21"/>
                <w:lang w:val="en-US" w:eastAsia="zh-CN"/>
              </w:rPr>
              <w:t>积聚</w:t>
            </w:r>
            <w:r>
              <w:rPr>
                <w:rFonts w:hint="eastAsia" w:ascii="Times New Roman" w:hAnsi="Times New Roman" w:eastAsia="宋体" w:cs="Times New Roman"/>
                <w:bCs/>
                <w:color w:val="auto"/>
                <w:sz w:val="21"/>
                <w:szCs w:val="21"/>
                <w:lang w:val="en-US" w:eastAsia="zh-CN"/>
              </w:rPr>
              <w:t>；及时清理、更换</w:t>
            </w:r>
            <w:r>
              <w:rPr>
                <w:rFonts w:hint="eastAsia" w:cs="Times New Roman"/>
                <w:bCs/>
                <w:color w:val="auto"/>
                <w:sz w:val="21"/>
                <w:szCs w:val="21"/>
                <w:lang w:val="en-US" w:eastAsia="zh-CN"/>
              </w:rPr>
              <w:t>活性炭</w:t>
            </w:r>
            <w:r>
              <w:rPr>
                <w:rFonts w:hint="eastAsia" w:ascii="Times New Roman" w:hAnsi="Times New Roman" w:eastAsia="宋体" w:cs="Times New Roman"/>
                <w:bCs/>
                <w:color w:val="auto"/>
                <w:sz w:val="21"/>
                <w:szCs w:val="21"/>
                <w:lang w:val="en-US" w:eastAsia="zh-CN"/>
              </w:rPr>
              <w:t>等治理设施耗材，确保设施能够稳定高效运行。</w:t>
            </w:r>
          </w:p>
          <w:p w14:paraId="0C5F0E35">
            <w:pPr>
              <w:keepNext w:val="0"/>
              <w:keepLines w:val="0"/>
              <w:pageBreakBefore w:val="0"/>
              <w:widowControl w:val="0"/>
              <w:numPr>
                <w:ilvl w:val="0"/>
                <w:numId w:val="7"/>
              </w:numPr>
              <w:kinsoku/>
              <w:wordWrap/>
              <w:overflowPunct/>
              <w:topLinePunct w:val="0"/>
              <w:bidi w:val="0"/>
              <w:adjustRightInd w:val="0"/>
              <w:snapToGrid w:val="0"/>
              <w:spacing w:line="500" w:lineRule="exact"/>
              <w:ind w:firstLine="420" w:firstLineChars="200"/>
              <w:rPr>
                <w:rFonts w:hint="eastAsia" w:ascii="Cambria Math" w:hAnsi="Cambria Math" w:cs="Times New Roman"/>
                <w:color w:val="auto"/>
                <w:kern w:val="2"/>
                <w:sz w:val="21"/>
                <w:szCs w:val="21"/>
                <w:lang w:val="en-US" w:eastAsia="zh-CN" w:bidi="ar-SA"/>
              </w:rPr>
            </w:pPr>
            <w:r>
              <w:rPr>
                <w:rFonts w:hint="eastAsia" w:ascii="Cambria Math" w:hAnsi="Cambria Math" w:cs="Times New Roman"/>
                <w:color w:val="auto"/>
                <w:kern w:val="2"/>
                <w:sz w:val="21"/>
                <w:szCs w:val="21"/>
                <w:lang w:val="en-US" w:eastAsia="zh-CN" w:bidi="ar-SA"/>
              </w:rPr>
              <w:t>事故应急池设置</w:t>
            </w:r>
          </w:p>
          <w:p w14:paraId="6D78E72A">
            <w:pPr>
              <w:keepNext w:val="0"/>
              <w:keepLines w:val="0"/>
              <w:pageBreakBefore w:val="0"/>
              <w:widowControl w:val="0"/>
              <w:numPr>
                <w:ilvl w:val="0"/>
                <w:numId w:val="0"/>
              </w:numPr>
              <w:kinsoku/>
              <w:wordWrap/>
              <w:overflowPunct/>
              <w:topLinePunct w:val="0"/>
              <w:bidi w:val="0"/>
              <w:adjustRightInd w:val="0"/>
              <w:snapToGrid w:val="0"/>
              <w:spacing w:line="500" w:lineRule="exact"/>
              <w:ind w:firstLine="420" w:firstLineChars="200"/>
              <w:rPr>
                <w:color w:val="auto"/>
                <w:sz w:val="21"/>
                <w:szCs w:val="21"/>
              </w:rPr>
            </w:pPr>
            <w:r>
              <w:rPr>
                <w:rFonts w:hint="eastAsia"/>
                <w:color w:val="auto"/>
                <w:sz w:val="21"/>
                <w:szCs w:val="21"/>
                <w:lang w:val="en-US" w:eastAsia="zh-CN"/>
              </w:rPr>
              <w:t>项目</w:t>
            </w:r>
            <w:r>
              <w:rPr>
                <w:color w:val="auto"/>
                <w:sz w:val="21"/>
                <w:szCs w:val="21"/>
              </w:rPr>
              <w:t>事故应急水池容量按下式计算：</w:t>
            </w:r>
          </w:p>
          <w:p w14:paraId="4C62EAEC">
            <w:pPr>
              <w:keepNext w:val="0"/>
              <w:keepLines w:val="0"/>
              <w:pageBreakBefore w:val="0"/>
              <w:widowControl w:val="0"/>
              <w:kinsoku/>
              <w:wordWrap/>
              <w:overflowPunct/>
              <w:topLinePunct w:val="0"/>
              <w:bidi w:val="0"/>
              <w:adjustRightInd w:val="0"/>
              <w:snapToGrid w:val="0"/>
              <w:spacing w:line="500" w:lineRule="exact"/>
              <w:ind w:firstLine="420" w:firstLineChars="200"/>
              <w:rPr>
                <w:color w:val="auto"/>
                <w:sz w:val="21"/>
                <w:szCs w:val="21"/>
              </w:rPr>
            </w:pPr>
            <w:r>
              <w:rPr>
                <w:color w:val="auto"/>
                <w:sz w:val="21"/>
                <w:szCs w:val="21"/>
              </w:rPr>
              <w:t>V</w:t>
            </w:r>
            <w:r>
              <w:rPr>
                <w:color w:val="auto"/>
                <w:sz w:val="21"/>
                <w:szCs w:val="21"/>
                <w:vertAlign w:val="subscript"/>
              </w:rPr>
              <w:t>a</w:t>
            </w:r>
            <w:r>
              <w:rPr>
                <w:color w:val="auto"/>
                <w:sz w:val="21"/>
                <w:szCs w:val="21"/>
              </w:rPr>
              <w:t>=(V</w:t>
            </w:r>
            <w:r>
              <w:rPr>
                <w:color w:val="auto"/>
                <w:sz w:val="21"/>
                <w:szCs w:val="21"/>
                <w:vertAlign w:val="subscript"/>
              </w:rPr>
              <w:t>1</w:t>
            </w:r>
            <w:r>
              <w:rPr>
                <w:color w:val="auto"/>
                <w:sz w:val="21"/>
                <w:szCs w:val="21"/>
              </w:rPr>
              <w:t>+V</w:t>
            </w:r>
            <w:r>
              <w:rPr>
                <w:color w:val="auto"/>
                <w:sz w:val="21"/>
                <w:szCs w:val="21"/>
                <w:vertAlign w:val="subscript"/>
              </w:rPr>
              <w:t>2</w:t>
            </w:r>
            <w:r>
              <w:rPr>
                <w:color w:val="auto"/>
                <w:sz w:val="21"/>
                <w:szCs w:val="21"/>
              </w:rPr>
              <w:t>-V</w:t>
            </w:r>
            <w:r>
              <w:rPr>
                <w:color w:val="auto"/>
                <w:sz w:val="21"/>
                <w:szCs w:val="21"/>
                <w:vertAlign w:val="subscript"/>
              </w:rPr>
              <w:t>3</w:t>
            </w:r>
            <w:r>
              <w:rPr>
                <w:color w:val="auto"/>
                <w:sz w:val="21"/>
                <w:szCs w:val="21"/>
              </w:rPr>
              <w:t>)</w:t>
            </w:r>
            <w:r>
              <w:rPr>
                <w:color w:val="auto"/>
                <w:sz w:val="21"/>
                <w:szCs w:val="21"/>
                <w:vertAlign w:val="subscript"/>
              </w:rPr>
              <w:t>max</w:t>
            </w:r>
            <w:r>
              <w:rPr>
                <w:color w:val="auto"/>
                <w:sz w:val="21"/>
                <w:szCs w:val="21"/>
              </w:rPr>
              <w:t>+V</w:t>
            </w:r>
            <w:r>
              <w:rPr>
                <w:color w:val="auto"/>
                <w:sz w:val="21"/>
                <w:szCs w:val="21"/>
                <w:vertAlign w:val="subscript"/>
              </w:rPr>
              <w:t>4</w:t>
            </w:r>
            <w:r>
              <w:rPr>
                <w:color w:val="auto"/>
                <w:sz w:val="21"/>
                <w:szCs w:val="21"/>
              </w:rPr>
              <w:t>+V</w:t>
            </w:r>
            <w:r>
              <w:rPr>
                <w:color w:val="auto"/>
                <w:sz w:val="21"/>
                <w:szCs w:val="21"/>
                <w:vertAlign w:val="subscript"/>
              </w:rPr>
              <w:t>5</w:t>
            </w:r>
          </w:p>
          <w:p w14:paraId="4E6F87DF">
            <w:pPr>
              <w:keepNext w:val="0"/>
              <w:keepLines w:val="0"/>
              <w:pageBreakBefore w:val="0"/>
              <w:widowControl w:val="0"/>
              <w:kinsoku/>
              <w:wordWrap/>
              <w:overflowPunct/>
              <w:topLinePunct w:val="0"/>
              <w:bidi w:val="0"/>
              <w:adjustRightInd w:val="0"/>
              <w:snapToGrid w:val="0"/>
              <w:spacing w:line="500" w:lineRule="exact"/>
              <w:ind w:firstLine="420" w:firstLineChars="200"/>
              <w:rPr>
                <w:color w:val="auto"/>
                <w:sz w:val="21"/>
                <w:szCs w:val="21"/>
              </w:rPr>
            </w:pPr>
            <w:r>
              <w:rPr>
                <w:color w:val="auto"/>
                <w:sz w:val="21"/>
                <w:szCs w:val="21"/>
              </w:rPr>
              <w:t>[注：(V</w:t>
            </w:r>
            <w:r>
              <w:rPr>
                <w:color w:val="auto"/>
                <w:sz w:val="21"/>
                <w:szCs w:val="21"/>
                <w:vertAlign w:val="subscript"/>
              </w:rPr>
              <w:t>1</w:t>
            </w:r>
            <w:r>
              <w:rPr>
                <w:color w:val="auto"/>
                <w:sz w:val="21"/>
                <w:szCs w:val="21"/>
              </w:rPr>
              <w:t>+V</w:t>
            </w:r>
            <w:r>
              <w:rPr>
                <w:color w:val="auto"/>
                <w:sz w:val="21"/>
                <w:szCs w:val="21"/>
                <w:vertAlign w:val="subscript"/>
              </w:rPr>
              <w:t>2</w:t>
            </w:r>
            <w:r>
              <w:rPr>
                <w:color w:val="auto"/>
                <w:sz w:val="21"/>
                <w:szCs w:val="21"/>
              </w:rPr>
              <w:t>-V</w:t>
            </w:r>
            <w:r>
              <w:rPr>
                <w:color w:val="auto"/>
                <w:sz w:val="21"/>
                <w:szCs w:val="21"/>
                <w:vertAlign w:val="subscript"/>
              </w:rPr>
              <w:t>3</w:t>
            </w:r>
            <w:r>
              <w:rPr>
                <w:color w:val="auto"/>
                <w:sz w:val="21"/>
                <w:szCs w:val="21"/>
              </w:rPr>
              <w:t>)</w:t>
            </w:r>
            <w:r>
              <w:rPr>
                <w:color w:val="auto"/>
                <w:sz w:val="21"/>
                <w:szCs w:val="21"/>
                <w:vertAlign w:val="subscript"/>
              </w:rPr>
              <w:t>max</w:t>
            </w:r>
            <w:r>
              <w:rPr>
                <w:color w:val="auto"/>
                <w:sz w:val="21"/>
                <w:szCs w:val="21"/>
              </w:rPr>
              <w:t>是指对收集系统范围内不同罐组或装置分别计算V</w:t>
            </w:r>
            <w:r>
              <w:rPr>
                <w:color w:val="auto"/>
                <w:sz w:val="21"/>
                <w:szCs w:val="21"/>
                <w:vertAlign w:val="subscript"/>
              </w:rPr>
              <w:t>1</w:t>
            </w:r>
            <w:r>
              <w:rPr>
                <w:color w:val="auto"/>
                <w:sz w:val="21"/>
                <w:szCs w:val="21"/>
              </w:rPr>
              <w:t>+V</w:t>
            </w:r>
            <w:r>
              <w:rPr>
                <w:color w:val="auto"/>
                <w:sz w:val="21"/>
                <w:szCs w:val="21"/>
                <w:vertAlign w:val="subscript"/>
              </w:rPr>
              <w:t>2</w:t>
            </w:r>
            <w:r>
              <w:rPr>
                <w:color w:val="auto"/>
                <w:sz w:val="21"/>
                <w:szCs w:val="21"/>
              </w:rPr>
              <w:t>-V</w:t>
            </w:r>
            <w:r>
              <w:rPr>
                <w:color w:val="auto"/>
                <w:sz w:val="21"/>
                <w:szCs w:val="21"/>
                <w:vertAlign w:val="subscript"/>
              </w:rPr>
              <w:t>3</w:t>
            </w:r>
            <w:r>
              <w:rPr>
                <w:color w:val="auto"/>
                <w:sz w:val="21"/>
                <w:szCs w:val="21"/>
              </w:rPr>
              <w:t>，取其中最大值。]</w:t>
            </w:r>
          </w:p>
          <w:p w14:paraId="3C3293AF">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500" w:lineRule="exact"/>
              <w:ind w:firstLine="420" w:firstLineChars="200"/>
              <w:rPr>
                <w:color w:val="auto"/>
                <w:sz w:val="21"/>
                <w:szCs w:val="21"/>
              </w:rPr>
            </w:pPr>
            <w:r>
              <w:rPr>
                <w:color w:val="auto"/>
                <w:sz w:val="21"/>
                <w:szCs w:val="21"/>
              </w:rPr>
              <w:t>Va：事故应急池容积，m</w:t>
            </w:r>
            <w:r>
              <w:rPr>
                <w:color w:val="auto"/>
                <w:sz w:val="21"/>
                <w:szCs w:val="21"/>
                <w:vertAlign w:val="superscript"/>
              </w:rPr>
              <w:t>3</w:t>
            </w:r>
            <w:r>
              <w:rPr>
                <w:color w:val="auto"/>
                <w:sz w:val="21"/>
                <w:szCs w:val="21"/>
              </w:rPr>
              <w:t>；</w:t>
            </w:r>
          </w:p>
          <w:p w14:paraId="19985847">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500" w:lineRule="exact"/>
              <w:ind w:firstLine="420" w:firstLineChars="200"/>
              <w:rPr>
                <w:color w:val="auto"/>
                <w:sz w:val="21"/>
                <w:szCs w:val="21"/>
              </w:rPr>
            </w:pPr>
            <w:r>
              <w:rPr>
                <w:color w:val="auto"/>
                <w:sz w:val="21"/>
                <w:szCs w:val="21"/>
              </w:rPr>
              <w:t>V</w:t>
            </w:r>
            <w:r>
              <w:rPr>
                <w:color w:val="auto"/>
                <w:sz w:val="21"/>
                <w:szCs w:val="21"/>
                <w:vertAlign w:val="subscript"/>
              </w:rPr>
              <w:t>1</w:t>
            </w:r>
            <w:r>
              <w:rPr>
                <w:color w:val="auto"/>
                <w:sz w:val="21"/>
                <w:szCs w:val="21"/>
              </w:rPr>
              <w:t>：事故一个罐或一个装置物料量，m</w:t>
            </w:r>
            <w:r>
              <w:rPr>
                <w:color w:val="auto"/>
                <w:sz w:val="21"/>
                <w:szCs w:val="21"/>
                <w:vertAlign w:val="superscript"/>
              </w:rPr>
              <w:t>3</w:t>
            </w:r>
            <w:r>
              <w:rPr>
                <w:color w:val="auto"/>
                <w:sz w:val="21"/>
                <w:szCs w:val="21"/>
              </w:rPr>
              <w:t>；</w:t>
            </w:r>
          </w:p>
          <w:p w14:paraId="4E6BD10E">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500" w:lineRule="exact"/>
              <w:ind w:firstLine="420" w:firstLineChars="200"/>
              <w:rPr>
                <w:color w:val="auto"/>
                <w:sz w:val="21"/>
                <w:szCs w:val="21"/>
              </w:rPr>
            </w:pPr>
            <w:r>
              <w:rPr>
                <w:color w:val="auto"/>
                <w:sz w:val="21"/>
                <w:szCs w:val="21"/>
              </w:rPr>
              <w:t>V</w:t>
            </w:r>
            <w:r>
              <w:rPr>
                <w:color w:val="auto"/>
                <w:sz w:val="21"/>
                <w:szCs w:val="21"/>
                <w:vertAlign w:val="subscript"/>
              </w:rPr>
              <w:t>2</w:t>
            </w:r>
            <w:r>
              <w:rPr>
                <w:color w:val="auto"/>
                <w:sz w:val="21"/>
                <w:szCs w:val="21"/>
              </w:rPr>
              <w:t>：事故状态下最大消防水量，m</w:t>
            </w:r>
            <w:r>
              <w:rPr>
                <w:color w:val="auto"/>
                <w:sz w:val="21"/>
                <w:szCs w:val="21"/>
                <w:vertAlign w:val="superscript"/>
              </w:rPr>
              <w:t>3</w:t>
            </w:r>
            <w:r>
              <w:rPr>
                <w:color w:val="auto"/>
                <w:sz w:val="21"/>
                <w:szCs w:val="21"/>
              </w:rPr>
              <w:t>；</w:t>
            </w:r>
          </w:p>
          <w:p w14:paraId="0EF76FAD">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500" w:lineRule="exact"/>
              <w:ind w:firstLine="420" w:firstLineChars="200"/>
              <w:rPr>
                <w:color w:val="auto"/>
                <w:sz w:val="21"/>
                <w:szCs w:val="21"/>
              </w:rPr>
            </w:pPr>
            <w:r>
              <w:rPr>
                <w:color w:val="auto"/>
                <w:sz w:val="21"/>
                <w:szCs w:val="21"/>
              </w:rPr>
              <w:t>V</w:t>
            </w:r>
            <w:r>
              <w:rPr>
                <w:color w:val="auto"/>
                <w:sz w:val="21"/>
                <w:szCs w:val="21"/>
                <w:vertAlign w:val="subscript"/>
              </w:rPr>
              <w:t>3</w:t>
            </w:r>
            <w:r>
              <w:rPr>
                <w:color w:val="auto"/>
                <w:sz w:val="21"/>
                <w:szCs w:val="21"/>
              </w:rPr>
              <w:t>：事故时可以转输到</w:t>
            </w:r>
            <w:r>
              <w:rPr>
                <w:rFonts w:hint="eastAsia"/>
                <w:color w:val="auto"/>
                <w:sz w:val="21"/>
                <w:szCs w:val="21"/>
                <w:lang w:eastAsia="zh-CN"/>
              </w:rPr>
              <w:t>其他</w:t>
            </w:r>
            <w:r>
              <w:rPr>
                <w:color w:val="auto"/>
                <w:sz w:val="21"/>
                <w:szCs w:val="21"/>
              </w:rPr>
              <w:t>储存或处理设施的物料量，m</w:t>
            </w:r>
            <w:r>
              <w:rPr>
                <w:color w:val="auto"/>
                <w:sz w:val="21"/>
                <w:szCs w:val="21"/>
                <w:vertAlign w:val="superscript"/>
              </w:rPr>
              <w:t>3</w:t>
            </w:r>
            <w:r>
              <w:rPr>
                <w:color w:val="auto"/>
                <w:sz w:val="21"/>
                <w:szCs w:val="21"/>
              </w:rPr>
              <w:t>；</w:t>
            </w:r>
          </w:p>
          <w:p w14:paraId="661F6B53">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500" w:lineRule="exact"/>
              <w:ind w:firstLine="420" w:firstLineChars="200"/>
              <w:rPr>
                <w:color w:val="auto"/>
                <w:sz w:val="21"/>
                <w:szCs w:val="21"/>
              </w:rPr>
            </w:pPr>
            <w:r>
              <w:rPr>
                <w:color w:val="auto"/>
                <w:sz w:val="21"/>
                <w:szCs w:val="21"/>
              </w:rPr>
              <w:t>V</w:t>
            </w:r>
            <w:r>
              <w:rPr>
                <w:color w:val="auto"/>
                <w:sz w:val="21"/>
                <w:szCs w:val="21"/>
                <w:vertAlign w:val="subscript"/>
              </w:rPr>
              <w:t>4</w:t>
            </w:r>
            <w:r>
              <w:rPr>
                <w:color w:val="auto"/>
                <w:sz w:val="21"/>
                <w:szCs w:val="21"/>
              </w:rPr>
              <w:t>：发生事故时必须进入该收集系统的生产废水量，m</w:t>
            </w:r>
            <w:r>
              <w:rPr>
                <w:color w:val="auto"/>
                <w:sz w:val="21"/>
                <w:szCs w:val="21"/>
                <w:vertAlign w:val="superscript"/>
              </w:rPr>
              <w:t>3</w:t>
            </w:r>
            <w:r>
              <w:rPr>
                <w:color w:val="auto"/>
                <w:sz w:val="21"/>
                <w:szCs w:val="21"/>
              </w:rPr>
              <w:t>；</w:t>
            </w:r>
          </w:p>
          <w:p w14:paraId="2AC94560">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500" w:lineRule="exact"/>
              <w:ind w:firstLine="420" w:firstLineChars="200"/>
              <w:rPr>
                <w:color w:val="auto"/>
                <w:sz w:val="21"/>
                <w:szCs w:val="21"/>
              </w:rPr>
            </w:pPr>
            <w:r>
              <w:rPr>
                <w:color w:val="auto"/>
                <w:sz w:val="21"/>
                <w:szCs w:val="21"/>
              </w:rPr>
              <w:t>V</w:t>
            </w:r>
            <w:r>
              <w:rPr>
                <w:color w:val="auto"/>
                <w:sz w:val="21"/>
                <w:szCs w:val="21"/>
                <w:vertAlign w:val="subscript"/>
              </w:rPr>
              <w:t>5</w:t>
            </w:r>
            <w:r>
              <w:rPr>
                <w:color w:val="auto"/>
                <w:sz w:val="21"/>
                <w:szCs w:val="21"/>
              </w:rPr>
              <w:t>：发生事故时可能进入该收集系统的降雨量，m</w:t>
            </w:r>
            <w:r>
              <w:rPr>
                <w:color w:val="auto"/>
                <w:sz w:val="21"/>
                <w:szCs w:val="21"/>
                <w:vertAlign w:val="superscript"/>
              </w:rPr>
              <w:t>3</w:t>
            </w:r>
            <w:r>
              <w:rPr>
                <w:color w:val="auto"/>
                <w:sz w:val="21"/>
                <w:szCs w:val="21"/>
              </w:rPr>
              <w:t>；</w:t>
            </w:r>
          </w:p>
          <w:p w14:paraId="5F139E65">
            <w:pPr>
              <w:keepNext w:val="0"/>
              <w:keepLines w:val="0"/>
              <w:pageBreakBefore w:val="0"/>
              <w:widowControl w:val="0"/>
              <w:kinsoku/>
              <w:wordWrap/>
              <w:overflowPunct/>
              <w:topLinePunct w:val="0"/>
              <w:bidi w:val="0"/>
              <w:adjustRightInd w:val="0"/>
              <w:snapToGrid w:val="0"/>
              <w:spacing w:line="500" w:lineRule="exact"/>
              <w:ind w:firstLine="460" w:firstLineChars="200"/>
              <w:rPr>
                <w:color w:val="auto"/>
                <w:spacing w:val="10"/>
                <w:sz w:val="21"/>
                <w:szCs w:val="21"/>
              </w:rPr>
            </w:pPr>
            <w:r>
              <w:rPr>
                <w:color w:val="auto"/>
                <w:spacing w:val="10"/>
                <w:sz w:val="21"/>
                <w:szCs w:val="21"/>
              </w:rPr>
              <w:t>V</w:t>
            </w:r>
            <w:r>
              <w:rPr>
                <w:color w:val="auto"/>
                <w:spacing w:val="10"/>
                <w:sz w:val="21"/>
                <w:szCs w:val="21"/>
                <w:vertAlign w:val="subscript"/>
              </w:rPr>
              <w:t>1</w:t>
            </w:r>
            <w:r>
              <w:rPr>
                <w:color w:val="auto"/>
                <w:sz w:val="21"/>
                <w:szCs w:val="21"/>
              </w:rPr>
              <w:t>：</w:t>
            </w:r>
            <w:r>
              <w:rPr>
                <w:rFonts w:hint="eastAsia"/>
                <w:color w:val="auto"/>
                <w:sz w:val="21"/>
                <w:szCs w:val="21"/>
              </w:rPr>
              <w:t>项目液态物料最大包装规格为</w:t>
            </w:r>
            <w:r>
              <w:rPr>
                <w:rFonts w:hint="eastAsia"/>
                <w:color w:val="auto"/>
                <w:sz w:val="21"/>
                <w:szCs w:val="21"/>
                <w:lang w:val="en-US" w:eastAsia="zh-CN"/>
              </w:rPr>
              <w:t>0.2</w:t>
            </w:r>
            <w:r>
              <w:rPr>
                <w:color w:val="auto"/>
                <w:spacing w:val="10"/>
                <w:sz w:val="21"/>
                <w:szCs w:val="21"/>
              </w:rPr>
              <w:t>m</w:t>
            </w:r>
            <w:r>
              <w:rPr>
                <w:color w:val="auto"/>
                <w:spacing w:val="10"/>
                <w:sz w:val="21"/>
                <w:szCs w:val="21"/>
                <w:vertAlign w:val="superscript"/>
              </w:rPr>
              <w:t>3</w:t>
            </w:r>
            <w:r>
              <w:rPr>
                <w:rFonts w:hint="eastAsia"/>
                <w:color w:val="auto"/>
                <w:sz w:val="21"/>
                <w:szCs w:val="21"/>
              </w:rPr>
              <w:t>，则</w:t>
            </w:r>
            <w:r>
              <w:rPr>
                <w:color w:val="auto"/>
                <w:spacing w:val="10"/>
                <w:sz w:val="21"/>
                <w:szCs w:val="21"/>
              </w:rPr>
              <w:t>V</w:t>
            </w:r>
            <w:r>
              <w:rPr>
                <w:color w:val="auto"/>
                <w:spacing w:val="10"/>
                <w:sz w:val="21"/>
                <w:szCs w:val="21"/>
                <w:vertAlign w:val="subscript"/>
              </w:rPr>
              <w:t>1</w:t>
            </w:r>
            <w:r>
              <w:rPr>
                <w:color w:val="auto"/>
                <w:spacing w:val="10"/>
                <w:sz w:val="21"/>
                <w:szCs w:val="21"/>
              </w:rPr>
              <w:t>=</w:t>
            </w:r>
            <w:r>
              <w:rPr>
                <w:rFonts w:hint="eastAsia"/>
                <w:color w:val="auto"/>
                <w:spacing w:val="10"/>
                <w:sz w:val="21"/>
                <w:szCs w:val="21"/>
                <w:lang w:val="en-US" w:eastAsia="zh-CN"/>
              </w:rPr>
              <w:t>0.2</w:t>
            </w:r>
            <w:r>
              <w:rPr>
                <w:color w:val="auto"/>
                <w:spacing w:val="10"/>
                <w:sz w:val="21"/>
                <w:szCs w:val="21"/>
              </w:rPr>
              <w:t>m</w:t>
            </w:r>
            <w:r>
              <w:rPr>
                <w:color w:val="auto"/>
                <w:spacing w:val="10"/>
                <w:sz w:val="21"/>
                <w:szCs w:val="21"/>
                <w:vertAlign w:val="superscript"/>
              </w:rPr>
              <w:t>3</w:t>
            </w:r>
            <w:r>
              <w:rPr>
                <w:color w:val="auto"/>
                <w:spacing w:val="10"/>
                <w:sz w:val="21"/>
                <w:szCs w:val="21"/>
              </w:rPr>
              <w:t>。</w:t>
            </w:r>
          </w:p>
          <w:p w14:paraId="3626C3BA">
            <w:pPr>
              <w:keepNext w:val="0"/>
              <w:keepLines w:val="0"/>
              <w:pageBreakBefore w:val="0"/>
              <w:widowControl w:val="0"/>
              <w:kinsoku/>
              <w:wordWrap/>
              <w:overflowPunct/>
              <w:topLinePunct w:val="0"/>
              <w:bidi w:val="0"/>
              <w:adjustRightInd w:val="0"/>
              <w:snapToGrid w:val="0"/>
              <w:spacing w:line="500" w:lineRule="exact"/>
              <w:ind w:firstLine="420" w:firstLineChars="200"/>
              <w:rPr>
                <w:color w:val="auto"/>
                <w:spacing w:val="10"/>
                <w:sz w:val="21"/>
                <w:szCs w:val="21"/>
              </w:rPr>
            </w:pPr>
            <w:r>
              <w:rPr>
                <w:color w:val="auto"/>
                <w:sz w:val="21"/>
                <w:szCs w:val="21"/>
              </w:rPr>
              <w:t>V</w:t>
            </w:r>
            <w:r>
              <w:rPr>
                <w:color w:val="auto"/>
                <w:sz w:val="21"/>
                <w:szCs w:val="21"/>
                <w:vertAlign w:val="subscript"/>
              </w:rPr>
              <w:t>2</w:t>
            </w:r>
            <w:r>
              <w:rPr>
                <w:color w:val="auto"/>
                <w:sz w:val="21"/>
                <w:szCs w:val="21"/>
              </w:rPr>
              <w:t>：</w:t>
            </w:r>
            <w:r>
              <w:rPr>
                <w:color w:val="auto"/>
                <w:spacing w:val="10"/>
                <w:sz w:val="21"/>
                <w:szCs w:val="21"/>
              </w:rPr>
              <w:t>根据《建筑设计防火规范》(GB50016-2014)（2018年修订），在进行城镇、居住区、企事业单位规划和建筑设计时，必须同时设计消防给水系统，消防用水可由给水管网、天然水源或消防水池供给。则发生一次火灾时厂房室外消防用水量为：1</w:t>
            </w:r>
            <w:r>
              <w:rPr>
                <w:rFonts w:hint="eastAsia"/>
                <w:color w:val="auto"/>
                <w:spacing w:val="10"/>
                <w:sz w:val="21"/>
                <w:szCs w:val="21"/>
                <w:lang w:val="en-US" w:eastAsia="zh-CN"/>
              </w:rPr>
              <w:t>0</w:t>
            </w:r>
            <w:r>
              <w:rPr>
                <w:color w:val="auto"/>
                <w:spacing w:val="10"/>
                <w:sz w:val="21"/>
                <w:szCs w:val="21"/>
              </w:rPr>
              <w:t>×3600×10</w:t>
            </w:r>
            <w:r>
              <w:rPr>
                <w:color w:val="auto"/>
                <w:spacing w:val="10"/>
                <w:sz w:val="21"/>
                <w:szCs w:val="21"/>
                <w:vertAlign w:val="superscript"/>
              </w:rPr>
              <w:t>-3</w:t>
            </w:r>
            <w:r>
              <w:rPr>
                <w:color w:val="auto"/>
                <w:spacing w:val="10"/>
                <w:sz w:val="21"/>
                <w:szCs w:val="21"/>
              </w:rPr>
              <w:t>×</w:t>
            </w:r>
            <w:r>
              <w:rPr>
                <w:rFonts w:hint="eastAsia"/>
                <w:color w:val="auto"/>
                <w:spacing w:val="10"/>
                <w:sz w:val="21"/>
                <w:szCs w:val="21"/>
              </w:rPr>
              <w:t>2</w:t>
            </w:r>
            <w:r>
              <w:rPr>
                <w:color w:val="auto"/>
                <w:spacing w:val="10"/>
                <w:sz w:val="21"/>
                <w:szCs w:val="21"/>
              </w:rPr>
              <w:t>=</w:t>
            </w:r>
            <w:r>
              <w:rPr>
                <w:rFonts w:hint="eastAsia"/>
                <w:color w:val="auto"/>
                <w:spacing w:val="10"/>
                <w:sz w:val="21"/>
                <w:szCs w:val="21"/>
                <w:lang w:val="en-US" w:eastAsia="zh-CN"/>
              </w:rPr>
              <w:t>72</w:t>
            </w:r>
            <w:r>
              <w:rPr>
                <w:color w:val="auto"/>
                <w:spacing w:val="10"/>
                <w:sz w:val="21"/>
                <w:szCs w:val="21"/>
              </w:rPr>
              <w:t>m</w:t>
            </w:r>
            <w:r>
              <w:rPr>
                <w:color w:val="auto"/>
                <w:spacing w:val="10"/>
                <w:sz w:val="21"/>
                <w:szCs w:val="21"/>
                <w:vertAlign w:val="superscript"/>
              </w:rPr>
              <w:t>3</w:t>
            </w:r>
          </w:p>
          <w:p w14:paraId="740103E9">
            <w:pPr>
              <w:keepNext w:val="0"/>
              <w:keepLines w:val="0"/>
              <w:pageBreakBefore w:val="0"/>
              <w:widowControl w:val="0"/>
              <w:kinsoku/>
              <w:wordWrap/>
              <w:overflowPunct/>
              <w:topLinePunct w:val="0"/>
              <w:bidi w:val="0"/>
              <w:adjustRightInd w:val="0"/>
              <w:snapToGrid w:val="0"/>
              <w:spacing w:line="500" w:lineRule="exact"/>
              <w:ind w:firstLine="420" w:firstLineChars="200"/>
              <w:rPr>
                <w:rFonts w:hint="eastAsia" w:eastAsia="宋体"/>
                <w:color w:val="auto"/>
                <w:sz w:val="21"/>
                <w:szCs w:val="21"/>
                <w:lang w:eastAsia="zh-CN"/>
              </w:rPr>
            </w:pPr>
            <w:r>
              <w:rPr>
                <w:color w:val="auto"/>
                <w:sz w:val="21"/>
                <w:szCs w:val="21"/>
              </w:rPr>
              <w:t>V</w:t>
            </w:r>
            <w:r>
              <w:rPr>
                <w:color w:val="auto"/>
                <w:sz w:val="21"/>
                <w:szCs w:val="21"/>
                <w:vertAlign w:val="subscript"/>
              </w:rPr>
              <w:t>3</w:t>
            </w:r>
            <w:r>
              <w:rPr>
                <w:color w:val="auto"/>
                <w:sz w:val="21"/>
                <w:szCs w:val="21"/>
              </w:rPr>
              <w:t>：</w:t>
            </w:r>
            <w:r>
              <w:rPr>
                <w:rFonts w:hint="eastAsia"/>
                <w:color w:val="auto"/>
                <w:sz w:val="21"/>
                <w:szCs w:val="21"/>
                <w:highlight w:val="none"/>
                <w:lang w:val="en-US" w:eastAsia="zh-CN"/>
              </w:rPr>
              <w:t>项目不新增</w:t>
            </w:r>
            <w:r>
              <w:rPr>
                <w:color w:val="auto"/>
                <w:sz w:val="21"/>
                <w:szCs w:val="21"/>
                <w:highlight w:val="none"/>
              </w:rPr>
              <w:t>雨水管网，</w:t>
            </w:r>
            <w:r>
              <w:rPr>
                <w:rFonts w:hint="eastAsia"/>
                <w:color w:val="auto"/>
                <w:sz w:val="21"/>
                <w:szCs w:val="21"/>
                <w:highlight w:val="none"/>
                <w:lang w:val="en-US" w:eastAsia="zh-CN"/>
              </w:rPr>
              <w:t>故</w:t>
            </w:r>
            <w:r>
              <w:rPr>
                <w:color w:val="auto"/>
                <w:sz w:val="21"/>
                <w:szCs w:val="21"/>
                <w:highlight w:val="none"/>
              </w:rPr>
              <w:t>V</w:t>
            </w:r>
            <w:r>
              <w:rPr>
                <w:color w:val="auto"/>
                <w:sz w:val="21"/>
                <w:szCs w:val="21"/>
                <w:highlight w:val="none"/>
                <w:vertAlign w:val="subscript"/>
              </w:rPr>
              <w:t>3</w:t>
            </w:r>
            <w:r>
              <w:rPr>
                <w:color w:val="auto"/>
                <w:sz w:val="21"/>
                <w:szCs w:val="21"/>
                <w:highlight w:val="none"/>
              </w:rPr>
              <w:t>＝</w:t>
            </w:r>
            <w:r>
              <w:rPr>
                <w:rFonts w:hint="eastAsia"/>
                <w:color w:val="auto"/>
                <w:sz w:val="21"/>
                <w:szCs w:val="21"/>
                <w:highlight w:val="none"/>
                <w:lang w:val="en-US" w:eastAsia="zh-CN"/>
              </w:rPr>
              <w:t>0</w:t>
            </w:r>
            <w:r>
              <w:rPr>
                <w:color w:val="auto"/>
                <w:sz w:val="21"/>
                <w:szCs w:val="21"/>
                <w:highlight w:val="none"/>
              </w:rPr>
              <w:t>m</w:t>
            </w:r>
            <w:r>
              <w:rPr>
                <w:color w:val="auto"/>
                <w:sz w:val="24"/>
                <w:szCs w:val="24"/>
                <w:vertAlign w:val="superscript"/>
              </w:rPr>
              <w:t>3</w:t>
            </w:r>
            <w:r>
              <w:rPr>
                <w:color w:val="auto"/>
                <w:sz w:val="21"/>
                <w:szCs w:val="21"/>
              </w:rPr>
              <w:t>；</w:t>
            </w:r>
          </w:p>
          <w:p w14:paraId="7F4AC87B">
            <w:pPr>
              <w:keepNext w:val="0"/>
              <w:keepLines w:val="0"/>
              <w:pageBreakBefore w:val="0"/>
              <w:widowControl w:val="0"/>
              <w:kinsoku/>
              <w:wordWrap/>
              <w:overflowPunct/>
              <w:topLinePunct w:val="0"/>
              <w:bidi w:val="0"/>
              <w:adjustRightInd w:val="0"/>
              <w:snapToGrid w:val="0"/>
              <w:spacing w:line="500" w:lineRule="exact"/>
              <w:ind w:firstLine="420" w:firstLineChars="200"/>
              <w:rPr>
                <w:color w:val="auto"/>
                <w:sz w:val="21"/>
                <w:szCs w:val="21"/>
              </w:rPr>
            </w:pPr>
            <w:r>
              <w:rPr>
                <w:color w:val="auto"/>
                <w:sz w:val="21"/>
                <w:szCs w:val="21"/>
              </w:rPr>
              <w:t>V</w:t>
            </w:r>
            <w:r>
              <w:rPr>
                <w:color w:val="auto"/>
                <w:sz w:val="21"/>
                <w:szCs w:val="21"/>
                <w:vertAlign w:val="subscript"/>
              </w:rPr>
              <w:t>4</w:t>
            </w:r>
            <w:r>
              <w:rPr>
                <w:color w:val="auto"/>
                <w:sz w:val="21"/>
                <w:szCs w:val="21"/>
              </w:rPr>
              <w:t>：</w:t>
            </w:r>
            <w:r>
              <w:rPr>
                <w:color w:val="auto"/>
                <w:sz w:val="21"/>
                <w:szCs w:val="21"/>
                <w:highlight w:val="none"/>
              </w:rPr>
              <w:t>发生事故时必须进入该收集系统的生产废水量</w:t>
            </w:r>
            <w:r>
              <w:rPr>
                <w:rFonts w:hint="eastAsia"/>
                <w:color w:val="auto"/>
                <w:sz w:val="21"/>
                <w:szCs w:val="21"/>
                <w:highlight w:val="none"/>
                <w:lang w:val="en-US" w:eastAsia="zh-CN"/>
              </w:rPr>
              <w:t>，</w:t>
            </w:r>
            <w:r>
              <w:rPr>
                <w:rFonts w:ascii="Times New Roman" w:hAnsi="Times New Roman" w:eastAsia="宋体" w:cs="Times New Roman"/>
                <w:color w:val="auto"/>
                <w:spacing w:val="10"/>
                <w:sz w:val="21"/>
                <w:szCs w:val="21"/>
                <w:highlight w:val="none"/>
              </w:rPr>
              <w:t>则V</w:t>
            </w:r>
            <w:r>
              <w:rPr>
                <w:rFonts w:hint="eastAsia" w:ascii="Times New Roman" w:hAnsi="Times New Roman" w:eastAsia="宋体" w:cs="Times New Roman"/>
                <w:color w:val="auto"/>
                <w:spacing w:val="10"/>
                <w:sz w:val="21"/>
                <w:szCs w:val="21"/>
                <w:highlight w:val="none"/>
                <w:vertAlign w:val="subscript"/>
                <w:lang w:val="en-US" w:eastAsia="zh-CN"/>
              </w:rPr>
              <w:t>4</w:t>
            </w:r>
            <w:r>
              <w:rPr>
                <w:rFonts w:ascii="Times New Roman" w:hAnsi="Times New Roman" w:eastAsia="宋体" w:cs="Times New Roman"/>
                <w:color w:val="auto"/>
                <w:spacing w:val="10"/>
                <w:sz w:val="21"/>
                <w:szCs w:val="21"/>
                <w:highlight w:val="none"/>
              </w:rPr>
              <w:t>＝</w:t>
            </w:r>
            <w:r>
              <w:rPr>
                <w:rFonts w:hint="eastAsia"/>
                <w:color w:val="auto"/>
                <w:sz w:val="21"/>
                <w:szCs w:val="21"/>
                <w:highlight w:val="none"/>
                <w:lang w:val="en-US" w:eastAsia="zh-CN"/>
              </w:rPr>
              <w:t>0</w:t>
            </w:r>
            <w:r>
              <w:rPr>
                <w:color w:val="auto"/>
                <w:sz w:val="21"/>
                <w:szCs w:val="21"/>
                <w:highlight w:val="none"/>
              </w:rPr>
              <w:t>m</w:t>
            </w:r>
            <w:r>
              <w:rPr>
                <w:color w:val="auto"/>
                <w:sz w:val="21"/>
                <w:szCs w:val="21"/>
                <w:highlight w:val="none"/>
                <w:vertAlign w:val="superscript"/>
              </w:rPr>
              <w:t>3</w:t>
            </w:r>
            <w:r>
              <w:rPr>
                <w:color w:val="auto"/>
                <w:sz w:val="21"/>
                <w:szCs w:val="21"/>
              </w:rPr>
              <w:t>；</w:t>
            </w:r>
          </w:p>
          <w:p w14:paraId="73E87754">
            <w:pPr>
              <w:keepNext w:val="0"/>
              <w:keepLines w:val="0"/>
              <w:pageBreakBefore w:val="0"/>
              <w:widowControl w:val="0"/>
              <w:kinsoku/>
              <w:wordWrap/>
              <w:overflowPunct/>
              <w:topLinePunct w:val="0"/>
              <w:bidi w:val="0"/>
              <w:adjustRightInd w:val="0"/>
              <w:snapToGrid w:val="0"/>
              <w:spacing w:line="500" w:lineRule="exact"/>
              <w:ind w:firstLine="420" w:firstLineChars="200"/>
              <w:rPr>
                <w:color w:val="auto"/>
                <w:sz w:val="21"/>
                <w:szCs w:val="21"/>
              </w:rPr>
            </w:pPr>
            <w:r>
              <w:rPr>
                <w:color w:val="auto"/>
                <w:sz w:val="21"/>
                <w:szCs w:val="21"/>
              </w:rPr>
              <w:t>V</w:t>
            </w:r>
            <w:r>
              <w:rPr>
                <w:color w:val="auto"/>
                <w:sz w:val="21"/>
                <w:szCs w:val="21"/>
                <w:vertAlign w:val="subscript"/>
              </w:rPr>
              <w:t>5</w:t>
            </w:r>
            <w:r>
              <w:rPr>
                <w:color w:val="auto"/>
                <w:sz w:val="21"/>
                <w:szCs w:val="21"/>
              </w:rPr>
              <w:t>：发生事故时可能进入该收集系统的降雨量，发生事故时可能进入该收集系统的降雨量，V</w:t>
            </w:r>
            <w:r>
              <w:rPr>
                <w:color w:val="auto"/>
                <w:sz w:val="21"/>
                <w:szCs w:val="21"/>
                <w:vertAlign w:val="subscript"/>
              </w:rPr>
              <w:t>5</w:t>
            </w:r>
            <w:r>
              <w:rPr>
                <w:color w:val="auto"/>
                <w:sz w:val="21"/>
                <w:szCs w:val="21"/>
              </w:rPr>
              <w:t>=10qF；</w:t>
            </w:r>
          </w:p>
          <w:p w14:paraId="4A91CFCC">
            <w:pPr>
              <w:keepNext w:val="0"/>
              <w:keepLines w:val="0"/>
              <w:pageBreakBefore w:val="0"/>
              <w:widowControl w:val="0"/>
              <w:kinsoku/>
              <w:wordWrap/>
              <w:overflowPunct/>
              <w:topLinePunct w:val="0"/>
              <w:bidi w:val="0"/>
              <w:adjustRightInd w:val="0"/>
              <w:snapToGrid w:val="0"/>
              <w:spacing w:line="500" w:lineRule="exact"/>
              <w:ind w:firstLine="420" w:firstLineChars="200"/>
              <w:rPr>
                <w:color w:val="auto"/>
                <w:sz w:val="21"/>
                <w:szCs w:val="21"/>
              </w:rPr>
            </w:pPr>
            <w:r>
              <w:rPr>
                <w:color w:val="auto"/>
                <w:sz w:val="21"/>
                <w:szCs w:val="21"/>
              </w:rPr>
              <w:t>q：降雨强度，mm；按平均日降雨量；</w:t>
            </w:r>
          </w:p>
          <w:p w14:paraId="27CF7D21">
            <w:pPr>
              <w:keepNext w:val="0"/>
              <w:keepLines w:val="0"/>
              <w:pageBreakBefore w:val="0"/>
              <w:widowControl w:val="0"/>
              <w:kinsoku/>
              <w:wordWrap/>
              <w:overflowPunct/>
              <w:topLinePunct w:val="0"/>
              <w:bidi w:val="0"/>
              <w:adjustRightInd w:val="0"/>
              <w:snapToGrid w:val="0"/>
              <w:spacing w:line="500" w:lineRule="exact"/>
              <w:ind w:firstLine="420" w:firstLineChars="200"/>
              <w:rPr>
                <w:color w:val="auto"/>
                <w:sz w:val="21"/>
                <w:szCs w:val="21"/>
              </w:rPr>
            </w:pPr>
            <w:r>
              <w:rPr>
                <w:color w:val="auto"/>
                <w:sz w:val="21"/>
                <w:szCs w:val="21"/>
              </w:rPr>
              <w:t>q=q</w:t>
            </w:r>
            <w:r>
              <w:rPr>
                <w:color w:val="auto"/>
                <w:sz w:val="21"/>
                <w:szCs w:val="21"/>
                <w:vertAlign w:val="subscript"/>
              </w:rPr>
              <w:t>a</w:t>
            </w:r>
            <w:r>
              <w:rPr>
                <w:color w:val="auto"/>
                <w:sz w:val="21"/>
                <w:szCs w:val="21"/>
              </w:rPr>
              <w:t>/n</w:t>
            </w:r>
          </w:p>
          <w:p w14:paraId="29A8B71E">
            <w:pPr>
              <w:keepNext w:val="0"/>
              <w:keepLines w:val="0"/>
              <w:pageBreakBefore w:val="0"/>
              <w:widowControl w:val="0"/>
              <w:kinsoku/>
              <w:wordWrap/>
              <w:overflowPunct/>
              <w:topLinePunct w:val="0"/>
              <w:bidi w:val="0"/>
              <w:adjustRightInd w:val="0"/>
              <w:snapToGrid w:val="0"/>
              <w:spacing w:line="500" w:lineRule="exact"/>
              <w:ind w:firstLine="420" w:firstLineChars="200"/>
              <w:rPr>
                <w:color w:val="auto"/>
                <w:sz w:val="21"/>
                <w:szCs w:val="21"/>
              </w:rPr>
            </w:pPr>
            <w:r>
              <w:rPr>
                <w:color w:val="auto"/>
                <w:sz w:val="21"/>
                <w:szCs w:val="21"/>
              </w:rPr>
              <w:t>q</w:t>
            </w:r>
            <w:r>
              <w:rPr>
                <w:color w:val="auto"/>
                <w:sz w:val="21"/>
                <w:szCs w:val="21"/>
                <w:vertAlign w:val="subscript"/>
              </w:rPr>
              <w:t>a</w:t>
            </w:r>
            <w:r>
              <w:rPr>
                <w:color w:val="auto"/>
                <w:sz w:val="21"/>
                <w:szCs w:val="21"/>
              </w:rPr>
              <w:t>：年平均降雨量，取1074mm；</w:t>
            </w:r>
          </w:p>
          <w:p w14:paraId="4D7C7320">
            <w:pPr>
              <w:keepNext w:val="0"/>
              <w:keepLines w:val="0"/>
              <w:pageBreakBefore w:val="0"/>
              <w:widowControl w:val="0"/>
              <w:kinsoku/>
              <w:wordWrap/>
              <w:overflowPunct/>
              <w:topLinePunct w:val="0"/>
              <w:bidi w:val="0"/>
              <w:adjustRightInd w:val="0"/>
              <w:snapToGrid w:val="0"/>
              <w:spacing w:line="500" w:lineRule="exact"/>
              <w:ind w:firstLine="420" w:firstLineChars="200"/>
              <w:rPr>
                <w:color w:val="auto"/>
                <w:sz w:val="21"/>
                <w:szCs w:val="21"/>
              </w:rPr>
            </w:pPr>
            <w:r>
              <w:rPr>
                <w:color w:val="auto"/>
                <w:sz w:val="21"/>
                <w:szCs w:val="21"/>
              </w:rPr>
              <w:t>n：年平均降雨日数，取126天；</w:t>
            </w:r>
          </w:p>
          <w:p w14:paraId="1B3DC257">
            <w:pPr>
              <w:keepNext w:val="0"/>
              <w:keepLines w:val="0"/>
              <w:pageBreakBefore w:val="0"/>
              <w:widowControl w:val="0"/>
              <w:kinsoku/>
              <w:wordWrap/>
              <w:overflowPunct/>
              <w:topLinePunct w:val="0"/>
              <w:bidi w:val="0"/>
              <w:adjustRightInd w:val="0"/>
              <w:snapToGrid w:val="0"/>
              <w:spacing w:line="500" w:lineRule="exact"/>
              <w:ind w:firstLine="420" w:firstLineChars="200"/>
              <w:rPr>
                <w:color w:val="auto"/>
                <w:sz w:val="21"/>
                <w:szCs w:val="21"/>
              </w:rPr>
            </w:pPr>
            <w:r>
              <w:rPr>
                <w:color w:val="auto"/>
                <w:sz w:val="21"/>
                <w:szCs w:val="21"/>
              </w:rPr>
              <w:t>F：必须进入事故废水收集系统的雨水汇水面积ha，</w:t>
            </w:r>
            <w:r>
              <w:rPr>
                <w:rFonts w:hint="eastAsia"/>
                <w:color w:val="auto"/>
                <w:sz w:val="21"/>
                <w:szCs w:val="21"/>
                <w:lang w:eastAsia="zh-CN"/>
              </w:rPr>
              <w:t>项目</w:t>
            </w:r>
            <w:r>
              <w:rPr>
                <w:rFonts w:hint="eastAsia"/>
                <w:color w:val="auto"/>
                <w:sz w:val="21"/>
                <w:szCs w:val="21"/>
                <w:lang w:val="en-US" w:eastAsia="zh-CN"/>
              </w:rPr>
              <w:t>不新增工业用地，故取0</w:t>
            </w:r>
            <w:r>
              <w:rPr>
                <w:color w:val="auto"/>
                <w:sz w:val="21"/>
                <w:szCs w:val="21"/>
              </w:rPr>
              <w:t>ha；</w:t>
            </w:r>
          </w:p>
          <w:p w14:paraId="17F982D0">
            <w:pPr>
              <w:keepNext w:val="0"/>
              <w:keepLines w:val="0"/>
              <w:pageBreakBefore w:val="0"/>
              <w:widowControl w:val="0"/>
              <w:kinsoku/>
              <w:wordWrap/>
              <w:overflowPunct/>
              <w:topLinePunct w:val="0"/>
              <w:bidi w:val="0"/>
              <w:adjustRightInd w:val="0"/>
              <w:snapToGrid w:val="0"/>
              <w:spacing w:line="500" w:lineRule="exact"/>
              <w:ind w:firstLine="420" w:firstLineChars="200"/>
              <w:rPr>
                <w:color w:val="auto"/>
                <w:sz w:val="21"/>
                <w:szCs w:val="21"/>
              </w:rPr>
            </w:pPr>
            <w:r>
              <w:rPr>
                <w:color w:val="auto"/>
                <w:sz w:val="21"/>
                <w:szCs w:val="21"/>
              </w:rPr>
              <w:t>由此计算V</w:t>
            </w:r>
            <w:r>
              <w:rPr>
                <w:color w:val="auto"/>
                <w:sz w:val="21"/>
                <w:szCs w:val="21"/>
                <w:vertAlign w:val="subscript"/>
              </w:rPr>
              <w:t>5</w:t>
            </w:r>
            <w:r>
              <w:rPr>
                <w:color w:val="auto"/>
                <w:sz w:val="21"/>
                <w:szCs w:val="21"/>
              </w:rPr>
              <w:t>为</w:t>
            </w:r>
            <w:r>
              <w:rPr>
                <w:rFonts w:hint="eastAsia"/>
                <w:color w:val="auto"/>
                <w:sz w:val="21"/>
                <w:szCs w:val="21"/>
                <w:lang w:val="en-US" w:eastAsia="zh-CN"/>
              </w:rPr>
              <w:t>0</w:t>
            </w:r>
            <w:r>
              <w:rPr>
                <w:color w:val="auto"/>
                <w:sz w:val="21"/>
                <w:szCs w:val="21"/>
              </w:rPr>
              <w:t>m</w:t>
            </w:r>
            <w:r>
              <w:rPr>
                <w:color w:val="auto"/>
                <w:sz w:val="21"/>
                <w:szCs w:val="21"/>
                <w:vertAlign w:val="superscript"/>
              </w:rPr>
              <w:t>3</w:t>
            </w:r>
            <w:r>
              <w:rPr>
                <w:color w:val="auto"/>
                <w:sz w:val="21"/>
                <w:szCs w:val="21"/>
              </w:rPr>
              <w:t>。</w:t>
            </w:r>
          </w:p>
          <w:p w14:paraId="16B02A67">
            <w:pPr>
              <w:pStyle w:val="9"/>
              <w:keepNext w:val="0"/>
              <w:keepLines w:val="0"/>
              <w:pageBreakBefore w:val="0"/>
              <w:widowControl w:val="0"/>
              <w:kinsoku/>
              <w:wordWrap/>
              <w:overflowPunct/>
              <w:topLinePunct w:val="0"/>
              <w:bidi w:val="0"/>
              <w:adjustRightInd w:val="0"/>
              <w:spacing w:before="0" w:after="0" w:line="500" w:lineRule="exact"/>
              <w:ind w:right="0" w:firstLine="420" w:firstLineChars="200"/>
              <w:rPr>
                <w:b/>
                <w:color w:val="auto"/>
                <w:sz w:val="21"/>
                <w:szCs w:val="21"/>
              </w:rPr>
            </w:pPr>
            <w:r>
              <w:rPr>
                <w:color w:val="auto"/>
                <w:sz w:val="21"/>
                <w:szCs w:val="21"/>
              </w:rPr>
              <w:t>V</w:t>
            </w:r>
            <w:r>
              <w:rPr>
                <w:color w:val="auto"/>
                <w:sz w:val="21"/>
                <w:szCs w:val="21"/>
                <w:vertAlign w:val="subscript"/>
              </w:rPr>
              <w:t>a</w:t>
            </w:r>
            <w:r>
              <w:rPr>
                <w:color w:val="auto"/>
                <w:sz w:val="21"/>
                <w:szCs w:val="21"/>
              </w:rPr>
              <w:t>=</w:t>
            </w:r>
            <w:r>
              <w:rPr>
                <w:rFonts w:hint="eastAsia" w:eastAsia="仿宋_GB2312" w:cs="Times New Roman"/>
                <w:color w:val="auto"/>
                <w:sz w:val="21"/>
                <w:szCs w:val="21"/>
                <w:lang w:val="en-US" w:eastAsia="zh-CN"/>
              </w:rPr>
              <w:t>0.2</w:t>
            </w:r>
            <w:r>
              <w:rPr>
                <w:rFonts w:hint="default" w:ascii="Times New Roman" w:hAnsi="Times New Roman" w:eastAsia="仿宋_GB2312" w:cs="Times New Roman"/>
                <w:color w:val="auto"/>
                <w:sz w:val="21"/>
                <w:szCs w:val="21"/>
              </w:rPr>
              <w:t>+</w:t>
            </w:r>
            <w:r>
              <w:rPr>
                <w:rFonts w:hint="eastAsia" w:eastAsia="仿宋_GB2312" w:cs="Times New Roman"/>
                <w:color w:val="auto"/>
                <w:sz w:val="21"/>
                <w:szCs w:val="21"/>
                <w:lang w:val="en-US" w:eastAsia="zh-CN"/>
              </w:rPr>
              <w:t>72</w:t>
            </w:r>
            <w:r>
              <w:rPr>
                <w:rFonts w:hint="default" w:ascii="Times New Roman" w:hAnsi="Times New Roman" w:eastAsia="仿宋_GB2312" w:cs="Times New Roman"/>
                <w:color w:val="auto"/>
                <w:sz w:val="21"/>
                <w:szCs w:val="21"/>
              </w:rPr>
              <w:t>-</w:t>
            </w:r>
            <w:r>
              <w:rPr>
                <w:rFonts w:hint="eastAsia"/>
                <w:color w:val="auto"/>
                <w:sz w:val="21"/>
                <w:szCs w:val="21"/>
                <w:lang w:val="en-US" w:eastAsia="zh-CN"/>
              </w:rPr>
              <w:t>0</w:t>
            </w:r>
            <w:r>
              <w:rPr>
                <w:rFonts w:hint="default" w:ascii="Times New Roman" w:hAnsi="Times New Roman" w:eastAsia="仿宋_GB2312" w:cs="Times New Roman"/>
                <w:color w:val="auto"/>
                <w:sz w:val="21"/>
                <w:szCs w:val="21"/>
              </w:rPr>
              <w:t>+0+</w:t>
            </w:r>
            <w:r>
              <w:rPr>
                <w:rFonts w:hint="eastAsia"/>
                <w:color w:val="auto"/>
                <w:sz w:val="21"/>
                <w:szCs w:val="21"/>
                <w:lang w:val="en-US" w:eastAsia="zh-CN"/>
              </w:rPr>
              <w:t>0</w:t>
            </w:r>
            <w:r>
              <w:rPr>
                <w:rFonts w:hint="default" w:ascii="Times New Roman" w:hAnsi="Times New Roman" w:eastAsia="仿宋_GB2312" w:cs="Times New Roman"/>
                <w:color w:val="auto"/>
                <w:sz w:val="21"/>
                <w:szCs w:val="21"/>
              </w:rPr>
              <w:t>=</w:t>
            </w:r>
            <w:r>
              <w:rPr>
                <w:rFonts w:hint="eastAsia" w:eastAsia="仿宋_GB2312" w:cs="Times New Roman"/>
                <w:color w:val="auto"/>
                <w:sz w:val="21"/>
                <w:szCs w:val="21"/>
                <w:lang w:val="en-US" w:eastAsia="zh-CN"/>
              </w:rPr>
              <w:t>72.2</w:t>
            </w:r>
            <w:r>
              <w:rPr>
                <w:color w:val="auto"/>
                <w:sz w:val="21"/>
                <w:szCs w:val="21"/>
              </w:rPr>
              <w:t>m</w:t>
            </w:r>
            <w:r>
              <w:rPr>
                <w:color w:val="auto"/>
                <w:sz w:val="21"/>
                <w:szCs w:val="21"/>
                <w:vertAlign w:val="superscript"/>
              </w:rPr>
              <w:t>3</w:t>
            </w:r>
          </w:p>
          <w:p w14:paraId="61615133">
            <w:pPr>
              <w:keepNext w:val="0"/>
              <w:keepLines w:val="0"/>
              <w:pageBreakBefore w:val="0"/>
              <w:widowControl w:val="0"/>
              <w:kinsoku/>
              <w:wordWrap/>
              <w:overflowPunct/>
              <w:topLinePunct w:val="0"/>
              <w:bidi w:val="0"/>
              <w:adjustRightInd w:val="0"/>
              <w:snapToGrid w:val="0"/>
              <w:spacing w:line="500" w:lineRule="exact"/>
              <w:ind w:firstLine="482"/>
              <w:rPr>
                <w:rFonts w:hint="eastAsia" w:ascii="Times New Roman" w:hAnsi="Times New Roman" w:cs="Times New Roman"/>
                <w:color w:val="auto"/>
                <w:sz w:val="21"/>
                <w:szCs w:val="21"/>
              </w:rPr>
            </w:pPr>
            <w:r>
              <w:rPr>
                <w:rFonts w:hint="eastAsia"/>
                <w:color w:val="auto"/>
                <w:sz w:val="21"/>
                <w:szCs w:val="21"/>
                <w:lang w:val="en-US" w:eastAsia="zh-CN"/>
              </w:rPr>
              <w:t>项目</w:t>
            </w:r>
            <w:r>
              <w:rPr>
                <w:color w:val="auto"/>
                <w:sz w:val="21"/>
                <w:szCs w:val="21"/>
              </w:rPr>
              <w:t>需</w:t>
            </w:r>
            <w:r>
              <w:rPr>
                <w:rFonts w:hint="eastAsia"/>
                <w:color w:val="auto"/>
                <w:sz w:val="21"/>
                <w:szCs w:val="21"/>
              </w:rPr>
              <w:t>新建</w:t>
            </w:r>
            <w:r>
              <w:rPr>
                <w:color w:val="auto"/>
                <w:sz w:val="21"/>
                <w:szCs w:val="21"/>
              </w:rPr>
              <w:t>一座容积约</w:t>
            </w:r>
            <w:r>
              <w:rPr>
                <w:rFonts w:hint="eastAsia"/>
                <w:color w:val="auto"/>
                <w:sz w:val="21"/>
                <w:szCs w:val="21"/>
                <w:lang w:val="en-US" w:eastAsia="zh-CN"/>
              </w:rPr>
              <w:t>72.2</w:t>
            </w:r>
            <w:r>
              <w:rPr>
                <w:color w:val="auto"/>
                <w:sz w:val="21"/>
                <w:szCs w:val="21"/>
              </w:rPr>
              <w:t>m</w:t>
            </w:r>
            <w:r>
              <w:rPr>
                <w:color w:val="auto"/>
                <w:sz w:val="21"/>
                <w:szCs w:val="21"/>
                <w:vertAlign w:val="superscript"/>
              </w:rPr>
              <w:t>3</w:t>
            </w:r>
            <w:r>
              <w:rPr>
                <w:color w:val="auto"/>
                <w:sz w:val="21"/>
                <w:szCs w:val="21"/>
              </w:rPr>
              <w:t>事故应急池，</w:t>
            </w:r>
            <w:r>
              <w:rPr>
                <w:rFonts w:hint="eastAsia"/>
                <w:color w:val="auto"/>
                <w:sz w:val="21"/>
                <w:szCs w:val="21"/>
                <w:lang w:val="en-US" w:eastAsia="zh-CN"/>
              </w:rPr>
              <w:t>现有项目已建设一座180</w:t>
            </w:r>
            <w:r>
              <w:rPr>
                <w:color w:val="auto"/>
                <w:sz w:val="21"/>
                <w:szCs w:val="21"/>
              </w:rPr>
              <w:t>m</w:t>
            </w:r>
            <w:r>
              <w:rPr>
                <w:color w:val="auto"/>
                <w:sz w:val="21"/>
                <w:szCs w:val="21"/>
                <w:vertAlign w:val="superscript"/>
              </w:rPr>
              <w:t>3</w:t>
            </w:r>
            <w:r>
              <w:rPr>
                <w:color w:val="auto"/>
                <w:sz w:val="21"/>
                <w:szCs w:val="21"/>
              </w:rPr>
              <w:t>事故应急池</w:t>
            </w:r>
            <w:r>
              <w:rPr>
                <w:rFonts w:hint="eastAsia"/>
                <w:color w:val="auto"/>
                <w:sz w:val="21"/>
                <w:szCs w:val="21"/>
                <w:lang w:eastAsia="zh-CN"/>
              </w:rPr>
              <w:t>，</w:t>
            </w:r>
            <w:r>
              <w:rPr>
                <w:rFonts w:hint="eastAsia"/>
                <w:color w:val="auto"/>
                <w:sz w:val="21"/>
                <w:szCs w:val="21"/>
                <w:lang w:val="en-US" w:eastAsia="zh-CN"/>
              </w:rPr>
              <w:t>可满足本项目事故废水暂存需要</w:t>
            </w:r>
            <w:r>
              <w:rPr>
                <w:rFonts w:hint="eastAsia" w:ascii="Times New Roman" w:hAnsi="Times New Roman" w:cs="Times New Roman"/>
                <w:color w:val="auto"/>
                <w:sz w:val="21"/>
                <w:szCs w:val="21"/>
              </w:rPr>
              <w:t>，同时</w:t>
            </w:r>
            <w:r>
              <w:rPr>
                <w:rFonts w:hint="eastAsia" w:cs="Times New Roman"/>
                <w:color w:val="auto"/>
                <w:sz w:val="21"/>
                <w:szCs w:val="21"/>
                <w:lang w:eastAsia="zh-CN"/>
              </w:rPr>
              <w:t>厂</w:t>
            </w:r>
            <w:r>
              <w:rPr>
                <w:rFonts w:hint="eastAsia" w:ascii="Times New Roman" w:hAnsi="Times New Roman" w:cs="Times New Roman"/>
                <w:color w:val="auto"/>
                <w:sz w:val="21"/>
                <w:szCs w:val="21"/>
                <w:lang w:eastAsia="zh-CN"/>
              </w:rPr>
              <w:t>区</w:t>
            </w:r>
            <w:r>
              <w:rPr>
                <w:rFonts w:hint="eastAsia" w:ascii="Times New Roman" w:hAnsi="Times New Roman" w:cs="Times New Roman"/>
                <w:color w:val="auto"/>
                <w:sz w:val="21"/>
                <w:szCs w:val="21"/>
              </w:rPr>
              <w:t>雨水排放口</w:t>
            </w:r>
            <w:r>
              <w:rPr>
                <w:rFonts w:hint="eastAsia" w:cs="Times New Roman"/>
                <w:color w:val="auto"/>
                <w:sz w:val="21"/>
                <w:szCs w:val="21"/>
                <w:lang w:val="en-US" w:eastAsia="zh-CN"/>
              </w:rPr>
              <w:t>已</w:t>
            </w:r>
            <w:r>
              <w:rPr>
                <w:rFonts w:hint="eastAsia" w:ascii="Times New Roman" w:hAnsi="Times New Roman" w:cs="Times New Roman"/>
                <w:color w:val="auto"/>
                <w:sz w:val="21"/>
                <w:szCs w:val="21"/>
              </w:rPr>
              <w:t>安装截流阀，</w:t>
            </w:r>
            <w:r>
              <w:rPr>
                <w:rFonts w:hint="eastAsia" w:ascii="Times New Roman" w:hAnsi="Times New Roman" w:cs="Times New Roman"/>
                <w:color w:val="auto"/>
                <w:sz w:val="21"/>
                <w:szCs w:val="21"/>
                <w:lang w:eastAsia="zh-CN"/>
              </w:rPr>
              <w:t>可</w:t>
            </w:r>
            <w:r>
              <w:rPr>
                <w:rFonts w:hint="eastAsia" w:ascii="Times New Roman" w:hAnsi="Times New Roman" w:cs="Times New Roman"/>
                <w:color w:val="auto"/>
                <w:sz w:val="21"/>
                <w:szCs w:val="21"/>
              </w:rPr>
              <w:t>确保事故时的消防废水、泄漏废液能进入该水池储存，不排入外环境。</w:t>
            </w:r>
          </w:p>
          <w:p w14:paraId="5158E2CE">
            <w:pPr>
              <w:keepNext w:val="0"/>
              <w:keepLines w:val="0"/>
              <w:pageBreakBefore w:val="0"/>
              <w:widowControl w:val="0"/>
              <w:numPr>
                <w:ilvl w:val="0"/>
                <w:numId w:val="0"/>
              </w:numPr>
              <w:kinsoku/>
              <w:wordWrap/>
              <w:overflowPunct/>
              <w:topLinePunct w:val="0"/>
              <w:bidi w:val="0"/>
              <w:adjustRightInd w:val="0"/>
              <w:snapToGrid w:val="0"/>
              <w:spacing w:line="500" w:lineRule="exact"/>
              <w:ind w:firstLine="420" w:firstLineChars="200"/>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7）企</w:t>
            </w:r>
            <w:r>
              <w:rPr>
                <w:rFonts w:hint="eastAsia" w:ascii="Times New Roman" w:hAnsi="Times New Roman" w:eastAsia="宋体" w:cs="Times New Roman"/>
                <w:color w:val="auto"/>
                <w:sz w:val="21"/>
                <w:szCs w:val="21"/>
                <w:lang w:val="en-US" w:eastAsia="zh-CN"/>
              </w:rPr>
              <w:t>业</w:t>
            </w:r>
            <w:r>
              <w:rPr>
                <w:rFonts w:hint="eastAsia" w:ascii="Times New Roman" w:hAnsi="Times New Roman" w:eastAsia="宋体" w:cs="Times New Roman"/>
                <w:color w:val="auto"/>
                <w:sz w:val="21"/>
                <w:szCs w:val="21"/>
              </w:rPr>
              <w:t>环境风险三级防范</w:t>
            </w:r>
            <w:r>
              <w:rPr>
                <w:rFonts w:hint="eastAsia" w:ascii="Times New Roman" w:hAnsi="Times New Roman" w:eastAsia="宋体" w:cs="Times New Roman"/>
                <w:color w:val="auto"/>
                <w:sz w:val="21"/>
                <w:szCs w:val="21"/>
                <w:lang w:eastAsia="zh-CN"/>
              </w:rPr>
              <w:t>措施</w:t>
            </w:r>
          </w:p>
          <w:p w14:paraId="7D3A5697">
            <w:pPr>
              <w:pStyle w:val="102"/>
              <w:keepNext w:val="0"/>
              <w:keepLines w:val="0"/>
              <w:pageBreakBefore w:val="0"/>
              <w:widowControl w:val="0"/>
              <w:tabs>
                <w:tab w:val="left" w:pos="840"/>
              </w:tabs>
              <w:kinsoku/>
              <w:wordWrap/>
              <w:overflowPunct/>
              <w:topLinePunct w:val="0"/>
              <w:bidi w:val="0"/>
              <w:snapToGrid/>
              <w:spacing w:line="500" w:lineRule="exact"/>
              <w:ind w:firstLine="420" w:firstLineChars="200"/>
              <w:rPr>
                <w:rFonts w:hint="default" w:ascii="Times New Roman" w:hAnsi="Times New Roman" w:eastAsia="宋体" w:cs="Times New Roman"/>
                <w:snapToGrid/>
                <w:color w:val="auto"/>
                <w:spacing w:val="0"/>
                <w:kern w:val="2"/>
                <w:sz w:val="21"/>
                <w:szCs w:val="21"/>
                <w:lang w:val="en-US" w:eastAsia="zh-CN" w:bidi="ar-SA"/>
              </w:rPr>
            </w:pPr>
            <w:r>
              <w:rPr>
                <w:rFonts w:hint="default" w:ascii="Times New Roman" w:hAnsi="Times New Roman" w:eastAsia="宋体" w:cs="Times New Roman"/>
                <w:snapToGrid/>
                <w:color w:val="auto"/>
                <w:spacing w:val="0"/>
                <w:kern w:val="2"/>
                <w:sz w:val="21"/>
                <w:szCs w:val="21"/>
                <w:lang w:val="en-US" w:eastAsia="zh-CN" w:bidi="ar-SA"/>
              </w:rPr>
              <w:t>一级防控措施：利用</w:t>
            </w:r>
            <w:r>
              <w:rPr>
                <w:rFonts w:hint="eastAsia" w:ascii="Times New Roman" w:hAnsi="Times New Roman" w:cs="Times New Roman"/>
                <w:snapToGrid/>
                <w:color w:val="auto"/>
                <w:spacing w:val="0"/>
                <w:kern w:val="2"/>
                <w:sz w:val="21"/>
                <w:szCs w:val="21"/>
                <w:lang w:val="en-US" w:eastAsia="zh-CN" w:bidi="ar-SA"/>
              </w:rPr>
              <w:t>油品暂存区、危废仓库</w:t>
            </w:r>
            <w:r>
              <w:rPr>
                <w:rFonts w:hint="default" w:ascii="Times New Roman" w:hAnsi="Times New Roman" w:eastAsia="宋体" w:cs="Times New Roman"/>
                <w:snapToGrid/>
                <w:color w:val="auto"/>
                <w:spacing w:val="0"/>
                <w:kern w:val="2"/>
                <w:sz w:val="21"/>
                <w:szCs w:val="21"/>
                <w:lang w:val="en-US" w:eastAsia="zh-CN" w:bidi="ar-SA"/>
              </w:rPr>
              <w:t>收集装置作为一级防控措施，主要防控泄漏</w:t>
            </w:r>
            <w:r>
              <w:rPr>
                <w:rFonts w:hint="eastAsia" w:ascii="Times New Roman" w:hAnsi="Times New Roman" w:eastAsia="宋体" w:cs="Times New Roman"/>
                <w:snapToGrid/>
                <w:color w:val="auto"/>
                <w:spacing w:val="0"/>
                <w:kern w:val="2"/>
                <w:sz w:val="21"/>
                <w:szCs w:val="21"/>
                <w:lang w:val="en-US" w:eastAsia="zh-CN" w:bidi="ar-SA"/>
              </w:rPr>
              <w:t>少量</w:t>
            </w:r>
            <w:r>
              <w:rPr>
                <w:rFonts w:hint="default" w:ascii="Times New Roman" w:hAnsi="Times New Roman" w:eastAsia="宋体" w:cs="Times New Roman"/>
                <w:snapToGrid/>
                <w:color w:val="auto"/>
                <w:spacing w:val="0"/>
                <w:kern w:val="2"/>
                <w:sz w:val="21"/>
                <w:szCs w:val="21"/>
                <w:lang w:val="en-US" w:eastAsia="zh-CN" w:bidi="ar-SA"/>
              </w:rPr>
              <w:t>物料。二级防控措施：</w:t>
            </w:r>
            <w:r>
              <w:rPr>
                <w:rFonts w:hint="eastAsia" w:ascii="Times New Roman" w:hAnsi="Times New Roman" w:eastAsia="宋体" w:cs="Times New Roman"/>
                <w:snapToGrid/>
                <w:color w:val="auto"/>
                <w:spacing w:val="0"/>
                <w:kern w:val="2"/>
                <w:sz w:val="21"/>
                <w:szCs w:val="21"/>
                <w:lang w:val="en-US" w:eastAsia="zh-CN" w:bidi="ar-SA"/>
              </w:rPr>
              <w:t>利用</w:t>
            </w:r>
            <w:r>
              <w:rPr>
                <w:rFonts w:hint="eastAsia" w:ascii="Times New Roman" w:hAnsi="Times New Roman" w:cs="Times New Roman"/>
                <w:snapToGrid/>
                <w:color w:val="auto"/>
                <w:spacing w:val="0"/>
                <w:kern w:val="2"/>
                <w:sz w:val="21"/>
                <w:szCs w:val="21"/>
                <w:lang w:val="en-US" w:eastAsia="zh-CN" w:bidi="ar-SA"/>
              </w:rPr>
              <w:t>厂区</w:t>
            </w:r>
            <w:r>
              <w:rPr>
                <w:rFonts w:hint="eastAsia"/>
                <w:color w:val="auto"/>
                <w:sz w:val="21"/>
                <w:szCs w:val="21"/>
                <w:lang w:val="en-US" w:eastAsia="zh-CN"/>
              </w:rPr>
              <w:t>事故应急池</w:t>
            </w:r>
            <w:r>
              <w:rPr>
                <w:rFonts w:hint="default" w:ascii="Times New Roman" w:hAnsi="Times New Roman" w:eastAsia="宋体" w:cs="Times New Roman"/>
                <w:snapToGrid/>
                <w:color w:val="auto"/>
                <w:spacing w:val="0"/>
                <w:kern w:val="2"/>
                <w:sz w:val="21"/>
                <w:szCs w:val="21"/>
                <w:lang w:val="en-US" w:eastAsia="zh-CN" w:bidi="ar-SA"/>
              </w:rPr>
              <w:t>作为二级防控措施，用于事故状态下储存泄漏物料、事故废水。三级防控措施：当厂区二级防控系统</w:t>
            </w:r>
            <w:r>
              <w:rPr>
                <w:rFonts w:hint="eastAsia" w:ascii="Times New Roman" w:hAnsi="Times New Roman" w:cs="Times New Roman"/>
                <w:snapToGrid/>
                <w:color w:val="auto"/>
                <w:spacing w:val="0"/>
                <w:kern w:val="2"/>
                <w:sz w:val="21"/>
                <w:szCs w:val="21"/>
                <w:lang w:val="en-US" w:eastAsia="zh-CN" w:bidi="ar-SA"/>
              </w:rPr>
              <w:t>无法满足防控需求</w:t>
            </w:r>
            <w:r>
              <w:rPr>
                <w:rFonts w:hint="default" w:ascii="Times New Roman" w:hAnsi="Times New Roman" w:eastAsia="宋体" w:cs="Times New Roman"/>
                <w:snapToGrid/>
                <w:color w:val="auto"/>
                <w:spacing w:val="0"/>
                <w:kern w:val="2"/>
                <w:sz w:val="21"/>
                <w:szCs w:val="21"/>
                <w:lang w:val="en-US" w:eastAsia="zh-CN" w:bidi="ar-SA"/>
              </w:rPr>
              <w:t>时，</w:t>
            </w:r>
            <w:r>
              <w:rPr>
                <w:rFonts w:hint="eastAsia" w:ascii="Times New Roman" w:hAnsi="Times New Roman" w:cs="Times New Roman"/>
                <w:snapToGrid/>
                <w:color w:val="auto"/>
                <w:spacing w:val="0"/>
                <w:kern w:val="2"/>
                <w:sz w:val="21"/>
                <w:szCs w:val="21"/>
                <w:lang w:val="en-US" w:eastAsia="zh-CN" w:bidi="ar-SA"/>
              </w:rPr>
              <w:t>企业需立即汇报金坛生态环境局、金坛区水利局、金坛区航道管理处等上级管理部门，由上级管理部门</w:t>
            </w:r>
            <w:r>
              <w:rPr>
                <w:rFonts w:hint="default" w:ascii="Times New Roman" w:hAnsi="Times New Roman" w:eastAsia="宋体" w:cs="Times New Roman"/>
                <w:snapToGrid/>
                <w:color w:val="auto"/>
                <w:spacing w:val="0"/>
                <w:kern w:val="2"/>
                <w:sz w:val="21"/>
                <w:szCs w:val="21"/>
                <w:lang w:val="en-US" w:eastAsia="zh-CN" w:bidi="ar-SA"/>
              </w:rPr>
              <w:t>在厂区附近的</w:t>
            </w:r>
            <w:r>
              <w:rPr>
                <w:rFonts w:hint="eastAsia" w:ascii="Times New Roman" w:hAnsi="Times New Roman" w:eastAsia="宋体" w:cs="Times New Roman"/>
                <w:snapToGrid/>
                <w:color w:val="auto"/>
                <w:spacing w:val="0"/>
                <w:kern w:val="2"/>
                <w:sz w:val="21"/>
                <w:szCs w:val="21"/>
                <w:lang w:val="en-US" w:eastAsia="zh-CN" w:bidi="ar-SA"/>
              </w:rPr>
              <w:t>市政</w:t>
            </w:r>
            <w:r>
              <w:rPr>
                <w:rFonts w:hint="default" w:ascii="Times New Roman" w:hAnsi="Times New Roman" w:eastAsia="宋体" w:cs="Times New Roman"/>
                <w:snapToGrid/>
                <w:color w:val="auto"/>
                <w:spacing w:val="0"/>
                <w:kern w:val="2"/>
                <w:sz w:val="21"/>
                <w:szCs w:val="21"/>
                <w:lang w:val="en-US" w:eastAsia="zh-CN" w:bidi="ar-SA"/>
              </w:rPr>
              <w:t>雨水管网</w:t>
            </w:r>
            <w:r>
              <w:rPr>
                <w:rFonts w:hint="eastAsia" w:ascii="Times New Roman" w:hAnsi="Times New Roman" w:cs="Times New Roman"/>
                <w:snapToGrid/>
                <w:color w:val="auto"/>
                <w:spacing w:val="0"/>
                <w:kern w:val="2"/>
                <w:sz w:val="21"/>
                <w:szCs w:val="21"/>
                <w:lang w:val="en-US" w:eastAsia="zh-CN" w:bidi="ar-SA"/>
              </w:rPr>
              <w:t>及附近河道</w:t>
            </w:r>
            <w:r>
              <w:rPr>
                <w:rFonts w:hint="default" w:ascii="Times New Roman" w:hAnsi="Times New Roman" w:eastAsia="宋体" w:cs="Times New Roman"/>
                <w:snapToGrid/>
                <w:color w:val="auto"/>
                <w:spacing w:val="0"/>
                <w:kern w:val="2"/>
                <w:sz w:val="21"/>
                <w:szCs w:val="21"/>
                <w:lang w:val="en-US" w:eastAsia="zh-CN" w:bidi="ar-SA"/>
              </w:rPr>
              <w:t>上游、下游方向</w:t>
            </w:r>
            <w:r>
              <w:rPr>
                <w:rFonts w:hint="eastAsia" w:ascii="Times New Roman" w:hAnsi="Times New Roman" w:cs="Times New Roman"/>
                <w:snapToGrid/>
                <w:color w:val="auto"/>
                <w:spacing w:val="0"/>
                <w:kern w:val="2"/>
                <w:sz w:val="21"/>
                <w:szCs w:val="21"/>
                <w:lang w:val="en-US" w:eastAsia="zh-CN" w:bidi="ar-SA"/>
              </w:rPr>
              <w:t>设置拦截措施</w:t>
            </w:r>
            <w:r>
              <w:rPr>
                <w:rFonts w:hint="default" w:ascii="Times New Roman" w:hAnsi="Times New Roman" w:eastAsia="宋体" w:cs="Times New Roman"/>
                <w:snapToGrid/>
                <w:color w:val="auto"/>
                <w:spacing w:val="0"/>
                <w:kern w:val="2"/>
                <w:sz w:val="21"/>
                <w:szCs w:val="21"/>
                <w:lang w:val="en-US" w:eastAsia="zh-CN" w:bidi="ar-SA"/>
              </w:rPr>
              <w:t>，防止事故废水进一步污染下游水环境</w:t>
            </w:r>
            <w:r>
              <w:rPr>
                <w:rFonts w:hint="eastAsia" w:ascii="Times New Roman" w:hAnsi="Times New Roman" w:eastAsia="宋体" w:cs="Times New Roman"/>
                <w:snapToGrid/>
                <w:color w:val="auto"/>
                <w:spacing w:val="0"/>
                <w:kern w:val="2"/>
                <w:sz w:val="21"/>
                <w:szCs w:val="21"/>
                <w:lang w:val="en-US" w:eastAsia="zh-CN" w:bidi="ar-SA"/>
              </w:rPr>
              <w:t>。</w:t>
            </w:r>
          </w:p>
          <w:p w14:paraId="6259796A">
            <w:pPr>
              <w:keepNext w:val="0"/>
              <w:keepLines w:val="0"/>
              <w:pageBreakBefore w:val="0"/>
              <w:widowControl w:val="0"/>
              <w:kinsoku/>
              <w:wordWrap/>
              <w:overflowPunct/>
              <w:topLinePunct w:val="0"/>
              <w:bidi w:val="0"/>
              <w:adjustRightInd w:val="0"/>
              <w:snapToGrid w:val="0"/>
              <w:spacing w:line="500" w:lineRule="exact"/>
              <w:ind w:firstLine="482"/>
              <w:rPr>
                <w:rFonts w:hint="eastAsia" w:ascii="Times New Roman" w:hAnsi="Times New Roman" w:cs="Times New Roman"/>
                <w:color w:val="auto"/>
                <w:sz w:val="21"/>
                <w:szCs w:val="21"/>
              </w:rPr>
            </w:pPr>
            <w:r>
              <w:rPr>
                <w:rFonts w:hint="eastAsia" w:cs="Times New Roman"/>
                <w:color w:val="auto"/>
                <w:sz w:val="21"/>
                <w:szCs w:val="21"/>
                <w:lang w:val="en-US" w:eastAsia="zh-CN"/>
              </w:rPr>
              <w:t>6</w:t>
            </w:r>
            <w:r>
              <w:rPr>
                <w:rFonts w:hint="eastAsia" w:ascii="Times New Roman" w:hAnsi="Times New Roman" w:cs="Times New Roman"/>
                <w:color w:val="auto"/>
                <w:sz w:val="21"/>
                <w:szCs w:val="21"/>
              </w:rPr>
              <w:t>）与常州市金坛区应急管理局的联动</w:t>
            </w:r>
          </w:p>
          <w:p w14:paraId="2DF3678C">
            <w:pPr>
              <w:keepNext w:val="0"/>
              <w:keepLines w:val="0"/>
              <w:pageBreakBefore w:val="0"/>
              <w:widowControl w:val="0"/>
              <w:kinsoku/>
              <w:wordWrap/>
              <w:overflowPunct/>
              <w:topLinePunct w:val="0"/>
              <w:bidi w:val="0"/>
              <w:adjustRightInd w:val="0"/>
              <w:snapToGrid w:val="0"/>
              <w:spacing w:line="500" w:lineRule="exact"/>
              <w:ind w:firstLine="482"/>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根据《省生态环境厅关于做好安全生产专项整治工作实施方案》(苏环办</w:t>
            </w:r>
            <w:r>
              <w:rPr>
                <w:rFonts w:hint="eastAsia" w:cs="Times New Roman"/>
                <w:color w:val="auto"/>
                <w:sz w:val="21"/>
                <w:szCs w:val="21"/>
                <w:lang w:eastAsia="zh-CN"/>
              </w:rPr>
              <w:t>〔2020〕16号</w:t>
            </w:r>
            <w:r>
              <w:rPr>
                <w:rFonts w:hint="eastAsia" w:ascii="Times New Roman" w:hAnsi="Times New Roman" w:eastAsia="宋体" w:cs="Times New Roman"/>
                <w:color w:val="auto"/>
                <w:sz w:val="21"/>
                <w:szCs w:val="21"/>
              </w:rPr>
              <w:t>)、《关于做好生态环境和应急管理部门联动工作的意见》（苏环办</w:t>
            </w:r>
            <w:r>
              <w:rPr>
                <w:rFonts w:hint="eastAsia" w:cs="Times New Roman"/>
                <w:color w:val="auto"/>
                <w:sz w:val="21"/>
                <w:szCs w:val="21"/>
                <w:lang w:eastAsia="zh-CN"/>
              </w:rPr>
              <w:t>〔2020〕101号</w:t>
            </w:r>
            <w:r>
              <w:rPr>
                <w:rFonts w:hint="eastAsia" w:ascii="Times New Roman" w:hAnsi="Times New Roman" w:eastAsia="宋体" w:cs="Times New Roman"/>
                <w:color w:val="auto"/>
                <w:sz w:val="21"/>
                <w:szCs w:val="21"/>
              </w:rPr>
              <w:t>）相关要求，项目建成后需开展大气、固废等污染防治措施安全论证并获得常州市金坛区应急管理局的许可。</w:t>
            </w:r>
          </w:p>
          <w:p w14:paraId="519B58C5">
            <w:pPr>
              <w:keepNext w:val="0"/>
              <w:keepLines w:val="0"/>
              <w:pageBreakBefore w:val="0"/>
              <w:widowControl w:val="0"/>
              <w:kinsoku/>
              <w:wordWrap/>
              <w:overflowPunct/>
              <w:topLinePunct w:val="0"/>
              <w:bidi w:val="0"/>
              <w:snapToGrid w:val="0"/>
              <w:spacing w:line="500" w:lineRule="exact"/>
              <w:ind w:firstLine="420" w:firstLineChars="200"/>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3、</w:t>
            </w:r>
            <w:r>
              <w:rPr>
                <w:rFonts w:hint="default" w:ascii="Times New Roman" w:hAnsi="Times New Roman" w:cs="Times New Roman"/>
                <w:bCs/>
                <w:color w:val="auto"/>
                <w:sz w:val="21"/>
                <w:szCs w:val="21"/>
                <w:lang w:val="en-US" w:eastAsia="zh-CN"/>
              </w:rPr>
              <w:t>突发环境事件应急预</w:t>
            </w:r>
            <w:r>
              <w:rPr>
                <w:rFonts w:hint="eastAsia" w:ascii="Times New Roman" w:hAnsi="Times New Roman" w:cs="Times New Roman"/>
                <w:bCs/>
                <w:color w:val="auto"/>
                <w:sz w:val="21"/>
                <w:szCs w:val="21"/>
                <w:lang w:val="en-US" w:eastAsia="zh-CN"/>
              </w:rPr>
              <w:t>案和</w:t>
            </w:r>
            <w:r>
              <w:rPr>
                <w:rFonts w:hint="default" w:ascii="Times New Roman" w:hAnsi="Times New Roman" w:cs="Times New Roman"/>
                <w:bCs/>
                <w:color w:val="auto"/>
                <w:sz w:val="21"/>
                <w:szCs w:val="21"/>
                <w:lang w:val="en-US" w:eastAsia="zh-CN"/>
              </w:rPr>
              <w:t>风险应急计划</w:t>
            </w:r>
          </w:p>
          <w:p w14:paraId="07DBE62E">
            <w:pPr>
              <w:keepNext w:val="0"/>
              <w:keepLines w:val="0"/>
              <w:pageBreakBefore w:val="0"/>
              <w:widowControl w:val="0"/>
              <w:kinsoku/>
              <w:wordWrap/>
              <w:overflowPunct/>
              <w:topLinePunct w:val="0"/>
              <w:bidi w:val="0"/>
              <w:snapToGrid w:val="0"/>
              <w:spacing w:line="500" w:lineRule="exact"/>
              <w:ind w:firstLine="420" w:firstLineChars="200"/>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项目建成后需</w:t>
            </w:r>
            <w:r>
              <w:rPr>
                <w:rFonts w:hint="default" w:ascii="Times New Roman" w:hAnsi="Times New Roman" w:cs="Times New Roman"/>
                <w:bCs/>
                <w:color w:val="auto"/>
                <w:sz w:val="21"/>
                <w:szCs w:val="21"/>
                <w:lang w:val="en-US" w:eastAsia="zh-CN"/>
              </w:rPr>
              <w:t>委托有资质单位</w:t>
            </w:r>
            <w:r>
              <w:rPr>
                <w:rFonts w:hint="eastAsia" w:ascii="Times New Roman" w:hAnsi="Times New Roman" w:cs="Times New Roman"/>
                <w:bCs/>
                <w:color w:val="auto"/>
                <w:sz w:val="21"/>
                <w:szCs w:val="21"/>
                <w:lang w:val="en-US" w:eastAsia="zh-CN"/>
              </w:rPr>
              <w:t>对</w:t>
            </w:r>
            <w:r>
              <w:rPr>
                <w:rFonts w:hint="default" w:ascii="Times New Roman" w:hAnsi="Times New Roman" w:cs="Times New Roman"/>
                <w:bCs/>
                <w:color w:val="auto"/>
                <w:sz w:val="21"/>
                <w:szCs w:val="21"/>
                <w:lang w:val="en-US" w:eastAsia="zh-CN"/>
              </w:rPr>
              <w:t>突发环境事件应急预案</w:t>
            </w:r>
            <w:r>
              <w:rPr>
                <w:rFonts w:hint="eastAsia" w:ascii="Times New Roman" w:hAnsi="Times New Roman" w:cs="Times New Roman"/>
                <w:bCs/>
                <w:color w:val="auto"/>
                <w:sz w:val="21"/>
                <w:szCs w:val="21"/>
                <w:lang w:val="en-US" w:eastAsia="zh-CN"/>
              </w:rPr>
              <w:t>进行修编</w:t>
            </w:r>
            <w:r>
              <w:rPr>
                <w:rFonts w:hint="default" w:ascii="Times New Roman" w:hAnsi="Times New Roman" w:cs="Times New Roman"/>
                <w:bCs/>
                <w:color w:val="auto"/>
                <w:sz w:val="21"/>
                <w:szCs w:val="21"/>
                <w:lang w:val="en-US" w:eastAsia="zh-CN"/>
              </w:rPr>
              <w:t>，并按规定报县级以上生态环境主管部门备案。</w:t>
            </w:r>
          </w:p>
          <w:p w14:paraId="0E316354">
            <w:pPr>
              <w:keepNext w:val="0"/>
              <w:keepLines w:val="0"/>
              <w:pageBreakBefore w:val="0"/>
              <w:widowControl w:val="0"/>
              <w:kinsoku/>
              <w:wordWrap/>
              <w:overflowPunct/>
              <w:topLinePunct w:val="0"/>
              <w:bidi w:val="0"/>
              <w:snapToGrid w:val="0"/>
              <w:spacing w:line="500" w:lineRule="exact"/>
              <w:ind w:firstLine="420" w:firstLineChars="200"/>
              <w:rPr>
                <w:rFonts w:hint="eastAsia" w:ascii="Times New Roman" w:hAnsi="Times New Roman" w:cs="Times New Roman"/>
                <w:bCs/>
                <w:color w:val="FF0000"/>
                <w:sz w:val="21"/>
                <w:szCs w:val="21"/>
                <w:lang w:val="en-US" w:eastAsia="zh-CN"/>
              </w:rPr>
            </w:pPr>
            <w:r>
              <w:rPr>
                <w:rFonts w:hint="eastAsia" w:ascii="Times New Roman" w:hAnsi="Times New Roman" w:cs="Times New Roman"/>
                <w:bCs/>
                <w:color w:val="FF0000"/>
                <w:sz w:val="21"/>
                <w:szCs w:val="21"/>
                <w:lang w:val="en-US" w:eastAsia="zh-CN"/>
              </w:rPr>
              <w:t>4、环境风险分析结论</w:t>
            </w:r>
          </w:p>
          <w:p w14:paraId="059F567B">
            <w:pPr>
              <w:keepNext w:val="0"/>
              <w:keepLines w:val="0"/>
              <w:pageBreakBefore w:val="0"/>
              <w:widowControl w:val="0"/>
              <w:kinsoku/>
              <w:wordWrap/>
              <w:overflowPunct/>
              <w:topLinePunct w:val="0"/>
              <w:bidi w:val="0"/>
              <w:snapToGrid w:val="0"/>
              <w:spacing w:line="500" w:lineRule="exact"/>
              <w:ind w:firstLine="420" w:firstLineChars="200"/>
              <w:rPr>
                <w:rFonts w:hint="default"/>
                <w:color w:val="FF0000"/>
              </w:rPr>
            </w:pPr>
            <w:r>
              <w:rPr>
                <w:rFonts w:hint="eastAsia" w:ascii="Times New Roman" w:hAnsi="Times New Roman" w:cs="Times New Roman"/>
                <w:bCs/>
                <w:color w:val="FF0000"/>
                <w:sz w:val="21"/>
                <w:szCs w:val="21"/>
                <w:lang w:val="en-US" w:eastAsia="zh-CN"/>
              </w:rPr>
              <w:t>综上所述，项目厂区应设立风险防范措施，最大限度防止风险事故的发生并进行有效处置，结合企业在下一步设计、运营过程中不断制定和完善的风险防范和应急措施，将发生环境风险的可能性降至最低。在环境风险防范措施落实到位的情况下，可降低本项目的环境风险，最大程度减少对环境可能造成的危害。</w:t>
            </w:r>
          </w:p>
          <w:p w14:paraId="3FBE2A63">
            <w:pPr>
              <w:keepNext w:val="0"/>
              <w:keepLines w:val="0"/>
              <w:pageBreakBefore w:val="0"/>
              <w:widowControl w:val="0"/>
              <w:kinsoku/>
              <w:wordWrap/>
              <w:overflowPunct/>
              <w:topLinePunct w:val="0"/>
              <w:bidi w:val="0"/>
              <w:adjustRightInd w:val="0"/>
              <w:snapToGrid w:val="0"/>
              <w:spacing w:line="500" w:lineRule="exact"/>
              <w:rPr>
                <w:rFonts w:hint="default" w:ascii="Times New Roman" w:hAnsi="Times New Roman" w:cs="Times New Roman"/>
                <w:b/>
                <w:bCs/>
                <w:color w:val="auto"/>
                <w:sz w:val="21"/>
                <w:szCs w:val="21"/>
              </w:rPr>
            </w:pPr>
            <w:r>
              <w:rPr>
                <w:rFonts w:hint="eastAsia" w:cs="Times New Roman"/>
                <w:b/>
                <w:bCs/>
                <w:color w:val="auto"/>
                <w:sz w:val="21"/>
                <w:szCs w:val="21"/>
                <w:lang w:eastAsia="zh-CN"/>
              </w:rPr>
              <w:t>八</w:t>
            </w:r>
            <w:r>
              <w:rPr>
                <w:rFonts w:hint="default" w:ascii="Times New Roman" w:hAnsi="Times New Roman" w:cs="Times New Roman"/>
                <w:b/>
                <w:bCs/>
                <w:color w:val="auto"/>
                <w:sz w:val="21"/>
                <w:szCs w:val="21"/>
              </w:rPr>
              <w:t>、电磁辐射</w:t>
            </w:r>
          </w:p>
          <w:p w14:paraId="343826DF">
            <w:pPr>
              <w:keepNext w:val="0"/>
              <w:keepLines w:val="0"/>
              <w:pageBreakBefore w:val="0"/>
              <w:widowControl w:val="0"/>
              <w:kinsoku/>
              <w:wordWrap/>
              <w:overflowPunct/>
              <w:topLinePunct w:val="0"/>
              <w:bidi w:val="0"/>
              <w:adjustRightInd w:val="0"/>
              <w:snapToGrid w:val="0"/>
              <w:spacing w:line="500" w:lineRule="exact"/>
              <w:ind w:firstLine="420" w:firstLineChars="200"/>
              <w:rPr>
                <w:rFonts w:hint="default" w:ascii="Times New Roman" w:hAnsi="Times New Roman" w:eastAsia="黑体" w:cs="Times New Roman"/>
                <w:snapToGrid w:val="0"/>
                <w:color w:val="auto"/>
                <w:sz w:val="21"/>
                <w:szCs w:val="21"/>
                <w:vertAlign w:val="baseline"/>
              </w:rPr>
            </w:pPr>
            <w:r>
              <w:rPr>
                <w:rFonts w:hint="default" w:ascii="Times New Roman" w:hAnsi="Times New Roman" w:cs="Times New Roman"/>
                <w:bCs/>
                <w:color w:val="auto"/>
                <w:sz w:val="21"/>
                <w:szCs w:val="21"/>
              </w:rPr>
              <w:t>本项目不涉及</w:t>
            </w:r>
            <w:r>
              <w:rPr>
                <w:rFonts w:hint="default" w:ascii="Times New Roman" w:hAnsi="Times New Roman" w:eastAsia="宋体" w:cs="Times New Roman"/>
                <w:bCs/>
                <w:color w:val="auto"/>
                <w:sz w:val="21"/>
                <w:szCs w:val="21"/>
              </w:rPr>
              <w:t>电磁辐射</w:t>
            </w:r>
            <w:r>
              <w:rPr>
                <w:rFonts w:hint="default" w:ascii="Times New Roman" w:hAnsi="Times New Roman" w:cs="Times New Roman"/>
                <w:bCs/>
                <w:color w:val="auto"/>
                <w:sz w:val="21"/>
                <w:szCs w:val="21"/>
              </w:rPr>
              <w:t>。</w:t>
            </w:r>
          </w:p>
        </w:tc>
      </w:tr>
    </w:tbl>
    <w:p w14:paraId="1D8CCA02">
      <w:pPr>
        <w:pStyle w:val="25"/>
        <w:spacing w:before="0" w:beforeAutospacing="0" w:after="0" w:afterAutospacing="0"/>
        <w:jc w:val="center"/>
        <w:outlineLvl w:val="0"/>
        <w:rPr>
          <w:rFonts w:hint="default" w:ascii="Times New Roman" w:hAnsi="Times New Roman" w:eastAsia="黑体" w:cs="Times New Roman"/>
          <w:snapToGrid w:val="0"/>
          <w:color w:val="auto"/>
          <w:sz w:val="30"/>
          <w:szCs w:val="30"/>
        </w:rPr>
        <w:sectPr>
          <w:headerReference r:id="rId11" w:type="default"/>
          <w:pgSz w:w="11906" w:h="16838"/>
          <w:pgMar w:top="1417" w:right="1417" w:bottom="1417" w:left="1417" w:header="851" w:footer="1134" w:gutter="0"/>
          <w:pgBorders>
            <w:top w:val="none" w:sz="0" w:space="0"/>
            <w:left w:val="none" w:sz="0" w:space="0"/>
            <w:bottom w:val="none" w:sz="0" w:space="0"/>
            <w:right w:val="none" w:sz="0" w:space="0"/>
          </w:pgBorders>
          <w:pgNumType w:fmt="decimal"/>
          <w:cols w:space="720" w:num="1"/>
          <w:docGrid w:linePitch="312" w:charSpace="0"/>
        </w:sectPr>
      </w:pPr>
    </w:p>
    <w:p w14:paraId="2FE462A3">
      <w:pPr>
        <w:pStyle w:val="25"/>
        <w:spacing w:before="0" w:beforeAutospacing="0" w:after="0" w:afterAutospacing="0"/>
        <w:jc w:val="center"/>
        <w:outlineLvl w:val="0"/>
        <w:rPr>
          <w:rFonts w:hint="default" w:ascii="Times New Roman" w:hAnsi="Times New Roman" w:eastAsia="黑体" w:cs="Times New Roman"/>
          <w:snapToGrid w:val="0"/>
          <w:color w:val="auto"/>
          <w:sz w:val="30"/>
          <w:szCs w:val="30"/>
        </w:rPr>
      </w:pPr>
      <w:bookmarkStart w:id="10" w:name="_Toc9753"/>
      <w:r>
        <w:rPr>
          <w:rFonts w:hint="default" w:ascii="Times New Roman" w:hAnsi="Times New Roman" w:eastAsia="黑体" w:cs="Times New Roman"/>
          <w:snapToGrid w:val="0"/>
          <w:color w:val="auto"/>
          <w:sz w:val="30"/>
          <w:szCs w:val="30"/>
        </w:rPr>
        <w:t>五、</w:t>
      </w:r>
      <w:bookmarkStart w:id="11" w:name="_Hlk54167917"/>
      <w:r>
        <w:rPr>
          <w:rFonts w:hint="default" w:ascii="Times New Roman" w:hAnsi="Times New Roman" w:eastAsia="黑体" w:cs="Times New Roman"/>
          <w:snapToGrid w:val="0"/>
          <w:color w:val="auto"/>
          <w:sz w:val="30"/>
          <w:szCs w:val="30"/>
        </w:rPr>
        <w:t>环境保护措施监督检查清单</w:t>
      </w:r>
      <w:bookmarkEnd w:id="8"/>
      <w:bookmarkEnd w:id="10"/>
      <w:bookmarkEnd w:id="11"/>
    </w:p>
    <w:tbl>
      <w:tblPr>
        <w:tblStyle w:val="31"/>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287"/>
        <w:gridCol w:w="1200"/>
        <w:gridCol w:w="1554"/>
        <w:gridCol w:w="2007"/>
        <w:gridCol w:w="3079"/>
      </w:tblGrid>
      <w:tr w14:paraId="38AC16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87" w:type="dxa"/>
            <w:tcBorders>
              <w:tl2br w:val="single" w:color="auto" w:sz="4" w:space="0"/>
            </w:tcBorders>
            <w:noWrap w:val="0"/>
            <w:vAlign w:val="center"/>
          </w:tcPr>
          <w:p w14:paraId="2FC3469E">
            <w:pPr>
              <w:adjustRightInd w:val="0"/>
              <w:snapToGrid w:val="0"/>
              <w:spacing w:line="240" w:lineRule="auto"/>
              <w:ind w:firstLine="211" w:firstLineChars="100"/>
              <w:jc w:val="both"/>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内容</w:t>
            </w:r>
          </w:p>
          <w:p w14:paraId="43E721C7">
            <w:pPr>
              <w:adjustRightInd w:val="0"/>
              <w:snapToGrid w:val="0"/>
              <w:spacing w:line="240" w:lineRule="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要素</w:t>
            </w:r>
          </w:p>
        </w:tc>
        <w:tc>
          <w:tcPr>
            <w:tcW w:w="1200" w:type="dxa"/>
            <w:noWrap w:val="0"/>
            <w:vAlign w:val="center"/>
          </w:tcPr>
          <w:p w14:paraId="6BFA05AF">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排放口</w:t>
            </w:r>
            <w:r>
              <w:rPr>
                <w:rFonts w:hint="eastAsia" w:ascii="宋体" w:hAnsi="宋体" w:eastAsia="宋体" w:cs="宋体"/>
                <w:b/>
                <w:bCs/>
                <w:color w:val="auto"/>
                <w:sz w:val="21"/>
                <w:szCs w:val="21"/>
                <w:highlight w:val="none"/>
              </w:rPr>
              <w:t>(</w:t>
            </w:r>
            <w:r>
              <w:rPr>
                <w:rFonts w:hint="default" w:ascii="Times New Roman" w:hAnsi="Times New Roman" w:eastAsia="宋体" w:cs="Times New Roman"/>
                <w:b/>
                <w:bCs/>
                <w:color w:val="auto"/>
                <w:sz w:val="21"/>
                <w:szCs w:val="21"/>
                <w:highlight w:val="none"/>
              </w:rPr>
              <w:t>编号、名称</w:t>
            </w:r>
            <w:r>
              <w:rPr>
                <w:rFonts w:hint="eastAsia" w:ascii="宋体" w:hAnsi="宋体" w:eastAsia="宋体" w:cs="宋体"/>
                <w:b/>
                <w:bCs/>
                <w:color w:val="auto"/>
                <w:sz w:val="21"/>
                <w:szCs w:val="21"/>
                <w:highlight w:val="none"/>
              </w:rPr>
              <w:t>)</w:t>
            </w:r>
            <w:r>
              <w:rPr>
                <w:rFonts w:hint="default" w:ascii="Times New Roman" w:hAnsi="Times New Roman" w:eastAsia="宋体" w:cs="Times New Roman"/>
                <w:b/>
                <w:bCs/>
                <w:color w:val="auto"/>
                <w:sz w:val="21"/>
                <w:szCs w:val="21"/>
                <w:highlight w:val="none"/>
              </w:rPr>
              <w:t>/污染源</w:t>
            </w:r>
          </w:p>
        </w:tc>
        <w:tc>
          <w:tcPr>
            <w:tcW w:w="1554" w:type="dxa"/>
            <w:noWrap w:val="0"/>
            <w:vAlign w:val="center"/>
          </w:tcPr>
          <w:p w14:paraId="77100DBD">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污染物项目</w:t>
            </w:r>
          </w:p>
        </w:tc>
        <w:tc>
          <w:tcPr>
            <w:tcW w:w="2007" w:type="dxa"/>
            <w:noWrap w:val="0"/>
            <w:vAlign w:val="center"/>
          </w:tcPr>
          <w:p w14:paraId="35E368FE">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环境保护措施</w:t>
            </w:r>
          </w:p>
        </w:tc>
        <w:tc>
          <w:tcPr>
            <w:tcW w:w="3079" w:type="dxa"/>
            <w:noWrap w:val="0"/>
            <w:vAlign w:val="center"/>
          </w:tcPr>
          <w:p w14:paraId="443E0F76">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执行标准</w:t>
            </w:r>
          </w:p>
        </w:tc>
      </w:tr>
      <w:tr w14:paraId="7E8E3F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87" w:type="dxa"/>
            <w:vMerge w:val="restart"/>
            <w:noWrap w:val="0"/>
            <w:vAlign w:val="center"/>
          </w:tcPr>
          <w:p w14:paraId="536BA9FF">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w:t>
            </w:r>
          </w:p>
        </w:tc>
        <w:tc>
          <w:tcPr>
            <w:tcW w:w="1200" w:type="dxa"/>
            <w:noWrap w:val="0"/>
            <w:vAlign w:val="center"/>
          </w:tcPr>
          <w:p w14:paraId="4589112C">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P3</w:t>
            </w:r>
          </w:p>
        </w:tc>
        <w:tc>
          <w:tcPr>
            <w:tcW w:w="1554" w:type="dxa"/>
            <w:tcBorders>
              <w:bottom w:val="single" w:color="auto" w:sz="4" w:space="0"/>
            </w:tcBorders>
            <w:noWrap w:val="0"/>
            <w:vAlign w:val="center"/>
          </w:tcPr>
          <w:p w14:paraId="3F382D0C">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非甲烷总烃</w:t>
            </w:r>
          </w:p>
        </w:tc>
        <w:tc>
          <w:tcPr>
            <w:tcW w:w="2007" w:type="dxa"/>
            <w:noWrap w:val="0"/>
            <w:vAlign w:val="center"/>
          </w:tcPr>
          <w:p w14:paraId="3C73990A">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eastAsia"/>
                <w:bCs/>
                <w:color w:val="auto"/>
                <w:szCs w:val="21"/>
                <w:highlight w:val="none"/>
              </w:rPr>
              <w:t>1套</w:t>
            </w:r>
            <w:r>
              <w:rPr>
                <w:bCs/>
                <w:color w:val="auto"/>
                <w:szCs w:val="21"/>
                <w:highlight w:val="none"/>
              </w:rPr>
              <w:t>二级活性炭吸附装置+</w:t>
            </w:r>
            <w:r>
              <w:rPr>
                <w:rFonts w:hint="eastAsia"/>
                <w:bCs/>
                <w:color w:val="auto"/>
                <w:szCs w:val="21"/>
                <w:highlight w:val="none"/>
                <w:lang w:val="en-US" w:eastAsia="zh-CN"/>
              </w:rPr>
              <w:t>25</w:t>
            </w:r>
            <w:r>
              <w:rPr>
                <w:bCs/>
                <w:color w:val="auto"/>
                <w:szCs w:val="21"/>
                <w:highlight w:val="none"/>
              </w:rPr>
              <w:t>m排气筒，设计风量</w:t>
            </w:r>
            <w:r>
              <w:rPr>
                <w:rFonts w:hint="eastAsia"/>
                <w:bCs/>
                <w:color w:val="auto"/>
                <w:szCs w:val="21"/>
                <w:highlight w:val="none"/>
                <w:lang w:val="en-US" w:eastAsia="zh-CN"/>
              </w:rPr>
              <w:t>7000</w:t>
            </w:r>
            <w:r>
              <w:rPr>
                <w:bCs/>
                <w:color w:val="auto"/>
                <w:szCs w:val="21"/>
                <w:highlight w:val="none"/>
              </w:rPr>
              <w:t>m</w:t>
            </w:r>
            <w:r>
              <w:rPr>
                <w:bCs/>
                <w:color w:val="auto"/>
                <w:szCs w:val="21"/>
                <w:highlight w:val="none"/>
                <w:vertAlign w:val="superscript"/>
              </w:rPr>
              <w:t>3</w:t>
            </w:r>
            <w:r>
              <w:rPr>
                <w:bCs/>
                <w:color w:val="auto"/>
                <w:szCs w:val="21"/>
                <w:highlight w:val="none"/>
              </w:rPr>
              <w:t>/h</w:t>
            </w:r>
          </w:p>
        </w:tc>
        <w:tc>
          <w:tcPr>
            <w:tcW w:w="3079" w:type="dxa"/>
            <w:noWrap w:val="0"/>
            <w:vAlign w:val="center"/>
          </w:tcPr>
          <w:p w14:paraId="0222FF6C">
            <w:pPr>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eastAsia"/>
                <w:color w:val="auto"/>
                <w:kern w:val="0"/>
                <w:sz w:val="21"/>
                <w:szCs w:val="21"/>
                <w:lang w:val="en-US" w:eastAsia="zh-CN" w:bidi="ar"/>
              </w:rPr>
              <w:t>《合成树脂工业污染物排放标准》（GB 31572-2015，含2024年修改单）</w:t>
            </w:r>
            <w:r>
              <w:rPr>
                <w:rFonts w:hint="eastAsia" w:ascii="Times New Roman" w:hAnsi="Times New Roman" w:eastAsia="宋体" w:cs="Times New Roman"/>
                <w:color w:val="auto"/>
                <w:sz w:val="21"/>
                <w:szCs w:val="21"/>
                <w:highlight w:val="none"/>
                <w:lang w:val="en-US" w:eastAsia="zh-CN"/>
              </w:rPr>
              <w:t>表</w:t>
            </w:r>
            <w:r>
              <w:rPr>
                <w:rFonts w:hint="eastAsia"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lang w:eastAsia="zh-CN"/>
              </w:rPr>
              <w:t>中标准</w:t>
            </w:r>
          </w:p>
        </w:tc>
      </w:tr>
      <w:tr w14:paraId="3C810D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87" w:type="dxa"/>
            <w:vMerge w:val="continue"/>
            <w:noWrap w:val="0"/>
            <w:vAlign w:val="center"/>
          </w:tcPr>
          <w:p w14:paraId="1606545F">
            <w:pPr>
              <w:adjustRightInd w:val="0"/>
              <w:snapToGrid w:val="0"/>
              <w:jc w:val="center"/>
              <w:rPr>
                <w:rFonts w:hint="default" w:ascii="Times New Roman" w:hAnsi="Times New Roman" w:eastAsia="宋体" w:cs="Times New Roman"/>
                <w:color w:val="auto"/>
                <w:sz w:val="21"/>
                <w:szCs w:val="21"/>
                <w:highlight w:val="none"/>
              </w:rPr>
            </w:pPr>
          </w:p>
        </w:tc>
        <w:tc>
          <w:tcPr>
            <w:tcW w:w="1200" w:type="dxa"/>
            <w:noWrap w:val="0"/>
            <w:vAlign w:val="center"/>
          </w:tcPr>
          <w:p w14:paraId="311F02C4">
            <w:pPr>
              <w:adjustRightInd w:val="0"/>
              <w:snapToGrid w:val="0"/>
              <w:spacing w:line="240" w:lineRule="auto"/>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厂界</w:t>
            </w:r>
          </w:p>
        </w:tc>
        <w:tc>
          <w:tcPr>
            <w:tcW w:w="1554" w:type="dxa"/>
            <w:tcBorders>
              <w:bottom w:val="single" w:color="auto" w:sz="4" w:space="0"/>
            </w:tcBorders>
            <w:noWrap w:val="0"/>
            <w:vAlign w:val="center"/>
          </w:tcPr>
          <w:p w14:paraId="58506332">
            <w:pPr>
              <w:adjustRightInd w:val="0"/>
              <w:snapToGrid w:val="0"/>
              <w:spacing w:line="24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lang w:val="en-US" w:eastAsia="zh-CN"/>
              </w:rPr>
              <w:t>非甲烷总烃</w:t>
            </w:r>
          </w:p>
        </w:tc>
        <w:tc>
          <w:tcPr>
            <w:tcW w:w="2007" w:type="dxa"/>
            <w:noWrap w:val="0"/>
            <w:vAlign w:val="center"/>
          </w:tcPr>
          <w:p w14:paraId="0CF93493">
            <w:pPr>
              <w:adjustRightInd w:val="0"/>
              <w:snapToGrid w:val="0"/>
              <w:spacing w:line="240" w:lineRule="auto"/>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加强车间通风</w:t>
            </w:r>
          </w:p>
        </w:tc>
        <w:tc>
          <w:tcPr>
            <w:tcW w:w="3079" w:type="dxa"/>
            <w:noWrap w:val="0"/>
            <w:vAlign w:val="center"/>
          </w:tcPr>
          <w:p w14:paraId="4ABC4E76">
            <w:pPr>
              <w:pStyle w:val="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bidi="ar"/>
              </w:rPr>
            </w:pPr>
            <w:r>
              <w:rPr>
                <w:rFonts w:hint="eastAsia"/>
                <w:color w:val="auto"/>
                <w:kern w:val="0"/>
                <w:sz w:val="21"/>
                <w:szCs w:val="21"/>
                <w:highlight w:val="none"/>
                <w:lang w:val="en-US" w:eastAsia="zh-CN"/>
              </w:rPr>
              <w:t>厂界无组织</w:t>
            </w:r>
            <w:r>
              <w:rPr>
                <w:color w:val="auto"/>
                <w:kern w:val="0"/>
                <w:sz w:val="21"/>
                <w:szCs w:val="21"/>
                <w:highlight w:val="none"/>
              </w:rPr>
              <w:t>排放</w:t>
            </w:r>
            <w:r>
              <w:rPr>
                <w:rFonts w:hint="eastAsia"/>
                <w:color w:val="auto"/>
                <w:kern w:val="0"/>
                <w:sz w:val="21"/>
                <w:szCs w:val="21"/>
                <w:highlight w:val="none"/>
                <w:lang w:val="en-US" w:eastAsia="zh-CN"/>
              </w:rPr>
              <w:t>的非甲烷总烃</w:t>
            </w:r>
            <w:r>
              <w:rPr>
                <w:color w:val="auto"/>
                <w:kern w:val="0"/>
                <w:sz w:val="21"/>
                <w:szCs w:val="21"/>
                <w:highlight w:val="none"/>
              </w:rPr>
              <w:t>执行</w:t>
            </w:r>
            <w:r>
              <w:rPr>
                <w:rFonts w:hint="eastAsia"/>
                <w:color w:val="auto"/>
                <w:kern w:val="0"/>
                <w:sz w:val="21"/>
                <w:szCs w:val="21"/>
                <w:lang w:val="en-US" w:eastAsia="zh-CN" w:bidi="ar"/>
              </w:rPr>
              <w:t>《合成树脂工业污染物排放标准》（GB 31572-2015，含2024年修改单）</w:t>
            </w:r>
            <w:r>
              <w:rPr>
                <w:rFonts w:hint="eastAsia" w:ascii="Times New Roman" w:hAnsi="Times New Roman" w:eastAsia="宋体" w:cs="Times New Roman"/>
                <w:color w:val="auto"/>
                <w:sz w:val="21"/>
                <w:szCs w:val="21"/>
                <w:highlight w:val="none"/>
                <w:lang w:val="en-US" w:eastAsia="zh-CN"/>
              </w:rPr>
              <w:t>表</w:t>
            </w:r>
            <w:r>
              <w:rPr>
                <w:rFonts w:hint="eastAsia" w:cs="Times New Roman"/>
                <w:color w:val="auto"/>
                <w:sz w:val="21"/>
                <w:szCs w:val="21"/>
                <w:highlight w:val="none"/>
                <w:lang w:val="en-US" w:eastAsia="zh-CN"/>
              </w:rPr>
              <w:t>9</w:t>
            </w:r>
            <w:r>
              <w:rPr>
                <w:rFonts w:hint="eastAsia" w:ascii="Times New Roman" w:hAnsi="Times New Roman" w:eastAsia="宋体" w:cs="Times New Roman"/>
                <w:color w:val="auto"/>
                <w:sz w:val="21"/>
                <w:szCs w:val="21"/>
                <w:highlight w:val="none"/>
                <w:lang w:eastAsia="zh-CN"/>
              </w:rPr>
              <w:t>中标准</w:t>
            </w:r>
            <w:r>
              <w:rPr>
                <w:rFonts w:hint="eastAsia"/>
                <w:color w:val="auto"/>
                <w:kern w:val="0"/>
                <w:sz w:val="21"/>
                <w:szCs w:val="21"/>
                <w:highlight w:val="none"/>
                <w:lang w:eastAsia="zh-CN"/>
              </w:rPr>
              <w:t>；</w:t>
            </w:r>
            <w:r>
              <w:rPr>
                <w:color w:val="auto"/>
                <w:kern w:val="0"/>
                <w:sz w:val="21"/>
                <w:szCs w:val="21"/>
                <w:highlight w:val="none"/>
              </w:rPr>
              <w:t>厂区内</w:t>
            </w:r>
            <w:r>
              <w:rPr>
                <w:rFonts w:hint="eastAsia"/>
                <w:color w:val="auto"/>
                <w:kern w:val="0"/>
                <w:sz w:val="21"/>
                <w:szCs w:val="21"/>
                <w:highlight w:val="none"/>
                <w:lang w:val="en-US" w:eastAsia="zh-CN"/>
              </w:rPr>
              <w:t>非甲烷总烃</w:t>
            </w:r>
            <w:r>
              <w:rPr>
                <w:color w:val="auto"/>
                <w:kern w:val="0"/>
                <w:sz w:val="21"/>
                <w:szCs w:val="21"/>
                <w:highlight w:val="none"/>
              </w:rPr>
              <w:t>无组织排放执行</w:t>
            </w:r>
            <w:r>
              <w:rPr>
                <w:rFonts w:hint="eastAsia"/>
                <w:bCs/>
                <w:color w:val="auto"/>
                <w:szCs w:val="21"/>
              </w:rPr>
              <w:t>《大气污染物综合排放标准》(DB32/4041-2021)</w:t>
            </w:r>
            <w:r>
              <w:rPr>
                <w:rFonts w:hint="default" w:ascii="Times New Roman" w:hAnsi="Times New Roman" w:cs="Times New Roman"/>
                <w:color w:val="auto"/>
                <w:sz w:val="21"/>
                <w:szCs w:val="21"/>
              </w:rPr>
              <w:t>表</w:t>
            </w:r>
            <w:r>
              <w:rPr>
                <w:rFonts w:hint="eastAsia" w:cs="Times New Roman"/>
                <w:color w:val="auto"/>
                <w:sz w:val="21"/>
                <w:szCs w:val="21"/>
                <w:lang w:val="en-US" w:eastAsia="zh-CN"/>
              </w:rPr>
              <w:t>3</w:t>
            </w:r>
            <w:r>
              <w:rPr>
                <w:rFonts w:hint="default" w:ascii="Times New Roman" w:hAnsi="Times New Roman" w:cs="Times New Roman"/>
                <w:color w:val="auto"/>
                <w:sz w:val="21"/>
                <w:szCs w:val="21"/>
              </w:rPr>
              <w:t>标准</w:t>
            </w:r>
          </w:p>
        </w:tc>
      </w:tr>
      <w:tr w14:paraId="0B0DFF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87" w:type="dxa"/>
            <w:noWrap w:val="0"/>
            <w:vAlign w:val="center"/>
          </w:tcPr>
          <w:p w14:paraId="7EE38AD6">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地表水环境</w:t>
            </w:r>
          </w:p>
        </w:tc>
        <w:tc>
          <w:tcPr>
            <w:tcW w:w="1200" w:type="dxa"/>
            <w:noWrap w:val="0"/>
            <w:vAlign w:val="center"/>
          </w:tcPr>
          <w:p w14:paraId="36AC79AF">
            <w:pPr>
              <w:adjustRightInd w:val="0"/>
              <w:snapToGrid w:val="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w:t>
            </w:r>
          </w:p>
        </w:tc>
        <w:tc>
          <w:tcPr>
            <w:tcW w:w="1554" w:type="dxa"/>
            <w:noWrap w:val="0"/>
            <w:vAlign w:val="center"/>
          </w:tcPr>
          <w:p w14:paraId="75D114A2">
            <w:pPr>
              <w:adjustRightInd w:val="0"/>
              <w:snapToGrid w:val="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w:t>
            </w:r>
          </w:p>
        </w:tc>
        <w:tc>
          <w:tcPr>
            <w:tcW w:w="2007" w:type="dxa"/>
            <w:noWrap w:val="0"/>
            <w:vAlign w:val="center"/>
          </w:tcPr>
          <w:p w14:paraId="09F0184D">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079" w:type="dxa"/>
            <w:noWrap w:val="0"/>
            <w:vAlign w:val="center"/>
          </w:tcPr>
          <w:p w14:paraId="7D1B351F">
            <w:pPr>
              <w:adjustRightInd w:val="0"/>
              <w:snapToGrid w:val="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w:t>
            </w:r>
          </w:p>
        </w:tc>
      </w:tr>
      <w:tr w14:paraId="64E9FD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87" w:type="dxa"/>
            <w:vMerge w:val="restart"/>
            <w:noWrap w:val="0"/>
            <w:vAlign w:val="center"/>
          </w:tcPr>
          <w:p w14:paraId="5E179EB6">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1200" w:type="dxa"/>
            <w:noWrap w:val="0"/>
            <w:vAlign w:val="center"/>
          </w:tcPr>
          <w:p w14:paraId="5F356A8F">
            <w:pPr>
              <w:adjustRightInd w:val="0"/>
              <w:snapToGrid w:val="0"/>
              <w:jc w:val="center"/>
              <w:rPr>
                <w:rFonts w:hint="default" w:ascii="Times New Roman" w:hAnsi="Times New Roman" w:eastAsia="宋体" w:cs="Times New Roman"/>
                <w:color w:val="auto"/>
                <w:sz w:val="21"/>
                <w:szCs w:val="21"/>
                <w:highlight w:val="none"/>
              </w:rPr>
            </w:pPr>
            <w:r>
              <w:rPr>
                <w:rFonts w:hint="eastAsia"/>
                <w:color w:val="auto"/>
                <w:szCs w:val="21"/>
              </w:rPr>
              <w:t>东、南厂界</w:t>
            </w:r>
          </w:p>
        </w:tc>
        <w:tc>
          <w:tcPr>
            <w:tcW w:w="1554" w:type="dxa"/>
            <w:noWrap w:val="0"/>
            <w:vAlign w:val="center"/>
          </w:tcPr>
          <w:p w14:paraId="5C8951A9">
            <w:pPr>
              <w:adjustRightInd w:val="0"/>
              <w:snapToGrid w:val="0"/>
              <w:jc w:val="center"/>
              <w:rPr>
                <w:rFonts w:hint="default" w:ascii="Times New Roman" w:hAnsi="Times New Roman" w:eastAsia="宋体" w:cs="Times New Roman"/>
                <w:color w:val="auto"/>
                <w:sz w:val="21"/>
                <w:szCs w:val="21"/>
                <w:highlight w:val="none"/>
              </w:rPr>
            </w:pPr>
            <w:r>
              <w:rPr>
                <w:rFonts w:hint="eastAsia"/>
                <w:color w:val="auto"/>
                <w:szCs w:val="21"/>
              </w:rPr>
              <w:t>等效声级dB（A）</w:t>
            </w:r>
          </w:p>
        </w:tc>
        <w:tc>
          <w:tcPr>
            <w:tcW w:w="2007" w:type="dxa"/>
            <w:noWrap w:val="0"/>
            <w:vAlign w:val="center"/>
          </w:tcPr>
          <w:p w14:paraId="15C067C8">
            <w:pPr>
              <w:adjustRightInd w:val="0"/>
              <w:snapToGrid w:val="0"/>
              <w:jc w:val="center"/>
              <w:rPr>
                <w:rFonts w:hint="default" w:ascii="Times New Roman" w:hAnsi="Times New Roman" w:eastAsia="宋体" w:cs="Times New Roman"/>
                <w:color w:val="auto"/>
                <w:sz w:val="21"/>
                <w:szCs w:val="21"/>
                <w:highlight w:val="none"/>
              </w:rPr>
            </w:pPr>
            <w:r>
              <w:rPr>
                <w:rFonts w:hint="eastAsia"/>
                <w:color w:val="auto"/>
                <w:szCs w:val="21"/>
              </w:rPr>
              <w:t>隔声、减振</w:t>
            </w:r>
          </w:p>
        </w:tc>
        <w:tc>
          <w:tcPr>
            <w:tcW w:w="3079" w:type="dxa"/>
            <w:noWrap w:val="0"/>
            <w:vAlign w:val="center"/>
          </w:tcPr>
          <w:p w14:paraId="14243D59">
            <w:pPr>
              <w:adjustRightInd w:val="0"/>
              <w:snapToGrid w:val="0"/>
              <w:jc w:val="center"/>
              <w:rPr>
                <w:rFonts w:hint="default" w:ascii="Times New Roman" w:hAnsi="Times New Roman" w:eastAsia="宋体" w:cs="Times New Roman"/>
                <w:color w:val="auto"/>
                <w:sz w:val="21"/>
                <w:szCs w:val="21"/>
                <w:highlight w:val="none"/>
              </w:rPr>
            </w:pPr>
            <w:r>
              <w:rPr>
                <w:rFonts w:hint="eastAsia"/>
                <w:color w:val="auto"/>
                <w:szCs w:val="21"/>
              </w:rPr>
              <w:t>《工业企业厂界环境噪声排放标准》（GB12348-2008）表1中3类标准</w:t>
            </w:r>
          </w:p>
        </w:tc>
      </w:tr>
      <w:tr w14:paraId="4C1723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87" w:type="dxa"/>
            <w:vMerge w:val="continue"/>
            <w:noWrap w:val="0"/>
            <w:vAlign w:val="center"/>
          </w:tcPr>
          <w:p w14:paraId="21A88D0A">
            <w:pPr>
              <w:adjustRightInd w:val="0"/>
              <w:snapToGrid w:val="0"/>
              <w:jc w:val="center"/>
              <w:rPr>
                <w:rFonts w:hint="default" w:ascii="Times New Roman" w:hAnsi="Times New Roman" w:eastAsia="宋体" w:cs="Times New Roman"/>
                <w:color w:val="auto"/>
                <w:sz w:val="21"/>
                <w:szCs w:val="21"/>
                <w:highlight w:val="none"/>
              </w:rPr>
            </w:pPr>
          </w:p>
        </w:tc>
        <w:tc>
          <w:tcPr>
            <w:tcW w:w="1200" w:type="dxa"/>
            <w:noWrap w:val="0"/>
            <w:vAlign w:val="center"/>
          </w:tcPr>
          <w:p w14:paraId="10D4E6F5">
            <w:pPr>
              <w:adjustRightInd w:val="0"/>
              <w:snapToGrid w:val="0"/>
              <w:jc w:val="center"/>
              <w:rPr>
                <w:rFonts w:hint="default" w:ascii="Times New Roman" w:hAnsi="Times New Roman" w:eastAsia="宋体" w:cs="Times New Roman"/>
                <w:color w:val="auto"/>
                <w:sz w:val="21"/>
                <w:szCs w:val="21"/>
                <w:highlight w:val="none"/>
              </w:rPr>
            </w:pPr>
            <w:r>
              <w:rPr>
                <w:rFonts w:hint="eastAsia"/>
                <w:color w:val="auto"/>
                <w:szCs w:val="21"/>
              </w:rPr>
              <w:t>西、北厂界</w:t>
            </w:r>
          </w:p>
        </w:tc>
        <w:tc>
          <w:tcPr>
            <w:tcW w:w="1554" w:type="dxa"/>
            <w:noWrap w:val="0"/>
            <w:vAlign w:val="center"/>
          </w:tcPr>
          <w:p w14:paraId="2A89D6C6">
            <w:pPr>
              <w:adjustRightInd w:val="0"/>
              <w:snapToGrid w:val="0"/>
              <w:jc w:val="center"/>
              <w:rPr>
                <w:rFonts w:hint="default" w:ascii="Times New Roman" w:hAnsi="Times New Roman" w:eastAsia="宋体" w:cs="Times New Roman"/>
                <w:color w:val="auto"/>
                <w:sz w:val="21"/>
                <w:szCs w:val="21"/>
                <w:highlight w:val="none"/>
              </w:rPr>
            </w:pPr>
            <w:r>
              <w:rPr>
                <w:rFonts w:hint="eastAsia"/>
                <w:color w:val="auto"/>
                <w:szCs w:val="21"/>
              </w:rPr>
              <w:t>等效声级dB（A）</w:t>
            </w:r>
          </w:p>
        </w:tc>
        <w:tc>
          <w:tcPr>
            <w:tcW w:w="2007" w:type="dxa"/>
            <w:noWrap w:val="0"/>
            <w:vAlign w:val="center"/>
          </w:tcPr>
          <w:p w14:paraId="4CF00581">
            <w:pPr>
              <w:adjustRightInd w:val="0"/>
              <w:snapToGrid w:val="0"/>
              <w:jc w:val="center"/>
              <w:rPr>
                <w:rFonts w:hint="default" w:ascii="Times New Roman" w:hAnsi="Times New Roman" w:eastAsia="宋体" w:cs="Times New Roman"/>
                <w:color w:val="auto"/>
                <w:sz w:val="21"/>
                <w:szCs w:val="21"/>
                <w:highlight w:val="none"/>
              </w:rPr>
            </w:pPr>
            <w:r>
              <w:rPr>
                <w:rFonts w:hint="eastAsia"/>
                <w:color w:val="auto"/>
                <w:szCs w:val="21"/>
              </w:rPr>
              <w:t>隔声、减振</w:t>
            </w:r>
          </w:p>
        </w:tc>
        <w:tc>
          <w:tcPr>
            <w:tcW w:w="3079" w:type="dxa"/>
            <w:noWrap w:val="0"/>
            <w:vAlign w:val="center"/>
          </w:tcPr>
          <w:p w14:paraId="55DDD97C">
            <w:pPr>
              <w:adjustRightInd w:val="0"/>
              <w:snapToGrid w:val="0"/>
              <w:jc w:val="center"/>
              <w:rPr>
                <w:rFonts w:hint="default" w:ascii="Times New Roman" w:hAnsi="Times New Roman" w:eastAsia="宋体" w:cs="Times New Roman"/>
                <w:color w:val="auto"/>
                <w:sz w:val="21"/>
                <w:szCs w:val="21"/>
                <w:highlight w:val="none"/>
              </w:rPr>
            </w:pPr>
            <w:r>
              <w:rPr>
                <w:rFonts w:hint="eastAsia"/>
                <w:color w:val="auto"/>
                <w:szCs w:val="21"/>
              </w:rPr>
              <w:t>《工业企业厂界环境噪声排放标准》（GB12348-2008）表1中4类标准</w:t>
            </w:r>
          </w:p>
        </w:tc>
      </w:tr>
      <w:tr w14:paraId="0FBD17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87" w:type="dxa"/>
            <w:noWrap w:val="0"/>
            <w:vAlign w:val="center"/>
          </w:tcPr>
          <w:p w14:paraId="069CA347">
            <w:pPr>
              <w:pStyle w:val="99"/>
              <w:adjustRightInd w:val="0"/>
              <w:snapToGrid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w:t>
            </w:r>
          </w:p>
        </w:tc>
        <w:tc>
          <w:tcPr>
            <w:tcW w:w="7840" w:type="dxa"/>
            <w:gridSpan w:val="4"/>
            <w:noWrap w:val="0"/>
            <w:vAlign w:val="center"/>
          </w:tcPr>
          <w:p w14:paraId="2F7EEA5B">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color w:val="auto"/>
                <w:kern w:val="0"/>
                <w:szCs w:val="21"/>
                <w:highlight w:val="none"/>
              </w:rPr>
            </w:pPr>
            <w:r>
              <w:rPr>
                <w:rFonts w:hint="eastAsia"/>
                <w:color w:val="auto"/>
                <w:kern w:val="0"/>
                <w:szCs w:val="21"/>
                <w:highlight w:val="none"/>
              </w:rPr>
              <w:t>本项目产生的一般工业固体废物主要为</w:t>
            </w:r>
            <w:r>
              <w:rPr>
                <w:rFonts w:hint="eastAsia"/>
                <w:szCs w:val="21"/>
              </w:rPr>
              <w:t>废包装材料</w:t>
            </w:r>
            <w:r>
              <w:rPr>
                <w:rFonts w:hint="default" w:ascii="Times New Roman" w:hAnsi="Times New Roman" w:cs="Times New Roman"/>
                <w:color w:val="auto"/>
                <w:sz w:val="21"/>
                <w:szCs w:val="21"/>
                <w:highlight w:val="none"/>
              </w:rPr>
              <w:t>，收集后外售综合利用；</w:t>
            </w:r>
            <w:r>
              <w:rPr>
                <w:rFonts w:hint="eastAsia" w:cs="Times New Roman"/>
                <w:color w:val="auto"/>
                <w:sz w:val="21"/>
                <w:szCs w:val="21"/>
                <w:highlight w:val="none"/>
                <w:lang w:val="en-US" w:eastAsia="zh-CN"/>
              </w:rPr>
              <w:t>废机油、废油桶、</w:t>
            </w:r>
            <w:r>
              <w:rPr>
                <w:rFonts w:hint="eastAsia" w:cs="Times New Roman"/>
                <w:color w:val="auto"/>
                <w:sz w:val="21"/>
                <w:szCs w:val="21"/>
                <w:highlight w:val="none"/>
                <w:lang w:eastAsia="zh-CN"/>
              </w:rPr>
              <w:t>含油废抹布</w:t>
            </w:r>
            <w:r>
              <w:rPr>
                <w:rFonts w:hint="eastAsia" w:cs="Times New Roman"/>
                <w:color w:val="auto"/>
                <w:sz w:val="21"/>
                <w:szCs w:val="21"/>
                <w:highlight w:val="none"/>
                <w:lang w:val="en-US" w:eastAsia="zh-CN"/>
              </w:rPr>
              <w:t>手套</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废活性炭属于危险废物，委托有资质单位处理</w:t>
            </w:r>
            <w:r>
              <w:rPr>
                <w:rFonts w:hint="eastAsia"/>
                <w:color w:val="auto"/>
                <w:kern w:val="0"/>
                <w:szCs w:val="21"/>
                <w:highlight w:val="none"/>
              </w:rPr>
              <w:t>。</w:t>
            </w:r>
          </w:p>
          <w:p w14:paraId="3D481172">
            <w:pPr>
              <w:pStyle w:val="6"/>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w:t>
            </w:r>
            <w:r>
              <w:rPr>
                <w:rFonts w:hint="eastAsia" w:ascii="Times New Roman" w:hAnsi="Times New Roman" w:cs="Times New Roman"/>
                <w:color w:val="auto"/>
                <w:sz w:val="21"/>
                <w:szCs w:val="21"/>
                <w:highlight w:val="none"/>
                <w:lang w:val="en-US" w:eastAsia="zh-CN"/>
              </w:rPr>
              <w:t>厂区已设置</w:t>
            </w:r>
            <w:r>
              <w:rPr>
                <w:rFonts w:hint="default" w:ascii="Times New Roman" w:hAnsi="Times New Roman" w:eastAsia="宋体" w:cs="Times New Roman"/>
                <w:color w:val="auto"/>
                <w:sz w:val="21"/>
                <w:szCs w:val="21"/>
                <w:highlight w:val="none"/>
              </w:rPr>
              <w:t>一座</w:t>
            </w:r>
            <w:r>
              <w:rPr>
                <w:rFonts w:hint="eastAsia" w:ascii="Times New Roman" w:hAnsi="Times New Roman" w:eastAsia="宋体" w:cs="Times New Roman"/>
                <w:color w:val="auto"/>
                <w:sz w:val="21"/>
                <w:szCs w:val="21"/>
                <w:highlight w:val="none"/>
                <w:lang w:eastAsia="zh-CN"/>
              </w:rPr>
              <w:t>危废仓库</w:t>
            </w:r>
            <w:r>
              <w:rPr>
                <w:rFonts w:hint="default" w:ascii="Times New Roman" w:hAnsi="Times New Roman" w:eastAsia="宋体"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和</w:t>
            </w:r>
            <w:r>
              <w:rPr>
                <w:rFonts w:hint="default" w:ascii="Times New Roman" w:hAnsi="Times New Roman" w:eastAsia="宋体" w:cs="Times New Roman"/>
                <w:color w:val="auto"/>
                <w:sz w:val="21"/>
                <w:szCs w:val="21"/>
                <w:highlight w:val="none"/>
              </w:rPr>
              <w:t>一座</w:t>
            </w:r>
            <w:r>
              <w:rPr>
                <w:rFonts w:hint="eastAsia" w:ascii="Times New Roman" w:hAnsi="Times New Roman" w:cs="Times New Roman"/>
                <w:color w:val="auto"/>
                <w:sz w:val="21"/>
                <w:szCs w:val="21"/>
                <w:highlight w:val="none"/>
                <w:lang w:eastAsia="zh-CN"/>
              </w:rPr>
              <w:t>一般固废仓库</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项目一般固废依托现有一般固废仓库收集暂存，项目危废依托现有</w:t>
            </w:r>
            <w:r>
              <w:rPr>
                <w:rFonts w:hint="eastAsia" w:ascii="Times New Roman" w:hAnsi="Times New Roman" w:eastAsia="宋体" w:cs="Times New Roman"/>
                <w:color w:val="auto"/>
                <w:sz w:val="21"/>
                <w:szCs w:val="21"/>
                <w:highlight w:val="none"/>
                <w:lang w:eastAsia="zh-CN"/>
              </w:rPr>
              <w:t>危废仓库</w:t>
            </w:r>
            <w:r>
              <w:rPr>
                <w:rFonts w:hint="eastAsia" w:ascii="Times New Roman" w:hAnsi="Times New Roman" w:cs="Times New Roman"/>
                <w:color w:val="auto"/>
                <w:sz w:val="21"/>
                <w:szCs w:val="21"/>
                <w:highlight w:val="none"/>
                <w:lang w:val="en-US" w:eastAsia="zh-CN"/>
              </w:rPr>
              <w:t>收集暂存。</w:t>
            </w:r>
          </w:p>
        </w:tc>
      </w:tr>
      <w:tr w14:paraId="235EF8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87" w:type="dxa"/>
            <w:noWrap w:val="0"/>
            <w:vAlign w:val="center"/>
          </w:tcPr>
          <w:p w14:paraId="3136B649">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土壤及地下水污染防治措施</w:t>
            </w:r>
          </w:p>
        </w:tc>
        <w:tc>
          <w:tcPr>
            <w:tcW w:w="7840" w:type="dxa"/>
            <w:gridSpan w:val="4"/>
            <w:noWrap w:val="0"/>
            <w:vAlign w:val="center"/>
          </w:tcPr>
          <w:p w14:paraId="597E604A">
            <w:pPr>
              <w:pStyle w:val="99"/>
              <w:adjustRightInd w:val="0"/>
              <w:snapToGrid w:val="0"/>
              <w:jc w:val="left"/>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1、源头控制原料的跑冒滴漏、雨水的浸淋、溢流等</w:t>
            </w:r>
            <w:r>
              <w:rPr>
                <w:rFonts w:hint="eastAsia" w:ascii="Times New Roman" w:hAnsi="Times New Roman" w:eastAsia="宋体" w:cs="Times New Roman"/>
                <w:color w:val="auto"/>
                <w:sz w:val="21"/>
                <w:szCs w:val="21"/>
                <w:highlight w:val="none"/>
                <w:lang w:eastAsia="zh-CN"/>
              </w:rPr>
              <w:t>；</w:t>
            </w:r>
          </w:p>
          <w:p w14:paraId="3A399AEC">
            <w:pPr>
              <w:pStyle w:val="99"/>
              <w:adjustRightInd w:val="0"/>
              <w:snapToGrid w:val="0"/>
              <w:jc w:val="left"/>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2、分区防渗，对</w:t>
            </w:r>
            <w:r>
              <w:rPr>
                <w:rFonts w:hint="eastAsia" w:eastAsia="宋体" w:cs="Times New Roman"/>
                <w:color w:val="auto"/>
                <w:sz w:val="21"/>
                <w:szCs w:val="21"/>
                <w:highlight w:val="none"/>
                <w:lang w:val="en-US" w:eastAsia="zh-CN"/>
              </w:rPr>
              <w:t>油品暂存区</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eastAsia="zh-CN"/>
              </w:rPr>
              <w:t>危废仓库、</w:t>
            </w:r>
            <w:r>
              <w:rPr>
                <w:rFonts w:hint="eastAsia" w:ascii="Times New Roman" w:hAnsi="Times New Roman" w:eastAsia="宋体" w:cs="Times New Roman"/>
                <w:color w:val="auto"/>
                <w:sz w:val="21"/>
                <w:szCs w:val="21"/>
                <w:highlight w:val="none"/>
                <w:lang w:val="en-US" w:eastAsia="zh-CN"/>
              </w:rPr>
              <w:t>事故应急池等区</w:t>
            </w:r>
            <w:r>
              <w:rPr>
                <w:rFonts w:hint="default" w:ascii="Times New Roman" w:hAnsi="Times New Roman" w:eastAsia="宋体" w:cs="Times New Roman"/>
                <w:color w:val="auto"/>
                <w:sz w:val="21"/>
                <w:szCs w:val="21"/>
                <w:highlight w:val="none"/>
              </w:rPr>
              <w:t>域实施重点防渗措施，厂内其他区域进行简单防渗</w:t>
            </w:r>
            <w:r>
              <w:rPr>
                <w:rFonts w:hint="eastAsia" w:ascii="Times New Roman" w:hAnsi="Times New Roman" w:eastAsia="宋体" w:cs="Times New Roman"/>
                <w:color w:val="auto"/>
                <w:sz w:val="21"/>
                <w:szCs w:val="21"/>
                <w:highlight w:val="none"/>
                <w:lang w:eastAsia="zh-CN"/>
              </w:rPr>
              <w:t>。</w:t>
            </w:r>
          </w:p>
        </w:tc>
      </w:tr>
      <w:tr w14:paraId="4186AE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87" w:type="dxa"/>
            <w:noWrap w:val="0"/>
            <w:vAlign w:val="center"/>
          </w:tcPr>
          <w:p w14:paraId="469ED63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生态保护措施</w:t>
            </w:r>
          </w:p>
        </w:tc>
        <w:tc>
          <w:tcPr>
            <w:tcW w:w="7840" w:type="dxa"/>
            <w:gridSpan w:val="4"/>
            <w:noWrap w:val="0"/>
            <w:vAlign w:val="center"/>
          </w:tcPr>
          <w:p w14:paraId="065978FE">
            <w:pPr>
              <w:pStyle w:val="99"/>
              <w:adjustRightInd w:val="0"/>
              <w:snapToGrid w:val="0"/>
              <w:jc w:val="left"/>
              <w:rPr>
                <w:rFonts w:hint="default" w:ascii="Times New Roman" w:hAnsi="Times New Roman" w:eastAsia="宋体" w:cs="Times New Roman"/>
                <w:color w:val="auto"/>
                <w:sz w:val="21"/>
                <w:szCs w:val="21"/>
                <w:highlight w:val="none"/>
              </w:rPr>
            </w:pPr>
            <w:r>
              <w:rPr>
                <w:rFonts w:eastAsia="宋体"/>
                <w:color w:val="auto"/>
                <w:sz w:val="21"/>
                <w:szCs w:val="21"/>
                <w:highlight w:val="none"/>
              </w:rPr>
              <w:t>根据《江苏省生态空间管控区域规划》（苏政发〔2020〕1号）和《省政府关于印发江苏省国家级生态保护红线规划的通知》（苏政发〔2018〕74号），项目不在常州市国家级生态保护红线和生态空间管控区域的保护区范围内</w:t>
            </w:r>
            <w:r>
              <w:rPr>
                <w:rFonts w:hint="eastAsia" w:eastAsia="宋体"/>
                <w:color w:val="auto"/>
                <w:sz w:val="21"/>
                <w:szCs w:val="21"/>
                <w:highlight w:val="none"/>
              </w:rPr>
              <w:t>。</w:t>
            </w:r>
          </w:p>
        </w:tc>
      </w:tr>
      <w:tr w14:paraId="0CA095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87" w:type="dxa"/>
            <w:noWrap w:val="0"/>
            <w:vAlign w:val="center"/>
          </w:tcPr>
          <w:p w14:paraId="52C54752">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环境风险</w:t>
            </w:r>
          </w:p>
          <w:p w14:paraId="01A5E6F7">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防范措施</w:t>
            </w:r>
          </w:p>
        </w:tc>
        <w:tc>
          <w:tcPr>
            <w:tcW w:w="7840" w:type="dxa"/>
            <w:gridSpan w:val="4"/>
            <w:noWrap w:val="0"/>
            <w:vAlign w:val="center"/>
          </w:tcPr>
          <w:p w14:paraId="439FD297">
            <w:pPr>
              <w:snapToGrid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1、厂区分区防渗；</w:t>
            </w:r>
          </w:p>
          <w:p w14:paraId="055F6D6A">
            <w:pPr>
              <w:pStyle w:val="99"/>
              <w:adjustRightInd w:val="0"/>
              <w:snapToGrid w:val="0"/>
              <w:jc w:val="left"/>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2、做好厂区环境风险管理、风险应急</w:t>
            </w:r>
            <w:r>
              <w:rPr>
                <w:rFonts w:hint="eastAsia" w:ascii="Times New Roman" w:hAnsi="Times New Roman" w:eastAsia="宋体" w:cs="Times New Roman"/>
                <w:color w:val="auto"/>
                <w:sz w:val="21"/>
                <w:szCs w:val="21"/>
                <w:highlight w:val="none"/>
                <w:lang w:eastAsia="zh-CN"/>
              </w:rPr>
              <w:t>物资</w:t>
            </w:r>
            <w:r>
              <w:rPr>
                <w:rFonts w:hint="default" w:ascii="Times New Roman" w:hAnsi="Times New Roman" w:eastAsia="宋体" w:cs="Times New Roman"/>
                <w:color w:val="auto"/>
                <w:sz w:val="21"/>
                <w:szCs w:val="21"/>
                <w:highlight w:val="none"/>
              </w:rPr>
              <w:t>配备</w:t>
            </w:r>
            <w:r>
              <w:rPr>
                <w:rFonts w:hint="eastAsia" w:ascii="Times New Roman" w:hAnsi="Times New Roman" w:eastAsia="宋体" w:cs="Times New Roman"/>
                <w:color w:val="auto"/>
                <w:sz w:val="21"/>
                <w:szCs w:val="21"/>
                <w:highlight w:val="none"/>
                <w:lang w:eastAsia="zh-CN"/>
              </w:rPr>
              <w:t>；</w:t>
            </w:r>
          </w:p>
          <w:p w14:paraId="5474D9D4">
            <w:pPr>
              <w:pStyle w:val="99"/>
              <w:adjustRightInd w:val="0"/>
              <w:snapToGrid w:val="0"/>
              <w:jc w:val="left"/>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、委托有资质单位</w:t>
            </w:r>
            <w:r>
              <w:rPr>
                <w:rFonts w:hint="eastAsia" w:ascii="Times New Roman" w:hAnsi="Times New Roman" w:eastAsia="宋体" w:cs="Times New Roman"/>
                <w:color w:val="auto"/>
                <w:sz w:val="21"/>
                <w:szCs w:val="21"/>
                <w:highlight w:val="none"/>
                <w:lang w:val="en-US" w:eastAsia="zh-CN"/>
              </w:rPr>
              <w:t>对</w:t>
            </w:r>
            <w:r>
              <w:rPr>
                <w:rFonts w:hint="default" w:ascii="Times New Roman" w:hAnsi="Times New Roman" w:eastAsia="宋体" w:cs="Times New Roman"/>
                <w:color w:val="auto"/>
                <w:sz w:val="21"/>
                <w:szCs w:val="21"/>
                <w:highlight w:val="none"/>
              </w:rPr>
              <w:t>突发环境事件应急预案</w:t>
            </w:r>
            <w:r>
              <w:rPr>
                <w:rFonts w:hint="eastAsia" w:ascii="Times New Roman" w:hAnsi="Times New Roman" w:eastAsia="宋体" w:cs="Times New Roman"/>
                <w:color w:val="auto"/>
                <w:sz w:val="21"/>
                <w:szCs w:val="21"/>
                <w:highlight w:val="none"/>
                <w:lang w:val="en-US" w:eastAsia="zh-CN"/>
              </w:rPr>
              <w:t>进行修编</w:t>
            </w:r>
            <w:r>
              <w:rPr>
                <w:rFonts w:hint="eastAsia" w:eastAsia="宋体" w:cs="Times New Roman"/>
                <w:color w:val="auto"/>
                <w:sz w:val="21"/>
                <w:szCs w:val="21"/>
                <w:highlight w:val="none"/>
                <w:lang w:val="en-US" w:eastAsia="zh-CN"/>
              </w:rPr>
              <w:t>；</w:t>
            </w:r>
          </w:p>
          <w:p w14:paraId="70FE037A">
            <w:pPr>
              <w:pStyle w:val="99"/>
              <w:adjustRightInd w:val="0"/>
              <w:snapToGrid w:val="0"/>
              <w:jc w:val="left"/>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4、按照应急预案要求</w:t>
            </w:r>
            <w:r>
              <w:rPr>
                <w:rFonts w:hint="default" w:ascii="Times New Roman" w:hAnsi="Times New Roman" w:eastAsia="宋体" w:cs="Times New Roman"/>
                <w:color w:val="auto"/>
                <w:sz w:val="21"/>
                <w:szCs w:val="21"/>
                <w:highlight w:val="none"/>
              </w:rPr>
              <w:t>定期进行应急演练。</w:t>
            </w:r>
          </w:p>
        </w:tc>
      </w:tr>
      <w:tr w14:paraId="617EB8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87" w:type="dxa"/>
            <w:noWrap w:val="0"/>
            <w:vAlign w:val="center"/>
          </w:tcPr>
          <w:p w14:paraId="29809373">
            <w:pPr>
              <w:adjustRightInd w:val="0"/>
              <w:snapToGrid w:val="0"/>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其他环境</w:t>
            </w:r>
          </w:p>
          <w:p w14:paraId="3BD0600A">
            <w:pPr>
              <w:adjustRightInd w:val="0"/>
              <w:snapToGrid w:val="0"/>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管理要求</w:t>
            </w:r>
          </w:p>
        </w:tc>
        <w:tc>
          <w:tcPr>
            <w:tcW w:w="7840" w:type="dxa"/>
            <w:gridSpan w:val="4"/>
            <w:noWrap w:val="0"/>
            <w:vAlign w:val="center"/>
          </w:tcPr>
          <w:p w14:paraId="06F7EF63">
            <w:pPr>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r>
              <w:rPr>
                <w:rFonts w:hint="eastAsia" w:ascii="Times New Roman" w:hAnsi="Times New Roman" w:eastAsia="宋体" w:cs="Times New Roman"/>
                <w:color w:val="auto"/>
                <w:sz w:val="21"/>
                <w:szCs w:val="21"/>
                <w:highlight w:val="none"/>
                <w:lang w:val="en-US" w:eastAsia="zh-CN"/>
              </w:rPr>
              <w:t>全厂</w:t>
            </w:r>
            <w:r>
              <w:rPr>
                <w:rFonts w:hint="default" w:ascii="Times New Roman" w:hAnsi="Times New Roman" w:eastAsia="宋体" w:cs="Times New Roman"/>
                <w:color w:val="auto"/>
                <w:sz w:val="21"/>
                <w:szCs w:val="21"/>
                <w:highlight w:val="none"/>
                <w:lang w:val="en-US" w:eastAsia="zh-CN"/>
              </w:rPr>
              <w:t>卫生防护距离为</w:t>
            </w:r>
            <w:r>
              <w:rPr>
                <w:rFonts w:hint="eastAsia" w:ascii="Times New Roman" w:hAnsi="Times New Roman" w:eastAsia="宋体" w:cs="Times New Roman"/>
                <w:color w:val="auto"/>
                <w:sz w:val="21"/>
                <w:szCs w:val="21"/>
                <w:highlight w:val="none"/>
                <w:lang w:val="en-US" w:eastAsia="zh-CN"/>
              </w:rPr>
              <w:t>厂房一</w:t>
            </w:r>
            <w:r>
              <w:rPr>
                <w:rFonts w:hint="default" w:ascii="Times New Roman" w:hAnsi="Times New Roman" w:eastAsia="宋体" w:cs="Times New Roman"/>
                <w:color w:val="auto"/>
                <w:sz w:val="21"/>
                <w:szCs w:val="21"/>
                <w:highlight w:val="none"/>
                <w:lang w:val="en-US" w:eastAsia="zh-CN"/>
              </w:rPr>
              <w:t>边界向外扩50m、</w:t>
            </w:r>
            <w:r>
              <w:rPr>
                <w:rFonts w:hint="eastAsia" w:ascii="Times New Roman" w:hAnsi="Times New Roman" w:eastAsia="宋体" w:cs="Times New Roman"/>
                <w:color w:val="auto"/>
                <w:sz w:val="21"/>
                <w:szCs w:val="21"/>
                <w:highlight w:val="none"/>
                <w:lang w:val="en-US" w:eastAsia="zh-CN"/>
              </w:rPr>
              <w:t>厂房二</w:t>
            </w:r>
            <w:r>
              <w:rPr>
                <w:rFonts w:hint="default" w:ascii="Times New Roman" w:hAnsi="Times New Roman" w:eastAsia="宋体" w:cs="Times New Roman"/>
                <w:color w:val="auto"/>
                <w:sz w:val="21"/>
                <w:szCs w:val="21"/>
                <w:highlight w:val="none"/>
                <w:lang w:val="en-US" w:eastAsia="zh-CN"/>
              </w:rPr>
              <w:t>边界向外扩50m、</w:t>
            </w:r>
            <w:r>
              <w:rPr>
                <w:rFonts w:hint="eastAsia" w:ascii="Times New Roman" w:hAnsi="Times New Roman" w:eastAsia="宋体" w:cs="Times New Roman"/>
                <w:color w:val="auto"/>
                <w:sz w:val="21"/>
                <w:szCs w:val="21"/>
                <w:highlight w:val="none"/>
                <w:lang w:val="en-US" w:eastAsia="zh-CN"/>
              </w:rPr>
              <w:t>车间三</w:t>
            </w:r>
            <w:r>
              <w:rPr>
                <w:rFonts w:hint="default" w:ascii="Times New Roman" w:hAnsi="Times New Roman" w:eastAsia="宋体" w:cs="Times New Roman"/>
                <w:color w:val="auto"/>
                <w:sz w:val="21"/>
                <w:szCs w:val="21"/>
                <w:highlight w:val="none"/>
                <w:lang w:val="en-US" w:eastAsia="zh-CN"/>
              </w:rPr>
              <w:t>边界向外扩50m</w:t>
            </w:r>
            <w:r>
              <w:rPr>
                <w:rFonts w:hint="eastAsia" w:ascii="Times New Roman" w:hAnsi="Times New Roman" w:eastAsia="宋体" w:cs="Times New Roman"/>
                <w:color w:val="auto"/>
                <w:sz w:val="21"/>
                <w:szCs w:val="21"/>
                <w:highlight w:val="none"/>
                <w:lang w:val="en-US" w:eastAsia="zh-CN"/>
              </w:rPr>
              <w:t>、车间四</w:t>
            </w:r>
            <w:r>
              <w:rPr>
                <w:rFonts w:hint="default" w:ascii="Times New Roman" w:hAnsi="Times New Roman" w:eastAsia="宋体" w:cs="Times New Roman"/>
                <w:color w:val="auto"/>
                <w:sz w:val="21"/>
                <w:szCs w:val="21"/>
                <w:highlight w:val="none"/>
                <w:lang w:val="en-US" w:eastAsia="zh-CN"/>
              </w:rPr>
              <w:t>边界向外扩50m、</w:t>
            </w:r>
            <w:r>
              <w:rPr>
                <w:rFonts w:hint="eastAsia" w:ascii="Times New Roman" w:hAnsi="Times New Roman" w:eastAsia="宋体" w:cs="Times New Roman"/>
                <w:color w:val="auto"/>
                <w:sz w:val="21"/>
                <w:szCs w:val="21"/>
                <w:highlight w:val="none"/>
                <w:lang w:val="en-US" w:eastAsia="zh-CN"/>
              </w:rPr>
              <w:t>车间五</w:t>
            </w:r>
            <w:r>
              <w:rPr>
                <w:rFonts w:hint="default" w:ascii="Times New Roman" w:hAnsi="Times New Roman" w:eastAsia="宋体" w:cs="Times New Roman"/>
                <w:color w:val="auto"/>
                <w:sz w:val="21"/>
                <w:szCs w:val="21"/>
                <w:highlight w:val="none"/>
                <w:lang w:val="en-US" w:eastAsia="zh-CN"/>
              </w:rPr>
              <w:t>边界向外扩50m形成的</w:t>
            </w:r>
            <w:r>
              <w:rPr>
                <w:rFonts w:hint="eastAsia" w:ascii="Times New Roman" w:hAnsi="Times New Roman" w:eastAsia="宋体" w:cs="Times New Roman"/>
                <w:color w:val="auto"/>
                <w:sz w:val="21"/>
                <w:szCs w:val="21"/>
                <w:highlight w:val="none"/>
                <w:lang w:val="en-US" w:eastAsia="zh-CN"/>
              </w:rPr>
              <w:t>包络线范围</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Cs/>
                <w:color w:val="auto"/>
                <w:sz w:val="21"/>
                <w:szCs w:val="21"/>
                <w:highlight w:val="none"/>
              </w:rPr>
              <w:t>该范围内目前无居民、学校等环境敏感保护目标，可满足卫生防护距离设置要求，将来在该范围内也不得新建居民、学校、医院等属于环境保护目标的项目</w:t>
            </w:r>
            <w:r>
              <w:rPr>
                <w:rFonts w:hint="default" w:ascii="Times New Roman" w:hAnsi="Times New Roman" w:eastAsia="宋体" w:cs="Times New Roman"/>
                <w:color w:val="auto"/>
                <w:sz w:val="21"/>
                <w:szCs w:val="21"/>
                <w:highlight w:val="none"/>
              </w:rPr>
              <w:t>；</w:t>
            </w:r>
          </w:p>
          <w:p w14:paraId="14B1F3BD">
            <w:pPr>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2、项目正式运行时需签订一般固废处置协议、危险</w:t>
            </w:r>
            <w:r>
              <w:rPr>
                <w:rFonts w:hint="eastAsia" w:ascii="Times New Roman" w:hAnsi="Times New Roman" w:eastAsia="宋体" w:cs="Times New Roman"/>
                <w:color w:val="auto"/>
                <w:sz w:val="21"/>
                <w:szCs w:val="21"/>
                <w:highlight w:val="none"/>
                <w:lang w:val="en-US" w:eastAsia="zh-CN"/>
              </w:rPr>
              <w:t>废物</w:t>
            </w:r>
            <w:r>
              <w:rPr>
                <w:rFonts w:hint="default" w:ascii="Times New Roman" w:hAnsi="Times New Roman" w:eastAsia="宋体" w:cs="Times New Roman"/>
                <w:color w:val="auto"/>
                <w:sz w:val="21"/>
                <w:szCs w:val="21"/>
                <w:highlight w:val="none"/>
              </w:rPr>
              <w:t>处置协议；</w:t>
            </w:r>
          </w:p>
          <w:p w14:paraId="3A260656">
            <w:pPr>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3、落实危险固废台账等要求</w:t>
            </w:r>
            <w:r>
              <w:rPr>
                <w:rFonts w:hint="default" w:ascii="Times New Roman" w:hAnsi="Times New Roman" w:cs="Times New Roman"/>
                <w:color w:val="auto"/>
                <w:sz w:val="21"/>
                <w:szCs w:val="21"/>
                <w:highlight w:val="none"/>
              </w:rPr>
              <w:t>；</w:t>
            </w:r>
          </w:p>
          <w:p w14:paraId="01C26433">
            <w:pPr>
              <w:jc w:val="left"/>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4、落实本报告的例行监测要求</w:t>
            </w:r>
            <w:r>
              <w:rPr>
                <w:rFonts w:hint="eastAsia" w:ascii="Times New Roman" w:hAnsi="Times New Roman" w:eastAsia="宋体" w:cs="Times New Roman"/>
                <w:color w:val="auto"/>
                <w:sz w:val="21"/>
                <w:szCs w:val="21"/>
                <w:highlight w:val="none"/>
                <w:lang w:eastAsia="zh-CN"/>
              </w:rPr>
              <w:t>。</w:t>
            </w:r>
          </w:p>
        </w:tc>
      </w:tr>
    </w:tbl>
    <w:p w14:paraId="5B9057D6">
      <w:pPr>
        <w:pStyle w:val="25"/>
        <w:spacing w:before="0" w:beforeAutospacing="0" w:after="0" w:afterAutospacing="0"/>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cs="Times New Roman"/>
          <w:snapToGrid w:val="0"/>
          <w:color w:val="auto"/>
        </w:rPr>
        <w:br w:type="page"/>
      </w:r>
      <w:bookmarkStart w:id="12" w:name="_Toc25396"/>
      <w:bookmarkStart w:id="13" w:name="_Toc28394"/>
      <w:r>
        <w:rPr>
          <w:rFonts w:hint="default" w:ascii="Times New Roman" w:hAnsi="Times New Roman" w:eastAsia="黑体" w:cs="Times New Roman"/>
          <w:snapToGrid w:val="0"/>
          <w:color w:val="auto"/>
          <w:sz w:val="30"/>
          <w:szCs w:val="30"/>
        </w:rPr>
        <w:t>六、结论</w:t>
      </w:r>
      <w:bookmarkEnd w:id="12"/>
      <w:bookmarkEnd w:id="13"/>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95AB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9" w:hRule="atLeast"/>
          <w:jc w:val="center"/>
        </w:trPr>
        <w:tc>
          <w:tcPr>
            <w:tcW w:w="8865" w:type="dxa"/>
          </w:tcPr>
          <w:p w14:paraId="3C03B4E4">
            <w:pPr>
              <w:adjustRightInd w:val="0"/>
              <w:snapToGrid w:val="0"/>
              <w:spacing w:line="500" w:lineRule="exact"/>
              <w:ind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本项目符合国家、地方法律法规产业政策和“三线一单”要求；符合相关规划，选址合理；项目产生的各项污染物采取合理有效的治理措施后均可得到有效处置，实现达标排放，对外环境的影响较小，不会造成区域环境质量下降；本项目建成后排放的各类污染物可以在区域内实现平衡；在做好各项风险防范及应急措施的前提下本项目的环境风险可</w:t>
            </w:r>
            <w:r>
              <w:rPr>
                <w:rFonts w:hint="eastAsia" w:cs="Times New Roman"/>
                <w:color w:val="auto"/>
                <w:sz w:val="24"/>
                <w:lang w:val="en-US" w:eastAsia="zh-CN"/>
              </w:rPr>
              <w:t>控</w:t>
            </w:r>
            <w:r>
              <w:rPr>
                <w:rFonts w:hint="default" w:ascii="Times New Roman" w:hAnsi="Times New Roman" w:cs="Times New Roman"/>
                <w:color w:val="auto"/>
                <w:sz w:val="24"/>
              </w:rPr>
              <w:t>。</w:t>
            </w:r>
          </w:p>
          <w:p w14:paraId="30B9B77D">
            <w:pPr>
              <w:adjustRightInd w:val="0"/>
              <w:snapToGrid w:val="0"/>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因此，建设单位在重视环保工作，落实本报告表提出的各项环保措施要求、严格执行环保“三同时”的前提下，从环保角度分析，本项目建设具有环境可行性。</w:t>
            </w:r>
          </w:p>
        </w:tc>
      </w:tr>
    </w:tbl>
    <w:p w14:paraId="62F2963E">
      <w:pPr>
        <w:rPr>
          <w:rFonts w:hint="default" w:ascii="Times New Roman" w:hAnsi="Times New Roman" w:cs="Times New Roman"/>
          <w:color w:val="auto"/>
        </w:rPr>
      </w:pPr>
    </w:p>
    <w:p w14:paraId="18A761B1">
      <w:pPr>
        <w:keepNext w:val="0"/>
        <w:keepLines w:val="0"/>
        <w:pageBreakBefore w:val="0"/>
        <w:widowControl w:val="0"/>
        <w:kinsoku/>
        <w:wordWrap/>
        <w:overflowPunct/>
        <w:topLinePunct w:val="0"/>
        <w:autoSpaceDE/>
        <w:autoSpaceDN/>
        <w:bidi w:val="0"/>
        <w:adjustRightInd w:val="0"/>
        <w:snapToGrid w:val="0"/>
        <w:spacing w:line="480" w:lineRule="exact"/>
        <w:textAlignment w:val="auto"/>
        <w:outlineLvl w:val="9"/>
        <w:rPr>
          <w:rFonts w:hint="default" w:ascii="Times New Roman" w:hAnsi="Times New Roman" w:cs="Times New Roman"/>
          <w:color w:val="auto"/>
        </w:rPr>
      </w:pPr>
    </w:p>
    <w:p w14:paraId="336CB87E">
      <w:pPr>
        <w:rPr>
          <w:rFonts w:hint="default" w:ascii="Times New Roman" w:hAnsi="Times New Roman" w:cs="Times New Roman"/>
          <w:color w:val="auto"/>
        </w:rPr>
      </w:pPr>
    </w:p>
    <w:p w14:paraId="647E2381">
      <w:pPr>
        <w:rPr>
          <w:rFonts w:hint="default" w:ascii="Times New Roman" w:hAnsi="Times New Roman" w:cs="Times New Roman"/>
          <w:color w:val="auto"/>
        </w:rPr>
        <w:sectPr>
          <w:pgSz w:w="11906" w:h="16838"/>
          <w:pgMar w:top="1417" w:right="1417" w:bottom="1417" w:left="1417" w:header="851" w:footer="1134" w:gutter="0"/>
          <w:pgBorders>
            <w:top w:val="none" w:sz="0" w:space="0"/>
            <w:left w:val="none" w:sz="0" w:space="0"/>
            <w:bottom w:val="none" w:sz="0" w:space="0"/>
            <w:right w:val="none" w:sz="0" w:space="0"/>
          </w:pgBorders>
          <w:pgNumType w:fmt="decimal"/>
          <w:cols w:space="720" w:num="1"/>
          <w:docGrid w:linePitch="312" w:charSpace="0"/>
        </w:sectPr>
      </w:pPr>
    </w:p>
    <w:p w14:paraId="3409FE4C">
      <w:pPr>
        <w:pStyle w:val="25"/>
        <w:adjustRightInd w:val="0"/>
        <w:snapToGrid w:val="0"/>
        <w:spacing w:before="0" w:beforeAutospacing="0" w:after="0" w:afterAutospacing="0"/>
        <w:contextualSpacing/>
        <w:outlineLvl w:val="0"/>
        <w:rPr>
          <w:rFonts w:hint="default" w:ascii="Times New Roman" w:hAnsi="Times New Roman" w:eastAsia="黑体" w:cs="Times New Roman"/>
          <w:snapToGrid w:val="0"/>
          <w:color w:val="auto"/>
          <w:sz w:val="32"/>
          <w:szCs w:val="32"/>
        </w:rPr>
      </w:pPr>
      <w:bookmarkStart w:id="14" w:name="_Toc6584"/>
      <w:bookmarkStart w:id="15" w:name="_Toc28492"/>
      <w:r>
        <w:rPr>
          <w:rFonts w:hint="default" w:ascii="Times New Roman" w:hAnsi="Times New Roman" w:eastAsia="黑体" w:cs="Times New Roman"/>
          <w:snapToGrid w:val="0"/>
          <w:color w:val="auto"/>
          <w:sz w:val="32"/>
          <w:szCs w:val="32"/>
        </w:rPr>
        <w:t>附表</w:t>
      </w:r>
      <w:bookmarkEnd w:id="14"/>
      <w:bookmarkEnd w:id="15"/>
    </w:p>
    <w:p w14:paraId="1141C9BE">
      <w:pPr>
        <w:pStyle w:val="25"/>
        <w:adjustRightInd w:val="0"/>
        <w:snapToGrid w:val="0"/>
        <w:spacing w:before="0" w:beforeAutospacing="0" w:after="0" w:afterAutospacing="0"/>
        <w:contextualSpacing/>
        <w:jc w:val="center"/>
        <w:outlineLvl w:val="0"/>
        <w:rPr>
          <w:rFonts w:hint="default" w:ascii="Times New Roman" w:hAnsi="Times New Roman" w:eastAsia="方正小标宋_GBK" w:cs="Times New Roman"/>
          <w:snapToGrid w:val="0"/>
          <w:color w:val="auto"/>
          <w:sz w:val="38"/>
          <w:szCs w:val="38"/>
        </w:rPr>
      </w:pPr>
      <w:bookmarkStart w:id="16" w:name="_Toc380"/>
      <w:bookmarkStart w:id="17" w:name="_Toc169"/>
      <w:r>
        <w:rPr>
          <w:rFonts w:hint="default" w:ascii="Times New Roman" w:hAnsi="Times New Roman" w:eastAsia="方正小标宋_GBK" w:cs="Times New Roman"/>
          <w:snapToGrid w:val="0"/>
          <w:color w:val="auto"/>
          <w:sz w:val="38"/>
          <w:szCs w:val="38"/>
        </w:rPr>
        <w:t>建设项目污染物排放量汇总表</w:t>
      </w:r>
      <w:bookmarkEnd w:id="16"/>
      <w:bookmarkEnd w:id="17"/>
    </w:p>
    <w:tbl>
      <w:tblPr>
        <w:tblStyle w:val="31"/>
        <w:tblW w:w="13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638"/>
        <w:gridCol w:w="1263"/>
        <w:gridCol w:w="1701"/>
        <w:gridCol w:w="1523"/>
        <w:gridCol w:w="1454"/>
        <w:gridCol w:w="1559"/>
        <w:gridCol w:w="1427"/>
        <w:gridCol w:w="1639"/>
        <w:gridCol w:w="1430"/>
      </w:tblGrid>
      <w:tr w14:paraId="061E3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blHeader/>
          <w:jc w:val="center"/>
        </w:trPr>
        <w:tc>
          <w:tcPr>
            <w:tcW w:w="1104" w:type="dxa"/>
            <w:tcBorders>
              <w:tl2br w:val="single" w:color="auto" w:sz="4" w:space="0"/>
            </w:tcBorders>
            <w:tcMar>
              <w:left w:w="28" w:type="dxa"/>
              <w:right w:w="28" w:type="dxa"/>
            </w:tcMar>
            <w:vAlign w:val="center"/>
          </w:tcPr>
          <w:p w14:paraId="3BBD9421">
            <w:pPr>
              <w:pStyle w:val="4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right"/>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项目</w:t>
            </w:r>
          </w:p>
          <w:p w14:paraId="4A89AB33">
            <w:pPr>
              <w:pStyle w:val="4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left"/>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分类</w:t>
            </w:r>
          </w:p>
        </w:tc>
        <w:tc>
          <w:tcPr>
            <w:tcW w:w="1901" w:type="dxa"/>
            <w:gridSpan w:val="2"/>
            <w:tcMar>
              <w:left w:w="28" w:type="dxa"/>
              <w:right w:w="28" w:type="dxa"/>
            </w:tcMar>
            <w:vAlign w:val="center"/>
          </w:tcPr>
          <w:p w14:paraId="126A61E2">
            <w:pPr>
              <w:pStyle w:val="4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污染物名称</w:t>
            </w:r>
          </w:p>
        </w:tc>
        <w:tc>
          <w:tcPr>
            <w:tcW w:w="1701" w:type="dxa"/>
            <w:tcMar>
              <w:left w:w="28" w:type="dxa"/>
              <w:right w:w="28" w:type="dxa"/>
            </w:tcMar>
            <w:vAlign w:val="center"/>
          </w:tcPr>
          <w:p w14:paraId="2CC9EC54">
            <w:pPr>
              <w:pStyle w:val="4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现有工程</w:t>
            </w:r>
          </w:p>
          <w:p w14:paraId="4F86C09B">
            <w:pPr>
              <w:pStyle w:val="4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排放量（固体废物产生量）</w:t>
            </w: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1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kern w:val="2"/>
                <w:sz w:val="21"/>
                <w:szCs w:val="21"/>
              </w:rPr>
              <w:t>①</w:t>
            </w:r>
            <w:r>
              <w:rPr>
                <w:rFonts w:hint="default" w:ascii="Times New Roman" w:hAnsi="Times New Roman" w:eastAsia="黑体" w:cs="Times New Roman"/>
                <w:snapToGrid w:val="0"/>
                <w:color w:val="auto"/>
                <w:spacing w:val="-6"/>
                <w:kern w:val="21"/>
                <w:sz w:val="21"/>
                <w:szCs w:val="21"/>
              </w:rPr>
              <w:fldChar w:fldCharType="end"/>
            </w:r>
          </w:p>
        </w:tc>
        <w:tc>
          <w:tcPr>
            <w:tcW w:w="1523" w:type="dxa"/>
            <w:tcMar>
              <w:left w:w="28" w:type="dxa"/>
              <w:right w:w="28" w:type="dxa"/>
            </w:tcMar>
            <w:vAlign w:val="center"/>
          </w:tcPr>
          <w:p w14:paraId="5930E253">
            <w:pPr>
              <w:pStyle w:val="4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现有工程</w:t>
            </w:r>
          </w:p>
          <w:p w14:paraId="4B45640C">
            <w:pPr>
              <w:pStyle w:val="4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许可排放量</w:t>
            </w:r>
          </w:p>
          <w:p w14:paraId="7E808D8B">
            <w:pPr>
              <w:pStyle w:val="48"/>
              <w:keepNext w:val="0"/>
              <w:keepLines w:val="0"/>
              <w:pageBreakBefore w:val="0"/>
              <w:widowControl w:val="0"/>
              <w:kinsoku/>
              <w:wordWrap/>
              <w:overflowPunct/>
              <w:topLinePunct w:val="0"/>
              <w:autoSpaceDE/>
              <w:autoSpaceDN/>
              <w:bidi w:val="0"/>
              <w:adjustRightInd w:val="0"/>
              <w:snapToGrid w:val="0"/>
              <w:spacing w:beforeLines="0" w:afterLines="0"/>
              <w:ind w:firstLine="0" w:firstLineChars="0"/>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2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snapToGrid w:val="0"/>
                <w:color w:val="auto"/>
                <w:spacing w:val="-6"/>
                <w:kern w:val="21"/>
                <w:sz w:val="21"/>
                <w:szCs w:val="21"/>
              </w:rPr>
              <w:t>②</w:t>
            </w:r>
            <w:r>
              <w:rPr>
                <w:rFonts w:hint="default" w:ascii="Times New Roman" w:hAnsi="Times New Roman" w:eastAsia="黑体" w:cs="Times New Roman"/>
                <w:snapToGrid w:val="0"/>
                <w:color w:val="auto"/>
                <w:spacing w:val="-6"/>
                <w:kern w:val="21"/>
                <w:sz w:val="21"/>
                <w:szCs w:val="21"/>
              </w:rPr>
              <w:fldChar w:fldCharType="end"/>
            </w:r>
          </w:p>
        </w:tc>
        <w:tc>
          <w:tcPr>
            <w:tcW w:w="1454" w:type="dxa"/>
            <w:tcMar>
              <w:left w:w="28" w:type="dxa"/>
              <w:right w:w="28" w:type="dxa"/>
            </w:tcMar>
            <w:vAlign w:val="center"/>
          </w:tcPr>
          <w:p w14:paraId="3E1EE005">
            <w:pPr>
              <w:pStyle w:val="4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在建工程</w:t>
            </w:r>
          </w:p>
          <w:p w14:paraId="58771087">
            <w:pPr>
              <w:pStyle w:val="4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排放量（固体废物产生量）</w:t>
            </w: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3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kern w:val="2"/>
                <w:sz w:val="21"/>
                <w:szCs w:val="21"/>
              </w:rPr>
              <w:t>③</w:t>
            </w:r>
            <w:r>
              <w:rPr>
                <w:rFonts w:hint="default" w:ascii="Times New Roman" w:hAnsi="Times New Roman" w:eastAsia="黑体" w:cs="Times New Roman"/>
                <w:snapToGrid w:val="0"/>
                <w:color w:val="auto"/>
                <w:spacing w:val="-6"/>
                <w:kern w:val="21"/>
                <w:sz w:val="21"/>
                <w:szCs w:val="21"/>
              </w:rPr>
              <w:fldChar w:fldCharType="end"/>
            </w:r>
          </w:p>
        </w:tc>
        <w:tc>
          <w:tcPr>
            <w:tcW w:w="1559" w:type="dxa"/>
            <w:tcMar>
              <w:left w:w="28" w:type="dxa"/>
              <w:right w:w="28" w:type="dxa"/>
            </w:tcMar>
            <w:vAlign w:val="center"/>
          </w:tcPr>
          <w:p w14:paraId="57B70F81">
            <w:pPr>
              <w:pStyle w:val="4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本项目</w:t>
            </w:r>
          </w:p>
          <w:p w14:paraId="69FDFDDF">
            <w:pPr>
              <w:pStyle w:val="4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排放量（固体废物产生量）</w:t>
            </w: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4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kern w:val="2"/>
                <w:sz w:val="21"/>
                <w:szCs w:val="21"/>
              </w:rPr>
              <w:t>④</w:t>
            </w:r>
            <w:r>
              <w:rPr>
                <w:rFonts w:hint="default" w:ascii="Times New Roman" w:hAnsi="Times New Roman" w:eastAsia="黑体" w:cs="Times New Roman"/>
                <w:snapToGrid w:val="0"/>
                <w:color w:val="auto"/>
                <w:spacing w:val="-6"/>
                <w:kern w:val="21"/>
                <w:sz w:val="21"/>
                <w:szCs w:val="21"/>
              </w:rPr>
              <w:fldChar w:fldCharType="end"/>
            </w:r>
          </w:p>
        </w:tc>
        <w:tc>
          <w:tcPr>
            <w:tcW w:w="1427" w:type="dxa"/>
            <w:tcMar>
              <w:left w:w="28" w:type="dxa"/>
              <w:right w:w="28" w:type="dxa"/>
            </w:tcMar>
            <w:vAlign w:val="center"/>
          </w:tcPr>
          <w:p w14:paraId="00469206">
            <w:pPr>
              <w:pStyle w:val="4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auto"/>
                <w:spacing w:val="-16"/>
                <w:kern w:val="21"/>
                <w:sz w:val="21"/>
                <w:szCs w:val="21"/>
              </w:rPr>
            </w:pPr>
            <w:r>
              <w:rPr>
                <w:rFonts w:hint="default" w:ascii="Times New Roman" w:hAnsi="Times New Roman" w:eastAsia="黑体" w:cs="Times New Roman"/>
                <w:snapToGrid w:val="0"/>
                <w:color w:val="auto"/>
                <w:spacing w:val="-16"/>
                <w:kern w:val="21"/>
                <w:sz w:val="21"/>
                <w:szCs w:val="21"/>
              </w:rPr>
              <w:t>以新带老削减量</w:t>
            </w:r>
          </w:p>
          <w:p w14:paraId="1A222D26">
            <w:pPr>
              <w:pStyle w:val="4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auto"/>
                <w:spacing w:val="-16"/>
                <w:kern w:val="21"/>
                <w:sz w:val="21"/>
                <w:szCs w:val="21"/>
              </w:rPr>
            </w:pPr>
            <w:r>
              <w:rPr>
                <w:rFonts w:hint="default" w:ascii="Times New Roman" w:hAnsi="Times New Roman" w:eastAsia="黑体" w:cs="Times New Roman"/>
                <w:snapToGrid w:val="0"/>
                <w:color w:val="auto"/>
                <w:spacing w:val="-16"/>
                <w:kern w:val="21"/>
                <w:sz w:val="21"/>
                <w:szCs w:val="21"/>
              </w:rPr>
              <w:t>（新建项目不填）</w:t>
            </w:r>
            <w:r>
              <w:rPr>
                <w:rFonts w:hint="default" w:ascii="Times New Roman" w:hAnsi="Times New Roman" w:eastAsia="黑体" w:cs="Times New Roman"/>
                <w:snapToGrid w:val="0"/>
                <w:color w:val="auto"/>
                <w:spacing w:val="-16"/>
                <w:kern w:val="21"/>
                <w:sz w:val="21"/>
                <w:szCs w:val="21"/>
              </w:rPr>
              <w:fldChar w:fldCharType="begin"/>
            </w:r>
            <w:r>
              <w:rPr>
                <w:rFonts w:hint="default" w:ascii="Times New Roman" w:hAnsi="Times New Roman" w:eastAsia="黑体" w:cs="Times New Roman"/>
                <w:snapToGrid w:val="0"/>
                <w:color w:val="auto"/>
                <w:spacing w:val="-16"/>
                <w:kern w:val="21"/>
                <w:sz w:val="21"/>
                <w:szCs w:val="21"/>
              </w:rPr>
              <w:instrText xml:space="preserve"> = 5 \* GB3 \* MERGEFORMAT </w:instrText>
            </w:r>
            <w:r>
              <w:rPr>
                <w:rFonts w:hint="default" w:ascii="Times New Roman" w:hAnsi="Times New Roman" w:eastAsia="黑体" w:cs="Times New Roman"/>
                <w:snapToGrid w:val="0"/>
                <w:color w:val="auto"/>
                <w:spacing w:val="-16"/>
                <w:kern w:val="21"/>
                <w:sz w:val="21"/>
                <w:szCs w:val="21"/>
              </w:rPr>
              <w:fldChar w:fldCharType="separate"/>
            </w:r>
            <w:r>
              <w:rPr>
                <w:rFonts w:hint="default" w:ascii="Times New Roman" w:hAnsi="Times New Roman" w:eastAsia="黑体" w:cs="Times New Roman"/>
                <w:color w:val="auto"/>
                <w:kern w:val="2"/>
                <w:sz w:val="21"/>
                <w:szCs w:val="21"/>
              </w:rPr>
              <w:t>⑤</w:t>
            </w:r>
            <w:r>
              <w:rPr>
                <w:rFonts w:hint="default" w:ascii="Times New Roman" w:hAnsi="Times New Roman" w:eastAsia="黑体" w:cs="Times New Roman"/>
                <w:snapToGrid w:val="0"/>
                <w:color w:val="auto"/>
                <w:spacing w:val="-16"/>
                <w:kern w:val="21"/>
                <w:sz w:val="21"/>
                <w:szCs w:val="21"/>
              </w:rPr>
              <w:fldChar w:fldCharType="end"/>
            </w:r>
          </w:p>
        </w:tc>
        <w:tc>
          <w:tcPr>
            <w:tcW w:w="1639" w:type="dxa"/>
            <w:tcMar>
              <w:left w:w="28" w:type="dxa"/>
              <w:right w:w="28" w:type="dxa"/>
            </w:tcMar>
            <w:vAlign w:val="center"/>
          </w:tcPr>
          <w:p w14:paraId="6FF7558C">
            <w:pPr>
              <w:pStyle w:val="4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auto"/>
                <w:spacing w:val="-16"/>
                <w:kern w:val="21"/>
                <w:sz w:val="21"/>
                <w:szCs w:val="21"/>
              </w:rPr>
            </w:pPr>
            <w:r>
              <w:rPr>
                <w:rFonts w:hint="default" w:ascii="Times New Roman" w:hAnsi="Times New Roman" w:eastAsia="黑体" w:cs="Times New Roman"/>
                <w:snapToGrid w:val="0"/>
                <w:color w:val="auto"/>
                <w:spacing w:val="-16"/>
                <w:kern w:val="21"/>
                <w:sz w:val="21"/>
                <w:szCs w:val="21"/>
              </w:rPr>
              <w:t>本项目建成后</w:t>
            </w:r>
          </w:p>
          <w:p w14:paraId="2B4D3EF2">
            <w:pPr>
              <w:pStyle w:val="4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auto"/>
                <w:spacing w:val="-16"/>
                <w:kern w:val="21"/>
                <w:sz w:val="21"/>
                <w:szCs w:val="21"/>
              </w:rPr>
            </w:pPr>
            <w:r>
              <w:rPr>
                <w:rFonts w:hint="default" w:ascii="Times New Roman" w:hAnsi="Times New Roman" w:eastAsia="黑体" w:cs="Times New Roman"/>
                <w:snapToGrid w:val="0"/>
                <w:color w:val="auto"/>
                <w:spacing w:val="-16"/>
                <w:kern w:val="21"/>
                <w:sz w:val="21"/>
                <w:szCs w:val="21"/>
              </w:rPr>
              <w:t>全厂排放量（固体废物产生量）</w:t>
            </w:r>
            <w:r>
              <w:rPr>
                <w:rFonts w:hint="default" w:ascii="Times New Roman" w:hAnsi="Times New Roman" w:eastAsia="黑体" w:cs="Times New Roman"/>
                <w:snapToGrid w:val="0"/>
                <w:color w:val="auto"/>
                <w:spacing w:val="-16"/>
                <w:kern w:val="21"/>
                <w:sz w:val="21"/>
                <w:szCs w:val="21"/>
              </w:rPr>
              <w:fldChar w:fldCharType="begin"/>
            </w:r>
            <w:r>
              <w:rPr>
                <w:rFonts w:hint="default" w:ascii="Times New Roman" w:hAnsi="Times New Roman" w:eastAsia="黑体" w:cs="Times New Roman"/>
                <w:snapToGrid w:val="0"/>
                <w:color w:val="auto"/>
                <w:spacing w:val="-16"/>
                <w:kern w:val="21"/>
                <w:sz w:val="21"/>
                <w:szCs w:val="21"/>
              </w:rPr>
              <w:instrText xml:space="preserve"> = 6 \* GB3 \* MERGEFORMAT </w:instrText>
            </w:r>
            <w:r>
              <w:rPr>
                <w:rFonts w:hint="default" w:ascii="Times New Roman" w:hAnsi="Times New Roman" w:eastAsia="黑体" w:cs="Times New Roman"/>
                <w:snapToGrid w:val="0"/>
                <w:color w:val="auto"/>
                <w:spacing w:val="-16"/>
                <w:kern w:val="21"/>
                <w:sz w:val="21"/>
                <w:szCs w:val="21"/>
              </w:rPr>
              <w:fldChar w:fldCharType="separate"/>
            </w:r>
            <w:r>
              <w:rPr>
                <w:rFonts w:hint="default" w:ascii="Times New Roman" w:hAnsi="Times New Roman" w:eastAsia="黑体" w:cs="Times New Roman"/>
                <w:color w:val="auto"/>
                <w:kern w:val="2"/>
                <w:sz w:val="21"/>
                <w:szCs w:val="21"/>
              </w:rPr>
              <w:t>⑥</w:t>
            </w:r>
            <w:r>
              <w:rPr>
                <w:rFonts w:hint="default" w:ascii="Times New Roman" w:hAnsi="Times New Roman" w:eastAsia="黑体" w:cs="Times New Roman"/>
                <w:snapToGrid w:val="0"/>
                <w:color w:val="auto"/>
                <w:spacing w:val="-16"/>
                <w:kern w:val="21"/>
                <w:sz w:val="21"/>
                <w:szCs w:val="21"/>
              </w:rPr>
              <w:fldChar w:fldCharType="end"/>
            </w:r>
          </w:p>
        </w:tc>
        <w:tc>
          <w:tcPr>
            <w:tcW w:w="1430" w:type="dxa"/>
            <w:tcMar>
              <w:left w:w="28" w:type="dxa"/>
              <w:right w:w="28" w:type="dxa"/>
            </w:tcMar>
            <w:vAlign w:val="center"/>
          </w:tcPr>
          <w:p w14:paraId="590F0840">
            <w:pPr>
              <w:pStyle w:val="4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变化量</w:t>
            </w:r>
          </w:p>
          <w:p w14:paraId="10C73E73">
            <w:pPr>
              <w:pStyle w:val="4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7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kern w:val="2"/>
                <w:sz w:val="21"/>
                <w:szCs w:val="21"/>
              </w:rPr>
              <w:t>⑦</w:t>
            </w:r>
            <w:r>
              <w:rPr>
                <w:rFonts w:hint="default" w:ascii="Times New Roman" w:hAnsi="Times New Roman" w:eastAsia="黑体" w:cs="Times New Roman"/>
                <w:snapToGrid w:val="0"/>
                <w:color w:val="auto"/>
                <w:spacing w:val="-6"/>
                <w:kern w:val="21"/>
                <w:sz w:val="21"/>
                <w:szCs w:val="21"/>
              </w:rPr>
              <w:fldChar w:fldCharType="end"/>
            </w:r>
          </w:p>
        </w:tc>
      </w:tr>
      <w:tr w14:paraId="166A3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restart"/>
            <w:vAlign w:val="center"/>
          </w:tcPr>
          <w:p w14:paraId="2A52BFC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638" w:type="dxa"/>
            <w:vAlign w:val="center"/>
          </w:tcPr>
          <w:p w14:paraId="749A51A9">
            <w:pPr>
              <w:snapToGrid w:val="0"/>
              <w:jc w:val="center"/>
              <w:rPr>
                <w:rFonts w:hint="default" w:ascii="Times New Roman" w:hAnsi="Times New Roman" w:eastAsia="宋体" w:cs="Times New Roman"/>
                <w:color w:val="auto"/>
                <w:kern w:val="2"/>
                <w:sz w:val="21"/>
                <w:szCs w:val="21"/>
                <w:lang w:val="en-US" w:eastAsia="zh-CN" w:bidi="ar-SA"/>
              </w:rPr>
            </w:pPr>
            <w:r>
              <w:rPr>
                <w:szCs w:val="21"/>
              </w:rPr>
              <w:t>有组织</w:t>
            </w:r>
          </w:p>
        </w:tc>
        <w:tc>
          <w:tcPr>
            <w:tcW w:w="1263" w:type="dxa"/>
            <w:vAlign w:val="center"/>
          </w:tcPr>
          <w:p w14:paraId="2EC190DE">
            <w:pPr>
              <w:keepNext w:val="0"/>
              <w:keepLines w:val="0"/>
              <w:pageBreakBefore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非甲烷总烃</w:t>
            </w:r>
          </w:p>
        </w:tc>
        <w:tc>
          <w:tcPr>
            <w:tcW w:w="1701" w:type="dxa"/>
            <w:vAlign w:val="center"/>
          </w:tcPr>
          <w:p w14:paraId="2ACEBA4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2.683</w:t>
            </w:r>
          </w:p>
        </w:tc>
        <w:tc>
          <w:tcPr>
            <w:tcW w:w="1523" w:type="dxa"/>
            <w:vAlign w:val="center"/>
          </w:tcPr>
          <w:p w14:paraId="787908D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s="Times New Roman"/>
                <w:i w:val="0"/>
                <w:iCs w:val="0"/>
                <w:color w:val="auto"/>
                <w:kern w:val="0"/>
                <w:sz w:val="21"/>
                <w:szCs w:val="21"/>
                <w:u w:val="none"/>
                <w:lang w:val="en-US" w:eastAsia="zh-CN" w:bidi="ar"/>
              </w:rPr>
              <w:t>2.683</w:t>
            </w:r>
          </w:p>
        </w:tc>
        <w:tc>
          <w:tcPr>
            <w:tcW w:w="1454" w:type="dxa"/>
            <w:vAlign w:val="center"/>
          </w:tcPr>
          <w:p w14:paraId="4D7C0EDD">
            <w:pPr>
              <w:spacing w:beforeLines="0" w:afterLines="0" w:line="240" w:lineRule="auto"/>
              <w:jc w:val="center"/>
              <w:rPr>
                <w:rFonts w:hint="default" w:ascii="Times New Roman" w:hAnsi="Times New Roman" w:cs="Times New Roman"/>
                <w:snapToGrid w:val="0"/>
                <w:color w:val="auto"/>
                <w:kern w:val="21"/>
                <w:sz w:val="21"/>
                <w:szCs w:val="21"/>
              </w:rPr>
            </w:pPr>
            <w:r>
              <w:rPr>
                <w:rFonts w:hint="eastAsia" w:cs="Times New Roman"/>
                <w:color w:val="auto"/>
                <w:kern w:val="0"/>
                <w:sz w:val="21"/>
                <w:szCs w:val="21"/>
                <w:lang w:val="en-US" w:eastAsia="zh-CN" w:bidi="ar-SA"/>
              </w:rPr>
              <w:t>0</w:t>
            </w:r>
          </w:p>
        </w:tc>
        <w:tc>
          <w:tcPr>
            <w:tcW w:w="1559" w:type="dxa"/>
            <w:vAlign w:val="center"/>
          </w:tcPr>
          <w:p w14:paraId="2100FFE5">
            <w:pPr>
              <w:adjustRightInd w:val="0"/>
              <w:snapToGrid w:val="0"/>
              <w:spacing w:line="280" w:lineRule="exact"/>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0.212</w:t>
            </w:r>
          </w:p>
        </w:tc>
        <w:tc>
          <w:tcPr>
            <w:tcW w:w="1427" w:type="dxa"/>
            <w:vAlign w:val="center"/>
          </w:tcPr>
          <w:p w14:paraId="58A20076">
            <w:pPr>
              <w:tabs>
                <w:tab w:val="left" w:pos="210"/>
              </w:tabs>
              <w:spacing w:line="240" w:lineRule="auto"/>
              <w:jc w:val="center"/>
              <w:outlineLvl w:val="0"/>
              <w:rPr>
                <w:rFonts w:hint="default" w:cs="Times New Roman"/>
                <w:color w:val="auto"/>
                <w:kern w:val="0"/>
                <w:sz w:val="21"/>
                <w:szCs w:val="21"/>
                <w:lang w:val="en-US" w:eastAsia="zh-CN" w:bidi="ar-SA"/>
              </w:rPr>
            </w:pPr>
            <w:r>
              <w:rPr>
                <w:rFonts w:hint="default" w:ascii="Times New Roman" w:hAnsi="Times New Roman" w:cs="Times New Roman"/>
                <w:color w:val="auto"/>
                <w:kern w:val="2"/>
                <w:sz w:val="21"/>
                <w:szCs w:val="21"/>
                <w:lang w:val="en-US" w:eastAsia="zh-CN" w:bidi="ar-SA"/>
              </w:rPr>
              <w:t>0.177</w:t>
            </w:r>
          </w:p>
        </w:tc>
        <w:tc>
          <w:tcPr>
            <w:tcW w:w="1639" w:type="dxa"/>
            <w:vAlign w:val="center"/>
          </w:tcPr>
          <w:p w14:paraId="5D9D741D">
            <w:pPr>
              <w:tabs>
                <w:tab w:val="left" w:pos="210"/>
              </w:tabs>
              <w:spacing w:line="240" w:lineRule="auto"/>
              <w:jc w:val="center"/>
              <w:outlineLvl w:val="0"/>
              <w:rPr>
                <w:rFonts w:hint="default" w:cs="Times New Roman"/>
                <w:color w:val="auto"/>
                <w:kern w:val="0"/>
                <w:sz w:val="21"/>
                <w:szCs w:val="21"/>
                <w:lang w:val="en-US" w:eastAsia="zh-CN" w:bidi="ar-SA"/>
              </w:rPr>
            </w:pPr>
            <w:r>
              <w:rPr>
                <w:rFonts w:hint="eastAsia" w:ascii="Times New Roman" w:hAnsi="Times New Roman" w:cs="Times New Roman"/>
                <w:color w:val="auto"/>
                <w:kern w:val="2"/>
                <w:sz w:val="21"/>
                <w:szCs w:val="21"/>
                <w:lang w:val="en-US" w:eastAsia="zh-CN" w:bidi="ar-SA"/>
              </w:rPr>
              <w:t>2.718</w:t>
            </w:r>
          </w:p>
        </w:tc>
        <w:tc>
          <w:tcPr>
            <w:tcW w:w="1430" w:type="dxa"/>
            <w:vAlign w:val="center"/>
          </w:tcPr>
          <w:p w14:paraId="7ABD1927">
            <w:pPr>
              <w:tabs>
                <w:tab w:val="left" w:pos="210"/>
              </w:tabs>
              <w:spacing w:line="240" w:lineRule="auto"/>
              <w:jc w:val="center"/>
              <w:outlineLvl w:val="0"/>
              <w:rPr>
                <w:rFonts w:hint="default" w:cs="Times New Roman"/>
                <w:color w:val="auto"/>
                <w:kern w:val="0"/>
                <w:sz w:val="21"/>
                <w:szCs w:val="21"/>
                <w:lang w:val="en-US" w:eastAsia="zh-CN" w:bidi="ar-SA"/>
              </w:rPr>
            </w:pPr>
            <w:r>
              <w:rPr>
                <w:rFonts w:hint="eastAsia" w:ascii="Times New Roman" w:hAnsi="Times New Roman" w:cs="Times New Roman"/>
                <w:color w:val="auto"/>
                <w:kern w:val="2"/>
                <w:sz w:val="21"/>
                <w:szCs w:val="21"/>
                <w:lang w:val="en-US" w:eastAsia="zh-CN" w:bidi="ar-SA"/>
              </w:rPr>
              <w:t>+0.035</w:t>
            </w:r>
          </w:p>
        </w:tc>
      </w:tr>
      <w:tr w14:paraId="127AC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63A0DE75">
            <w:pPr>
              <w:adjustRightInd w:val="0"/>
              <w:snapToGrid w:val="0"/>
              <w:jc w:val="center"/>
              <w:rPr>
                <w:rFonts w:hint="default" w:ascii="Times New Roman" w:hAnsi="Times New Roman" w:eastAsia="宋体" w:cs="Times New Roman"/>
                <w:color w:val="auto"/>
                <w:sz w:val="21"/>
                <w:szCs w:val="21"/>
              </w:rPr>
            </w:pPr>
          </w:p>
        </w:tc>
        <w:tc>
          <w:tcPr>
            <w:tcW w:w="638" w:type="dxa"/>
            <w:vAlign w:val="center"/>
          </w:tcPr>
          <w:p w14:paraId="4D0D6049">
            <w:pPr>
              <w:snapToGrid w:val="0"/>
              <w:jc w:val="center"/>
              <w:rPr>
                <w:rFonts w:hint="eastAsia" w:cs="Times New Roman"/>
                <w:color w:val="auto"/>
                <w:sz w:val="21"/>
                <w:szCs w:val="21"/>
                <w:lang w:val="en-US" w:eastAsia="zh-CN"/>
              </w:rPr>
            </w:pPr>
            <w:r>
              <w:rPr>
                <w:szCs w:val="21"/>
              </w:rPr>
              <w:t>无组织</w:t>
            </w:r>
          </w:p>
        </w:tc>
        <w:tc>
          <w:tcPr>
            <w:tcW w:w="1263" w:type="dxa"/>
            <w:vAlign w:val="center"/>
          </w:tcPr>
          <w:p w14:paraId="25846CB1">
            <w:pPr>
              <w:keepNext w:val="0"/>
              <w:keepLines w:val="0"/>
              <w:pageBreakBefore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非甲烷总烃</w:t>
            </w:r>
          </w:p>
        </w:tc>
        <w:tc>
          <w:tcPr>
            <w:tcW w:w="1701" w:type="dxa"/>
            <w:vAlign w:val="center"/>
          </w:tcPr>
          <w:p w14:paraId="7E326410">
            <w:pPr>
              <w:keepNext w:val="0"/>
              <w:keepLines w:val="0"/>
              <w:widowControl/>
              <w:suppressLineNumbers w:val="0"/>
              <w:jc w:val="center"/>
              <w:textAlignment w:val="center"/>
              <w:rPr>
                <w:rFonts w:hint="eastAsia" w:cs="Times New Roman"/>
                <w:color w:val="auto"/>
                <w:kern w:val="0"/>
                <w:sz w:val="21"/>
                <w:szCs w:val="21"/>
                <w:lang w:val="en-US" w:eastAsia="zh-CN" w:bidi="ar-SA"/>
              </w:rPr>
            </w:pPr>
            <w:r>
              <w:rPr>
                <w:rFonts w:hint="eastAsia" w:cs="Times New Roman"/>
                <w:i w:val="0"/>
                <w:iCs w:val="0"/>
                <w:color w:val="auto"/>
                <w:kern w:val="0"/>
                <w:sz w:val="21"/>
                <w:szCs w:val="21"/>
                <w:u w:val="none"/>
                <w:lang w:val="en-US" w:eastAsia="zh-CN" w:bidi="ar"/>
              </w:rPr>
              <w:t>2.891</w:t>
            </w:r>
          </w:p>
        </w:tc>
        <w:tc>
          <w:tcPr>
            <w:tcW w:w="1523" w:type="dxa"/>
            <w:vAlign w:val="center"/>
          </w:tcPr>
          <w:p w14:paraId="03E7B19F">
            <w:pPr>
              <w:keepNext w:val="0"/>
              <w:keepLines w:val="0"/>
              <w:widowControl/>
              <w:suppressLineNumbers w:val="0"/>
              <w:jc w:val="center"/>
              <w:textAlignment w:val="center"/>
              <w:rPr>
                <w:rFonts w:hint="eastAsia" w:cs="Times New Roman"/>
                <w:color w:val="auto"/>
                <w:kern w:val="0"/>
                <w:sz w:val="21"/>
                <w:szCs w:val="21"/>
                <w:lang w:val="en-US" w:eastAsia="zh-CN" w:bidi="ar-SA"/>
              </w:rPr>
            </w:pPr>
            <w:r>
              <w:rPr>
                <w:rFonts w:hint="eastAsia" w:cs="Times New Roman"/>
                <w:i w:val="0"/>
                <w:iCs w:val="0"/>
                <w:color w:val="auto"/>
                <w:kern w:val="0"/>
                <w:sz w:val="21"/>
                <w:szCs w:val="21"/>
                <w:u w:val="none"/>
                <w:lang w:val="en-US" w:eastAsia="zh-CN" w:bidi="ar"/>
              </w:rPr>
              <w:t>2.891</w:t>
            </w:r>
          </w:p>
        </w:tc>
        <w:tc>
          <w:tcPr>
            <w:tcW w:w="1454" w:type="dxa"/>
            <w:vAlign w:val="center"/>
          </w:tcPr>
          <w:p w14:paraId="4DCAD071">
            <w:pPr>
              <w:spacing w:beforeLines="0" w:afterLines="0" w:line="240" w:lineRule="auto"/>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1B8CB1B4">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0.235</w:t>
            </w:r>
          </w:p>
        </w:tc>
        <w:tc>
          <w:tcPr>
            <w:tcW w:w="1427" w:type="dxa"/>
            <w:vAlign w:val="center"/>
          </w:tcPr>
          <w:p w14:paraId="0DD8C21E">
            <w:pPr>
              <w:tabs>
                <w:tab w:val="left" w:pos="210"/>
              </w:tabs>
              <w:spacing w:line="240" w:lineRule="auto"/>
              <w:jc w:val="center"/>
              <w:outlineLvl w:val="0"/>
              <w:rPr>
                <w:rFonts w:hint="eastAsia" w:cs="Times New Roman"/>
                <w:color w:val="auto"/>
                <w:kern w:val="0"/>
                <w:sz w:val="21"/>
                <w:szCs w:val="21"/>
                <w:lang w:val="en-US" w:eastAsia="zh-CN" w:bidi="ar-SA"/>
              </w:rPr>
            </w:pPr>
            <w:r>
              <w:rPr>
                <w:rFonts w:hint="default" w:ascii="Times New Roman" w:hAnsi="Times New Roman" w:cs="Times New Roman"/>
                <w:color w:val="auto"/>
                <w:kern w:val="2"/>
                <w:sz w:val="21"/>
                <w:szCs w:val="21"/>
                <w:lang w:val="en-US" w:eastAsia="zh-CN" w:bidi="ar-SA"/>
              </w:rPr>
              <w:t>0.196</w:t>
            </w:r>
          </w:p>
        </w:tc>
        <w:tc>
          <w:tcPr>
            <w:tcW w:w="1639" w:type="dxa"/>
            <w:vAlign w:val="center"/>
          </w:tcPr>
          <w:p w14:paraId="6158F980">
            <w:pPr>
              <w:tabs>
                <w:tab w:val="left" w:pos="210"/>
              </w:tabs>
              <w:spacing w:line="240" w:lineRule="auto"/>
              <w:jc w:val="center"/>
              <w:outlineLvl w:val="0"/>
              <w:rPr>
                <w:rFonts w:hint="eastAsia" w:cs="Times New Roman"/>
                <w:color w:val="auto"/>
                <w:kern w:val="0"/>
                <w:sz w:val="21"/>
                <w:szCs w:val="21"/>
                <w:lang w:val="en-US" w:eastAsia="zh-CN" w:bidi="ar-SA"/>
              </w:rPr>
            </w:pPr>
            <w:r>
              <w:rPr>
                <w:rFonts w:hint="eastAsia" w:ascii="Times New Roman" w:hAnsi="Times New Roman" w:cs="Times New Roman"/>
                <w:color w:val="auto"/>
                <w:kern w:val="2"/>
                <w:sz w:val="21"/>
                <w:szCs w:val="21"/>
                <w:lang w:val="en-US" w:eastAsia="zh-CN" w:bidi="ar-SA"/>
              </w:rPr>
              <w:t>2.93</w:t>
            </w:r>
          </w:p>
        </w:tc>
        <w:tc>
          <w:tcPr>
            <w:tcW w:w="1430" w:type="dxa"/>
            <w:vAlign w:val="center"/>
          </w:tcPr>
          <w:p w14:paraId="3D1EFD30">
            <w:pPr>
              <w:tabs>
                <w:tab w:val="left" w:pos="210"/>
              </w:tabs>
              <w:spacing w:line="240" w:lineRule="auto"/>
              <w:jc w:val="center"/>
              <w:outlineLvl w:val="0"/>
              <w:rPr>
                <w:rFonts w:hint="eastAsia" w:cs="Times New Roman"/>
                <w:color w:val="auto"/>
                <w:kern w:val="0"/>
                <w:sz w:val="21"/>
                <w:szCs w:val="21"/>
                <w:lang w:val="en-US" w:eastAsia="zh-CN" w:bidi="ar-SA"/>
              </w:rPr>
            </w:pPr>
            <w:r>
              <w:rPr>
                <w:rFonts w:hint="eastAsia" w:ascii="Times New Roman" w:hAnsi="Times New Roman" w:cs="Times New Roman"/>
                <w:color w:val="auto"/>
                <w:kern w:val="2"/>
                <w:sz w:val="21"/>
                <w:szCs w:val="21"/>
                <w:lang w:val="en-US" w:eastAsia="zh-CN" w:bidi="ar-SA"/>
              </w:rPr>
              <w:t>+0.039</w:t>
            </w:r>
          </w:p>
        </w:tc>
      </w:tr>
      <w:tr w14:paraId="4468B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restart"/>
            <w:vAlign w:val="center"/>
          </w:tcPr>
          <w:p w14:paraId="7C83D87E">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1901" w:type="dxa"/>
            <w:gridSpan w:val="2"/>
            <w:vAlign w:val="center"/>
          </w:tcPr>
          <w:p w14:paraId="1F224A3B">
            <w:pPr>
              <w:jc w:val="center"/>
              <w:rPr>
                <w:rFonts w:hint="default" w:ascii="Times New Roman" w:hAnsi="Times New Roman" w:cs="Times New Roman"/>
                <w:color w:val="auto"/>
                <w:sz w:val="21"/>
                <w:szCs w:val="21"/>
              </w:rPr>
            </w:pPr>
            <w:r>
              <w:rPr>
                <w:color w:val="auto"/>
                <w:szCs w:val="21"/>
              </w:rPr>
              <w:t>废水量</w:t>
            </w:r>
          </w:p>
        </w:tc>
        <w:tc>
          <w:tcPr>
            <w:tcW w:w="1701" w:type="dxa"/>
            <w:vAlign w:val="center"/>
          </w:tcPr>
          <w:p w14:paraId="79806C2F">
            <w:pPr>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olor w:val="auto"/>
                <w:szCs w:val="21"/>
              </w:rPr>
              <w:t>17682</w:t>
            </w:r>
          </w:p>
        </w:tc>
        <w:tc>
          <w:tcPr>
            <w:tcW w:w="1523" w:type="dxa"/>
            <w:vAlign w:val="center"/>
          </w:tcPr>
          <w:p w14:paraId="6DE44FF6">
            <w:pPr>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olor w:val="auto"/>
                <w:szCs w:val="21"/>
              </w:rPr>
              <w:t>17682</w:t>
            </w:r>
          </w:p>
        </w:tc>
        <w:tc>
          <w:tcPr>
            <w:tcW w:w="1454" w:type="dxa"/>
            <w:vAlign w:val="center"/>
          </w:tcPr>
          <w:p w14:paraId="67D08B45">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3F9832A7">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27" w:type="dxa"/>
            <w:vAlign w:val="center"/>
          </w:tcPr>
          <w:p w14:paraId="1D6500EC">
            <w:pPr>
              <w:widowControl w:val="0"/>
              <w:bidi w:val="0"/>
              <w:spacing w:line="240" w:lineRule="exact"/>
              <w:ind w:firstLine="0" w:firstLineChars="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4ECB5E92">
            <w:pPr>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olor w:val="auto"/>
                <w:szCs w:val="21"/>
              </w:rPr>
              <w:t>17682</w:t>
            </w:r>
          </w:p>
        </w:tc>
        <w:tc>
          <w:tcPr>
            <w:tcW w:w="1430" w:type="dxa"/>
            <w:vAlign w:val="center"/>
          </w:tcPr>
          <w:p w14:paraId="2D1EABAF">
            <w:pPr>
              <w:keepNext w:val="0"/>
              <w:keepLines w:val="0"/>
              <w:widowControl/>
              <w:suppressLineNumbers w:val="0"/>
              <w:jc w:val="center"/>
              <w:textAlignment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+0</w:t>
            </w:r>
          </w:p>
        </w:tc>
      </w:tr>
      <w:tr w14:paraId="7CC64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2C9A0707">
            <w:pPr>
              <w:adjustRightInd w:val="0"/>
              <w:snapToGrid w:val="0"/>
              <w:jc w:val="center"/>
              <w:rPr>
                <w:rFonts w:hint="default" w:ascii="Times New Roman" w:hAnsi="Times New Roman" w:eastAsia="宋体" w:cs="Times New Roman"/>
                <w:color w:val="auto"/>
                <w:sz w:val="21"/>
                <w:szCs w:val="21"/>
              </w:rPr>
            </w:pPr>
          </w:p>
        </w:tc>
        <w:tc>
          <w:tcPr>
            <w:tcW w:w="1901" w:type="dxa"/>
            <w:gridSpan w:val="2"/>
            <w:vAlign w:val="center"/>
          </w:tcPr>
          <w:p w14:paraId="453E8AA8">
            <w:pPr>
              <w:widowControl/>
              <w:jc w:val="center"/>
              <w:rPr>
                <w:rFonts w:hint="default" w:ascii="Times New Roman" w:hAnsi="Times New Roman" w:cs="Times New Roman"/>
                <w:color w:val="auto"/>
                <w:sz w:val="21"/>
                <w:szCs w:val="21"/>
              </w:rPr>
            </w:pPr>
            <w:r>
              <w:rPr>
                <w:bCs/>
                <w:color w:val="auto"/>
                <w:kern w:val="0"/>
                <w:szCs w:val="21"/>
              </w:rPr>
              <w:t>COD</w:t>
            </w:r>
          </w:p>
        </w:tc>
        <w:tc>
          <w:tcPr>
            <w:tcW w:w="1701" w:type="dxa"/>
            <w:vAlign w:val="center"/>
          </w:tcPr>
          <w:p w14:paraId="5CF5EB99">
            <w:pPr>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olor w:val="auto"/>
                <w:szCs w:val="21"/>
              </w:rPr>
              <w:t>7.0728</w:t>
            </w:r>
          </w:p>
        </w:tc>
        <w:tc>
          <w:tcPr>
            <w:tcW w:w="1523" w:type="dxa"/>
            <w:vAlign w:val="center"/>
          </w:tcPr>
          <w:p w14:paraId="18C0B2C8">
            <w:pPr>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olor w:val="auto"/>
                <w:szCs w:val="21"/>
              </w:rPr>
              <w:t>7.0728</w:t>
            </w:r>
          </w:p>
        </w:tc>
        <w:tc>
          <w:tcPr>
            <w:tcW w:w="1454" w:type="dxa"/>
            <w:vAlign w:val="center"/>
          </w:tcPr>
          <w:p w14:paraId="57587A97">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11D346EF">
            <w:pPr>
              <w:spacing w:line="27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27" w:type="dxa"/>
            <w:vAlign w:val="center"/>
          </w:tcPr>
          <w:p w14:paraId="4E2E8512">
            <w:pPr>
              <w:widowControl w:val="0"/>
              <w:bidi w:val="0"/>
              <w:spacing w:line="240" w:lineRule="exact"/>
              <w:ind w:firstLine="0" w:firstLineChars="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4515AE7A">
            <w:pPr>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olor w:val="auto"/>
                <w:szCs w:val="21"/>
              </w:rPr>
              <w:t>7.0728</w:t>
            </w:r>
          </w:p>
        </w:tc>
        <w:tc>
          <w:tcPr>
            <w:tcW w:w="1430" w:type="dxa"/>
            <w:vAlign w:val="center"/>
          </w:tcPr>
          <w:p w14:paraId="5845E389">
            <w:pPr>
              <w:keepNext w:val="0"/>
              <w:keepLines w:val="0"/>
              <w:widowControl/>
              <w:suppressLineNumbers w:val="0"/>
              <w:jc w:val="center"/>
              <w:textAlignment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+0</w:t>
            </w:r>
          </w:p>
        </w:tc>
      </w:tr>
      <w:tr w14:paraId="6AC72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15F23A4D">
            <w:pPr>
              <w:adjustRightInd w:val="0"/>
              <w:snapToGrid w:val="0"/>
              <w:jc w:val="center"/>
              <w:rPr>
                <w:rFonts w:hint="default" w:ascii="Times New Roman" w:hAnsi="Times New Roman" w:eastAsia="宋体" w:cs="Times New Roman"/>
                <w:color w:val="auto"/>
                <w:sz w:val="21"/>
                <w:szCs w:val="21"/>
              </w:rPr>
            </w:pPr>
          </w:p>
        </w:tc>
        <w:tc>
          <w:tcPr>
            <w:tcW w:w="1901" w:type="dxa"/>
            <w:gridSpan w:val="2"/>
            <w:vAlign w:val="center"/>
          </w:tcPr>
          <w:p w14:paraId="0CA2AC8E">
            <w:pPr>
              <w:widowControl/>
              <w:jc w:val="center"/>
              <w:rPr>
                <w:rFonts w:hint="default" w:ascii="Times New Roman" w:hAnsi="Times New Roman" w:cs="Times New Roman"/>
                <w:color w:val="auto"/>
                <w:sz w:val="21"/>
                <w:szCs w:val="21"/>
              </w:rPr>
            </w:pPr>
            <w:r>
              <w:rPr>
                <w:bCs/>
                <w:color w:val="auto"/>
                <w:szCs w:val="21"/>
              </w:rPr>
              <w:t>SS</w:t>
            </w:r>
          </w:p>
        </w:tc>
        <w:tc>
          <w:tcPr>
            <w:tcW w:w="1701" w:type="dxa"/>
            <w:vAlign w:val="center"/>
          </w:tcPr>
          <w:p w14:paraId="4C1C3B11">
            <w:pPr>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olor w:val="auto"/>
                <w:szCs w:val="21"/>
              </w:rPr>
              <w:t>4.418</w:t>
            </w:r>
          </w:p>
        </w:tc>
        <w:tc>
          <w:tcPr>
            <w:tcW w:w="1523" w:type="dxa"/>
            <w:vAlign w:val="center"/>
          </w:tcPr>
          <w:p w14:paraId="5B8BCEBA">
            <w:pPr>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olor w:val="auto"/>
                <w:szCs w:val="21"/>
              </w:rPr>
              <w:t>4.418</w:t>
            </w:r>
          </w:p>
        </w:tc>
        <w:tc>
          <w:tcPr>
            <w:tcW w:w="1454" w:type="dxa"/>
            <w:vAlign w:val="center"/>
          </w:tcPr>
          <w:p w14:paraId="015BF1F0">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1C50A844">
            <w:pPr>
              <w:spacing w:line="27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27" w:type="dxa"/>
            <w:vAlign w:val="center"/>
          </w:tcPr>
          <w:p w14:paraId="5B46B023">
            <w:pPr>
              <w:widowControl w:val="0"/>
              <w:bidi w:val="0"/>
              <w:spacing w:line="240" w:lineRule="exact"/>
              <w:ind w:firstLine="0" w:firstLineChars="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6C765921">
            <w:pPr>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olor w:val="auto"/>
                <w:szCs w:val="21"/>
              </w:rPr>
              <w:t>4.418</w:t>
            </w:r>
          </w:p>
        </w:tc>
        <w:tc>
          <w:tcPr>
            <w:tcW w:w="1430" w:type="dxa"/>
            <w:vAlign w:val="center"/>
          </w:tcPr>
          <w:p w14:paraId="25F62DF6">
            <w:pPr>
              <w:keepNext w:val="0"/>
              <w:keepLines w:val="0"/>
              <w:widowControl/>
              <w:suppressLineNumbers w:val="0"/>
              <w:jc w:val="center"/>
              <w:textAlignment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+0</w:t>
            </w:r>
          </w:p>
        </w:tc>
      </w:tr>
      <w:tr w14:paraId="4A9E2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3034CC3C">
            <w:pPr>
              <w:adjustRightInd w:val="0"/>
              <w:snapToGrid w:val="0"/>
              <w:jc w:val="center"/>
              <w:rPr>
                <w:rFonts w:hint="default" w:ascii="Times New Roman" w:hAnsi="Times New Roman" w:eastAsia="宋体" w:cs="Times New Roman"/>
                <w:color w:val="auto"/>
                <w:sz w:val="21"/>
                <w:szCs w:val="21"/>
              </w:rPr>
            </w:pPr>
          </w:p>
        </w:tc>
        <w:tc>
          <w:tcPr>
            <w:tcW w:w="1901" w:type="dxa"/>
            <w:gridSpan w:val="2"/>
            <w:vAlign w:val="center"/>
          </w:tcPr>
          <w:p w14:paraId="3FFDC403">
            <w:pPr>
              <w:widowControl/>
              <w:jc w:val="center"/>
              <w:rPr>
                <w:rFonts w:hint="default" w:ascii="Times New Roman" w:hAnsi="Times New Roman" w:cs="Times New Roman"/>
                <w:color w:val="auto"/>
                <w:sz w:val="21"/>
                <w:szCs w:val="21"/>
              </w:rPr>
            </w:pPr>
            <w:r>
              <w:rPr>
                <w:bCs/>
                <w:color w:val="auto"/>
                <w:szCs w:val="21"/>
              </w:rPr>
              <w:t>NH</w:t>
            </w:r>
            <w:r>
              <w:rPr>
                <w:bCs/>
                <w:color w:val="auto"/>
                <w:szCs w:val="21"/>
                <w:vertAlign w:val="subscript"/>
              </w:rPr>
              <w:t>3</w:t>
            </w:r>
            <w:r>
              <w:rPr>
                <w:bCs/>
                <w:color w:val="auto"/>
                <w:szCs w:val="21"/>
              </w:rPr>
              <w:t>-N</w:t>
            </w:r>
          </w:p>
        </w:tc>
        <w:tc>
          <w:tcPr>
            <w:tcW w:w="1701" w:type="dxa"/>
            <w:vAlign w:val="center"/>
          </w:tcPr>
          <w:p w14:paraId="5D8248B1">
            <w:pPr>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olor w:val="auto"/>
                <w:szCs w:val="21"/>
              </w:rPr>
              <w:t>0.533</w:t>
            </w:r>
          </w:p>
        </w:tc>
        <w:tc>
          <w:tcPr>
            <w:tcW w:w="1523" w:type="dxa"/>
            <w:vAlign w:val="center"/>
          </w:tcPr>
          <w:p w14:paraId="6BF71CF5">
            <w:pPr>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olor w:val="auto"/>
                <w:szCs w:val="21"/>
              </w:rPr>
              <w:t>0.533</w:t>
            </w:r>
          </w:p>
        </w:tc>
        <w:tc>
          <w:tcPr>
            <w:tcW w:w="1454" w:type="dxa"/>
            <w:vAlign w:val="center"/>
          </w:tcPr>
          <w:p w14:paraId="77D047FA">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0B9065C0">
            <w:pPr>
              <w:spacing w:line="27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27" w:type="dxa"/>
            <w:vAlign w:val="center"/>
          </w:tcPr>
          <w:p w14:paraId="1802F4D6">
            <w:pPr>
              <w:widowControl w:val="0"/>
              <w:bidi w:val="0"/>
              <w:spacing w:line="240" w:lineRule="exact"/>
              <w:ind w:firstLine="0" w:firstLineChars="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2AE1C214">
            <w:pPr>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olor w:val="auto"/>
                <w:szCs w:val="21"/>
              </w:rPr>
              <w:t>0.533</w:t>
            </w:r>
          </w:p>
        </w:tc>
        <w:tc>
          <w:tcPr>
            <w:tcW w:w="1430" w:type="dxa"/>
            <w:vAlign w:val="center"/>
          </w:tcPr>
          <w:p w14:paraId="28CE3805">
            <w:pPr>
              <w:keepNext w:val="0"/>
              <w:keepLines w:val="0"/>
              <w:widowControl/>
              <w:suppressLineNumbers w:val="0"/>
              <w:jc w:val="center"/>
              <w:textAlignment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+0</w:t>
            </w:r>
          </w:p>
        </w:tc>
      </w:tr>
      <w:tr w14:paraId="52B99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011BAA6D">
            <w:pPr>
              <w:adjustRightInd w:val="0"/>
              <w:snapToGrid w:val="0"/>
              <w:jc w:val="center"/>
              <w:rPr>
                <w:rFonts w:hint="default" w:ascii="Times New Roman" w:hAnsi="Times New Roman" w:eastAsia="宋体" w:cs="Times New Roman"/>
                <w:color w:val="auto"/>
                <w:sz w:val="21"/>
                <w:szCs w:val="21"/>
              </w:rPr>
            </w:pPr>
          </w:p>
        </w:tc>
        <w:tc>
          <w:tcPr>
            <w:tcW w:w="1901" w:type="dxa"/>
            <w:gridSpan w:val="2"/>
            <w:vAlign w:val="center"/>
          </w:tcPr>
          <w:p w14:paraId="66DD78E7">
            <w:pPr>
              <w:widowControl/>
              <w:jc w:val="center"/>
              <w:rPr>
                <w:rFonts w:hint="default" w:ascii="Times New Roman" w:hAnsi="Times New Roman" w:cs="Times New Roman"/>
                <w:color w:val="auto"/>
                <w:sz w:val="21"/>
                <w:szCs w:val="21"/>
              </w:rPr>
            </w:pPr>
            <w:r>
              <w:rPr>
                <w:bCs/>
                <w:color w:val="auto"/>
                <w:szCs w:val="21"/>
              </w:rPr>
              <w:t>TN</w:t>
            </w:r>
          </w:p>
        </w:tc>
        <w:tc>
          <w:tcPr>
            <w:tcW w:w="1701" w:type="dxa"/>
            <w:vAlign w:val="center"/>
          </w:tcPr>
          <w:p w14:paraId="07463706">
            <w:pPr>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olor w:val="auto"/>
                <w:szCs w:val="21"/>
                <w:lang w:eastAsia="zh-CN"/>
              </w:rPr>
              <w:t>0.7073</w:t>
            </w:r>
          </w:p>
        </w:tc>
        <w:tc>
          <w:tcPr>
            <w:tcW w:w="1523" w:type="dxa"/>
            <w:vAlign w:val="center"/>
          </w:tcPr>
          <w:p w14:paraId="6226F00B">
            <w:pPr>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olor w:val="auto"/>
                <w:szCs w:val="21"/>
                <w:lang w:eastAsia="zh-CN"/>
              </w:rPr>
              <w:t>0.7073</w:t>
            </w:r>
          </w:p>
        </w:tc>
        <w:tc>
          <w:tcPr>
            <w:tcW w:w="1454" w:type="dxa"/>
            <w:vAlign w:val="center"/>
          </w:tcPr>
          <w:p w14:paraId="0318691C">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42A7099D">
            <w:pPr>
              <w:spacing w:line="27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27" w:type="dxa"/>
            <w:vAlign w:val="center"/>
          </w:tcPr>
          <w:p w14:paraId="15D9BACA">
            <w:pPr>
              <w:widowControl w:val="0"/>
              <w:bidi w:val="0"/>
              <w:spacing w:line="240" w:lineRule="exact"/>
              <w:ind w:firstLine="0" w:firstLineChars="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3CDF0ABD">
            <w:pPr>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olor w:val="auto"/>
                <w:szCs w:val="21"/>
                <w:lang w:eastAsia="zh-CN"/>
              </w:rPr>
              <w:t>0.7073</w:t>
            </w:r>
          </w:p>
        </w:tc>
        <w:tc>
          <w:tcPr>
            <w:tcW w:w="1430" w:type="dxa"/>
            <w:vAlign w:val="center"/>
          </w:tcPr>
          <w:p w14:paraId="3D7A9B9C">
            <w:pPr>
              <w:keepNext w:val="0"/>
              <w:keepLines w:val="0"/>
              <w:widowControl/>
              <w:suppressLineNumbers w:val="0"/>
              <w:jc w:val="center"/>
              <w:textAlignment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+0</w:t>
            </w:r>
          </w:p>
        </w:tc>
      </w:tr>
      <w:tr w14:paraId="78DA1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62BC3ED7">
            <w:pPr>
              <w:adjustRightInd w:val="0"/>
              <w:snapToGrid w:val="0"/>
              <w:jc w:val="center"/>
              <w:rPr>
                <w:rFonts w:hint="default" w:ascii="Times New Roman" w:hAnsi="Times New Roman" w:eastAsia="宋体" w:cs="Times New Roman"/>
                <w:color w:val="auto"/>
                <w:sz w:val="21"/>
                <w:szCs w:val="21"/>
              </w:rPr>
            </w:pPr>
          </w:p>
        </w:tc>
        <w:tc>
          <w:tcPr>
            <w:tcW w:w="1901" w:type="dxa"/>
            <w:gridSpan w:val="2"/>
            <w:vAlign w:val="center"/>
          </w:tcPr>
          <w:p w14:paraId="3509BD21">
            <w:pPr>
              <w:widowControl/>
              <w:jc w:val="center"/>
              <w:rPr>
                <w:color w:val="auto"/>
                <w:szCs w:val="21"/>
              </w:rPr>
            </w:pPr>
            <w:r>
              <w:rPr>
                <w:bCs/>
                <w:color w:val="auto"/>
                <w:szCs w:val="21"/>
              </w:rPr>
              <w:t>TP</w:t>
            </w:r>
          </w:p>
        </w:tc>
        <w:tc>
          <w:tcPr>
            <w:tcW w:w="1701" w:type="dxa"/>
            <w:vAlign w:val="center"/>
          </w:tcPr>
          <w:p w14:paraId="4A81BB37">
            <w:pPr>
              <w:snapToGrid w:val="0"/>
              <w:jc w:val="center"/>
              <w:rPr>
                <w:rFonts w:hint="default" w:ascii="Times New Roman" w:hAnsi="Times New Roman" w:cs="Times New Roman"/>
                <w:color w:val="auto"/>
                <w:sz w:val="21"/>
                <w:szCs w:val="21"/>
                <w:lang w:val="en-US" w:eastAsia="zh-CN"/>
              </w:rPr>
            </w:pPr>
            <w:r>
              <w:rPr>
                <w:rFonts w:hint="eastAsia"/>
                <w:color w:val="auto"/>
                <w:szCs w:val="21"/>
              </w:rPr>
              <w:t>0.0513</w:t>
            </w:r>
          </w:p>
        </w:tc>
        <w:tc>
          <w:tcPr>
            <w:tcW w:w="1523" w:type="dxa"/>
            <w:vAlign w:val="center"/>
          </w:tcPr>
          <w:p w14:paraId="29B2B13A">
            <w:pPr>
              <w:snapToGrid w:val="0"/>
              <w:jc w:val="center"/>
              <w:rPr>
                <w:rFonts w:hint="eastAsia" w:cs="Times New Roman"/>
                <w:color w:val="auto"/>
                <w:kern w:val="0"/>
                <w:sz w:val="21"/>
                <w:szCs w:val="21"/>
                <w:lang w:val="en-US" w:eastAsia="zh-CN" w:bidi="ar-SA"/>
              </w:rPr>
            </w:pPr>
            <w:r>
              <w:rPr>
                <w:rFonts w:hint="eastAsia"/>
                <w:color w:val="auto"/>
                <w:szCs w:val="21"/>
              </w:rPr>
              <w:t>0.0513</w:t>
            </w:r>
          </w:p>
        </w:tc>
        <w:tc>
          <w:tcPr>
            <w:tcW w:w="1454" w:type="dxa"/>
            <w:vAlign w:val="center"/>
          </w:tcPr>
          <w:p w14:paraId="52E0B267">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59BE44E3">
            <w:pPr>
              <w:spacing w:line="270" w:lineRule="exact"/>
              <w:jc w:val="center"/>
              <w:rPr>
                <w:rFonts w:hint="eastAsia" w:ascii="Times New Roman" w:hAnsi="Times New Roman" w:cs="Times New Roman"/>
                <w:color w:val="auto"/>
                <w:sz w:val="21"/>
                <w:szCs w:val="21"/>
                <w:lang w:val="en-US" w:eastAsia="zh-CN"/>
              </w:rPr>
            </w:pPr>
            <w:r>
              <w:rPr>
                <w:rFonts w:hint="eastAsia" w:cs="Times New Roman"/>
                <w:color w:val="auto"/>
                <w:kern w:val="0"/>
                <w:sz w:val="21"/>
                <w:szCs w:val="21"/>
                <w:lang w:val="en-US" w:eastAsia="zh-CN" w:bidi="ar-SA"/>
              </w:rPr>
              <w:t>0</w:t>
            </w:r>
          </w:p>
        </w:tc>
        <w:tc>
          <w:tcPr>
            <w:tcW w:w="1427" w:type="dxa"/>
            <w:vAlign w:val="center"/>
          </w:tcPr>
          <w:p w14:paraId="5CE719A8">
            <w:pPr>
              <w:widowControl w:val="0"/>
              <w:bidi w:val="0"/>
              <w:spacing w:line="240" w:lineRule="exact"/>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kern w:val="0"/>
                <w:sz w:val="21"/>
                <w:szCs w:val="21"/>
                <w:lang w:val="en-US" w:eastAsia="zh-CN" w:bidi="ar-SA"/>
              </w:rPr>
              <w:t>0</w:t>
            </w:r>
          </w:p>
        </w:tc>
        <w:tc>
          <w:tcPr>
            <w:tcW w:w="1639" w:type="dxa"/>
            <w:vAlign w:val="center"/>
          </w:tcPr>
          <w:p w14:paraId="04569CA3">
            <w:pPr>
              <w:snapToGrid w:val="0"/>
              <w:jc w:val="center"/>
              <w:rPr>
                <w:rFonts w:hint="eastAsia" w:ascii="Times New Roman" w:hAnsi="Times New Roman" w:cs="Times New Roman"/>
                <w:color w:val="auto"/>
                <w:sz w:val="21"/>
                <w:szCs w:val="21"/>
                <w:lang w:val="en-US" w:eastAsia="zh-CN"/>
              </w:rPr>
            </w:pPr>
            <w:r>
              <w:rPr>
                <w:rFonts w:hint="eastAsia"/>
                <w:color w:val="auto"/>
                <w:szCs w:val="21"/>
              </w:rPr>
              <w:t>0.0513</w:t>
            </w:r>
          </w:p>
        </w:tc>
        <w:tc>
          <w:tcPr>
            <w:tcW w:w="1430" w:type="dxa"/>
            <w:vAlign w:val="center"/>
          </w:tcPr>
          <w:p w14:paraId="42224D13">
            <w:pPr>
              <w:keepNext w:val="0"/>
              <w:keepLines w:val="0"/>
              <w:widowControl/>
              <w:suppressLineNumbers w:val="0"/>
              <w:jc w:val="center"/>
              <w:textAlignment w:val="center"/>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+0</w:t>
            </w:r>
          </w:p>
        </w:tc>
      </w:tr>
      <w:tr w14:paraId="205C9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23DB8DB5">
            <w:pPr>
              <w:adjustRightInd w:val="0"/>
              <w:snapToGrid w:val="0"/>
              <w:jc w:val="center"/>
              <w:rPr>
                <w:rFonts w:hint="default" w:ascii="Times New Roman" w:hAnsi="Times New Roman" w:eastAsia="宋体" w:cs="Times New Roman"/>
                <w:color w:val="auto"/>
                <w:sz w:val="21"/>
                <w:szCs w:val="21"/>
              </w:rPr>
            </w:pPr>
          </w:p>
        </w:tc>
        <w:tc>
          <w:tcPr>
            <w:tcW w:w="1901" w:type="dxa"/>
            <w:gridSpan w:val="2"/>
            <w:vAlign w:val="center"/>
          </w:tcPr>
          <w:p w14:paraId="2FFE9622">
            <w:pPr>
              <w:widowControl/>
              <w:jc w:val="center"/>
              <w:rPr>
                <w:rFonts w:hint="default" w:ascii="Times New Roman" w:hAnsi="Times New Roman" w:eastAsia="宋体" w:cs="Times New Roman"/>
                <w:color w:val="auto"/>
                <w:kern w:val="2"/>
                <w:sz w:val="21"/>
                <w:szCs w:val="21"/>
                <w:lang w:val="en-US" w:eastAsia="zh-CN" w:bidi="ar-SA"/>
              </w:rPr>
            </w:pPr>
            <w:r>
              <w:rPr>
                <w:color w:val="auto"/>
                <w:szCs w:val="21"/>
              </w:rPr>
              <w:t>动植物油</w:t>
            </w:r>
          </w:p>
        </w:tc>
        <w:tc>
          <w:tcPr>
            <w:tcW w:w="1701" w:type="dxa"/>
            <w:vAlign w:val="center"/>
          </w:tcPr>
          <w:p w14:paraId="366C4B93">
            <w:pPr>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olor w:val="auto"/>
                <w:szCs w:val="21"/>
              </w:rPr>
              <w:t>1.1317</w:t>
            </w:r>
          </w:p>
        </w:tc>
        <w:tc>
          <w:tcPr>
            <w:tcW w:w="1523" w:type="dxa"/>
            <w:vAlign w:val="center"/>
          </w:tcPr>
          <w:p w14:paraId="2F2B2739">
            <w:pPr>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olor w:val="auto"/>
                <w:szCs w:val="21"/>
              </w:rPr>
              <w:t>1.1317</w:t>
            </w:r>
          </w:p>
        </w:tc>
        <w:tc>
          <w:tcPr>
            <w:tcW w:w="1454" w:type="dxa"/>
            <w:vAlign w:val="center"/>
          </w:tcPr>
          <w:p w14:paraId="3D39DE41">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0F0A8957">
            <w:pPr>
              <w:spacing w:line="27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27" w:type="dxa"/>
            <w:vAlign w:val="center"/>
          </w:tcPr>
          <w:p w14:paraId="5873C00A">
            <w:pPr>
              <w:widowControl w:val="0"/>
              <w:bidi w:val="0"/>
              <w:spacing w:line="240" w:lineRule="exact"/>
              <w:ind w:firstLine="0" w:firstLineChars="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7ABC7356">
            <w:pPr>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olor w:val="auto"/>
                <w:szCs w:val="21"/>
              </w:rPr>
              <w:t>1.1317</w:t>
            </w:r>
          </w:p>
        </w:tc>
        <w:tc>
          <w:tcPr>
            <w:tcW w:w="1430" w:type="dxa"/>
            <w:vAlign w:val="center"/>
          </w:tcPr>
          <w:p w14:paraId="39A13238">
            <w:pPr>
              <w:keepNext w:val="0"/>
              <w:keepLines w:val="0"/>
              <w:widowControl/>
              <w:suppressLineNumbers w:val="0"/>
              <w:jc w:val="center"/>
              <w:textAlignment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+0</w:t>
            </w:r>
          </w:p>
        </w:tc>
      </w:tr>
      <w:tr w14:paraId="508E4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restart"/>
            <w:vAlign w:val="center"/>
          </w:tcPr>
          <w:p w14:paraId="72A64B2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一般工业</w:t>
            </w:r>
          </w:p>
          <w:p w14:paraId="0B2A3BB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1901" w:type="dxa"/>
            <w:gridSpan w:val="2"/>
            <w:vAlign w:val="center"/>
          </w:tcPr>
          <w:p w14:paraId="271A0CF7">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eastAsiaTheme="minorEastAsia"/>
                <w:color w:val="auto"/>
                <w:szCs w:val="21"/>
              </w:rPr>
              <w:t>废包装材料</w:t>
            </w:r>
          </w:p>
        </w:tc>
        <w:tc>
          <w:tcPr>
            <w:tcW w:w="1701" w:type="dxa"/>
            <w:vAlign w:val="center"/>
          </w:tcPr>
          <w:p w14:paraId="62DA4D72">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cs="Times New Roman" w:eastAsiaTheme="minorEastAsia"/>
                <w:b w:val="0"/>
                <w:bCs/>
                <w:color w:val="auto"/>
                <w:kern w:val="2"/>
                <w:sz w:val="21"/>
                <w:szCs w:val="21"/>
                <w:lang w:val="en-US" w:eastAsia="zh-CN" w:bidi="ar-SA"/>
              </w:rPr>
              <w:t>100</w:t>
            </w:r>
          </w:p>
        </w:tc>
        <w:tc>
          <w:tcPr>
            <w:tcW w:w="1523" w:type="dxa"/>
            <w:vAlign w:val="center"/>
          </w:tcPr>
          <w:p w14:paraId="33E71F87">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cs="Times New Roman" w:eastAsiaTheme="minorEastAsia"/>
                <w:b w:val="0"/>
                <w:bCs/>
                <w:color w:val="auto"/>
                <w:kern w:val="2"/>
                <w:sz w:val="21"/>
                <w:szCs w:val="21"/>
                <w:lang w:val="en-US" w:eastAsia="zh-CN" w:bidi="ar-SA"/>
              </w:rPr>
              <w:t>100</w:t>
            </w:r>
          </w:p>
        </w:tc>
        <w:tc>
          <w:tcPr>
            <w:tcW w:w="1454" w:type="dxa"/>
            <w:vAlign w:val="center"/>
          </w:tcPr>
          <w:p w14:paraId="461FCED3">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6B5AE72F">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eastAsia="仿宋" w:cs="Times New Roman"/>
                <w:b w:val="0"/>
                <w:bCs/>
                <w:color w:val="auto"/>
                <w:kern w:val="2"/>
                <w:sz w:val="21"/>
                <w:szCs w:val="21"/>
                <w:lang w:val="en-US" w:eastAsia="zh-CN" w:bidi="ar-SA"/>
              </w:rPr>
              <w:t>24</w:t>
            </w:r>
          </w:p>
        </w:tc>
        <w:tc>
          <w:tcPr>
            <w:tcW w:w="1427" w:type="dxa"/>
            <w:vAlign w:val="center"/>
          </w:tcPr>
          <w:p w14:paraId="2DD6E436">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eastAsia="仿宋" w:cs="Times New Roman"/>
                <w:b w:val="0"/>
                <w:bCs/>
                <w:color w:val="auto"/>
                <w:kern w:val="2"/>
                <w:sz w:val="21"/>
                <w:szCs w:val="21"/>
                <w:lang w:val="en-US" w:eastAsia="zh-CN" w:bidi="ar-SA"/>
              </w:rPr>
              <w:t>16</w:t>
            </w:r>
          </w:p>
        </w:tc>
        <w:tc>
          <w:tcPr>
            <w:tcW w:w="1639" w:type="dxa"/>
            <w:vAlign w:val="center"/>
          </w:tcPr>
          <w:p w14:paraId="11D22567">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eastAsia="仿宋" w:cs="Times New Roman"/>
                <w:b w:val="0"/>
                <w:bCs/>
                <w:color w:val="auto"/>
                <w:kern w:val="2"/>
                <w:sz w:val="21"/>
                <w:szCs w:val="21"/>
                <w:lang w:val="en-US" w:eastAsia="zh-CN" w:bidi="ar-SA"/>
              </w:rPr>
              <w:t>108</w:t>
            </w:r>
          </w:p>
        </w:tc>
        <w:tc>
          <w:tcPr>
            <w:tcW w:w="1430" w:type="dxa"/>
            <w:vAlign w:val="center"/>
          </w:tcPr>
          <w:p w14:paraId="40350DE5">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cs="Times New Roman" w:eastAsiaTheme="minorEastAsia"/>
                <w:bCs/>
                <w:color w:val="auto"/>
                <w:kern w:val="2"/>
                <w:sz w:val="21"/>
                <w:szCs w:val="21"/>
                <w:lang w:val="en-US" w:eastAsia="zh-CN" w:bidi="ar-SA"/>
              </w:rPr>
              <w:t>+8</w:t>
            </w:r>
          </w:p>
        </w:tc>
      </w:tr>
      <w:tr w14:paraId="40286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2CA1217B">
            <w:pPr>
              <w:adjustRightInd w:val="0"/>
              <w:snapToGrid w:val="0"/>
              <w:jc w:val="center"/>
              <w:rPr>
                <w:rFonts w:hint="default" w:ascii="Times New Roman" w:hAnsi="Times New Roman" w:eastAsia="宋体" w:cs="Times New Roman"/>
                <w:color w:val="auto"/>
                <w:sz w:val="21"/>
                <w:szCs w:val="21"/>
              </w:rPr>
            </w:pPr>
          </w:p>
        </w:tc>
        <w:tc>
          <w:tcPr>
            <w:tcW w:w="1901" w:type="dxa"/>
            <w:gridSpan w:val="2"/>
            <w:vAlign w:val="center"/>
          </w:tcPr>
          <w:p w14:paraId="1DB8A074">
            <w:pPr>
              <w:adjustRightInd w:val="0"/>
              <w:snapToGrid w:val="0"/>
              <w:jc w:val="center"/>
              <w:rPr>
                <w:rFonts w:hint="eastAsia" w:cs="Times New Roman"/>
                <w:b w:val="0"/>
                <w:bCs w:val="0"/>
                <w:color w:val="auto"/>
                <w:sz w:val="21"/>
                <w:szCs w:val="21"/>
                <w:lang w:val="en-US" w:eastAsia="zh-CN"/>
              </w:rPr>
            </w:pPr>
            <w:r>
              <w:rPr>
                <w:rFonts w:hint="default" w:ascii="Times New Roman" w:hAnsi="Times New Roman" w:cs="Times New Roman" w:eastAsiaTheme="minorEastAsia"/>
                <w:color w:val="auto"/>
                <w:szCs w:val="21"/>
              </w:rPr>
              <w:t>边角料</w:t>
            </w:r>
          </w:p>
        </w:tc>
        <w:tc>
          <w:tcPr>
            <w:tcW w:w="1701" w:type="dxa"/>
            <w:vAlign w:val="center"/>
          </w:tcPr>
          <w:p w14:paraId="2191B572">
            <w:pPr>
              <w:adjustRightInd w:val="0"/>
              <w:snapToGrid w:val="0"/>
              <w:jc w:val="center"/>
              <w:rPr>
                <w:rFonts w:hint="eastAsia" w:cs="Times New Roman"/>
                <w:color w:val="auto"/>
                <w:kern w:val="0"/>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4</w:t>
            </w:r>
          </w:p>
        </w:tc>
        <w:tc>
          <w:tcPr>
            <w:tcW w:w="1523" w:type="dxa"/>
            <w:vAlign w:val="center"/>
          </w:tcPr>
          <w:p w14:paraId="4EBCEA10">
            <w:pPr>
              <w:adjustRightInd w:val="0"/>
              <w:snapToGrid w:val="0"/>
              <w:jc w:val="center"/>
              <w:rPr>
                <w:rFonts w:hint="eastAsia" w:cs="Times New Roman"/>
                <w:color w:val="auto"/>
                <w:kern w:val="0"/>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4</w:t>
            </w:r>
          </w:p>
        </w:tc>
        <w:tc>
          <w:tcPr>
            <w:tcW w:w="1454" w:type="dxa"/>
            <w:vAlign w:val="center"/>
          </w:tcPr>
          <w:p w14:paraId="7A0A065C">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2DDBA6D4">
            <w:pPr>
              <w:adjustRightInd w:val="0"/>
              <w:snapToGrid w:val="0"/>
              <w:jc w:val="center"/>
              <w:rPr>
                <w:rFonts w:hint="default"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w:t>
            </w:r>
          </w:p>
        </w:tc>
        <w:tc>
          <w:tcPr>
            <w:tcW w:w="1427" w:type="dxa"/>
            <w:vAlign w:val="center"/>
          </w:tcPr>
          <w:p w14:paraId="396CE40D">
            <w:pPr>
              <w:adjustRightInd w:val="0"/>
              <w:snapToGrid w:val="0"/>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431B741A">
            <w:pPr>
              <w:adjustRightInd w:val="0"/>
              <w:snapToGrid w:val="0"/>
              <w:jc w:val="center"/>
              <w:rPr>
                <w:rFonts w:hint="default"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4</w:t>
            </w:r>
          </w:p>
        </w:tc>
        <w:tc>
          <w:tcPr>
            <w:tcW w:w="1430" w:type="dxa"/>
            <w:vAlign w:val="center"/>
          </w:tcPr>
          <w:p w14:paraId="06C01EF0">
            <w:pPr>
              <w:keepNext w:val="0"/>
              <w:keepLines w:val="0"/>
              <w:widowControl/>
              <w:suppressLineNumbers w:val="0"/>
              <w:jc w:val="center"/>
              <w:textAlignment w:val="center"/>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+0</w:t>
            </w:r>
          </w:p>
        </w:tc>
      </w:tr>
      <w:tr w14:paraId="1CD9E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restart"/>
            <w:vAlign w:val="center"/>
          </w:tcPr>
          <w:p w14:paraId="042A776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w:t>
            </w:r>
          </w:p>
        </w:tc>
        <w:tc>
          <w:tcPr>
            <w:tcW w:w="1901" w:type="dxa"/>
            <w:gridSpan w:val="2"/>
            <w:vAlign w:val="center"/>
          </w:tcPr>
          <w:p w14:paraId="694D1FF3">
            <w:pPr>
              <w:adjustRightInd w:val="0"/>
              <w:snapToGrid w:val="0"/>
              <w:jc w:val="center"/>
              <w:rPr>
                <w:rFonts w:hint="default" w:ascii="Times New Roman" w:hAnsi="Times New Roman" w:eastAsia="宋体" w:cs="Times New Roman"/>
                <w:b w:val="0"/>
                <w:bCs w:val="0"/>
                <w:color w:val="FF0000"/>
                <w:kern w:val="2"/>
                <w:sz w:val="21"/>
                <w:szCs w:val="21"/>
                <w:lang w:val="en-US" w:eastAsia="zh-CN" w:bidi="ar-SA"/>
              </w:rPr>
            </w:pPr>
            <w:r>
              <w:rPr>
                <w:rFonts w:hint="default" w:ascii="Times New Roman" w:hAnsi="Times New Roman" w:cs="Times New Roman" w:eastAsiaTheme="minorEastAsia"/>
                <w:color w:val="auto"/>
                <w:szCs w:val="21"/>
              </w:rPr>
              <w:t>废机油</w:t>
            </w:r>
          </w:p>
        </w:tc>
        <w:tc>
          <w:tcPr>
            <w:tcW w:w="1701" w:type="dxa"/>
            <w:vAlign w:val="center"/>
          </w:tcPr>
          <w:p w14:paraId="252D3743">
            <w:pPr>
              <w:adjustRightInd w:val="0"/>
              <w:snapToGrid w:val="0"/>
              <w:jc w:val="center"/>
              <w:rPr>
                <w:rFonts w:hint="eastAsia" w:cs="Times New Roman"/>
                <w:color w:val="auto"/>
                <w:kern w:val="0"/>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4.4</w:t>
            </w:r>
          </w:p>
        </w:tc>
        <w:tc>
          <w:tcPr>
            <w:tcW w:w="1523" w:type="dxa"/>
            <w:vAlign w:val="center"/>
          </w:tcPr>
          <w:p w14:paraId="11052C61">
            <w:pPr>
              <w:adjustRightInd w:val="0"/>
              <w:snapToGrid w:val="0"/>
              <w:jc w:val="center"/>
              <w:rPr>
                <w:rFonts w:hint="eastAsia" w:cs="Times New Roman"/>
                <w:color w:val="auto"/>
                <w:kern w:val="0"/>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4.4</w:t>
            </w:r>
          </w:p>
        </w:tc>
        <w:tc>
          <w:tcPr>
            <w:tcW w:w="1454" w:type="dxa"/>
            <w:vAlign w:val="center"/>
          </w:tcPr>
          <w:p w14:paraId="0C03F3FF">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76B86076">
            <w:pPr>
              <w:adjustRightInd w:val="0"/>
              <w:snapToGrid w:val="0"/>
              <w:spacing w:line="280" w:lineRule="exact"/>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0.2</w:t>
            </w:r>
          </w:p>
        </w:tc>
        <w:tc>
          <w:tcPr>
            <w:tcW w:w="1427" w:type="dxa"/>
            <w:shd w:val="clear" w:color="auto" w:fill="auto"/>
            <w:vAlign w:val="center"/>
          </w:tcPr>
          <w:p w14:paraId="3EC1A3EC">
            <w:pPr>
              <w:adjustRightInd w:val="0"/>
              <w:snapToGrid w:val="0"/>
              <w:spacing w:line="280" w:lineRule="exact"/>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639" w:type="dxa"/>
            <w:shd w:val="clear" w:color="auto" w:fill="auto"/>
            <w:vAlign w:val="center"/>
          </w:tcPr>
          <w:p w14:paraId="5B2210F8">
            <w:pPr>
              <w:adjustRightInd w:val="0"/>
              <w:snapToGrid w:val="0"/>
              <w:spacing w:line="280" w:lineRule="exact"/>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4.6</w:t>
            </w:r>
          </w:p>
        </w:tc>
        <w:tc>
          <w:tcPr>
            <w:tcW w:w="1430" w:type="dxa"/>
            <w:vAlign w:val="center"/>
          </w:tcPr>
          <w:p w14:paraId="2A338F28">
            <w:pPr>
              <w:adjustRightInd w:val="0"/>
              <w:snapToGrid w:val="0"/>
              <w:spacing w:line="280" w:lineRule="exact"/>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+0.2</w:t>
            </w:r>
          </w:p>
        </w:tc>
      </w:tr>
      <w:tr w14:paraId="37928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1C4CE7C2">
            <w:pPr>
              <w:adjustRightInd w:val="0"/>
              <w:snapToGrid w:val="0"/>
              <w:jc w:val="center"/>
              <w:rPr>
                <w:rFonts w:hint="default" w:ascii="Times New Roman" w:hAnsi="Times New Roman" w:eastAsia="宋体" w:cs="Times New Roman"/>
                <w:color w:val="auto"/>
                <w:sz w:val="21"/>
                <w:szCs w:val="21"/>
              </w:rPr>
            </w:pPr>
          </w:p>
        </w:tc>
        <w:tc>
          <w:tcPr>
            <w:tcW w:w="1901" w:type="dxa"/>
            <w:gridSpan w:val="2"/>
            <w:vAlign w:val="center"/>
          </w:tcPr>
          <w:p w14:paraId="51D913B9">
            <w:pPr>
              <w:adjustRightInd w:val="0"/>
              <w:snapToGrid w:val="0"/>
              <w:jc w:val="center"/>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eastAsiaTheme="minorEastAsia"/>
                <w:color w:val="auto"/>
                <w:szCs w:val="21"/>
              </w:rPr>
              <w:t>废包装桶</w:t>
            </w:r>
          </w:p>
        </w:tc>
        <w:tc>
          <w:tcPr>
            <w:tcW w:w="1701" w:type="dxa"/>
            <w:vAlign w:val="center"/>
          </w:tcPr>
          <w:p w14:paraId="307C5B62">
            <w:pPr>
              <w:adjustRightInd w:val="0"/>
              <w:snapToGrid w:val="0"/>
              <w:jc w:val="center"/>
              <w:rPr>
                <w:rFonts w:hint="eastAsia" w:cs="Times New Roman"/>
                <w:color w:val="auto"/>
                <w:kern w:val="0"/>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0.15</w:t>
            </w:r>
          </w:p>
        </w:tc>
        <w:tc>
          <w:tcPr>
            <w:tcW w:w="1523" w:type="dxa"/>
            <w:vAlign w:val="center"/>
          </w:tcPr>
          <w:p w14:paraId="6F75DDF4">
            <w:pPr>
              <w:adjustRightInd w:val="0"/>
              <w:snapToGrid w:val="0"/>
              <w:jc w:val="center"/>
              <w:rPr>
                <w:rFonts w:hint="eastAsia" w:cs="Times New Roman"/>
                <w:color w:val="auto"/>
                <w:kern w:val="0"/>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0.15</w:t>
            </w:r>
          </w:p>
        </w:tc>
        <w:tc>
          <w:tcPr>
            <w:tcW w:w="1454" w:type="dxa"/>
            <w:vAlign w:val="center"/>
          </w:tcPr>
          <w:p w14:paraId="74216D8F">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64375B75">
            <w:pPr>
              <w:adjustRightInd w:val="0"/>
              <w:snapToGrid w:val="0"/>
              <w:spacing w:line="280" w:lineRule="exact"/>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0.02</w:t>
            </w:r>
          </w:p>
        </w:tc>
        <w:tc>
          <w:tcPr>
            <w:tcW w:w="1427" w:type="dxa"/>
            <w:shd w:val="clear" w:color="auto" w:fill="auto"/>
            <w:vAlign w:val="center"/>
          </w:tcPr>
          <w:p w14:paraId="62653DFE">
            <w:pPr>
              <w:adjustRightInd w:val="0"/>
              <w:snapToGrid w:val="0"/>
              <w:spacing w:line="280" w:lineRule="exact"/>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639" w:type="dxa"/>
            <w:shd w:val="clear" w:color="auto" w:fill="auto"/>
            <w:vAlign w:val="center"/>
          </w:tcPr>
          <w:p w14:paraId="6AF5A600">
            <w:pPr>
              <w:adjustRightInd w:val="0"/>
              <w:snapToGrid w:val="0"/>
              <w:spacing w:line="280" w:lineRule="exact"/>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0.17</w:t>
            </w:r>
          </w:p>
        </w:tc>
        <w:tc>
          <w:tcPr>
            <w:tcW w:w="1430" w:type="dxa"/>
            <w:vAlign w:val="center"/>
          </w:tcPr>
          <w:p w14:paraId="228A5196">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+0.02</w:t>
            </w:r>
          </w:p>
        </w:tc>
      </w:tr>
      <w:tr w14:paraId="08C07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7EE6357A">
            <w:pPr>
              <w:pStyle w:val="48"/>
              <w:spacing w:before="31" w:after="31"/>
              <w:rPr>
                <w:rFonts w:hint="default" w:ascii="Times New Roman" w:hAnsi="Times New Roman" w:cs="Times New Roman"/>
                <w:snapToGrid w:val="0"/>
                <w:color w:val="auto"/>
                <w:kern w:val="21"/>
                <w:sz w:val="21"/>
                <w:szCs w:val="21"/>
              </w:rPr>
            </w:pPr>
          </w:p>
        </w:tc>
        <w:tc>
          <w:tcPr>
            <w:tcW w:w="1901" w:type="dxa"/>
            <w:gridSpan w:val="2"/>
            <w:vAlign w:val="center"/>
          </w:tcPr>
          <w:p w14:paraId="02A7F025">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eastAsiaTheme="minorEastAsia"/>
                <w:color w:val="auto"/>
                <w:szCs w:val="21"/>
              </w:rPr>
              <w:t>废活性炭</w:t>
            </w:r>
          </w:p>
        </w:tc>
        <w:tc>
          <w:tcPr>
            <w:tcW w:w="1701" w:type="dxa"/>
            <w:vAlign w:val="center"/>
          </w:tcPr>
          <w:p w14:paraId="1D058BFB">
            <w:pPr>
              <w:adjustRightInd w:val="0"/>
              <w:snapToGrid w:val="0"/>
              <w:jc w:val="center"/>
              <w:rPr>
                <w:rFonts w:hint="eastAsia" w:cs="Times New Roman"/>
                <w:color w:val="auto"/>
                <w:kern w:val="0"/>
                <w:sz w:val="21"/>
                <w:szCs w:val="21"/>
                <w:lang w:val="en-US" w:eastAsia="zh-CN" w:bidi="ar-SA"/>
              </w:rPr>
            </w:pPr>
            <w:r>
              <w:rPr>
                <w:rFonts w:hint="eastAsia" w:cs="Times New Roman" w:eastAsiaTheme="minorEastAsia"/>
                <w:color w:val="auto"/>
                <w:lang w:val="en-US" w:eastAsia="zh-CN"/>
              </w:rPr>
              <w:t>80.33</w:t>
            </w:r>
          </w:p>
        </w:tc>
        <w:tc>
          <w:tcPr>
            <w:tcW w:w="1523" w:type="dxa"/>
            <w:vAlign w:val="center"/>
          </w:tcPr>
          <w:p w14:paraId="27D1757C">
            <w:pPr>
              <w:adjustRightInd w:val="0"/>
              <w:snapToGrid w:val="0"/>
              <w:jc w:val="center"/>
              <w:rPr>
                <w:rFonts w:hint="eastAsia" w:cs="Times New Roman"/>
                <w:color w:val="auto"/>
                <w:kern w:val="0"/>
                <w:sz w:val="21"/>
                <w:szCs w:val="21"/>
                <w:lang w:val="en-US" w:eastAsia="zh-CN" w:bidi="ar-SA"/>
              </w:rPr>
            </w:pPr>
            <w:r>
              <w:rPr>
                <w:rFonts w:hint="eastAsia" w:cs="Times New Roman" w:eastAsiaTheme="minorEastAsia"/>
                <w:color w:val="auto"/>
                <w:lang w:val="en-US" w:eastAsia="zh-CN"/>
              </w:rPr>
              <w:t>80.33</w:t>
            </w:r>
          </w:p>
        </w:tc>
        <w:tc>
          <w:tcPr>
            <w:tcW w:w="1454" w:type="dxa"/>
            <w:vAlign w:val="center"/>
          </w:tcPr>
          <w:p w14:paraId="3C7BA6C6">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79F74F67">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13.427</w:t>
            </w:r>
          </w:p>
        </w:tc>
        <w:tc>
          <w:tcPr>
            <w:tcW w:w="1427" w:type="dxa"/>
            <w:vAlign w:val="center"/>
          </w:tcPr>
          <w:p w14:paraId="0D08EC36">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9.53</w:t>
            </w:r>
          </w:p>
        </w:tc>
        <w:tc>
          <w:tcPr>
            <w:tcW w:w="1639" w:type="dxa"/>
            <w:shd w:val="clear" w:color="auto" w:fill="auto"/>
            <w:vAlign w:val="center"/>
          </w:tcPr>
          <w:p w14:paraId="62A0EDF9">
            <w:pPr>
              <w:adjustRightInd w:val="0"/>
              <w:snapToGrid w:val="0"/>
              <w:spacing w:line="280" w:lineRule="exact"/>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84.227</w:t>
            </w:r>
          </w:p>
        </w:tc>
        <w:tc>
          <w:tcPr>
            <w:tcW w:w="1430" w:type="dxa"/>
            <w:vAlign w:val="center"/>
          </w:tcPr>
          <w:p w14:paraId="61BFBC51">
            <w:pPr>
              <w:adjustRightInd w:val="0"/>
              <w:snapToGrid w:val="0"/>
              <w:spacing w:line="280" w:lineRule="exact"/>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+3.897</w:t>
            </w:r>
          </w:p>
        </w:tc>
      </w:tr>
      <w:tr w14:paraId="092FD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05DF9557">
            <w:pPr>
              <w:pStyle w:val="48"/>
              <w:spacing w:before="31" w:after="31"/>
              <w:rPr>
                <w:rFonts w:hint="default" w:ascii="Times New Roman" w:hAnsi="Times New Roman" w:cs="Times New Roman"/>
                <w:snapToGrid w:val="0"/>
                <w:color w:val="auto"/>
                <w:kern w:val="21"/>
                <w:sz w:val="21"/>
                <w:szCs w:val="21"/>
              </w:rPr>
            </w:pPr>
          </w:p>
        </w:tc>
        <w:tc>
          <w:tcPr>
            <w:tcW w:w="1901" w:type="dxa"/>
            <w:gridSpan w:val="2"/>
            <w:vAlign w:val="center"/>
          </w:tcPr>
          <w:p w14:paraId="0B07FB3A">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eastAsiaTheme="minorEastAsia"/>
                <w:color w:val="auto"/>
                <w:szCs w:val="21"/>
                <w:lang w:eastAsia="zh-CN"/>
              </w:rPr>
              <w:t>废含油抹布手套</w:t>
            </w:r>
          </w:p>
        </w:tc>
        <w:tc>
          <w:tcPr>
            <w:tcW w:w="1701" w:type="dxa"/>
            <w:vAlign w:val="center"/>
          </w:tcPr>
          <w:p w14:paraId="2E78EA17">
            <w:pPr>
              <w:adjustRightInd w:val="0"/>
              <w:snapToGrid w:val="0"/>
              <w:jc w:val="center"/>
              <w:rPr>
                <w:rFonts w:hint="eastAsia" w:cs="Times New Roman"/>
                <w:color w:val="auto"/>
                <w:kern w:val="0"/>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0.2</w:t>
            </w:r>
          </w:p>
        </w:tc>
        <w:tc>
          <w:tcPr>
            <w:tcW w:w="1523" w:type="dxa"/>
            <w:vAlign w:val="center"/>
          </w:tcPr>
          <w:p w14:paraId="47435E5C">
            <w:pPr>
              <w:adjustRightInd w:val="0"/>
              <w:snapToGrid w:val="0"/>
              <w:jc w:val="center"/>
              <w:rPr>
                <w:rFonts w:hint="eastAsia" w:cs="Times New Roman"/>
                <w:color w:val="auto"/>
                <w:kern w:val="0"/>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0.2</w:t>
            </w:r>
          </w:p>
        </w:tc>
        <w:tc>
          <w:tcPr>
            <w:tcW w:w="1454" w:type="dxa"/>
            <w:vAlign w:val="center"/>
          </w:tcPr>
          <w:p w14:paraId="3D28BDEF">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34A6132B">
            <w:pPr>
              <w:adjustRightInd w:val="0"/>
              <w:snapToGrid w:val="0"/>
              <w:spacing w:line="280" w:lineRule="exact"/>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0.05</w:t>
            </w:r>
          </w:p>
        </w:tc>
        <w:tc>
          <w:tcPr>
            <w:tcW w:w="1427" w:type="dxa"/>
            <w:vAlign w:val="center"/>
          </w:tcPr>
          <w:p w14:paraId="629909D1">
            <w:pPr>
              <w:adjustRightInd w:val="0"/>
              <w:snapToGrid w:val="0"/>
              <w:spacing w:line="280" w:lineRule="exact"/>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6CAE800A">
            <w:pPr>
              <w:adjustRightInd w:val="0"/>
              <w:snapToGrid w:val="0"/>
              <w:spacing w:line="280" w:lineRule="exact"/>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0.25</w:t>
            </w:r>
          </w:p>
        </w:tc>
        <w:tc>
          <w:tcPr>
            <w:tcW w:w="1430" w:type="dxa"/>
            <w:vAlign w:val="center"/>
          </w:tcPr>
          <w:p w14:paraId="1E822F8B">
            <w:pPr>
              <w:adjustRightInd w:val="0"/>
              <w:snapToGrid w:val="0"/>
              <w:spacing w:line="280" w:lineRule="exact"/>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+0.05</w:t>
            </w:r>
          </w:p>
        </w:tc>
      </w:tr>
      <w:tr w14:paraId="7C3A9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005" w:type="dxa"/>
            <w:gridSpan w:val="3"/>
            <w:vAlign w:val="center"/>
          </w:tcPr>
          <w:p w14:paraId="7985EDD5">
            <w:pPr>
              <w:pStyle w:val="6"/>
              <w:adjustRightInd w:val="0"/>
              <w:snapToGrid w:val="0"/>
              <w:ind w:firstLine="0"/>
              <w:jc w:val="center"/>
              <w:rPr>
                <w:rFonts w:hint="default" w:ascii="Times New Roman" w:hAnsi="Times New Roman" w:cs="Times New Roman"/>
                <w:color w:val="auto"/>
                <w:sz w:val="21"/>
                <w:szCs w:val="21"/>
              </w:rPr>
            </w:pPr>
            <w:r>
              <w:rPr>
                <w:rFonts w:hint="default" w:ascii="Times New Roman" w:hAnsi="Times New Roman" w:cs="Times New Roman"/>
                <w:snapToGrid w:val="0"/>
                <w:color w:val="auto"/>
                <w:kern w:val="21"/>
                <w:sz w:val="21"/>
                <w:szCs w:val="21"/>
              </w:rPr>
              <w:t>生活垃圾</w:t>
            </w:r>
          </w:p>
        </w:tc>
        <w:tc>
          <w:tcPr>
            <w:tcW w:w="1701" w:type="dxa"/>
            <w:vAlign w:val="center"/>
          </w:tcPr>
          <w:p w14:paraId="33B2498B">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cs="Times New Roman" w:eastAsiaTheme="minorEastAsia"/>
                <w:b w:val="0"/>
                <w:bCs/>
                <w:color w:val="auto"/>
                <w:kern w:val="2"/>
                <w:sz w:val="21"/>
                <w:szCs w:val="21"/>
                <w:lang w:val="en-US" w:eastAsia="zh-CN" w:bidi="ar-SA"/>
              </w:rPr>
              <w:t>94.2</w:t>
            </w:r>
          </w:p>
        </w:tc>
        <w:tc>
          <w:tcPr>
            <w:tcW w:w="1523" w:type="dxa"/>
            <w:vAlign w:val="center"/>
          </w:tcPr>
          <w:p w14:paraId="03859982">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cs="Times New Roman" w:eastAsiaTheme="minorEastAsia"/>
                <w:b w:val="0"/>
                <w:bCs/>
                <w:color w:val="auto"/>
                <w:kern w:val="2"/>
                <w:sz w:val="21"/>
                <w:szCs w:val="21"/>
                <w:lang w:val="en-US" w:eastAsia="zh-CN" w:bidi="ar-SA"/>
              </w:rPr>
              <w:t>94.2</w:t>
            </w:r>
          </w:p>
        </w:tc>
        <w:tc>
          <w:tcPr>
            <w:tcW w:w="1454" w:type="dxa"/>
            <w:vAlign w:val="center"/>
          </w:tcPr>
          <w:p w14:paraId="5531F6D6">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5A4B553D">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bCs/>
                <w:color w:val="auto"/>
                <w:kern w:val="2"/>
                <w:sz w:val="21"/>
                <w:szCs w:val="21"/>
                <w:lang w:val="en-US" w:eastAsia="zh-CN" w:bidi="ar-SA"/>
              </w:rPr>
              <w:t>0</w:t>
            </w:r>
          </w:p>
        </w:tc>
        <w:tc>
          <w:tcPr>
            <w:tcW w:w="1427" w:type="dxa"/>
            <w:vAlign w:val="center"/>
          </w:tcPr>
          <w:p w14:paraId="6C2FC0A6">
            <w:pPr>
              <w:adjustRightInd w:val="0"/>
              <w:snapToGrid w:val="0"/>
              <w:spacing w:line="280" w:lineRule="exact"/>
              <w:jc w:val="center"/>
              <w:rPr>
                <w:rFonts w:hint="eastAsia" w:ascii="Times New Roman" w:hAnsi="Times New Roman" w:eastAsia="仿宋" w:cs="Times New Roman"/>
                <w:b w:val="0"/>
                <w:bCs/>
                <w:color w:val="auto"/>
                <w:kern w:val="2"/>
                <w:sz w:val="21"/>
                <w:szCs w:val="21"/>
                <w:lang w:val="en-US" w:eastAsia="zh-CN" w:bidi="ar-SA"/>
              </w:rPr>
            </w:pPr>
            <w:r>
              <w:rPr>
                <w:rFonts w:hint="eastAsia" w:eastAsia="仿宋"/>
                <w:szCs w:val="21"/>
                <w:lang w:val="en-US" w:eastAsia="zh-CN"/>
              </w:rPr>
              <w:t>0</w:t>
            </w:r>
          </w:p>
        </w:tc>
        <w:tc>
          <w:tcPr>
            <w:tcW w:w="1639" w:type="dxa"/>
            <w:vAlign w:val="center"/>
          </w:tcPr>
          <w:p w14:paraId="065037FF">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cs="Times New Roman" w:eastAsiaTheme="minorEastAsia"/>
                <w:b w:val="0"/>
                <w:bCs/>
                <w:color w:val="auto"/>
                <w:kern w:val="2"/>
                <w:sz w:val="21"/>
                <w:szCs w:val="21"/>
                <w:lang w:val="en-US" w:eastAsia="zh-CN" w:bidi="ar-SA"/>
              </w:rPr>
              <w:t>94.2</w:t>
            </w:r>
          </w:p>
        </w:tc>
        <w:tc>
          <w:tcPr>
            <w:tcW w:w="1430" w:type="dxa"/>
            <w:vAlign w:val="center"/>
          </w:tcPr>
          <w:p w14:paraId="39674DF5">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w:t>
            </w:r>
            <w:r>
              <w:rPr>
                <w:rFonts w:hint="eastAsia" w:cs="Times New Roman" w:eastAsiaTheme="minorEastAsia"/>
                <w:bCs/>
                <w:color w:val="auto"/>
                <w:kern w:val="2"/>
                <w:sz w:val="21"/>
                <w:szCs w:val="21"/>
                <w:lang w:val="en-US" w:eastAsia="zh-CN" w:bidi="ar-SA"/>
              </w:rPr>
              <w:t>0</w:t>
            </w:r>
          </w:p>
        </w:tc>
      </w:tr>
    </w:tbl>
    <w:p w14:paraId="43A19614">
      <w:pPr>
        <w:keepNext w:val="0"/>
        <w:keepLines w:val="0"/>
        <w:pageBreakBefore w:val="0"/>
        <w:widowControl/>
        <w:kinsoku/>
        <w:wordWrap/>
        <w:overflowPunct/>
        <w:topLinePunct w:val="0"/>
        <w:autoSpaceDE/>
        <w:autoSpaceDN/>
        <w:bidi w:val="0"/>
        <w:adjustRightInd/>
        <w:snapToGrid/>
        <w:textAlignment w:val="auto"/>
        <w:outlineLvl w:val="9"/>
        <w:rPr>
          <w:rFonts w:hint="default" w:ascii="Times New Roman" w:hAnsi="Times New Roman" w:cs="Times New Roman"/>
          <w:color w:val="auto"/>
          <w:highlight w:val="none"/>
          <w:lang w:val="en-US" w:eastAsia="zh-CN"/>
        </w:rPr>
      </w:pPr>
      <w:r>
        <w:rPr>
          <w:rFonts w:hint="default" w:ascii="Times New Roman" w:hAnsi="Times New Roman" w:cs="Times New Roman"/>
          <w:snapToGrid w:val="0"/>
          <w:color w:val="auto"/>
          <w:kern w:val="21"/>
          <w:szCs w:val="21"/>
          <w:highlight w:val="none"/>
        </w:rPr>
        <w:t>注：</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3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③</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4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④</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5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⑤</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7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⑦</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p>
    <w:p w14:paraId="62C6C6C8">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黑体" w:cs="Times New Roman"/>
          <w:color w:val="auto"/>
          <w:sz w:val="10"/>
          <w:szCs w:val="10"/>
        </w:rPr>
      </w:pPr>
    </w:p>
    <w:p w14:paraId="152AC4B2">
      <w:pPr>
        <w:rPr>
          <w:rFonts w:hint="default"/>
          <w:color w:val="auto"/>
        </w:rPr>
      </w:pPr>
    </w:p>
    <w:sectPr>
      <w:footerReference r:id="rId12" w:type="default"/>
      <w:pgSz w:w="16838" w:h="11906" w:orient="landscape"/>
      <w:pgMar w:top="1417" w:right="1417" w:bottom="1417" w:left="1417" w:header="851" w:footer="851"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
    <w:altName w:val="宋体"/>
    <w:panose1 w:val="00000000000000000000"/>
    <w:charset w:val="86"/>
    <w:family w:val="auto"/>
    <w:pitch w:val="default"/>
    <w:sig w:usb0="00000000" w:usb1="00000000" w:usb2="00000010" w:usb3="00000000" w:csb0="00040000" w:csb1="00000000"/>
  </w:font>
  <w:font w:name="Arial Black">
    <w:panose1 w:val="020B0A04020102020204"/>
    <w:charset w:val="00"/>
    <w:family w:val="swiss"/>
    <w:pitch w:val="default"/>
    <w:sig w:usb0="00000287" w:usb1="00000000" w:usb2="00000000" w:usb3="00000000" w:csb0="2000009F" w:csb1="DFD70000"/>
  </w:font>
  <w:font w:name="文鼎CS中宋">
    <w:altName w:val="宋体"/>
    <w:panose1 w:val="00000000000000000000"/>
    <w:charset w:val="86"/>
    <w:family w:val="modern"/>
    <w:pitch w:val="default"/>
    <w:sig w:usb0="00000000" w:usb1="00000000" w:usb2="00000010" w:usb3="00000000" w:csb0="00040000" w:csb1="00000000"/>
  </w:font>
  <w:font w:name="TimesNewRomanPSMT">
    <w:altName w:val="Times New Roman"/>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MingLiU">
    <w:panose1 w:val="02020509000000000000"/>
    <w:charset w:val="88"/>
    <w:family w:val="modern"/>
    <w:pitch w:val="default"/>
    <w:sig w:usb0="A00002FF" w:usb1="28CFFCFA" w:usb2="00000016" w:usb3="00000000" w:csb0="00100001"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CIDFont">
    <w:altName w:val="Calibri"/>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2FF" w:usb1="420024FF" w:usb2="00000000" w:usb3="00000000" w:csb0="2000019F" w:csb1="00000000"/>
  </w:font>
  <w:font w:name="方正小标宋_GBK">
    <w:panose1 w:val="03000509000000000000"/>
    <w:charset w:val="86"/>
    <w:family w:val="auto"/>
    <w:pitch w:val="default"/>
    <w:sig w:usb0="00000001" w:usb1="080E0000" w:usb2="00000000" w:usb3="00000000" w:csb0="0004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04286">
    <w:pPr>
      <w:pStyle w:val="18"/>
      <w:ind w:right="36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6E836">
    <w:pPr>
      <w:pStyle w:val="18"/>
      <w:ind w:right="360"/>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2ED8E">
    <w:pPr>
      <w:pStyle w:val="18"/>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7785E9">
                          <w:pPr>
                            <w:pStyle w:val="18"/>
                          </w:pPr>
                          <w:r>
                            <w:fldChar w:fldCharType="begin"/>
                          </w:r>
                          <w:r>
                            <w:instrText xml:space="preserve"> PAGE  \* MERGEFORMAT </w:instrText>
                          </w:r>
                          <w:r>
                            <w:fldChar w:fldCharType="separate"/>
                          </w:r>
                          <w:r>
                            <w:t>10</w:t>
                          </w:r>
                          <w: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I3gZoyQEAAJoDAAAOAAAAAAAAAAEAIAAAAB4BAABkcnMvZTJvRG9j&#10;LnhtbFBLBQYAAAAABgAGAFkBAABZBQAAAAA=&#10;">
              <v:fill on="f" focussize="0,0"/>
              <v:stroke on="f"/>
              <v:imagedata o:title=""/>
              <o:lock v:ext="edit" aspectratio="f"/>
              <v:textbox inset="0mm,0mm,0mm,0mm" style="mso-fit-shape-to-text:t;">
                <w:txbxContent>
                  <w:p w14:paraId="0E7785E9">
                    <w:pPr>
                      <w:pStyle w:val="18"/>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7DF09">
    <w:pPr>
      <w:pStyle w:val="18"/>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C010D5">
                          <w:pPr>
                            <w:pStyle w:val="18"/>
                          </w:pPr>
                          <w:r>
                            <w:fldChar w:fldCharType="begin"/>
                          </w:r>
                          <w:r>
                            <w:instrText xml:space="preserve"> PAGE  \* MERGEFORMAT </w:instrText>
                          </w:r>
                          <w:r>
                            <w:fldChar w:fldCharType="separate"/>
                          </w:r>
                          <w:r>
                            <w:t>17</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YKz1GyQEAAJoDAAAOAAAAAAAAAAEAIAAAAB4BAABkcnMvZTJvRG9j&#10;LnhtbFBLBQYAAAAABgAGAFkBAABZBQAAAAA=&#10;">
              <v:fill on="f" focussize="0,0"/>
              <v:stroke on="f"/>
              <v:imagedata o:title=""/>
              <o:lock v:ext="edit" aspectratio="f"/>
              <v:textbox inset="0mm,0mm,0mm,0mm" style="mso-fit-shape-to-text:t;">
                <w:txbxContent>
                  <w:p w14:paraId="44C010D5">
                    <w:pPr>
                      <w:pStyle w:val="18"/>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7ECF7">
    <w:pPr>
      <w:pStyle w:val="18"/>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84E86E">
                          <w:pPr>
                            <w:pStyle w:val="18"/>
                          </w:pPr>
                          <w:r>
                            <w:fldChar w:fldCharType="begin"/>
                          </w:r>
                          <w:r>
                            <w:instrText xml:space="preserve"> PAGE  \* MERGEFORMAT </w:instrText>
                          </w:r>
                          <w:r>
                            <w:fldChar w:fldCharType="separate"/>
                          </w:r>
                          <w:r>
                            <w:t>18</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vvpskBAACZAwAADgAAAGRycy9lMm9Eb2MueG1srVPNjtMwEL4j8Q6W&#10;79RpV0J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6u++myQEAAJkDAAAOAAAAAAAAAAEAIAAAAB4BAABkcnMvZTJvRG9j&#10;LnhtbFBLBQYAAAAABgAGAFkBAABZBQAAAAA=&#10;">
              <v:fill on="f" focussize="0,0"/>
              <v:stroke on="f"/>
              <v:imagedata o:title=""/>
              <o:lock v:ext="edit" aspectratio="f"/>
              <v:textbox inset="0mm,0mm,0mm,0mm" style="mso-fit-shape-to-text:t;">
                <w:txbxContent>
                  <w:p w14:paraId="2484E86E">
                    <w:pPr>
                      <w:pStyle w:val="18"/>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B2339">
    <w:pPr>
      <w:pStyle w:val="18"/>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E17A30">
                          <w:pPr>
                            <w:pStyle w:val="18"/>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2E17A30">
                    <w:pPr>
                      <w:pStyle w:val="18"/>
                    </w:pPr>
                    <w:r>
                      <w:fldChar w:fldCharType="begin"/>
                    </w:r>
                    <w:r>
                      <w:instrText xml:space="preserve"> PAGE  \* MERGEFORMAT </w:instrText>
                    </w:r>
                    <w:r>
                      <w:fldChar w:fldCharType="separate"/>
                    </w:r>
                    <w:r>
                      <w:t>75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C246A">
    <w:pPr>
      <w:pStyle w:val="1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38D2A">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6819A">
    <w:pPr>
      <w:pStyle w:val="1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445AA">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2D634B"/>
    <w:multiLevelType w:val="singleLevel"/>
    <w:tmpl w:val="802D634B"/>
    <w:lvl w:ilvl="0" w:tentative="0">
      <w:start w:val="1"/>
      <w:numFmt w:val="chineseCounting"/>
      <w:suff w:val="nothing"/>
      <w:lvlText w:val="%1、"/>
      <w:lvlJc w:val="left"/>
      <w:rPr>
        <w:rFonts w:hint="eastAsia"/>
      </w:rPr>
    </w:lvl>
  </w:abstractNum>
  <w:abstractNum w:abstractNumId="1">
    <w:nsid w:val="BF0578C4"/>
    <w:multiLevelType w:val="singleLevel"/>
    <w:tmpl w:val="BF0578C4"/>
    <w:lvl w:ilvl="0" w:tentative="0">
      <w:start w:val="1"/>
      <w:numFmt w:val="decimal"/>
      <w:suff w:val="nothing"/>
      <w:lvlText w:val="（%1）"/>
      <w:lvlJc w:val="left"/>
    </w:lvl>
  </w:abstractNum>
  <w:abstractNum w:abstractNumId="2">
    <w:nsid w:val="E331D463"/>
    <w:multiLevelType w:val="singleLevel"/>
    <w:tmpl w:val="E331D463"/>
    <w:lvl w:ilvl="0" w:tentative="0">
      <w:start w:val="3"/>
      <w:numFmt w:val="decimal"/>
      <w:suff w:val="nothing"/>
      <w:lvlText w:val="（%1）"/>
      <w:lvlJc w:val="left"/>
    </w:lvl>
  </w:abstractNum>
  <w:abstractNum w:abstractNumId="3">
    <w:nsid w:val="07EEF809"/>
    <w:multiLevelType w:val="singleLevel"/>
    <w:tmpl w:val="07EEF809"/>
    <w:lvl w:ilvl="0" w:tentative="0">
      <w:start w:val="1"/>
      <w:numFmt w:val="decimal"/>
      <w:suff w:val="nothing"/>
      <w:lvlText w:val="%1、"/>
      <w:lvlJc w:val="left"/>
    </w:lvl>
  </w:abstractNum>
  <w:abstractNum w:abstractNumId="4">
    <w:nsid w:val="093D6370"/>
    <w:multiLevelType w:val="singleLevel"/>
    <w:tmpl w:val="093D6370"/>
    <w:lvl w:ilvl="0" w:tentative="0">
      <w:start w:val="6"/>
      <w:numFmt w:val="decimal"/>
      <w:suff w:val="nothing"/>
      <w:lvlText w:val="%1、"/>
      <w:lvlJc w:val="left"/>
    </w:lvl>
  </w:abstractNum>
  <w:abstractNum w:abstractNumId="5">
    <w:nsid w:val="167C3218"/>
    <w:multiLevelType w:val="singleLevel"/>
    <w:tmpl w:val="167C3218"/>
    <w:lvl w:ilvl="0" w:tentative="0">
      <w:start w:val="1"/>
      <w:numFmt w:val="bullet"/>
      <w:pStyle w:val="14"/>
      <w:lvlText w:val=""/>
      <w:lvlJc w:val="left"/>
      <w:pPr>
        <w:tabs>
          <w:tab w:val="left" w:pos="2040"/>
        </w:tabs>
        <w:ind w:left="2040" w:hanging="360"/>
      </w:pPr>
      <w:rPr>
        <w:rFonts w:hint="default" w:ascii="Wingdings" w:hAnsi="Wingdings"/>
      </w:rPr>
    </w:lvl>
  </w:abstractNum>
  <w:abstractNum w:abstractNumId="6">
    <w:nsid w:val="73469145"/>
    <w:multiLevelType w:val="singleLevel"/>
    <w:tmpl w:val="73469145"/>
    <w:lvl w:ilvl="0" w:tentative="0">
      <w:start w:val="6"/>
      <w:numFmt w:val="decimal"/>
      <w:suff w:val="nothing"/>
      <w:lvlText w:val="%1）"/>
      <w:lvlJc w:val="left"/>
    </w:lvl>
  </w:abstractNum>
  <w:num w:numId="1">
    <w:abstractNumId w:val="5"/>
  </w:num>
  <w:num w:numId="2">
    <w:abstractNumId w:val="3"/>
  </w:num>
  <w:num w:numId="3">
    <w:abstractNumId w:val="2"/>
  </w:num>
  <w:num w:numId="4">
    <w:abstractNumId w:val="4"/>
  </w:num>
  <w:num w:numId="5">
    <w:abstractNumId w:val="0"/>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attachedTemplate r:id="rId1"/>
  <w:documentProtection w:edit="trackedChanges" w:enforcement="0"/>
  <w:defaultTabStop w:val="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M1YmIwNDc0YTU1M2NmYWNmNjNkYjdhMTFmZjNlNTIifQ=="/>
    <w:docVar w:name="KSO_WPS_MARK_KEY" w:val="3ccef7d2-cd31-4280-99fd-d8110a6b49bf"/>
  </w:docVars>
  <w:rsids>
    <w:rsidRoot w:val="00A14947"/>
    <w:rsid w:val="0000034B"/>
    <w:rsid w:val="00000F89"/>
    <w:rsid w:val="0000195E"/>
    <w:rsid w:val="0000268B"/>
    <w:rsid w:val="00002F74"/>
    <w:rsid w:val="00004081"/>
    <w:rsid w:val="0000439F"/>
    <w:rsid w:val="00004C06"/>
    <w:rsid w:val="00005877"/>
    <w:rsid w:val="000060B3"/>
    <w:rsid w:val="00006D0C"/>
    <w:rsid w:val="00007145"/>
    <w:rsid w:val="00007298"/>
    <w:rsid w:val="00010B61"/>
    <w:rsid w:val="0001177B"/>
    <w:rsid w:val="0001192C"/>
    <w:rsid w:val="00011EC4"/>
    <w:rsid w:val="00011FE8"/>
    <w:rsid w:val="00012F7D"/>
    <w:rsid w:val="00013D11"/>
    <w:rsid w:val="00016DA4"/>
    <w:rsid w:val="000228D0"/>
    <w:rsid w:val="000236F7"/>
    <w:rsid w:val="000248A8"/>
    <w:rsid w:val="00024A44"/>
    <w:rsid w:val="00024AA9"/>
    <w:rsid w:val="000269F1"/>
    <w:rsid w:val="00026C80"/>
    <w:rsid w:val="00030596"/>
    <w:rsid w:val="00031900"/>
    <w:rsid w:val="00033C77"/>
    <w:rsid w:val="00034B66"/>
    <w:rsid w:val="000367AA"/>
    <w:rsid w:val="00036A24"/>
    <w:rsid w:val="000373FF"/>
    <w:rsid w:val="0004052F"/>
    <w:rsid w:val="00040CB6"/>
    <w:rsid w:val="00041FB3"/>
    <w:rsid w:val="00042ED1"/>
    <w:rsid w:val="000432F0"/>
    <w:rsid w:val="0004364B"/>
    <w:rsid w:val="000451BD"/>
    <w:rsid w:val="0004783A"/>
    <w:rsid w:val="000500CB"/>
    <w:rsid w:val="000517AB"/>
    <w:rsid w:val="00055D9C"/>
    <w:rsid w:val="0005771C"/>
    <w:rsid w:val="00057D30"/>
    <w:rsid w:val="00060301"/>
    <w:rsid w:val="000618CC"/>
    <w:rsid w:val="00061B1F"/>
    <w:rsid w:val="00061F18"/>
    <w:rsid w:val="00067834"/>
    <w:rsid w:val="00067A10"/>
    <w:rsid w:val="00070718"/>
    <w:rsid w:val="000711DF"/>
    <w:rsid w:val="00071FA4"/>
    <w:rsid w:val="0007233B"/>
    <w:rsid w:val="000729FF"/>
    <w:rsid w:val="000731FF"/>
    <w:rsid w:val="000733C4"/>
    <w:rsid w:val="00073A0F"/>
    <w:rsid w:val="00073EB0"/>
    <w:rsid w:val="000740A5"/>
    <w:rsid w:val="00074327"/>
    <w:rsid w:val="00074783"/>
    <w:rsid w:val="00074BE1"/>
    <w:rsid w:val="0008070B"/>
    <w:rsid w:val="000810AC"/>
    <w:rsid w:val="00081A02"/>
    <w:rsid w:val="00081A56"/>
    <w:rsid w:val="00082231"/>
    <w:rsid w:val="000829EA"/>
    <w:rsid w:val="00083F6A"/>
    <w:rsid w:val="000848AE"/>
    <w:rsid w:val="000861C3"/>
    <w:rsid w:val="00086B4F"/>
    <w:rsid w:val="00087FF7"/>
    <w:rsid w:val="00092465"/>
    <w:rsid w:val="00092D38"/>
    <w:rsid w:val="0009377B"/>
    <w:rsid w:val="00097DE5"/>
    <w:rsid w:val="000A0BDF"/>
    <w:rsid w:val="000A20C9"/>
    <w:rsid w:val="000A21DA"/>
    <w:rsid w:val="000A33B4"/>
    <w:rsid w:val="000A448E"/>
    <w:rsid w:val="000A5522"/>
    <w:rsid w:val="000A78EB"/>
    <w:rsid w:val="000B058F"/>
    <w:rsid w:val="000B0DF8"/>
    <w:rsid w:val="000B0F0F"/>
    <w:rsid w:val="000B1846"/>
    <w:rsid w:val="000B4467"/>
    <w:rsid w:val="000B4DB9"/>
    <w:rsid w:val="000B4EFB"/>
    <w:rsid w:val="000B60BB"/>
    <w:rsid w:val="000B680E"/>
    <w:rsid w:val="000B725F"/>
    <w:rsid w:val="000C09AC"/>
    <w:rsid w:val="000C0B38"/>
    <w:rsid w:val="000C135E"/>
    <w:rsid w:val="000C186F"/>
    <w:rsid w:val="000C2889"/>
    <w:rsid w:val="000C3166"/>
    <w:rsid w:val="000C62DF"/>
    <w:rsid w:val="000C6A5E"/>
    <w:rsid w:val="000C767F"/>
    <w:rsid w:val="000D49C1"/>
    <w:rsid w:val="000D5A44"/>
    <w:rsid w:val="000D69C4"/>
    <w:rsid w:val="000D7477"/>
    <w:rsid w:val="000E1579"/>
    <w:rsid w:val="000E3EA0"/>
    <w:rsid w:val="000E3ED2"/>
    <w:rsid w:val="000E4F24"/>
    <w:rsid w:val="000E583E"/>
    <w:rsid w:val="000F436F"/>
    <w:rsid w:val="000F49AD"/>
    <w:rsid w:val="000F7862"/>
    <w:rsid w:val="00101F8C"/>
    <w:rsid w:val="00102053"/>
    <w:rsid w:val="00102259"/>
    <w:rsid w:val="00103BC6"/>
    <w:rsid w:val="00103D67"/>
    <w:rsid w:val="001043F6"/>
    <w:rsid w:val="00104C71"/>
    <w:rsid w:val="00107BF2"/>
    <w:rsid w:val="001101C3"/>
    <w:rsid w:val="00110CDB"/>
    <w:rsid w:val="00112CEA"/>
    <w:rsid w:val="00113C81"/>
    <w:rsid w:val="00114D9F"/>
    <w:rsid w:val="00115DD2"/>
    <w:rsid w:val="00116A5D"/>
    <w:rsid w:val="00117241"/>
    <w:rsid w:val="00117921"/>
    <w:rsid w:val="0012080D"/>
    <w:rsid w:val="00123D68"/>
    <w:rsid w:val="00123E26"/>
    <w:rsid w:val="001249D0"/>
    <w:rsid w:val="00127570"/>
    <w:rsid w:val="001276EF"/>
    <w:rsid w:val="00131F42"/>
    <w:rsid w:val="00132086"/>
    <w:rsid w:val="00132234"/>
    <w:rsid w:val="001341F0"/>
    <w:rsid w:val="001342D4"/>
    <w:rsid w:val="00134410"/>
    <w:rsid w:val="001357F1"/>
    <w:rsid w:val="00137A11"/>
    <w:rsid w:val="001405B7"/>
    <w:rsid w:val="00140FA8"/>
    <w:rsid w:val="00142DF7"/>
    <w:rsid w:val="00142FEB"/>
    <w:rsid w:val="00143A2D"/>
    <w:rsid w:val="00143CF4"/>
    <w:rsid w:val="00144DE7"/>
    <w:rsid w:val="00145A41"/>
    <w:rsid w:val="00145AF5"/>
    <w:rsid w:val="0014652C"/>
    <w:rsid w:val="00147147"/>
    <w:rsid w:val="001479C9"/>
    <w:rsid w:val="001515D1"/>
    <w:rsid w:val="001515DE"/>
    <w:rsid w:val="00151675"/>
    <w:rsid w:val="00151887"/>
    <w:rsid w:val="00154276"/>
    <w:rsid w:val="0015618C"/>
    <w:rsid w:val="00157435"/>
    <w:rsid w:val="00157492"/>
    <w:rsid w:val="00160902"/>
    <w:rsid w:val="00160F30"/>
    <w:rsid w:val="00163DC0"/>
    <w:rsid w:val="00164A9E"/>
    <w:rsid w:val="00170A8E"/>
    <w:rsid w:val="00170E88"/>
    <w:rsid w:val="00172500"/>
    <w:rsid w:val="001745B8"/>
    <w:rsid w:val="00174D25"/>
    <w:rsid w:val="00174DF1"/>
    <w:rsid w:val="0017504D"/>
    <w:rsid w:val="00175305"/>
    <w:rsid w:val="0017671A"/>
    <w:rsid w:val="00177422"/>
    <w:rsid w:val="00181003"/>
    <w:rsid w:val="001818D6"/>
    <w:rsid w:val="00182DBB"/>
    <w:rsid w:val="00184590"/>
    <w:rsid w:val="001851A7"/>
    <w:rsid w:val="001870D1"/>
    <w:rsid w:val="0018781E"/>
    <w:rsid w:val="001879AE"/>
    <w:rsid w:val="00187BCB"/>
    <w:rsid w:val="001903A5"/>
    <w:rsid w:val="001920BE"/>
    <w:rsid w:val="0019262D"/>
    <w:rsid w:val="0019264F"/>
    <w:rsid w:val="00193B3A"/>
    <w:rsid w:val="00194F70"/>
    <w:rsid w:val="00195453"/>
    <w:rsid w:val="00195FA9"/>
    <w:rsid w:val="001A0EAA"/>
    <w:rsid w:val="001A1B35"/>
    <w:rsid w:val="001A48A2"/>
    <w:rsid w:val="001A4D05"/>
    <w:rsid w:val="001A63F2"/>
    <w:rsid w:val="001A6F61"/>
    <w:rsid w:val="001A760E"/>
    <w:rsid w:val="001A7B9F"/>
    <w:rsid w:val="001B0939"/>
    <w:rsid w:val="001B222B"/>
    <w:rsid w:val="001B3457"/>
    <w:rsid w:val="001B4F72"/>
    <w:rsid w:val="001B4FC3"/>
    <w:rsid w:val="001B5197"/>
    <w:rsid w:val="001B6106"/>
    <w:rsid w:val="001B72B8"/>
    <w:rsid w:val="001C29D0"/>
    <w:rsid w:val="001C3F36"/>
    <w:rsid w:val="001C43A6"/>
    <w:rsid w:val="001C4F09"/>
    <w:rsid w:val="001C5320"/>
    <w:rsid w:val="001C69B3"/>
    <w:rsid w:val="001C711E"/>
    <w:rsid w:val="001D064B"/>
    <w:rsid w:val="001D0DDF"/>
    <w:rsid w:val="001D4418"/>
    <w:rsid w:val="001D5595"/>
    <w:rsid w:val="001D717D"/>
    <w:rsid w:val="001D7428"/>
    <w:rsid w:val="001D7874"/>
    <w:rsid w:val="001D7D37"/>
    <w:rsid w:val="001D7F22"/>
    <w:rsid w:val="001E0E44"/>
    <w:rsid w:val="001E248B"/>
    <w:rsid w:val="001E3EC1"/>
    <w:rsid w:val="001E4CA0"/>
    <w:rsid w:val="001E514B"/>
    <w:rsid w:val="001E677D"/>
    <w:rsid w:val="001F0187"/>
    <w:rsid w:val="001F0F17"/>
    <w:rsid w:val="001F1424"/>
    <w:rsid w:val="001F2EEA"/>
    <w:rsid w:val="001F3347"/>
    <w:rsid w:val="001F4785"/>
    <w:rsid w:val="001F4C1F"/>
    <w:rsid w:val="001F5065"/>
    <w:rsid w:val="001F53E1"/>
    <w:rsid w:val="001F69E4"/>
    <w:rsid w:val="001F73B2"/>
    <w:rsid w:val="00200669"/>
    <w:rsid w:val="00200685"/>
    <w:rsid w:val="00200D40"/>
    <w:rsid w:val="0020185D"/>
    <w:rsid w:val="00202228"/>
    <w:rsid w:val="00202287"/>
    <w:rsid w:val="00202983"/>
    <w:rsid w:val="00203B3F"/>
    <w:rsid w:val="00203B5F"/>
    <w:rsid w:val="00207C06"/>
    <w:rsid w:val="00210D3C"/>
    <w:rsid w:val="002119E3"/>
    <w:rsid w:val="002125B4"/>
    <w:rsid w:val="00212EE0"/>
    <w:rsid w:val="002131B6"/>
    <w:rsid w:val="002134DD"/>
    <w:rsid w:val="00214550"/>
    <w:rsid w:val="002149D4"/>
    <w:rsid w:val="00214A9A"/>
    <w:rsid w:val="002155B8"/>
    <w:rsid w:val="00217CD1"/>
    <w:rsid w:val="00220359"/>
    <w:rsid w:val="00220746"/>
    <w:rsid w:val="00221431"/>
    <w:rsid w:val="00224839"/>
    <w:rsid w:val="002249B2"/>
    <w:rsid w:val="00226574"/>
    <w:rsid w:val="0022696D"/>
    <w:rsid w:val="00227522"/>
    <w:rsid w:val="002278EC"/>
    <w:rsid w:val="00227BE5"/>
    <w:rsid w:val="0023280E"/>
    <w:rsid w:val="002334BB"/>
    <w:rsid w:val="00233FE7"/>
    <w:rsid w:val="00234486"/>
    <w:rsid w:val="00234A0E"/>
    <w:rsid w:val="0023630E"/>
    <w:rsid w:val="00237177"/>
    <w:rsid w:val="002377D1"/>
    <w:rsid w:val="002409D1"/>
    <w:rsid w:val="00240A34"/>
    <w:rsid w:val="002420B7"/>
    <w:rsid w:val="0024225D"/>
    <w:rsid w:val="0024345F"/>
    <w:rsid w:val="002469D7"/>
    <w:rsid w:val="0024788E"/>
    <w:rsid w:val="00247F98"/>
    <w:rsid w:val="002506BC"/>
    <w:rsid w:val="002506BD"/>
    <w:rsid w:val="00250965"/>
    <w:rsid w:val="002522FA"/>
    <w:rsid w:val="00252B54"/>
    <w:rsid w:val="00254345"/>
    <w:rsid w:val="00254A8E"/>
    <w:rsid w:val="00254DFF"/>
    <w:rsid w:val="0025518D"/>
    <w:rsid w:val="002552F9"/>
    <w:rsid w:val="00260390"/>
    <w:rsid w:val="00260426"/>
    <w:rsid w:val="00261836"/>
    <w:rsid w:val="002618D7"/>
    <w:rsid w:val="00262AC9"/>
    <w:rsid w:val="00264557"/>
    <w:rsid w:val="00264715"/>
    <w:rsid w:val="00266FB8"/>
    <w:rsid w:val="00267152"/>
    <w:rsid w:val="00267DC1"/>
    <w:rsid w:val="00267FE6"/>
    <w:rsid w:val="002701DA"/>
    <w:rsid w:val="00271AD3"/>
    <w:rsid w:val="00271F7D"/>
    <w:rsid w:val="00272EA9"/>
    <w:rsid w:val="00273250"/>
    <w:rsid w:val="002745F6"/>
    <w:rsid w:val="00274DD9"/>
    <w:rsid w:val="002752F0"/>
    <w:rsid w:val="0027587D"/>
    <w:rsid w:val="00277187"/>
    <w:rsid w:val="002805AB"/>
    <w:rsid w:val="0028111D"/>
    <w:rsid w:val="002828BF"/>
    <w:rsid w:val="002829A6"/>
    <w:rsid w:val="0028313E"/>
    <w:rsid w:val="00283C96"/>
    <w:rsid w:val="00283E08"/>
    <w:rsid w:val="00284204"/>
    <w:rsid w:val="002847DB"/>
    <w:rsid w:val="002863DC"/>
    <w:rsid w:val="002872A7"/>
    <w:rsid w:val="00291405"/>
    <w:rsid w:val="00291514"/>
    <w:rsid w:val="00291773"/>
    <w:rsid w:val="00291B0E"/>
    <w:rsid w:val="0029349F"/>
    <w:rsid w:val="002963CA"/>
    <w:rsid w:val="00296974"/>
    <w:rsid w:val="002A02A7"/>
    <w:rsid w:val="002A168C"/>
    <w:rsid w:val="002A181B"/>
    <w:rsid w:val="002A1B1A"/>
    <w:rsid w:val="002A3DC7"/>
    <w:rsid w:val="002A6614"/>
    <w:rsid w:val="002A6DCF"/>
    <w:rsid w:val="002B0D0E"/>
    <w:rsid w:val="002B1939"/>
    <w:rsid w:val="002B3C16"/>
    <w:rsid w:val="002B4825"/>
    <w:rsid w:val="002B49E2"/>
    <w:rsid w:val="002B5223"/>
    <w:rsid w:val="002B7B00"/>
    <w:rsid w:val="002B7C44"/>
    <w:rsid w:val="002C06CD"/>
    <w:rsid w:val="002C1748"/>
    <w:rsid w:val="002C1991"/>
    <w:rsid w:val="002C1E9C"/>
    <w:rsid w:val="002C2B17"/>
    <w:rsid w:val="002C4987"/>
    <w:rsid w:val="002C4EA5"/>
    <w:rsid w:val="002C75B9"/>
    <w:rsid w:val="002D22D2"/>
    <w:rsid w:val="002D238E"/>
    <w:rsid w:val="002D3DD0"/>
    <w:rsid w:val="002D3ECC"/>
    <w:rsid w:val="002D51DB"/>
    <w:rsid w:val="002D5331"/>
    <w:rsid w:val="002D5FB3"/>
    <w:rsid w:val="002D68DE"/>
    <w:rsid w:val="002E02B0"/>
    <w:rsid w:val="002E1F3A"/>
    <w:rsid w:val="002E28C5"/>
    <w:rsid w:val="002E298A"/>
    <w:rsid w:val="002E2A1B"/>
    <w:rsid w:val="002E2C9F"/>
    <w:rsid w:val="002E3332"/>
    <w:rsid w:val="002E42AC"/>
    <w:rsid w:val="002E6022"/>
    <w:rsid w:val="002E6CA1"/>
    <w:rsid w:val="002E71A2"/>
    <w:rsid w:val="002E7287"/>
    <w:rsid w:val="002F1082"/>
    <w:rsid w:val="002F12C7"/>
    <w:rsid w:val="002F163E"/>
    <w:rsid w:val="002F45D4"/>
    <w:rsid w:val="002F4745"/>
    <w:rsid w:val="002F6857"/>
    <w:rsid w:val="002F6EF7"/>
    <w:rsid w:val="002F7A66"/>
    <w:rsid w:val="003007C0"/>
    <w:rsid w:val="00301978"/>
    <w:rsid w:val="00301F09"/>
    <w:rsid w:val="003021D5"/>
    <w:rsid w:val="0030332C"/>
    <w:rsid w:val="003051C2"/>
    <w:rsid w:val="0030526D"/>
    <w:rsid w:val="00305AB9"/>
    <w:rsid w:val="00306299"/>
    <w:rsid w:val="00306319"/>
    <w:rsid w:val="00306F2A"/>
    <w:rsid w:val="00307792"/>
    <w:rsid w:val="00307D88"/>
    <w:rsid w:val="0031090E"/>
    <w:rsid w:val="00311E66"/>
    <w:rsid w:val="00312296"/>
    <w:rsid w:val="00312D1C"/>
    <w:rsid w:val="0031351D"/>
    <w:rsid w:val="00314C4B"/>
    <w:rsid w:val="00314F0E"/>
    <w:rsid w:val="003206C8"/>
    <w:rsid w:val="00321D8E"/>
    <w:rsid w:val="003237AF"/>
    <w:rsid w:val="00325928"/>
    <w:rsid w:val="00326537"/>
    <w:rsid w:val="00326732"/>
    <w:rsid w:val="00326BD3"/>
    <w:rsid w:val="00326DB7"/>
    <w:rsid w:val="00327186"/>
    <w:rsid w:val="00330C2D"/>
    <w:rsid w:val="00330F75"/>
    <w:rsid w:val="003314D9"/>
    <w:rsid w:val="003316DF"/>
    <w:rsid w:val="003319D4"/>
    <w:rsid w:val="00332863"/>
    <w:rsid w:val="003353DF"/>
    <w:rsid w:val="0033684D"/>
    <w:rsid w:val="003368D4"/>
    <w:rsid w:val="0033699A"/>
    <w:rsid w:val="00337B42"/>
    <w:rsid w:val="00340383"/>
    <w:rsid w:val="00341B42"/>
    <w:rsid w:val="00342407"/>
    <w:rsid w:val="003425D6"/>
    <w:rsid w:val="00342728"/>
    <w:rsid w:val="0034348F"/>
    <w:rsid w:val="00345A19"/>
    <w:rsid w:val="0035106C"/>
    <w:rsid w:val="00351784"/>
    <w:rsid w:val="00352129"/>
    <w:rsid w:val="0035240D"/>
    <w:rsid w:val="00352892"/>
    <w:rsid w:val="00353062"/>
    <w:rsid w:val="0035333D"/>
    <w:rsid w:val="0035560E"/>
    <w:rsid w:val="00356653"/>
    <w:rsid w:val="003570FA"/>
    <w:rsid w:val="0035743F"/>
    <w:rsid w:val="00357BE2"/>
    <w:rsid w:val="00357DFF"/>
    <w:rsid w:val="00360320"/>
    <w:rsid w:val="003605EF"/>
    <w:rsid w:val="0036064A"/>
    <w:rsid w:val="003616BD"/>
    <w:rsid w:val="0036170C"/>
    <w:rsid w:val="0036244E"/>
    <w:rsid w:val="00363429"/>
    <w:rsid w:val="00366520"/>
    <w:rsid w:val="003669A0"/>
    <w:rsid w:val="00366E0F"/>
    <w:rsid w:val="003670D6"/>
    <w:rsid w:val="0037112D"/>
    <w:rsid w:val="003712E8"/>
    <w:rsid w:val="0037182F"/>
    <w:rsid w:val="00371BAB"/>
    <w:rsid w:val="00372F91"/>
    <w:rsid w:val="003733BB"/>
    <w:rsid w:val="00374676"/>
    <w:rsid w:val="00374FB4"/>
    <w:rsid w:val="0038119C"/>
    <w:rsid w:val="003813E1"/>
    <w:rsid w:val="00381A72"/>
    <w:rsid w:val="0038212D"/>
    <w:rsid w:val="0038312B"/>
    <w:rsid w:val="00383151"/>
    <w:rsid w:val="00383586"/>
    <w:rsid w:val="00383D47"/>
    <w:rsid w:val="00384676"/>
    <w:rsid w:val="003853D5"/>
    <w:rsid w:val="003863C1"/>
    <w:rsid w:val="003868BF"/>
    <w:rsid w:val="00386B5D"/>
    <w:rsid w:val="00390857"/>
    <w:rsid w:val="00391EC1"/>
    <w:rsid w:val="00391F84"/>
    <w:rsid w:val="00391FF9"/>
    <w:rsid w:val="00392EA2"/>
    <w:rsid w:val="003940E3"/>
    <w:rsid w:val="003972A8"/>
    <w:rsid w:val="003A3F30"/>
    <w:rsid w:val="003A449B"/>
    <w:rsid w:val="003A4BF3"/>
    <w:rsid w:val="003A6FCB"/>
    <w:rsid w:val="003B1CCA"/>
    <w:rsid w:val="003B2A9F"/>
    <w:rsid w:val="003B3160"/>
    <w:rsid w:val="003B3758"/>
    <w:rsid w:val="003B420D"/>
    <w:rsid w:val="003C0112"/>
    <w:rsid w:val="003C058C"/>
    <w:rsid w:val="003C36AF"/>
    <w:rsid w:val="003C4290"/>
    <w:rsid w:val="003C48B2"/>
    <w:rsid w:val="003C6518"/>
    <w:rsid w:val="003C6C16"/>
    <w:rsid w:val="003C6F81"/>
    <w:rsid w:val="003D21B2"/>
    <w:rsid w:val="003D35D8"/>
    <w:rsid w:val="003D3D4A"/>
    <w:rsid w:val="003D46B1"/>
    <w:rsid w:val="003D77D4"/>
    <w:rsid w:val="003D794D"/>
    <w:rsid w:val="003E2980"/>
    <w:rsid w:val="003E3058"/>
    <w:rsid w:val="003E3780"/>
    <w:rsid w:val="003E59FF"/>
    <w:rsid w:val="003E5BC6"/>
    <w:rsid w:val="003E5C44"/>
    <w:rsid w:val="003E5CD7"/>
    <w:rsid w:val="003E76A9"/>
    <w:rsid w:val="003E7C6E"/>
    <w:rsid w:val="003F0809"/>
    <w:rsid w:val="003F1BF2"/>
    <w:rsid w:val="003F2F99"/>
    <w:rsid w:val="003F43B4"/>
    <w:rsid w:val="003F6A8C"/>
    <w:rsid w:val="003F6D15"/>
    <w:rsid w:val="003F6F87"/>
    <w:rsid w:val="003F73A9"/>
    <w:rsid w:val="003F755C"/>
    <w:rsid w:val="00400B6E"/>
    <w:rsid w:val="00401C2F"/>
    <w:rsid w:val="004032DF"/>
    <w:rsid w:val="004062DD"/>
    <w:rsid w:val="0040644A"/>
    <w:rsid w:val="00406F01"/>
    <w:rsid w:val="00407CB8"/>
    <w:rsid w:val="00411C3F"/>
    <w:rsid w:val="00416150"/>
    <w:rsid w:val="0041646D"/>
    <w:rsid w:val="004166D2"/>
    <w:rsid w:val="00416D50"/>
    <w:rsid w:val="00416FD5"/>
    <w:rsid w:val="00417772"/>
    <w:rsid w:val="004209E5"/>
    <w:rsid w:val="00420E6A"/>
    <w:rsid w:val="00420F54"/>
    <w:rsid w:val="00421084"/>
    <w:rsid w:val="00421E96"/>
    <w:rsid w:val="0042254D"/>
    <w:rsid w:val="00422BD0"/>
    <w:rsid w:val="00424B1F"/>
    <w:rsid w:val="00425A9E"/>
    <w:rsid w:val="00426B1D"/>
    <w:rsid w:val="00426C90"/>
    <w:rsid w:val="00426D6B"/>
    <w:rsid w:val="00426F16"/>
    <w:rsid w:val="004275E1"/>
    <w:rsid w:val="00427E0B"/>
    <w:rsid w:val="00430774"/>
    <w:rsid w:val="00430FA6"/>
    <w:rsid w:val="00431E6C"/>
    <w:rsid w:val="00433CE7"/>
    <w:rsid w:val="0043587E"/>
    <w:rsid w:val="004403EE"/>
    <w:rsid w:val="0044060B"/>
    <w:rsid w:val="00440B39"/>
    <w:rsid w:val="00441C05"/>
    <w:rsid w:val="0044277B"/>
    <w:rsid w:val="00442E0E"/>
    <w:rsid w:val="004444B3"/>
    <w:rsid w:val="00444F41"/>
    <w:rsid w:val="004450D3"/>
    <w:rsid w:val="004466F7"/>
    <w:rsid w:val="004468E0"/>
    <w:rsid w:val="004509C7"/>
    <w:rsid w:val="004512DB"/>
    <w:rsid w:val="00452738"/>
    <w:rsid w:val="00454284"/>
    <w:rsid w:val="004547CD"/>
    <w:rsid w:val="00455F02"/>
    <w:rsid w:val="00456091"/>
    <w:rsid w:val="004565BC"/>
    <w:rsid w:val="0045744F"/>
    <w:rsid w:val="0046074D"/>
    <w:rsid w:val="004625FA"/>
    <w:rsid w:val="00462E86"/>
    <w:rsid w:val="004643B9"/>
    <w:rsid w:val="00466321"/>
    <w:rsid w:val="00466FC0"/>
    <w:rsid w:val="004677CA"/>
    <w:rsid w:val="00470A4E"/>
    <w:rsid w:val="00470D0B"/>
    <w:rsid w:val="00470E7A"/>
    <w:rsid w:val="00471426"/>
    <w:rsid w:val="00472BFA"/>
    <w:rsid w:val="00472D4B"/>
    <w:rsid w:val="00472EF2"/>
    <w:rsid w:val="00475EB6"/>
    <w:rsid w:val="00481CE7"/>
    <w:rsid w:val="00484AE7"/>
    <w:rsid w:val="00484B9B"/>
    <w:rsid w:val="00484CED"/>
    <w:rsid w:val="0048525A"/>
    <w:rsid w:val="004855F6"/>
    <w:rsid w:val="0048661E"/>
    <w:rsid w:val="004908C4"/>
    <w:rsid w:val="004913BD"/>
    <w:rsid w:val="0049204E"/>
    <w:rsid w:val="00493C64"/>
    <w:rsid w:val="00494258"/>
    <w:rsid w:val="00494670"/>
    <w:rsid w:val="004A15D5"/>
    <w:rsid w:val="004A1EA6"/>
    <w:rsid w:val="004A3743"/>
    <w:rsid w:val="004A3823"/>
    <w:rsid w:val="004A3DE8"/>
    <w:rsid w:val="004A44F1"/>
    <w:rsid w:val="004A4861"/>
    <w:rsid w:val="004A4B4C"/>
    <w:rsid w:val="004A51AC"/>
    <w:rsid w:val="004A75D9"/>
    <w:rsid w:val="004B01F0"/>
    <w:rsid w:val="004B065C"/>
    <w:rsid w:val="004B1540"/>
    <w:rsid w:val="004B34A1"/>
    <w:rsid w:val="004B44BE"/>
    <w:rsid w:val="004B4AFD"/>
    <w:rsid w:val="004B66DE"/>
    <w:rsid w:val="004B7468"/>
    <w:rsid w:val="004B74A5"/>
    <w:rsid w:val="004B7E4C"/>
    <w:rsid w:val="004B7E97"/>
    <w:rsid w:val="004C08B5"/>
    <w:rsid w:val="004C0B99"/>
    <w:rsid w:val="004C42BA"/>
    <w:rsid w:val="004C492E"/>
    <w:rsid w:val="004D0AE7"/>
    <w:rsid w:val="004D2940"/>
    <w:rsid w:val="004D2C3F"/>
    <w:rsid w:val="004D60EE"/>
    <w:rsid w:val="004D704C"/>
    <w:rsid w:val="004D75FA"/>
    <w:rsid w:val="004E195E"/>
    <w:rsid w:val="004E256E"/>
    <w:rsid w:val="004E41BC"/>
    <w:rsid w:val="004E53ED"/>
    <w:rsid w:val="004E6946"/>
    <w:rsid w:val="004E75D0"/>
    <w:rsid w:val="004F1AD8"/>
    <w:rsid w:val="004F1C38"/>
    <w:rsid w:val="004F4937"/>
    <w:rsid w:val="004F64EB"/>
    <w:rsid w:val="005017B4"/>
    <w:rsid w:val="005026BB"/>
    <w:rsid w:val="00503411"/>
    <w:rsid w:val="005037E1"/>
    <w:rsid w:val="00503959"/>
    <w:rsid w:val="005039CB"/>
    <w:rsid w:val="0050558F"/>
    <w:rsid w:val="00505644"/>
    <w:rsid w:val="005056D8"/>
    <w:rsid w:val="00505B2D"/>
    <w:rsid w:val="00506286"/>
    <w:rsid w:val="00506F8D"/>
    <w:rsid w:val="0050714C"/>
    <w:rsid w:val="00507F11"/>
    <w:rsid w:val="00510813"/>
    <w:rsid w:val="00511990"/>
    <w:rsid w:val="00511DE0"/>
    <w:rsid w:val="0051211B"/>
    <w:rsid w:val="00514590"/>
    <w:rsid w:val="00514870"/>
    <w:rsid w:val="00514B9B"/>
    <w:rsid w:val="00514F93"/>
    <w:rsid w:val="00515414"/>
    <w:rsid w:val="00516193"/>
    <w:rsid w:val="00517F02"/>
    <w:rsid w:val="00520820"/>
    <w:rsid w:val="00521189"/>
    <w:rsid w:val="00523437"/>
    <w:rsid w:val="00523BBF"/>
    <w:rsid w:val="00523C03"/>
    <w:rsid w:val="00523F04"/>
    <w:rsid w:val="00524303"/>
    <w:rsid w:val="00524C3B"/>
    <w:rsid w:val="0052528B"/>
    <w:rsid w:val="005258A2"/>
    <w:rsid w:val="00526DAD"/>
    <w:rsid w:val="0052772A"/>
    <w:rsid w:val="00527F82"/>
    <w:rsid w:val="005303E9"/>
    <w:rsid w:val="00530768"/>
    <w:rsid w:val="00532953"/>
    <w:rsid w:val="00537A03"/>
    <w:rsid w:val="00537AD7"/>
    <w:rsid w:val="005401AE"/>
    <w:rsid w:val="00540A3F"/>
    <w:rsid w:val="00540F0A"/>
    <w:rsid w:val="0054100E"/>
    <w:rsid w:val="005428A4"/>
    <w:rsid w:val="00542DD4"/>
    <w:rsid w:val="00542E07"/>
    <w:rsid w:val="00543730"/>
    <w:rsid w:val="00544CB7"/>
    <w:rsid w:val="00545424"/>
    <w:rsid w:val="0054548B"/>
    <w:rsid w:val="00545A07"/>
    <w:rsid w:val="005470A0"/>
    <w:rsid w:val="0055043B"/>
    <w:rsid w:val="005520D7"/>
    <w:rsid w:val="005538A3"/>
    <w:rsid w:val="00553AF5"/>
    <w:rsid w:val="00554A7B"/>
    <w:rsid w:val="0055572C"/>
    <w:rsid w:val="00555982"/>
    <w:rsid w:val="00556C9F"/>
    <w:rsid w:val="005602F6"/>
    <w:rsid w:val="0056106A"/>
    <w:rsid w:val="00563088"/>
    <w:rsid w:val="005637BA"/>
    <w:rsid w:val="005640F8"/>
    <w:rsid w:val="005643D4"/>
    <w:rsid w:val="00566634"/>
    <w:rsid w:val="005707FA"/>
    <w:rsid w:val="005720AE"/>
    <w:rsid w:val="005739A3"/>
    <w:rsid w:val="00573E38"/>
    <w:rsid w:val="00574557"/>
    <w:rsid w:val="0057657A"/>
    <w:rsid w:val="00577ADD"/>
    <w:rsid w:val="005802D9"/>
    <w:rsid w:val="005812C9"/>
    <w:rsid w:val="00583720"/>
    <w:rsid w:val="0058386E"/>
    <w:rsid w:val="00584ED8"/>
    <w:rsid w:val="005856EA"/>
    <w:rsid w:val="00585AEF"/>
    <w:rsid w:val="005861E1"/>
    <w:rsid w:val="00586F3F"/>
    <w:rsid w:val="005901F9"/>
    <w:rsid w:val="005948F3"/>
    <w:rsid w:val="00594CDD"/>
    <w:rsid w:val="00594D77"/>
    <w:rsid w:val="005951FE"/>
    <w:rsid w:val="00595534"/>
    <w:rsid w:val="00595DC3"/>
    <w:rsid w:val="0059628F"/>
    <w:rsid w:val="0059668A"/>
    <w:rsid w:val="005969E4"/>
    <w:rsid w:val="00597B66"/>
    <w:rsid w:val="005A0380"/>
    <w:rsid w:val="005A06B7"/>
    <w:rsid w:val="005A0DB8"/>
    <w:rsid w:val="005A1759"/>
    <w:rsid w:val="005A2625"/>
    <w:rsid w:val="005A3274"/>
    <w:rsid w:val="005A3BDF"/>
    <w:rsid w:val="005A49CD"/>
    <w:rsid w:val="005A4E5B"/>
    <w:rsid w:val="005A68A7"/>
    <w:rsid w:val="005A6D14"/>
    <w:rsid w:val="005B0373"/>
    <w:rsid w:val="005B1268"/>
    <w:rsid w:val="005B17ED"/>
    <w:rsid w:val="005B2607"/>
    <w:rsid w:val="005B28A9"/>
    <w:rsid w:val="005B32B0"/>
    <w:rsid w:val="005B7648"/>
    <w:rsid w:val="005B7879"/>
    <w:rsid w:val="005B7D71"/>
    <w:rsid w:val="005C1927"/>
    <w:rsid w:val="005C1967"/>
    <w:rsid w:val="005C2593"/>
    <w:rsid w:val="005C4A4B"/>
    <w:rsid w:val="005D104B"/>
    <w:rsid w:val="005D1E82"/>
    <w:rsid w:val="005D36AB"/>
    <w:rsid w:val="005D45AE"/>
    <w:rsid w:val="005D55D2"/>
    <w:rsid w:val="005D5B22"/>
    <w:rsid w:val="005D7253"/>
    <w:rsid w:val="005E012F"/>
    <w:rsid w:val="005E0449"/>
    <w:rsid w:val="005E090F"/>
    <w:rsid w:val="005E0BD9"/>
    <w:rsid w:val="005E2728"/>
    <w:rsid w:val="005E2CFD"/>
    <w:rsid w:val="005E2E2A"/>
    <w:rsid w:val="005E424B"/>
    <w:rsid w:val="005E4909"/>
    <w:rsid w:val="005E548E"/>
    <w:rsid w:val="005E6C51"/>
    <w:rsid w:val="005E6FE8"/>
    <w:rsid w:val="005F0951"/>
    <w:rsid w:val="005F0DA1"/>
    <w:rsid w:val="005F262D"/>
    <w:rsid w:val="005F5866"/>
    <w:rsid w:val="005F598F"/>
    <w:rsid w:val="006013C1"/>
    <w:rsid w:val="00601C2A"/>
    <w:rsid w:val="00603584"/>
    <w:rsid w:val="006039A3"/>
    <w:rsid w:val="006040FC"/>
    <w:rsid w:val="006046A4"/>
    <w:rsid w:val="0060483A"/>
    <w:rsid w:val="0060535F"/>
    <w:rsid w:val="00607631"/>
    <w:rsid w:val="00607832"/>
    <w:rsid w:val="0060792A"/>
    <w:rsid w:val="0061030F"/>
    <w:rsid w:val="00610583"/>
    <w:rsid w:val="00610634"/>
    <w:rsid w:val="00610EEC"/>
    <w:rsid w:val="00612637"/>
    <w:rsid w:val="00613C88"/>
    <w:rsid w:val="00613F33"/>
    <w:rsid w:val="00614E1B"/>
    <w:rsid w:val="00617B89"/>
    <w:rsid w:val="00617CC3"/>
    <w:rsid w:val="00620561"/>
    <w:rsid w:val="0062197C"/>
    <w:rsid w:val="006241B1"/>
    <w:rsid w:val="00624543"/>
    <w:rsid w:val="00625B57"/>
    <w:rsid w:val="00626193"/>
    <w:rsid w:val="006311B2"/>
    <w:rsid w:val="00634E42"/>
    <w:rsid w:val="00634FDA"/>
    <w:rsid w:val="00635074"/>
    <w:rsid w:val="00635864"/>
    <w:rsid w:val="00635E8B"/>
    <w:rsid w:val="00636AC0"/>
    <w:rsid w:val="006377A6"/>
    <w:rsid w:val="00637A2B"/>
    <w:rsid w:val="00637A3D"/>
    <w:rsid w:val="00640426"/>
    <w:rsid w:val="00640FD7"/>
    <w:rsid w:val="006410A3"/>
    <w:rsid w:val="006411EF"/>
    <w:rsid w:val="0064167F"/>
    <w:rsid w:val="00642583"/>
    <w:rsid w:val="006425CB"/>
    <w:rsid w:val="0064270B"/>
    <w:rsid w:val="00645170"/>
    <w:rsid w:val="00645B68"/>
    <w:rsid w:val="00645CBA"/>
    <w:rsid w:val="00645FCE"/>
    <w:rsid w:val="006504D0"/>
    <w:rsid w:val="00650F3B"/>
    <w:rsid w:val="0065117C"/>
    <w:rsid w:val="00652D25"/>
    <w:rsid w:val="0065420A"/>
    <w:rsid w:val="0065522F"/>
    <w:rsid w:val="0065585F"/>
    <w:rsid w:val="00656274"/>
    <w:rsid w:val="00656392"/>
    <w:rsid w:val="00656A33"/>
    <w:rsid w:val="00660F9E"/>
    <w:rsid w:val="006624CB"/>
    <w:rsid w:val="00662C61"/>
    <w:rsid w:val="00664CBA"/>
    <w:rsid w:val="00666324"/>
    <w:rsid w:val="0066744D"/>
    <w:rsid w:val="00667781"/>
    <w:rsid w:val="00667C05"/>
    <w:rsid w:val="0067357F"/>
    <w:rsid w:val="00674695"/>
    <w:rsid w:val="006748B8"/>
    <w:rsid w:val="00675989"/>
    <w:rsid w:val="00676370"/>
    <w:rsid w:val="00676557"/>
    <w:rsid w:val="006775C3"/>
    <w:rsid w:val="006823B4"/>
    <w:rsid w:val="00682B08"/>
    <w:rsid w:val="00683BDB"/>
    <w:rsid w:val="006848E6"/>
    <w:rsid w:val="00684BC1"/>
    <w:rsid w:val="006856C5"/>
    <w:rsid w:val="00685AD8"/>
    <w:rsid w:val="00685CE5"/>
    <w:rsid w:val="00685E48"/>
    <w:rsid w:val="00686ADB"/>
    <w:rsid w:val="00690D23"/>
    <w:rsid w:val="00691727"/>
    <w:rsid w:val="0069290A"/>
    <w:rsid w:val="00692BCE"/>
    <w:rsid w:val="00696B13"/>
    <w:rsid w:val="0069775A"/>
    <w:rsid w:val="00697813"/>
    <w:rsid w:val="00697DB6"/>
    <w:rsid w:val="006A0F12"/>
    <w:rsid w:val="006A1083"/>
    <w:rsid w:val="006A15EB"/>
    <w:rsid w:val="006A1BF2"/>
    <w:rsid w:val="006A2C60"/>
    <w:rsid w:val="006A2CBC"/>
    <w:rsid w:val="006A3EE8"/>
    <w:rsid w:val="006A3EFB"/>
    <w:rsid w:val="006A407A"/>
    <w:rsid w:val="006A48A9"/>
    <w:rsid w:val="006A6142"/>
    <w:rsid w:val="006A6FB9"/>
    <w:rsid w:val="006A72BF"/>
    <w:rsid w:val="006A7FC6"/>
    <w:rsid w:val="006B03F2"/>
    <w:rsid w:val="006B06D0"/>
    <w:rsid w:val="006B0F06"/>
    <w:rsid w:val="006B14F9"/>
    <w:rsid w:val="006B27B1"/>
    <w:rsid w:val="006B37DC"/>
    <w:rsid w:val="006B4DD0"/>
    <w:rsid w:val="006B4F68"/>
    <w:rsid w:val="006B50FF"/>
    <w:rsid w:val="006B5F90"/>
    <w:rsid w:val="006B7FAA"/>
    <w:rsid w:val="006C0592"/>
    <w:rsid w:val="006C1549"/>
    <w:rsid w:val="006C272E"/>
    <w:rsid w:val="006C3E3D"/>
    <w:rsid w:val="006C5479"/>
    <w:rsid w:val="006C69E6"/>
    <w:rsid w:val="006D0B35"/>
    <w:rsid w:val="006D13B5"/>
    <w:rsid w:val="006D3C38"/>
    <w:rsid w:val="006D4A35"/>
    <w:rsid w:val="006D4C7A"/>
    <w:rsid w:val="006D6F1B"/>
    <w:rsid w:val="006E0C11"/>
    <w:rsid w:val="006E12FF"/>
    <w:rsid w:val="006E21FD"/>
    <w:rsid w:val="006E2352"/>
    <w:rsid w:val="006E36E1"/>
    <w:rsid w:val="006E3D40"/>
    <w:rsid w:val="006E5BC7"/>
    <w:rsid w:val="006E5ECE"/>
    <w:rsid w:val="006E607E"/>
    <w:rsid w:val="006E7EBD"/>
    <w:rsid w:val="006F1571"/>
    <w:rsid w:val="006F2CD0"/>
    <w:rsid w:val="006F2D71"/>
    <w:rsid w:val="006F4250"/>
    <w:rsid w:val="006F44B1"/>
    <w:rsid w:val="006F5500"/>
    <w:rsid w:val="006F6A8C"/>
    <w:rsid w:val="006F6DA3"/>
    <w:rsid w:val="007009C3"/>
    <w:rsid w:val="00700D1E"/>
    <w:rsid w:val="007024ED"/>
    <w:rsid w:val="007037F7"/>
    <w:rsid w:val="00703A0C"/>
    <w:rsid w:val="00703CFC"/>
    <w:rsid w:val="007043F2"/>
    <w:rsid w:val="00706AC9"/>
    <w:rsid w:val="00706ADE"/>
    <w:rsid w:val="00706C5D"/>
    <w:rsid w:val="00707961"/>
    <w:rsid w:val="00711D44"/>
    <w:rsid w:val="00711DE7"/>
    <w:rsid w:val="00713388"/>
    <w:rsid w:val="007158A1"/>
    <w:rsid w:val="00715CAE"/>
    <w:rsid w:val="00716D09"/>
    <w:rsid w:val="0072396D"/>
    <w:rsid w:val="007243D3"/>
    <w:rsid w:val="0072624E"/>
    <w:rsid w:val="00726A03"/>
    <w:rsid w:val="00726BFC"/>
    <w:rsid w:val="00731210"/>
    <w:rsid w:val="00731419"/>
    <w:rsid w:val="00732922"/>
    <w:rsid w:val="00734BC0"/>
    <w:rsid w:val="00735062"/>
    <w:rsid w:val="00737F51"/>
    <w:rsid w:val="007411E7"/>
    <w:rsid w:val="007418DF"/>
    <w:rsid w:val="007422F0"/>
    <w:rsid w:val="00742E68"/>
    <w:rsid w:val="00742EFA"/>
    <w:rsid w:val="007451A5"/>
    <w:rsid w:val="007456CF"/>
    <w:rsid w:val="00746096"/>
    <w:rsid w:val="00747CDE"/>
    <w:rsid w:val="00751384"/>
    <w:rsid w:val="0075162E"/>
    <w:rsid w:val="00753DA2"/>
    <w:rsid w:val="00754034"/>
    <w:rsid w:val="00755694"/>
    <w:rsid w:val="00755AAD"/>
    <w:rsid w:val="0075600B"/>
    <w:rsid w:val="00756071"/>
    <w:rsid w:val="007560F8"/>
    <w:rsid w:val="00756556"/>
    <w:rsid w:val="007566AC"/>
    <w:rsid w:val="00756F96"/>
    <w:rsid w:val="00757F68"/>
    <w:rsid w:val="00757FA1"/>
    <w:rsid w:val="007618C4"/>
    <w:rsid w:val="0076191B"/>
    <w:rsid w:val="0076221B"/>
    <w:rsid w:val="007627EF"/>
    <w:rsid w:val="00763814"/>
    <w:rsid w:val="007640A0"/>
    <w:rsid w:val="00764824"/>
    <w:rsid w:val="00765B8E"/>
    <w:rsid w:val="00765D01"/>
    <w:rsid w:val="007673BB"/>
    <w:rsid w:val="00767980"/>
    <w:rsid w:val="007707EE"/>
    <w:rsid w:val="00770B19"/>
    <w:rsid w:val="00774187"/>
    <w:rsid w:val="00774625"/>
    <w:rsid w:val="0077463F"/>
    <w:rsid w:val="007769D2"/>
    <w:rsid w:val="00780F6D"/>
    <w:rsid w:val="007836EA"/>
    <w:rsid w:val="00783EF2"/>
    <w:rsid w:val="00784CDA"/>
    <w:rsid w:val="00786B74"/>
    <w:rsid w:val="00786CF0"/>
    <w:rsid w:val="007870C6"/>
    <w:rsid w:val="007870E9"/>
    <w:rsid w:val="007879C9"/>
    <w:rsid w:val="007906C4"/>
    <w:rsid w:val="00790C79"/>
    <w:rsid w:val="00792DAF"/>
    <w:rsid w:val="007940EA"/>
    <w:rsid w:val="007958B0"/>
    <w:rsid w:val="007961CD"/>
    <w:rsid w:val="007967E8"/>
    <w:rsid w:val="00796928"/>
    <w:rsid w:val="007A0190"/>
    <w:rsid w:val="007A09FD"/>
    <w:rsid w:val="007A2170"/>
    <w:rsid w:val="007A22BF"/>
    <w:rsid w:val="007A3323"/>
    <w:rsid w:val="007A5837"/>
    <w:rsid w:val="007A5C25"/>
    <w:rsid w:val="007A749E"/>
    <w:rsid w:val="007B173F"/>
    <w:rsid w:val="007B2E60"/>
    <w:rsid w:val="007B4C33"/>
    <w:rsid w:val="007B5CE3"/>
    <w:rsid w:val="007B72B8"/>
    <w:rsid w:val="007B7A58"/>
    <w:rsid w:val="007C0629"/>
    <w:rsid w:val="007C11C2"/>
    <w:rsid w:val="007C21B5"/>
    <w:rsid w:val="007C2772"/>
    <w:rsid w:val="007C3522"/>
    <w:rsid w:val="007C5788"/>
    <w:rsid w:val="007C6AFD"/>
    <w:rsid w:val="007C6DF4"/>
    <w:rsid w:val="007D019A"/>
    <w:rsid w:val="007D04A0"/>
    <w:rsid w:val="007D190D"/>
    <w:rsid w:val="007D2BC2"/>
    <w:rsid w:val="007D3AE5"/>
    <w:rsid w:val="007D4C4F"/>
    <w:rsid w:val="007D768B"/>
    <w:rsid w:val="007D7DD5"/>
    <w:rsid w:val="007E03E1"/>
    <w:rsid w:val="007E1F30"/>
    <w:rsid w:val="007E46B0"/>
    <w:rsid w:val="007E4BD2"/>
    <w:rsid w:val="007E6F57"/>
    <w:rsid w:val="007E7386"/>
    <w:rsid w:val="007F0502"/>
    <w:rsid w:val="007F0B6A"/>
    <w:rsid w:val="007F2E1F"/>
    <w:rsid w:val="007F3712"/>
    <w:rsid w:val="007F4266"/>
    <w:rsid w:val="007F58BB"/>
    <w:rsid w:val="007F626D"/>
    <w:rsid w:val="007F74D9"/>
    <w:rsid w:val="008012E5"/>
    <w:rsid w:val="00801393"/>
    <w:rsid w:val="00801AE7"/>
    <w:rsid w:val="00801BE8"/>
    <w:rsid w:val="00802F88"/>
    <w:rsid w:val="00803254"/>
    <w:rsid w:val="008036D5"/>
    <w:rsid w:val="00803CC6"/>
    <w:rsid w:val="008053DB"/>
    <w:rsid w:val="00805547"/>
    <w:rsid w:val="00805949"/>
    <w:rsid w:val="00805F76"/>
    <w:rsid w:val="00806413"/>
    <w:rsid w:val="008077DE"/>
    <w:rsid w:val="008102F1"/>
    <w:rsid w:val="0081293B"/>
    <w:rsid w:val="0081293E"/>
    <w:rsid w:val="00813CFF"/>
    <w:rsid w:val="00814693"/>
    <w:rsid w:val="00815465"/>
    <w:rsid w:val="00817314"/>
    <w:rsid w:val="00817A1D"/>
    <w:rsid w:val="00817E9A"/>
    <w:rsid w:val="00820197"/>
    <w:rsid w:val="0082044F"/>
    <w:rsid w:val="00823A1D"/>
    <w:rsid w:val="00824A4B"/>
    <w:rsid w:val="00824C19"/>
    <w:rsid w:val="00826032"/>
    <w:rsid w:val="008271B0"/>
    <w:rsid w:val="00827AEA"/>
    <w:rsid w:val="008306BD"/>
    <w:rsid w:val="00831A80"/>
    <w:rsid w:val="00833743"/>
    <w:rsid w:val="00833B57"/>
    <w:rsid w:val="00834099"/>
    <w:rsid w:val="008340A4"/>
    <w:rsid w:val="0083799C"/>
    <w:rsid w:val="0084296F"/>
    <w:rsid w:val="00842BAB"/>
    <w:rsid w:val="008435BF"/>
    <w:rsid w:val="00843D3C"/>
    <w:rsid w:val="00844C86"/>
    <w:rsid w:val="0084563D"/>
    <w:rsid w:val="00845C72"/>
    <w:rsid w:val="008476D4"/>
    <w:rsid w:val="00851F2D"/>
    <w:rsid w:val="008539DB"/>
    <w:rsid w:val="008543B4"/>
    <w:rsid w:val="00854A8B"/>
    <w:rsid w:val="00856D23"/>
    <w:rsid w:val="0086193A"/>
    <w:rsid w:val="00865A1A"/>
    <w:rsid w:val="00866712"/>
    <w:rsid w:val="008703CD"/>
    <w:rsid w:val="0087135F"/>
    <w:rsid w:val="00872D94"/>
    <w:rsid w:val="00874F0E"/>
    <w:rsid w:val="0087700F"/>
    <w:rsid w:val="00877EF2"/>
    <w:rsid w:val="00880106"/>
    <w:rsid w:val="0088018F"/>
    <w:rsid w:val="00880364"/>
    <w:rsid w:val="0088047C"/>
    <w:rsid w:val="00880A8B"/>
    <w:rsid w:val="00881208"/>
    <w:rsid w:val="00884476"/>
    <w:rsid w:val="0088621F"/>
    <w:rsid w:val="00886A11"/>
    <w:rsid w:val="00887880"/>
    <w:rsid w:val="00891592"/>
    <w:rsid w:val="00891E9E"/>
    <w:rsid w:val="008921F0"/>
    <w:rsid w:val="008928FC"/>
    <w:rsid w:val="00893DA9"/>
    <w:rsid w:val="00894C3F"/>
    <w:rsid w:val="00894D7A"/>
    <w:rsid w:val="008975F2"/>
    <w:rsid w:val="00897DB4"/>
    <w:rsid w:val="008A1D41"/>
    <w:rsid w:val="008A239E"/>
    <w:rsid w:val="008A2F68"/>
    <w:rsid w:val="008A3B2F"/>
    <w:rsid w:val="008A541A"/>
    <w:rsid w:val="008A58C7"/>
    <w:rsid w:val="008A6197"/>
    <w:rsid w:val="008A68A7"/>
    <w:rsid w:val="008A6FA3"/>
    <w:rsid w:val="008A73A5"/>
    <w:rsid w:val="008B45C2"/>
    <w:rsid w:val="008B4FA6"/>
    <w:rsid w:val="008B5282"/>
    <w:rsid w:val="008B6DD4"/>
    <w:rsid w:val="008B711D"/>
    <w:rsid w:val="008B7C17"/>
    <w:rsid w:val="008C0ED1"/>
    <w:rsid w:val="008C0FFC"/>
    <w:rsid w:val="008C2C95"/>
    <w:rsid w:val="008C2D01"/>
    <w:rsid w:val="008C2D42"/>
    <w:rsid w:val="008C40E6"/>
    <w:rsid w:val="008C4DA1"/>
    <w:rsid w:val="008C5C10"/>
    <w:rsid w:val="008C5DB0"/>
    <w:rsid w:val="008C6348"/>
    <w:rsid w:val="008C7706"/>
    <w:rsid w:val="008D0098"/>
    <w:rsid w:val="008D0F7A"/>
    <w:rsid w:val="008D24B4"/>
    <w:rsid w:val="008D2669"/>
    <w:rsid w:val="008D305C"/>
    <w:rsid w:val="008D3522"/>
    <w:rsid w:val="008D47FB"/>
    <w:rsid w:val="008D50B6"/>
    <w:rsid w:val="008D5EE1"/>
    <w:rsid w:val="008D6887"/>
    <w:rsid w:val="008D68E4"/>
    <w:rsid w:val="008E0506"/>
    <w:rsid w:val="008E0CFF"/>
    <w:rsid w:val="008E4897"/>
    <w:rsid w:val="008E58F5"/>
    <w:rsid w:val="008E5D6B"/>
    <w:rsid w:val="008E7206"/>
    <w:rsid w:val="008E76F0"/>
    <w:rsid w:val="008F15FE"/>
    <w:rsid w:val="008F1974"/>
    <w:rsid w:val="008F2D29"/>
    <w:rsid w:val="008F3ED7"/>
    <w:rsid w:val="008F4E79"/>
    <w:rsid w:val="008F5187"/>
    <w:rsid w:val="008F5E0B"/>
    <w:rsid w:val="008F60D8"/>
    <w:rsid w:val="009012ED"/>
    <w:rsid w:val="009015DE"/>
    <w:rsid w:val="00902727"/>
    <w:rsid w:val="00902E83"/>
    <w:rsid w:val="0090312B"/>
    <w:rsid w:val="00906848"/>
    <w:rsid w:val="00912DF7"/>
    <w:rsid w:val="009154A1"/>
    <w:rsid w:val="0091722A"/>
    <w:rsid w:val="0091736D"/>
    <w:rsid w:val="00917D82"/>
    <w:rsid w:val="00917EB3"/>
    <w:rsid w:val="00920750"/>
    <w:rsid w:val="009213E2"/>
    <w:rsid w:val="00923901"/>
    <w:rsid w:val="009250B5"/>
    <w:rsid w:val="009259F7"/>
    <w:rsid w:val="00925E57"/>
    <w:rsid w:val="00926021"/>
    <w:rsid w:val="009300AE"/>
    <w:rsid w:val="0093037A"/>
    <w:rsid w:val="00930B33"/>
    <w:rsid w:val="009326A2"/>
    <w:rsid w:val="0093359B"/>
    <w:rsid w:val="00936D35"/>
    <w:rsid w:val="00937FE4"/>
    <w:rsid w:val="009402B3"/>
    <w:rsid w:val="00940368"/>
    <w:rsid w:val="009405BC"/>
    <w:rsid w:val="00940A22"/>
    <w:rsid w:val="0094154D"/>
    <w:rsid w:val="00941587"/>
    <w:rsid w:val="00942B0B"/>
    <w:rsid w:val="009440EC"/>
    <w:rsid w:val="00946ECA"/>
    <w:rsid w:val="00947E4E"/>
    <w:rsid w:val="009501E1"/>
    <w:rsid w:val="0095155F"/>
    <w:rsid w:val="00951DEF"/>
    <w:rsid w:val="009526E1"/>
    <w:rsid w:val="0095279C"/>
    <w:rsid w:val="00952CAA"/>
    <w:rsid w:val="00953344"/>
    <w:rsid w:val="00953D74"/>
    <w:rsid w:val="00954022"/>
    <w:rsid w:val="00954429"/>
    <w:rsid w:val="00954CFC"/>
    <w:rsid w:val="00954E56"/>
    <w:rsid w:val="009563CE"/>
    <w:rsid w:val="0095729C"/>
    <w:rsid w:val="00964877"/>
    <w:rsid w:val="00964C10"/>
    <w:rsid w:val="00965F27"/>
    <w:rsid w:val="009665C6"/>
    <w:rsid w:val="00967378"/>
    <w:rsid w:val="009679C6"/>
    <w:rsid w:val="009736B1"/>
    <w:rsid w:val="0097399F"/>
    <w:rsid w:val="0097547C"/>
    <w:rsid w:val="009754EC"/>
    <w:rsid w:val="00976328"/>
    <w:rsid w:val="0097680D"/>
    <w:rsid w:val="00977B78"/>
    <w:rsid w:val="00977F15"/>
    <w:rsid w:val="009800D3"/>
    <w:rsid w:val="00980F9C"/>
    <w:rsid w:val="00981A2D"/>
    <w:rsid w:val="009821C3"/>
    <w:rsid w:val="00982438"/>
    <w:rsid w:val="00982682"/>
    <w:rsid w:val="00982E2D"/>
    <w:rsid w:val="009830C6"/>
    <w:rsid w:val="009833E2"/>
    <w:rsid w:val="009836EE"/>
    <w:rsid w:val="0098404C"/>
    <w:rsid w:val="009841E8"/>
    <w:rsid w:val="00984B0C"/>
    <w:rsid w:val="00984D24"/>
    <w:rsid w:val="0098518D"/>
    <w:rsid w:val="00985283"/>
    <w:rsid w:val="009857AF"/>
    <w:rsid w:val="00985E34"/>
    <w:rsid w:val="0098728A"/>
    <w:rsid w:val="009872BC"/>
    <w:rsid w:val="009879E9"/>
    <w:rsid w:val="00990F82"/>
    <w:rsid w:val="00991B24"/>
    <w:rsid w:val="00992572"/>
    <w:rsid w:val="009957A6"/>
    <w:rsid w:val="00995992"/>
    <w:rsid w:val="00997107"/>
    <w:rsid w:val="009A01C0"/>
    <w:rsid w:val="009A03E5"/>
    <w:rsid w:val="009A0F3B"/>
    <w:rsid w:val="009A19AE"/>
    <w:rsid w:val="009A1BB4"/>
    <w:rsid w:val="009A2036"/>
    <w:rsid w:val="009A21D0"/>
    <w:rsid w:val="009A2551"/>
    <w:rsid w:val="009A2628"/>
    <w:rsid w:val="009A3200"/>
    <w:rsid w:val="009A333B"/>
    <w:rsid w:val="009A35BD"/>
    <w:rsid w:val="009A5287"/>
    <w:rsid w:val="009A74C5"/>
    <w:rsid w:val="009A7E54"/>
    <w:rsid w:val="009B000A"/>
    <w:rsid w:val="009B0897"/>
    <w:rsid w:val="009B0AA2"/>
    <w:rsid w:val="009B2DFA"/>
    <w:rsid w:val="009B4782"/>
    <w:rsid w:val="009B745E"/>
    <w:rsid w:val="009B745F"/>
    <w:rsid w:val="009B7BD9"/>
    <w:rsid w:val="009B7F29"/>
    <w:rsid w:val="009C031A"/>
    <w:rsid w:val="009C05A4"/>
    <w:rsid w:val="009C39A2"/>
    <w:rsid w:val="009C3C24"/>
    <w:rsid w:val="009C3D72"/>
    <w:rsid w:val="009C48E4"/>
    <w:rsid w:val="009C4E8B"/>
    <w:rsid w:val="009C5ADA"/>
    <w:rsid w:val="009C62BA"/>
    <w:rsid w:val="009C630D"/>
    <w:rsid w:val="009C6736"/>
    <w:rsid w:val="009C6AE9"/>
    <w:rsid w:val="009C7DD5"/>
    <w:rsid w:val="009D1990"/>
    <w:rsid w:val="009D246B"/>
    <w:rsid w:val="009E195B"/>
    <w:rsid w:val="009E1CCC"/>
    <w:rsid w:val="009E227D"/>
    <w:rsid w:val="009E492B"/>
    <w:rsid w:val="009E5019"/>
    <w:rsid w:val="009E780F"/>
    <w:rsid w:val="009F052D"/>
    <w:rsid w:val="009F0A5A"/>
    <w:rsid w:val="009F2C4A"/>
    <w:rsid w:val="009F33F7"/>
    <w:rsid w:val="009F547D"/>
    <w:rsid w:val="009F5603"/>
    <w:rsid w:val="009F6E69"/>
    <w:rsid w:val="00A02621"/>
    <w:rsid w:val="00A0359F"/>
    <w:rsid w:val="00A03E3B"/>
    <w:rsid w:val="00A03F8E"/>
    <w:rsid w:val="00A04F1B"/>
    <w:rsid w:val="00A0501B"/>
    <w:rsid w:val="00A0792F"/>
    <w:rsid w:val="00A07F02"/>
    <w:rsid w:val="00A07F19"/>
    <w:rsid w:val="00A111E6"/>
    <w:rsid w:val="00A1231F"/>
    <w:rsid w:val="00A13E5C"/>
    <w:rsid w:val="00A14848"/>
    <w:rsid w:val="00A14947"/>
    <w:rsid w:val="00A15357"/>
    <w:rsid w:val="00A156E2"/>
    <w:rsid w:val="00A162F0"/>
    <w:rsid w:val="00A16759"/>
    <w:rsid w:val="00A2051C"/>
    <w:rsid w:val="00A22880"/>
    <w:rsid w:val="00A24C60"/>
    <w:rsid w:val="00A24CF3"/>
    <w:rsid w:val="00A30517"/>
    <w:rsid w:val="00A30EC8"/>
    <w:rsid w:val="00A31CEA"/>
    <w:rsid w:val="00A31D19"/>
    <w:rsid w:val="00A32A83"/>
    <w:rsid w:val="00A32FBE"/>
    <w:rsid w:val="00A3492A"/>
    <w:rsid w:val="00A368AD"/>
    <w:rsid w:val="00A368DB"/>
    <w:rsid w:val="00A37C62"/>
    <w:rsid w:val="00A42048"/>
    <w:rsid w:val="00A421EE"/>
    <w:rsid w:val="00A423AA"/>
    <w:rsid w:val="00A43375"/>
    <w:rsid w:val="00A44325"/>
    <w:rsid w:val="00A4463D"/>
    <w:rsid w:val="00A4564D"/>
    <w:rsid w:val="00A45DA6"/>
    <w:rsid w:val="00A519F6"/>
    <w:rsid w:val="00A51B04"/>
    <w:rsid w:val="00A52391"/>
    <w:rsid w:val="00A53EC6"/>
    <w:rsid w:val="00A555A3"/>
    <w:rsid w:val="00A55C0F"/>
    <w:rsid w:val="00A57F10"/>
    <w:rsid w:val="00A607E6"/>
    <w:rsid w:val="00A60A3E"/>
    <w:rsid w:val="00A612B7"/>
    <w:rsid w:val="00A62212"/>
    <w:rsid w:val="00A63198"/>
    <w:rsid w:val="00A64D02"/>
    <w:rsid w:val="00A655DA"/>
    <w:rsid w:val="00A65C8B"/>
    <w:rsid w:val="00A65EDD"/>
    <w:rsid w:val="00A6629C"/>
    <w:rsid w:val="00A66E99"/>
    <w:rsid w:val="00A67E7A"/>
    <w:rsid w:val="00A72DFD"/>
    <w:rsid w:val="00A73411"/>
    <w:rsid w:val="00A734E5"/>
    <w:rsid w:val="00A7382C"/>
    <w:rsid w:val="00A73B0B"/>
    <w:rsid w:val="00A740C7"/>
    <w:rsid w:val="00A74483"/>
    <w:rsid w:val="00A7486F"/>
    <w:rsid w:val="00A749BA"/>
    <w:rsid w:val="00A74A68"/>
    <w:rsid w:val="00A75846"/>
    <w:rsid w:val="00A7646D"/>
    <w:rsid w:val="00A77E2D"/>
    <w:rsid w:val="00A80042"/>
    <w:rsid w:val="00A80F0E"/>
    <w:rsid w:val="00A818FA"/>
    <w:rsid w:val="00A836B2"/>
    <w:rsid w:val="00A843FE"/>
    <w:rsid w:val="00A84E00"/>
    <w:rsid w:val="00A86318"/>
    <w:rsid w:val="00A870A2"/>
    <w:rsid w:val="00A8713F"/>
    <w:rsid w:val="00A87389"/>
    <w:rsid w:val="00A90BA1"/>
    <w:rsid w:val="00A91538"/>
    <w:rsid w:val="00A9249C"/>
    <w:rsid w:val="00A9251C"/>
    <w:rsid w:val="00A92DE6"/>
    <w:rsid w:val="00A932EF"/>
    <w:rsid w:val="00A9378D"/>
    <w:rsid w:val="00A9429F"/>
    <w:rsid w:val="00A94F7D"/>
    <w:rsid w:val="00A95A3E"/>
    <w:rsid w:val="00A968E2"/>
    <w:rsid w:val="00A97A9A"/>
    <w:rsid w:val="00AA0671"/>
    <w:rsid w:val="00AA0AE8"/>
    <w:rsid w:val="00AA0D46"/>
    <w:rsid w:val="00AA2531"/>
    <w:rsid w:val="00AA2635"/>
    <w:rsid w:val="00AA623D"/>
    <w:rsid w:val="00AA664B"/>
    <w:rsid w:val="00AA7163"/>
    <w:rsid w:val="00AB060F"/>
    <w:rsid w:val="00AB137B"/>
    <w:rsid w:val="00AB1484"/>
    <w:rsid w:val="00AB1786"/>
    <w:rsid w:val="00AB1E09"/>
    <w:rsid w:val="00AB2467"/>
    <w:rsid w:val="00AB5124"/>
    <w:rsid w:val="00AB5330"/>
    <w:rsid w:val="00AB5C00"/>
    <w:rsid w:val="00AB71B9"/>
    <w:rsid w:val="00AB7747"/>
    <w:rsid w:val="00AB7777"/>
    <w:rsid w:val="00AC074A"/>
    <w:rsid w:val="00AC0F68"/>
    <w:rsid w:val="00AC128C"/>
    <w:rsid w:val="00AC14CE"/>
    <w:rsid w:val="00AC2A56"/>
    <w:rsid w:val="00AC2AB1"/>
    <w:rsid w:val="00AC2C1D"/>
    <w:rsid w:val="00AC3A14"/>
    <w:rsid w:val="00AC466C"/>
    <w:rsid w:val="00AD055E"/>
    <w:rsid w:val="00AD06E1"/>
    <w:rsid w:val="00AD0BCC"/>
    <w:rsid w:val="00AD147D"/>
    <w:rsid w:val="00AD47A7"/>
    <w:rsid w:val="00AD5416"/>
    <w:rsid w:val="00AE0296"/>
    <w:rsid w:val="00AE1787"/>
    <w:rsid w:val="00AE2BA5"/>
    <w:rsid w:val="00AE32B5"/>
    <w:rsid w:val="00AE3E2B"/>
    <w:rsid w:val="00AE4094"/>
    <w:rsid w:val="00AE5C4B"/>
    <w:rsid w:val="00AF0CBF"/>
    <w:rsid w:val="00AF0EFD"/>
    <w:rsid w:val="00AF257F"/>
    <w:rsid w:val="00AF27A1"/>
    <w:rsid w:val="00AF33CF"/>
    <w:rsid w:val="00AF3F2F"/>
    <w:rsid w:val="00AF4C39"/>
    <w:rsid w:val="00AF4CC2"/>
    <w:rsid w:val="00AF4D50"/>
    <w:rsid w:val="00AF4DB0"/>
    <w:rsid w:val="00AF569A"/>
    <w:rsid w:val="00AF5FAD"/>
    <w:rsid w:val="00AF6179"/>
    <w:rsid w:val="00AF7E42"/>
    <w:rsid w:val="00B00DA5"/>
    <w:rsid w:val="00B00DCF"/>
    <w:rsid w:val="00B013B9"/>
    <w:rsid w:val="00B03918"/>
    <w:rsid w:val="00B06CCE"/>
    <w:rsid w:val="00B11038"/>
    <w:rsid w:val="00B115D3"/>
    <w:rsid w:val="00B117BD"/>
    <w:rsid w:val="00B11CC4"/>
    <w:rsid w:val="00B123A7"/>
    <w:rsid w:val="00B1295A"/>
    <w:rsid w:val="00B12B1A"/>
    <w:rsid w:val="00B13992"/>
    <w:rsid w:val="00B14BAA"/>
    <w:rsid w:val="00B16E46"/>
    <w:rsid w:val="00B171A6"/>
    <w:rsid w:val="00B20A45"/>
    <w:rsid w:val="00B20BDD"/>
    <w:rsid w:val="00B221AE"/>
    <w:rsid w:val="00B22C5C"/>
    <w:rsid w:val="00B23D0A"/>
    <w:rsid w:val="00B24F30"/>
    <w:rsid w:val="00B266A9"/>
    <w:rsid w:val="00B26B9E"/>
    <w:rsid w:val="00B272A2"/>
    <w:rsid w:val="00B31ABF"/>
    <w:rsid w:val="00B33022"/>
    <w:rsid w:val="00B330AC"/>
    <w:rsid w:val="00B33BE3"/>
    <w:rsid w:val="00B33F86"/>
    <w:rsid w:val="00B341D0"/>
    <w:rsid w:val="00B353EC"/>
    <w:rsid w:val="00B35EB2"/>
    <w:rsid w:val="00B36168"/>
    <w:rsid w:val="00B367B3"/>
    <w:rsid w:val="00B40FDD"/>
    <w:rsid w:val="00B4340E"/>
    <w:rsid w:val="00B43598"/>
    <w:rsid w:val="00B445F1"/>
    <w:rsid w:val="00B45249"/>
    <w:rsid w:val="00B45861"/>
    <w:rsid w:val="00B45CF8"/>
    <w:rsid w:val="00B4684C"/>
    <w:rsid w:val="00B46D06"/>
    <w:rsid w:val="00B475CA"/>
    <w:rsid w:val="00B50818"/>
    <w:rsid w:val="00B50DA9"/>
    <w:rsid w:val="00B53B5D"/>
    <w:rsid w:val="00B54D34"/>
    <w:rsid w:val="00B55242"/>
    <w:rsid w:val="00B561C4"/>
    <w:rsid w:val="00B6037C"/>
    <w:rsid w:val="00B60498"/>
    <w:rsid w:val="00B6055E"/>
    <w:rsid w:val="00B60B22"/>
    <w:rsid w:val="00B612BD"/>
    <w:rsid w:val="00B623F0"/>
    <w:rsid w:val="00B6317D"/>
    <w:rsid w:val="00B63699"/>
    <w:rsid w:val="00B63F3A"/>
    <w:rsid w:val="00B64EEB"/>
    <w:rsid w:val="00B6504C"/>
    <w:rsid w:val="00B6550D"/>
    <w:rsid w:val="00B66CDF"/>
    <w:rsid w:val="00B67D01"/>
    <w:rsid w:val="00B734F3"/>
    <w:rsid w:val="00B73552"/>
    <w:rsid w:val="00B75955"/>
    <w:rsid w:val="00B76490"/>
    <w:rsid w:val="00B76E9C"/>
    <w:rsid w:val="00B7723F"/>
    <w:rsid w:val="00B80534"/>
    <w:rsid w:val="00B80743"/>
    <w:rsid w:val="00B81B22"/>
    <w:rsid w:val="00B81C6C"/>
    <w:rsid w:val="00B826CD"/>
    <w:rsid w:val="00B8433C"/>
    <w:rsid w:val="00B843BB"/>
    <w:rsid w:val="00B84A7A"/>
    <w:rsid w:val="00B85584"/>
    <w:rsid w:val="00B8626F"/>
    <w:rsid w:val="00B87491"/>
    <w:rsid w:val="00B91F6D"/>
    <w:rsid w:val="00B92181"/>
    <w:rsid w:val="00B93E04"/>
    <w:rsid w:val="00B969C9"/>
    <w:rsid w:val="00B97CA7"/>
    <w:rsid w:val="00B97FB0"/>
    <w:rsid w:val="00BA117A"/>
    <w:rsid w:val="00BA29E9"/>
    <w:rsid w:val="00BA4DB9"/>
    <w:rsid w:val="00BA5798"/>
    <w:rsid w:val="00BA599C"/>
    <w:rsid w:val="00BA7142"/>
    <w:rsid w:val="00BB1EC2"/>
    <w:rsid w:val="00BB22C4"/>
    <w:rsid w:val="00BB237C"/>
    <w:rsid w:val="00BB272C"/>
    <w:rsid w:val="00BB3A25"/>
    <w:rsid w:val="00BB41A3"/>
    <w:rsid w:val="00BB4628"/>
    <w:rsid w:val="00BB5123"/>
    <w:rsid w:val="00BB5E4F"/>
    <w:rsid w:val="00BB61CF"/>
    <w:rsid w:val="00BB62A0"/>
    <w:rsid w:val="00BB63A5"/>
    <w:rsid w:val="00BB63DF"/>
    <w:rsid w:val="00BB7647"/>
    <w:rsid w:val="00BC01D0"/>
    <w:rsid w:val="00BC1871"/>
    <w:rsid w:val="00BC2B21"/>
    <w:rsid w:val="00BC32DC"/>
    <w:rsid w:val="00BC35B6"/>
    <w:rsid w:val="00BC3A08"/>
    <w:rsid w:val="00BC4D2F"/>
    <w:rsid w:val="00BC7CC8"/>
    <w:rsid w:val="00BD082E"/>
    <w:rsid w:val="00BD16EF"/>
    <w:rsid w:val="00BD1B51"/>
    <w:rsid w:val="00BD3730"/>
    <w:rsid w:val="00BD3985"/>
    <w:rsid w:val="00BD4596"/>
    <w:rsid w:val="00BD7133"/>
    <w:rsid w:val="00BE003D"/>
    <w:rsid w:val="00BE0859"/>
    <w:rsid w:val="00BE1405"/>
    <w:rsid w:val="00BE1743"/>
    <w:rsid w:val="00BE18EF"/>
    <w:rsid w:val="00BE2A4D"/>
    <w:rsid w:val="00BE2A85"/>
    <w:rsid w:val="00BE312D"/>
    <w:rsid w:val="00BE3262"/>
    <w:rsid w:val="00BE5414"/>
    <w:rsid w:val="00BE6421"/>
    <w:rsid w:val="00BE7250"/>
    <w:rsid w:val="00BF0042"/>
    <w:rsid w:val="00BF12C6"/>
    <w:rsid w:val="00BF1C20"/>
    <w:rsid w:val="00BF1D99"/>
    <w:rsid w:val="00BF282B"/>
    <w:rsid w:val="00BF528E"/>
    <w:rsid w:val="00BF53E1"/>
    <w:rsid w:val="00BF5B71"/>
    <w:rsid w:val="00BF6DAD"/>
    <w:rsid w:val="00BF7035"/>
    <w:rsid w:val="00C009DC"/>
    <w:rsid w:val="00C00DD4"/>
    <w:rsid w:val="00C03783"/>
    <w:rsid w:val="00C03982"/>
    <w:rsid w:val="00C039B6"/>
    <w:rsid w:val="00C0743D"/>
    <w:rsid w:val="00C07448"/>
    <w:rsid w:val="00C07982"/>
    <w:rsid w:val="00C10203"/>
    <w:rsid w:val="00C10446"/>
    <w:rsid w:val="00C10578"/>
    <w:rsid w:val="00C128C2"/>
    <w:rsid w:val="00C135BC"/>
    <w:rsid w:val="00C14226"/>
    <w:rsid w:val="00C146D8"/>
    <w:rsid w:val="00C14C2B"/>
    <w:rsid w:val="00C1539D"/>
    <w:rsid w:val="00C15468"/>
    <w:rsid w:val="00C15C95"/>
    <w:rsid w:val="00C164BF"/>
    <w:rsid w:val="00C16847"/>
    <w:rsid w:val="00C173F5"/>
    <w:rsid w:val="00C2003F"/>
    <w:rsid w:val="00C22426"/>
    <w:rsid w:val="00C2549E"/>
    <w:rsid w:val="00C2596A"/>
    <w:rsid w:val="00C2725E"/>
    <w:rsid w:val="00C27537"/>
    <w:rsid w:val="00C279E1"/>
    <w:rsid w:val="00C301B8"/>
    <w:rsid w:val="00C3206B"/>
    <w:rsid w:val="00C328FE"/>
    <w:rsid w:val="00C33507"/>
    <w:rsid w:val="00C33A8B"/>
    <w:rsid w:val="00C34D02"/>
    <w:rsid w:val="00C364BA"/>
    <w:rsid w:val="00C40789"/>
    <w:rsid w:val="00C4108D"/>
    <w:rsid w:val="00C412C9"/>
    <w:rsid w:val="00C41732"/>
    <w:rsid w:val="00C429C8"/>
    <w:rsid w:val="00C43966"/>
    <w:rsid w:val="00C43E01"/>
    <w:rsid w:val="00C4409D"/>
    <w:rsid w:val="00C44DA1"/>
    <w:rsid w:val="00C44E72"/>
    <w:rsid w:val="00C45A06"/>
    <w:rsid w:val="00C45FF4"/>
    <w:rsid w:val="00C47E5B"/>
    <w:rsid w:val="00C5077F"/>
    <w:rsid w:val="00C51720"/>
    <w:rsid w:val="00C5217B"/>
    <w:rsid w:val="00C52E3B"/>
    <w:rsid w:val="00C540B3"/>
    <w:rsid w:val="00C56327"/>
    <w:rsid w:val="00C565A0"/>
    <w:rsid w:val="00C56B84"/>
    <w:rsid w:val="00C60A03"/>
    <w:rsid w:val="00C60D5B"/>
    <w:rsid w:val="00C61E4B"/>
    <w:rsid w:val="00C6457F"/>
    <w:rsid w:val="00C64BFF"/>
    <w:rsid w:val="00C64EEE"/>
    <w:rsid w:val="00C65FCD"/>
    <w:rsid w:val="00C67FEA"/>
    <w:rsid w:val="00C7041B"/>
    <w:rsid w:val="00C704E9"/>
    <w:rsid w:val="00C71221"/>
    <w:rsid w:val="00C725EF"/>
    <w:rsid w:val="00C728D2"/>
    <w:rsid w:val="00C72C79"/>
    <w:rsid w:val="00C73419"/>
    <w:rsid w:val="00C763C9"/>
    <w:rsid w:val="00C7643E"/>
    <w:rsid w:val="00C77AE4"/>
    <w:rsid w:val="00C80057"/>
    <w:rsid w:val="00C80D3A"/>
    <w:rsid w:val="00C80DE6"/>
    <w:rsid w:val="00C814D8"/>
    <w:rsid w:val="00C82232"/>
    <w:rsid w:val="00C82913"/>
    <w:rsid w:val="00C82F2D"/>
    <w:rsid w:val="00C83229"/>
    <w:rsid w:val="00C83D3E"/>
    <w:rsid w:val="00C8693F"/>
    <w:rsid w:val="00C86EBD"/>
    <w:rsid w:val="00C86FA7"/>
    <w:rsid w:val="00C87D2A"/>
    <w:rsid w:val="00C90AAE"/>
    <w:rsid w:val="00C91540"/>
    <w:rsid w:val="00C96C32"/>
    <w:rsid w:val="00C972B1"/>
    <w:rsid w:val="00C97E5C"/>
    <w:rsid w:val="00CA191E"/>
    <w:rsid w:val="00CA2CCE"/>
    <w:rsid w:val="00CA3B90"/>
    <w:rsid w:val="00CA3FC0"/>
    <w:rsid w:val="00CA43FD"/>
    <w:rsid w:val="00CA45EF"/>
    <w:rsid w:val="00CA49B9"/>
    <w:rsid w:val="00CA610D"/>
    <w:rsid w:val="00CA6BCB"/>
    <w:rsid w:val="00CA7CFF"/>
    <w:rsid w:val="00CA7EF8"/>
    <w:rsid w:val="00CB141A"/>
    <w:rsid w:val="00CB38A4"/>
    <w:rsid w:val="00CB4AE4"/>
    <w:rsid w:val="00CB62D3"/>
    <w:rsid w:val="00CC0E22"/>
    <w:rsid w:val="00CC4270"/>
    <w:rsid w:val="00CC489B"/>
    <w:rsid w:val="00CC58E0"/>
    <w:rsid w:val="00CC60BE"/>
    <w:rsid w:val="00CC69FF"/>
    <w:rsid w:val="00CC7648"/>
    <w:rsid w:val="00CC7D42"/>
    <w:rsid w:val="00CD1AD8"/>
    <w:rsid w:val="00CD2605"/>
    <w:rsid w:val="00CD2763"/>
    <w:rsid w:val="00CD2767"/>
    <w:rsid w:val="00CD2BCD"/>
    <w:rsid w:val="00CD38B1"/>
    <w:rsid w:val="00CD3A4C"/>
    <w:rsid w:val="00CD3C7E"/>
    <w:rsid w:val="00CD4170"/>
    <w:rsid w:val="00CD41AD"/>
    <w:rsid w:val="00CD5C7A"/>
    <w:rsid w:val="00CD77B7"/>
    <w:rsid w:val="00CE08EC"/>
    <w:rsid w:val="00CE0CB5"/>
    <w:rsid w:val="00CE0DFD"/>
    <w:rsid w:val="00CE10E9"/>
    <w:rsid w:val="00CE14EF"/>
    <w:rsid w:val="00CE194C"/>
    <w:rsid w:val="00CE1F76"/>
    <w:rsid w:val="00CE2910"/>
    <w:rsid w:val="00CE2CFC"/>
    <w:rsid w:val="00CE3482"/>
    <w:rsid w:val="00CE3CC3"/>
    <w:rsid w:val="00CE5393"/>
    <w:rsid w:val="00CE5FB4"/>
    <w:rsid w:val="00CE6B53"/>
    <w:rsid w:val="00CE774D"/>
    <w:rsid w:val="00CE7F12"/>
    <w:rsid w:val="00CF05F8"/>
    <w:rsid w:val="00CF079F"/>
    <w:rsid w:val="00CF1093"/>
    <w:rsid w:val="00CF16C1"/>
    <w:rsid w:val="00CF327A"/>
    <w:rsid w:val="00CF36BE"/>
    <w:rsid w:val="00CF37FD"/>
    <w:rsid w:val="00CF3B17"/>
    <w:rsid w:val="00CF42E1"/>
    <w:rsid w:val="00CF46E8"/>
    <w:rsid w:val="00CF4D60"/>
    <w:rsid w:val="00CF6000"/>
    <w:rsid w:val="00CF7A86"/>
    <w:rsid w:val="00D003F3"/>
    <w:rsid w:val="00D016C3"/>
    <w:rsid w:val="00D01969"/>
    <w:rsid w:val="00D0364F"/>
    <w:rsid w:val="00D0365E"/>
    <w:rsid w:val="00D038E0"/>
    <w:rsid w:val="00D04ED5"/>
    <w:rsid w:val="00D06834"/>
    <w:rsid w:val="00D07800"/>
    <w:rsid w:val="00D107F2"/>
    <w:rsid w:val="00D1457D"/>
    <w:rsid w:val="00D149AD"/>
    <w:rsid w:val="00D178B0"/>
    <w:rsid w:val="00D23293"/>
    <w:rsid w:val="00D23ABE"/>
    <w:rsid w:val="00D249F2"/>
    <w:rsid w:val="00D25381"/>
    <w:rsid w:val="00D27C1C"/>
    <w:rsid w:val="00D308ED"/>
    <w:rsid w:val="00D32A25"/>
    <w:rsid w:val="00D32D58"/>
    <w:rsid w:val="00D3374E"/>
    <w:rsid w:val="00D33FCC"/>
    <w:rsid w:val="00D34640"/>
    <w:rsid w:val="00D34F0F"/>
    <w:rsid w:val="00D354E2"/>
    <w:rsid w:val="00D358F9"/>
    <w:rsid w:val="00D36C9E"/>
    <w:rsid w:val="00D36D86"/>
    <w:rsid w:val="00D373F3"/>
    <w:rsid w:val="00D4276A"/>
    <w:rsid w:val="00D428AA"/>
    <w:rsid w:val="00D473F2"/>
    <w:rsid w:val="00D47C85"/>
    <w:rsid w:val="00D50A34"/>
    <w:rsid w:val="00D51252"/>
    <w:rsid w:val="00D51EC0"/>
    <w:rsid w:val="00D5392C"/>
    <w:rsid w:val="00D53EFA"/>
    <w:rsid w:val="00D54465"/>
    <w:rsid w:val="00D569E1"/>
    <w:rsid w:val="00D5714C"/>
    <w:rsid w:val="00D61FF1"/>
    <w:rsid w:val="00D62AF0"/>
    <w:rsid w:val="00D643DD"/>
    <w:rsid w:val="00D650F4"/>
    <w:rsid w:val="00D6688D"/>
    <w:rsid w:val="00D6755F"/>
    <w:rsid w:val="00D70615"/>
    <w:rsid w:val="00D70647"/>
    <w:rsid w:val="00D71076"/>
    <w:rsid w:val="00D72D0B"/>
    <w:rsid w:val="00D75A4B"/>
    <w:rsid w:val="00D75B6E"/>
    <w:rsid w:val="00D75D98"/>
    <w:rsid w:val="00D76B69"/>
    <w:rsid w:val="00D80488"/>
    <w:rsid w:val="00D81D53"/>
    <w:rsid w:val="00D81EE9"/>
    <w:rsid w:val="00D82255"/>
    <w:rsid w:val="00D8260D"/>
    <w:rsid w:val="00D82D9E"/>
    <w:rsid w:val="00D83624"/>
    <w:rsid w:val="00D83A95"/>
    <w:rsid w:val="00D83AF0"/>
    <w:rsid w:val="00D83D78"/>
    <w:rsid w:val="00D84941"/>
    <w:rsid w:val="00D90547"/>
    <w:rsid w:val="00D91598"/>
    <w:rsid w:val="00D93087"/>
    <w:rsid w:val="00D93932"/>
    <w:rsid w:val="00D93F94"/>
    <w:rsid w:val="00D9418E"/>
    <w:rsid w:val="00D94A7C"/>
    <w:rsid w:val="00D95896"/>
    <w:rsid w:val="00D960FC"/>
    <w:rsid w:val="00D9623C"/>
    <w:rsid w:val="00D96C1B"/>
    <w:rsid w:val="00DA1810"/>
    <w:rsid w:val="00DA20BC"/>
    <w:rsid w:val="00DA2ABF"/>
    <w:rsid w:val="00DA2B1E"/>
    <w:rsid w:val="00DA4A8F"/>
    <w:rsid w:val="00DA4AF4"/>
    <w:rsid w:val="00DA60D4"/>
    <w:rsid w:val="00DB1271"/>
    <w:rsid w:val="00DB176D"/>
    <w:rsid w:val="00DB2983"/>
    <w:rsid w:val="00DB5BF9"/>
    <w:rsid w:val="00DC1257"/>
    <w:rsid w:val="00DC1CC5"/>
    <w:rsid w:val="00DC1FB4"/>
    <w:rsid w:val="00DC3346"/>
    <w:rsid w:val="00DC3DC0"/>
    <w:rsid w:val="00DC5B2B"/>
    <w:rsid w:val="00DC65E7"/>
    <w:rsid w:val="00DC67CB"/>
    <w:rsid w:val="00DD318D"/>
    <w:rsid w:val="00DD6BE2"/>
    <w:rsid w:val="00DE3A70"/>
    <w:rsid w:val="00DE721F"/>
    <w:rsid w:val="00DE75C2"/>
    <w:rsid w:val="00DE76CF"/>
    <w:rsid w:val="00DF0023"/>
    <w:rsid w:val="00DF0E68"/>
    <w:rsid w:val="00DF113B"/>
    <w:rsid w:val="00DF2E12"/>
    <w:rsid w:val="00DF3D8E"/>
    <w:rsid w:val="00DF514A"/>
    <w:rsid w:val="00DF5AEA"/>
    <w:rsid w:val="00DF619A"/>
    <w:rsid w:val="00DF6690"/>
    <w:rsid w:val="00DF6804"/>
    <w:rsid w:val="00DF7390"/>
    <w:rsid w:val="00DF7BF1"/>
    <w:rsid w:val="00DF7E73"/>
    <w:rsid w:val="00E024F4"/>
    <w:rsid w:val="00E0358D"/>
    <w:rsid w:val="00E04323"/>
    <w:rsid w:val="00E04611"/>
    <w:rsid w:val="00E06403"/>
    <w:rsid w:val="00E06432"/>
    <w:rsid w:val="00E070A2"/>
    <w:rsid w:val="00E103F0"/>
    <w:rsid w:val="00E1083A"/>
    <w:rsid w:val="00E10A2F"/>
    <w:rsid w:val="00E10C44"/>
    <w:rsid w:val="00E119A9"/>
    <w:rsid w:val="00E14320"/>
    <w:rsid w:val="00E151B7"/>
    <w:rsid w:val="00E15676"/>
    <w:rsid w:val="00E1675F"/>
    <w:rsid w:val="00E17AB6"/>
    <w:rsid w:val="00E204DD"/>
    <w:rsid w:val="00E216C3"/>
    <w:rsid w:val="00E2227B"/>
    <w:rsid w:val="00E228D6"/>
    <w:rsid w:val="00E23F33"/>
    <w:rsid w:val="00E25556"/>
    <w:rsid w:val="00E26444"/>
    <w:rsid w:val="00E2656A"/>
    <w:rsid w:val="00E26616"/>
    <w:rsid w:val="00E27FFC"/>
    <w:rsid w:val="00E30FB1"/>
    <w:rsid w:val="00E319CF"/>
    <w:rsid w:val="00E32D47"/>
    <w:rsid w:val="00E3315E"/>
    <w:rsid w:val="00E3349C"/>
    <w:rsid w:val="00E33B6E"/>
    <w:rsid w:val="00E37B96"/>
    <w:rsid w:val="00E412D0"/>
    <w:rsid w:val="00E418E9"/>
    <w:rsid w:val="00E447CF"/>
    <w:rsid w:val="00E44FE2"/>
    <w:rsid w:val="00E45DB7"/>
    <w:rsid w:val="00E5061D"/>
    <w:rsid w:val="00E5214B"/>
    <w:rsid w:val="00E526CF"/>
    <w:rsid w:val="00E54928"/>
    <w:rsid w:val="00E54978"/>
    <w:rsid w:val="00E557AE"/>
    <w:rsid w:val="00E56322"/>
    <w:rsid w:val="00E575C4"/>
    <w:rsid w:val="00E57C6D"/>
    <w:rsid w:val="00E602DB"/>
    <w:rsid w:val="00E60982"/>
    <w:rsid w:val="00E60AB0"/>
    <w:rsid w:val="00E61DC4"/>
    <w:rsid w:val="00E62C62"/>
    <w:rsid w:val="00E639A9"/>
    <w:rsid w:val="00E63F60"/>
    <w:rsid w:val="00E654A7"/>
    <w:rsid w:val="00E654C1"/>
    <w:rsid w:val="00E65D97"/>
    <w:rsid w:val="00E71421"/>
    <w:rsid w:val="00E71756"/>
    <w:rsid w:val="00E71FF8"/>
    <w:rsid w:val="00E72881"/>
    <w:rsid w:val="00E72A5A"/>
    <w:rsid w:val="00E73354"/>
    <w:rsid w:val="00E73BED"/>
    <w:rsid w:val="00E73C23"/>
    <w:rsid w:val="00E73F47"/>
    <w:rsid w:val="00E763F9"/>
    <w:rsid w:val="00E806C4"/>
    <w:rsid w:val="00E80A44"/>
    <w:rsid w:val="00E8253A"/>
    <w:rsid w:val="00E825F5"/>
    <w:rsid w:val="00E82A1C"/>
    <w:rsid w:val="00E8394D"/>
    <w:rsid w:val="00E85664"/>
    <w:rsid w:val="00E909E5"/>
    <w:rsid w:val="00E9242D"/>
    <w:rsid w:val="00E94128"/>
    <w:rsid w:val="00E958D9"/>
    <w:rsid w:val="00E96E36"/>
    <w:rsid w:val="00EA1561"/>
    <w:rsid w:val="00EA1A54"/>
    <w:rsid w:val="00EA3393"/>
    <w:rsid w:val="00EA6575"/>
    <w:rsid w:val="00EA6F48"/>
    <w:rsid w:val="00EA761B"/>
    <w:rsid w:val="00EB0A98"/>
    <w:rsid w:val="00EB0FC0"/>
    <w:rsid w:val="00EB1F36"/>
    <w:rsid w:val="00EB5255"/>
    <w:rsid w:val="00EB5380"/>
    <w:rsid w:val="00EB5793"/>
    <w:rsid w:val="00EB5C47"/>
    <w:rsid w:val="00EB64C1"/>
    <w:rsid w:val="00EB7BD3"/>
    <w:rsid w:val="00EC2799"/>
    <w:rsid w:val="00EC4BC8"/>
    <w:rsid w:val="00EC56B2"/>
    <w:rsid w:val="00EC75B1"/>
    <w:rsid w:val="00EC76DF"/>
    <w:rsid w:val="00ED029C"/>
    <w:rsid w:val="00ED02E3"/>
    <w:rsid w:val="00ED047A"/>
    <w:rsid w:val="00ED0639"/>
    <w:rsid w:val="00ED17CF"/>
    <w:rsid w:val="00ED18C9"/>
    <w:rsid w:val="00ED2906"/>
    <w:rsid w:val="00ED798F"/>
    <w:rsid w:val="00EE2B98"/>
    <w:rsid w:val="00EE412E"/>
    <w:rsid w:val="00EE493D"/>
    <w:rsid w:val="00EE4E17"/>
    <w:rsid w:val="00EE5DD5"/>
    <w:rsid w:val="00EE66FC"/>
    <w:rsid w:val="00EF16A4"/>
    <w:rsid w:val="00EF253B"/>
    <w:rsid w:val="00EF2D42"/>
    <w:rsid w:val="00EF39B1"/>
    <w:rsid w:val="00EF4426"/>
    <w:rsid w:val="00EF4755"/>
    <w:rsid w:val="00EF4B3D"/>
    <w:rsid w:val="00EF61DB"/>
    <w:rsid w:val="00EF7135"/>
    <w:rsid w:val="00EF78C7"/>
    <w:rsid w:val="00F00650"/>
    <w:rsid w:val="00F023FF"/>
    <w:rsid w:val="00F027DB"/>
    <w:rsid w:val="00F054A1"/>
    <w:rsid w:val="00F05B96"/>
    <w:rsid w:val="00F05D8E"/>
    <w:rsid w:val="00F06394"/>
    <w:rsid w:val="00F06EC9"/>
    <w:rsid w:val="00F075C1"/>
    <w:rsid w:val="00F100BE"/>
    <w:rsid w:val="00F105E4"/>
    <w:rsid w:val="00F1090F"/>
    <w:rsid w:val="00F11FD0"/>
    <w:rsid w:val="00F12921"/>
    <w:rsid w:val="00F12E17"/>
    <w:rsid w:val="00F13089"/>
    <w:rsid w:val="00F1316D"/>
    <w:rsid w:val="00F1481B"/>
    <w:rsid w:val="00F1495A"/>
    <w:rsid w:val="00F14A7A"/>
    <w:rsid w:val="00F150EA"/>
    <w:rsid w:val="00F16EC2"/>
    <w:rsid w:val="00F1706E"/>
    <w:rsid w:val="00F20C92"/>
    <w:rsid w:val="00F22023"/>
    <w:rsid w:val="00F223C9"/>
    <w:rsid w:val="00F22779"/>
    <w:rsid w:val="00F22985"/>
    <w:rsid w:val="00F23562"/>
    <w:rsid w:val="00F246AB"/>
    <w:rsid w:val="00F25827"/>
    <w:rsid w:val="00F25A6B"/>
    <w:rsid w:val="00F27D59"/>
    <w:rsid w:val="00F321B7"/>
    <w:rsid w:val="00F3250D"/>
    <w:rsid w:val="00F3337D"/>
    <w:rsid w:val="00F33527"/>
    <w:rsid w:val="00F3383E"/>
    <w:rsid w:val="00F34525"/>
    <w:rsid w:val="00F35FB4"/>
    <w:rsid w:val="00F360A3"/>
    <w:rsid w:val="00F372C1"/>
    <w:rsid w:val="00F4464D"/>
    <w:rsid w:val="00F4630D"/>
    <w:rsid w:val="00F463F9"/>
    <w:rsid w:val="00F465A7"/>
    <w:rsid w:val="00F466D6"/>
    <w:rsid w:val="00F471ED"/>
    <w:rsid w:val="00F476AD"/>
    <w:rsid w:val="00F50B7C"/>
    <w:rsid w:val="00F52A9B"/>
    <w:rsid w:val="00F54EEA"/>
    <w:rsid w:val="00F550E6"/>
    <w:rsid w:val="00F567CA"/>
    <w:rsid w:val="00F56C72"/>
    <w:rsid w:val="00F61F72"/>
    <w:rsid w:val="00F61FED"/>
    <w:rsid w:val="00F62921"/>
    <w:rsid w:val="00F62B4E"/>
    <w:rsid w:val="00F64077"/>
    <w:rsid w:val="00F641DD"/>
    <w:rsid w:val="00F64E3E"/>
    <w:rsid w:val="00F65838"/>
    <w:rsid w:val="00F66CBB"/>
    <w:rsid w:val="00F67244"/>
    <w:rsid w:val="00F705B3"/>
    <w:rsid w:val="00F71B2C"/>
    <w:rsid w:val="00F739B5"/>
    <w:rsid w:val="00F73FB1"/>
    <w:rsid w:val="00F74345"/>
    <w:rsid w:val="00F74BC3"/>
    <w:rsid w:val="00F76CF8"/>
    <w:rsid w:val="00F77856"/>
    <w:rsid w:val="00F779DD"/>
    <w:rsid w:val="00F80A0A"/>
    <w:rsid w:val="00F81A46"/>
    <w:rsid w:val="00F82505"/>
    <w:rsid w:val="00F82B19"/>
    <w:rsid w:val="00F830A4"/>
    <w:rsid w:val="00F83C69"/>
    <w:rsid w:val="00F849F0"/>
    <w:rsid w:val="00F85D61"/>
    <w:rsid w:val="00F86BA0"/>
    <w:rsid w:val="00F87974"/>
    <w:rsid w:val="00F87A33"/>
    <w:rsid w:val="00F87B29"/>
    <w:rsid w:val="00F900B6"/>
    <w:rsid w:val="00F90DEB"/>
    <w:rsid w:val="00F9212D"/>
    <w:rsid w:val="00F9503C"/>
    <w:rsid w:val="00F965DA"/>
    <w:rsid w:val="00F97A6D"/>
    <w:rsid w:val="00FA1B75"/>
    <w:rsid w:val="00FA1F57"/>
    <w:rsid w:val="00FA350F"/>
    <w:rsid w:val="00FA3F3E"/>
    <w:rsid w:val="00FA406A"/>
    <w:rsid w:val="00FA4ADF"/>
    <w:rsid w:val="00FA4FD5"/>
    <w:rsid w:val="00FA7DF1"/>
    <w:rsid w:val="00FB0A97"/>
    <w:rsid w:val="00FB10C0"/>
    <w:rsid w:val="00FB11AF"/>
    <w:rsid w:val="00FB503A"/>
    <w:rsid w:val="00FB516C"/>
    <w:rsid w:val="00FB5A63"/>
    <w:rsid w:val="00FB62F5"/>
    <w:rsid w:val="00FC0C46"/>
    <w:rsid w:val="00FC303E"/>
    <w:rsid w:val="00FC3CB2"/>
    <w:rsid w:val="00FC4226"/>
    <w:rsid w:val="00FC6491"/>
    <w:rsid w:val="00FC6917"/>
    <w:rsid w:val="00FC6C83"/>
    <w:rsid w:val="00FC7DAA"/>
    <w:rsid w:val="00FD0236"/>
    <w:rsid w:val="00FD1059"/>
    <w:rsid w:val="00FD18F4"/>
    <w:rsid w:val="00FD2F67"/>
    <w:rsid w:val="00FD4A68"/>
    <w:rsid w:val="00FD54DB"/>
    <w:rsid w:val="00FD5A0F"/>
    <w:rsid w:val="00FD5B13"/>
    <w:rsid w:val="00FD619F"/>
    <w:rsid w:val="00FD654C"/>
    <w:rsid w:val="00FD7DFA"/>
    <w:rsid w:val="00FD7E16"/>
    <w:rsid w:val="00FE233F"/>
    <w:rsid w:val="00FE3728"/>
    <w:rsid w:val="00FE4F56"/>
    <w:rsid w:val="00FE66E2"/>
    <w:rsid w:val="00FE79CD"/>
    <w:rsid w:val="00FE7B94"/>
    <w:rsid w:val="00FF0B53"/>
    <w:rsid w:val="00FF0B77"/>
    <w:rsid w:val="00FF2676"/>
    <w:rsid w:val="00FF37BE"/>
    <w:rsid w:val="00FF60D7"/>
    <w:rsid w:val="010B5592"/>
    <w:rsid w:val="01117A34"/>
    <w:rsid w:val="01290F7E"/>
    <w:rsid w:val="012A4E2C"/>
    <w:rsid w:val="01385D77"/>
    <w:rsid w:val="0145721A"/>
    <w:rsid w:val="015D1E09"/>
    <w:rsid w:val="01635D69"/>
    <w:rsid w:val="016C090A"/>
    <w:rsid w:val="01735414"/>
    <w:rsid w:val="018976C9"/>
    <w:rsid w:val="018A73B0"/>
    <w:rsid w:val="018D1931"/>
    <w:rsid w:val="019D47B9"/>
    <w:rsid w:val="019D759C"/>
    <w:rsid w:val="01A56261"/>
    <w:rsid w:val="01D027EB"/>
    <w:rsid w:val="01D67534"/>
    <w:rsid w:val="01E4322D"/>
    <w:rsid w:val="01EE04AE"/>
    <w:rsid w:val="0204742C"/>
    <w:rsid w:val="02146517"/>
    <w:rsid w:val="022641C2"/>
    <w:rsid w:val="022E3E2F"/>
    <w:rsid w:val="02532D0C"/>
    <w:rsid w:val="025C30E2"/>
    <w:rsid w:val="02630935"/>
    <w:rsid w:val="02697903"/>
    <w:rsid w:val="026D3223"/>
    <w:rsid w:val="028A2D40"/>
    <w:rsid w:val="02900702"/>
    <w:rsid w:val="02931E56"/>
    <w:rsid w:val="0298594A"/>
    <w:rsid w:val="02A46519"/>
    <w:rsid w:val="02B60FA7"/>
    <w:rsid w:val="02C1045F"/>
    <w:rsid w:val="02C11DCF"/>
    <w:rsid w:val="02D52B76"/>
    <w:rsid w:val="02DF3E3F"/>
    <w:rsid w:val="02EB664A"/>
    <w:rsid w:val="02F96569"/>
    <w:rsid w:val="030B1A7E"/>
    <w:rsid w:val="030C7685"/>
    <w:rsid w:val="03155B55"/>
    <w:rsid w:val="031C67B3"/>
    <w:rsid w:val="03407427"/>
    <w:rsid w:val="03451FBF"/>
    <w:rsid w:val="0347397E"/>
    <w:rsid w:val="034C1790"/>
    <w:rsid w:val="035B1DDE"/>
    <w:rsid w:val="036964FC"/>
    <w:rsid w:val="03843986"/>
    <w:rsid w:val="038E07EA"/>
    <w:rsid w:val="03960557"/>
    <w:rsid w:val="039877BD"/>
    <w:rsid w:val="039960EC"/>
    <w:rsid w:val="03A8129D"/>
    <w:rsid w:val="03B20EA7"/>
    <w:rsid w:val="03B22EB7"/>
    <w:rsid w:val="03B73B02"/>
    <w:rsid w:val="03BE3AD0"/>
    <w:rsid w:val="03C74BB5"/>
    <w:rsid w:val="03D8291E"/>
    <w:rsid w:val="03EA7B21"/>
    <w:rsid w:val="03EC1FC7"/>
    <w:rsid w:val="04015589"/>
    <w:rsid w:val="0405748B"/>
    <w:rsid w:val="043F2B55"/>
    <w:rsid w:val="04461F09"/>
    <w:rsid w:val="04536D05"/>
    <w:rsid w:val="04554A98"/>
    <w:rsid w:val="04727041"/>
    <w:rsid w:val="04812FB5"/>
    <w:rsid w:val="048D4468"/>
    <w:rsid w:val="04B97507"/>
    <w:rsid w:val="04C82992"/>
    <w:rsid w:val="04D46F81"/>
    <w:rsid w:val="04E82021"/>
    <w:rsid w:val="04EC7835"/>
    <w:rsid w:val="050B3749"/>
    <w:rsid w:val="050E6601"/>
    <w:rsid w:val="052838D4"/>
    <w:rsid w:val="05353DA0"/>
    <w:rsid w:val="05431265"/>
    <w:rsid w:val="05564EEA"/>
    <w:rsid w:val="057523EE"/>
    <w:rsid w:val="05790131"/>
    <w:rsid w:val="057B0CF5"/>
    <w:rsid w:val="05865D5D"/>
    <w:rsid w:val="05896C5A"/>
    <w:rsid w:val="05965B48"/>
    <w:rsid w:val="05AD532C"/>
    <w:rsid w:val="05BB2B92"/>
    <w:rsid w:val="05D9472B"/>
    <w:rsid w:val="05EC4085"/>
    <w:rsid w:val="05F83EAE"/>
    <w:rsid w:val="05FA6F1D"/>
    <w:rsid w:val="060A0903"/>
    <w:rsid w:val="061004C5"/>
    <w:rsid w:val="06127C3D"/>
    <w:rsid w:val="061A560A"/>
    <w:rsid w:val="062B48CF"/>
    <w:rsid w:val="063E7D85"/>
    <w:rsid w:val="06532730"/>
    <w:rsid w:val="0659586C"/>
    <w:rsid w:val="067712B3"/>
    <w:rsid w:val="067B63A1"/>
    <w:rsid w:val="0685789D"/>
    <w:rsid w:val="06A62BA9"/>
    <w:rsid w:val="06C2658B"/>
    <w:rsid w:val="06C27508"/>
    <w:rsid w:val="06D65BE8"/>
    <w:rsid w:val="06EE1A11"/>
    <w:rsid w:val="06FC5EAA"/>
    <w:rsid w:val="0706063A"/>
    <w:rsid w:val="071255C4"/>
    <w:rsid w:val="071D4AEC"/>
    <w:rsid w:val="07293586"/>
    <w:rsid w:val="07295285"/>
    <w:rsid w:val="0753364C"/>
    <w:rsid w:val="07571D9E"/>
    <w:rsid w:val="07636392"/>
    <w:rsid w:val="07690BEE"/>
    <w:rsid w:val="076B52CA"/>
    <w:rsid w:val="076F7ED3"/>
    <w:rsid w:val="07770C56"/>
    <w:rsid w:val="078A6498"/>
    <w:rsid w:val="07A0125C"/>
    <w:rsid w:val="07C5243B"/>
    <w:rsid w:val="07DD49A7"/>
    <w:rsid w:val="07EA02AB"/>
    <w:rsid w:val="07F74071"/>
    <w:rsid w:val="07F804B6"/>
    <w:rsid w:val="07FD7DEB"/>
    <w:rsid w:val="080C76BA"/>
    <w:rsid w:val="08346849"/>
    <w:rsid w:val="083D5445"/>
    <w:rsid w:val="084120E9"/>
    <w:rsid w:val="084F33CB"/>
    <w:rsid w:val="08514A4D"/>
    <w:rsid w:val="085409E1"/>
    <w:rsid w:val="08571D21"/>
    <w:rsid w:val="085C35B7"/>
    <w:rsid w:val="08616C16"/>
    <w:rsid w:val="086334B4"/>
    <w:rsid w:val="0865674A"/>
    <w:rsid w:val="086E1AA3"/>
    <w:rsid w:val="08780E2D"/>
    <w:rsid w:val="087B5F6E"/>
    <w:rsid w:val="08856DEC"/>
    <w:rsid w:val="08865476"/>
    <w:rsid w:val="08900CB2"/>
    <w:rsid w:val="089164A2"/>
    <w:rsid w:val="089B6044"/>
    <w:rsid w:val="08AF4F60"/>
    <w:rsid w:val="08B03E69"/>
    <w:rsid w:val="08BF68A7"/>
    <w:rsid w:val="08D32B0B"/>
    <w:rsid w:val="08D4742C"/>
    <w:rsid w:val="08E25FED"/>
    <w:rsid w:val="08FD6A61"/>
    <w:rsid w:val="090E6DE2"/>
    <w:rsid w:val="091060D5"/>
    <w:rsid w:val="092217DD"/>
    <w:rsid w:val="09273A00"/>
    <w:rsid w:val="093078A1"/>
    <w:rsid w:val="093A7294"/>
    <w:rsid w:val="093F045B"/>
    <w:rsid w:val="094D16F1"/>
    <w:rsid w:val="09626BF0"/>
    <w:rsid w:val="096F5AD2"/>
    <w:rsid w:val="097314F5"/>
    <w:rsid w:val="09756E61"/>
    <w:rsid w:val="09794674"/>
    <w:rsid w:val="09797DD4"/>
    <w:rsid w:val="099472E7"/>
    <w:rsid w:val="09A432A2"/>
    <w:rsid w:val="09A81073"/>
    <w:rsid w:val="09B63701"/>
    <w:rsid w:val="09C6146A"/>
    <w:rsid w:val="09E70F8B"/>
    <w:rsid w:val="09EF539F"/>
    <w:rsid w:val="09FC0C0E"/>
    <w:rsid w:val="09FE178A"/>
    <w:rsid w:val="0A263993"/>
    <w:rsid w:val="0A2D3AC2"/>
    <w:rsid w:val="0A3D797F"/>
    <w:rsid w:val="0A4C7BC2"/>
    <w:rsid w:val="0A617511"/>
    <w:rsid w:val="0A617D3D"/>
    <w:rsid w:val="0A692DA2"/>
    <w:rsid w:val="0A696B96"/>
    <w:rsid w:val="0A876E4C"/>
    <w:rsid w:val="0AA2474B"/>
    <w:rsid w:val="0AA755DF"/>
    <w:rsid w:val="0AC0235E"/>
    <w:rsid w:val="0ACC239D"/>
    <w:rsid w:val="0ACF4FB3"/>
    <w:rsid w:val="0ADB7197"/>
    <w:rsid w:val="0AF67C54"/>
    <w:rsid w:val="0AF76FEA"/>
    <w:rsid w:val="0AFB0C85"/>
    <w:rsid w:val="0AFD0EBC"/>
    <w:rsid w:val="0AFF46F4"/>
    <w:rsid w:val="0AFF4C34"/>
    <w:rsid w:val="0B120D44"/>
    <w:rsid w:val="0B1B7A70"/>
    <w:rsid w:val="0B311469"/>
    <w:rsid w:val="0B476D29"/>
    <w:rsid w:val="0B54466A"/>
    <w:rsid w:val="0B6269AF"/>
    <w:rsid w:val="0B68658B"/>
    <w:rsid w:val="0B7102DF"/>
    <w:rsid w:val="0B892750"/>
    <w:rsid w:val="0B981976"/>
    <w:rsid w:val="0B9F2076"/>
    <w:rsid w:val="0BAC19CD"/>
    <w:rsid w:val="0BCA3494"/>
    <w:rsid w:val="0BD27BF6"/>
    <w:rsid w:val="0BDA2FAB"/>
    <w:rsid w:val="0BDA3FD4"/>
    <w:rsid w:val="0BF4069F"/>
    <w:rsid w:val="0BFE4688"/>
    <w:rsid w:val="0C036D14"/>
    <w:rsid w:val="0C3544FE"/>
    <w:rsid w:val="0C381612"/>
    <w:rsid w:val="0C3B3C7D"/>
    <w:rsid w:val="0C430C6B"/>
    <w:rsid w:val="0C4A0131"/>
    <w:rsid w:val="0C547201"/>
    <w:rsid w:val="0C59200B"/>
    <w:rsid w:val="0C5E5EFE"/>
    <w:rsid w:val="0C665DD1"/>
    <w:rsid w:val="0C6C350D"/>
    <w:rsid w:val="0C8C0749"/>
    <w:rsid w:val="0CAB2EAE"/>
    <w:rsid w:val="0CC02231"/>
    <w:rsid w:val="0CC06645"/>
    <w:rsid w:val="0CC72CD6"/>
    <w:rsid w:val="0CCE0D62"/>
    <w:rsid w:val="0CEC32A8"/>
    <w:rsid w:val="0CF32EA4"/>
    <w:rsid w:val="0D1D3CF3"/>
    <w:rsid w:val="0D2B61B4"/>
    <w:rsid w:val="0D2F50B7"/>
    <w:rsid w:val="0D305579"/>
    <w:rsid w:val="0D4373D3"/>
    <w:rsid w:val="0D47341C"/>
    <w:rsid w:val="0D621C7D"/>
    <w:rsid w:val="0D6276FC"/>
    <w:rsid w:val="0D9E11E4"/>
    <w:rsid w:val="0DBF7CD2"/>
    <w:rsid w:val="0DD52CE6"/>
    <w:rsid w:val="0DED16BC"/>
    <w:rsid w:val="0DF76096"/>
    <w:rsid w:val="0DFD3997"/>
    <w:rsid w:val="0E142835"/>
    <w:rsid w:val="0E3B1C35"/>
    <w:rsid w:val="0E526F19"/>
    <w:rsid w:val="0E55318E"/>
    <w:rsid w:val="0E5D6EA0"/>
    <w:rsid w:val="0E5E7EC3"/>
    <w:rsid w:val="0E5F13EE"/>
    <w:rsid w:val="0E6C5F86"/>
    <w:rsid w:val="0E73034D"/>
    <w:rsid w:val="0E80608C"/>
    <w:rsid w:val="0E941B37"/>
    <w:rsid w:val="0E945098"/>
    <w:rsid w:val="0EB42DE4"/>
    <w:rsid w:val="0EB75395"/>
    <w:rsid w:val="0F083607"/>
    <w:rsid w:val="0F13775A"/>
    <w:rsid w:val="0F140F51"/>
    <w:rsid w:val="0F1517C2"/>
    <w:rsid w:val="0F2661C0"/>
    <w:rsid w:val="0F386966"/>
    <w:rsid w:val="0F3B1FB3"/>
    <w:rsid w:val="0F4B4695"/>
    <w:rsid w:val="0F5E2A0F"/>
    <w:rsid w:val="0F5F45FE"/>
    <w:rsid w:val="0F69307C"/>
    <w:rsid w:val="0F9A112B"/>
    <w:rsid w:val="0F9C1A87"/>
    <w:rsid w:val="0FB54AE7"/>
    <w:rsid w:val="0FBF6523"/>
    <w:rsid w:val="0FC10487"/>
    <w:rsid w:val="0FD50659"/>
    <w:rsid w:val="0FF24D67"/>
    <w:rsid w:val="0FF860F6"/>
    <w:rsid w:val="0FFF56D6"/>
    <w:rsid w:val="100A5921"/>
    <w:rsid w:val="101231B6"/>
    <w:rsid w:val="1017513A"/>
    <w:rsid w:val="1039189F"/>
    <w:rsid w:val="104D60AB"/>
    <w:rsid w:val="104E3E21"/>
    <w:rsid w:val="10554357"/>
    <w:rsid w:val="10563295"/>
    <w:rsid w:val="106C4C87"/>
    <w:rsid w:val="106D2F64"/>
    <w:rsid w:val="106F4735"/>
    <w:rsid w:val="10726ACE"/>
    <w:rsid w:val="10880C6B"/>
    <w:rsid w:val="10964C08"/>
    <w:rsid w:val="10987EED"/>
    <w:rsid w:val="10B262A5"/>
    <w:rsid w:val="10B60B86"/>
    <w:rsid w:val="10B63710"/>
    <w:rsid w:val="10BC7123"/>
    <w:rsid w:val="10C20F6D"/>
    <w:rsid w:val="10D76532"/>
    <w:rsid w:val="10DD6559"/>
    <w:rsid w:val="10E85D69"/>
    <w:rsid w:val="10F10820"/>
    <w:rsid w:val="10F70556"/>
    <w:rsid w:val="11056D1C"/>
    <w:rsid w:val="11071A15"/>
    <w:rsid w:val="111C2F7A"/>
    <w:rsid w:val="112D10B0"/>
    <w:rsid w:val="114474B7"/>
    <w:rsid w:val="11501512"/>
    <w:rsid w:val="115D4462"/>
    <w:rsid w:val="11665CA1"/>
    <w:rsid w:val="1169441B"/>
    <w:rsid w:val="11765E59"/>
    <w:rsid w:val="11967974"/>
    <w:rsid w:val="11A65A30"/>
    <w:rsid w:val="11CE0C2B"/>
    <w:rsid w:val="11D0732A"/>
    <w:rsid w:val="1209283C"/>
    <w:rsid w:val="121028B6"/>
    <w:rsid w:val="12163CE1"/>
    <w:rsid w:val="12217476"/>
    <w:rsid w:val="1223332E"/>
    <w:rsid w:val="12303925"/>
    <w:rsid w:val="12317D70"/>
    <w:rsid w:val="12321116"/>
    <w:rsid w:val="123548E0"/>
    <w:rsid w:val="123959CD"/>
    <w:rsid w:val="12421618"/>
    <w:rsid w:val="125C69A1"/>
    <w:rsid w:val="12706417"/>
    <w:rsid w:val="12802AFE"/>
    <w:rsid w:val="128402E9"/>
    <w:rsid w:val="12840907"/>
    <w:rsid w:val="12975FD1"/>
    <w:rsid w:val="12AB5A1E"/>
    <w:rsid w:val="12B51DEE"/>
    <w:rsid w:val="12C3749A"/>
    <w:rsid w:val="12DF6902"/>
    <w:rsid w:val="12F459DB"/>
    <w:rsid w:val="12F80A44"/>
    <w:rsid w:val="12FF4CC4"/>
    <w:rsid w:val="131865C8"/>
    <w:rsid w:val="13187787"/>
    <w:rsid w:val="1319260B"/>
    <w:rsid w:val="13300448"/>
    <w:rsid w:val="133A4152"/>
    <w:rsid w:val="135D43F8"/>
    <w:rsid w:val="138F10FE"/>
    <w:rsid w:val="13951726"/>
    <w:rsid w:val="13AB57BF"/>
    <w:rsid w:val="13C95DDF"/>
    <w:rsid w:val="13CB7DA9"/>
    <w:rsid w:val="13CE5C2A"/>
    <w:rsid w:val="140D629E"/>
    <w:rsid w:val="14257B5E"/>
    <w:rsid w:val="142962DD"/>
    <w:rsid w:val="142F3C34"/>
    <w:rsid w:val="14345D68"/>
    <w:rsid w:val="14377928"/>
    <w:rsid w:val="14396509"/>
    <w:rsid w:val="144E09DA"/>
    <w:rsid w:val="14520577"/>
    <w:rsid w:val="14634486"/>
    <w:rsid w:val="146B158C"/>
    <w:rsid w:val="14771D21"/>
    <w:rsid w:val="14B0543B"/>
    <w:rsid w:val="14B46A8F"/>
    <w:rsid w:val="14BC7B0B"/>
    <w:rsid w:val="14CD2209"/>
    <w:rsid w:val="14D700F7"/>
    <w:rsid w:val="14DD2C3C"/>
    <w:rsid w:val="14EB174E"/>
    <w:rsid w:val="14F90946"/>
    <w:rsid w:val="14FC201D"/>
    <w:rsid w:val="15107D17"/>
    <w:rsid w:val="15206278"/>
    <w:rsid w:val="1525173B"/>
    <w:rsid w:val="1528122B"/>
    <w:rsid w:val="153C6003"/>
    <w:rsid w:val="154F0566"/>
    <w:rsid w:val="15657D89"/>
    <w:rsid w:val="15673B02"/>
    <w:rsid w:val="156822D2"/>
    <w:rsid w:val="15763D45"/>
    <w:rsid w:val="157B1CCE"/>
    <w:rsid w:val="157D50D3"/>
    <w:rsid w:val="159D39C7"/>
    <w:rsid w:val="15A120AC"/>
    <w:rsid w:val="15AA0868"/>
    <w:rsid w:val="15AA7E92"/>
    <w:rsid w:val="15AE5ACD"/>
    <w:rsid w:val="15D35728"/>
    <w:rsid w:val="15D9035D"/>
    <w:rsid w:val="15E63943"/>
    <w:rsid w:val="15EC6D4C"/>
    <w:rsid w:val="16087E1D"/>
    <w:rsid w:val="16094BB9"/>
    <w:rsid w:val="160C46A9"/>
    <w:rsid w:val="160F2880"/>
    <w:rsid w:val="16275AAE"/>
    <w:rsid w:val="162C08A7"/>
    <w:rsid w:val="162E0FED"/>
    <w:rsid w:val="163C0AC6"/>
    <w:rsid w:val="163E2A24"/>
    <w:rsid w:val="163F0EDB"/>
    <w:rsid w:val="16571DC8"/>
    <w:rsid w:val="16695657"/>
    <w:rsid w:val="1677009D"/>
    <w:rsid w:val="16796819"/>
    <w:rsid w:val="16821794"/>
    <w:rsid w:val="168B3820"/>
    <w:rsid w:val="168D3A3C"/>
    <w:rsid w:val="168D7598"/>
    <w:rsid w:val="1699565E"/>
    <w:rsid w:val="16EC4FE1"/>
    <w:rsid w:val="16F4453F"/>
    <w:rsid w:val="16FE0813"/>
    <w:rsid w:val="172D7071"/>
    <w:rsid w:val="17384862"/>
    <w:rsid w:val="173A37E4"/>
    <w:rsid w:val="174A7650"/>
    <w:rsid w:val="174F1860"/>
    <w:rsid w:val="17701D14"/>
    <w:rsid w:val="17735226"/>
    <w:rsid w:val="1784744F"/>
    <w:rsid w:val="1788427F"/>
    <w:rsid w:val="17A32DEB"/>
    <w:rsid w:val="17AC7A8C"/>
    <w:rsid w:val="17CE6D57"/>
    <w:rsid w:val="17D91CAE"/>
    <w:rsid w:val="17E4768B"/>
    <w:rsid w:val="17E624B1"/>
    <w:rsid w:val="17EB7A4D"/>
    <w:rsid w:val="1808230B"/>
    <w:rsid w:val="180A2E6A"/>
    <w:rsid w:val="183A07EC"/>
    <w:rsid w:val="183C0D01"/>
    <w:rsid w:val="185B4F76"/>
    <w:rsid w:val="185E7C51"/>
    <w:rsid w:val="186F34B2"/>
    <w:rsid w:val="187379FD"/>
    <w:rsid w:val="188D3F2D"/>
    <w:rsid w:val="1896066C"/>
    <w:rsid w:val="189F624C"/>
    <w:rsid w:val="18AB2DF4"/>
    <w:rsid w:val="18CD4A8F"/>
    <w:rsid w:val="18D63049"/>
    <w:rsid w:val="18F36C98"/>
    <w:rsid w:val="18FE38BD"/>
    <w:rsid w:val="190478B9"/>
    <w:rsid w:val="190E6D59"/>
    <w:rsid w:val="190F3767"/>
    <w:rsid w:val="19217014"/>
    <w:rsid w:val="19377EED"/>
    <w:rsid w:val="19427C2C"/>
    <w:rsid w:val="19486A34"/>
    <w:rsid w:val="19566367"/>
    <w:rsid w:val="1957088A"/>
    <w:rsid w:val="195775C3"/>
    <w:rsid w:val="19722343"/>
    <w:rsid w:val="19A07753"/>
    <w:rsid w:val="19B33439"/>
    <w:rsid w:val="19DD0836"/>
    <w:rsid w:val="19F9531E"/>
    <w:rsid w:val="19FC3140"/>
    <w:rsid w:val="19FF41D6"/>
    <w:rsid w:val="1A023DF9"/>
    <w:rsid w:val="1A0C6C72"/>
    <w:rsid w:val="1A116732"/>
    <w:rsid w:val="1A1C66C0"/>
    <w:rsid w:val="1A402B73"/>
    <w:rsid w:val="1A42393B"/>
    <w:rsid w:val="1A5D7C09"/>
    <w:rsid w:val="1A7C5F3D"/>
    <w:rsid w:val="1A7D4307"/>
    <w:rsid w:val="1A8011C2"/>
    <w:rsid w:val="1A807DD1"/>
    <w:rsid w:val="1A817E7E"/>
    <w:rsid w:val="1A864953"/>
    <w:rsid w:val="1A8C1DD9"/>
    <w:rsid w:val="1A923BA0"/>
    <w:rsid w:val="1AAD45DE"/>
    <w:rsid w:val="1AD104D1"/>
    <w:rsid w:val="1ADD0B94"/>
    <w:rsid w:val="1ADF584B"/>
    <w:rsid w:val="1AE6196C"/>
    <w:rsid w:val="1AF40C41"/>
    <w:rsid w:val="1AFA4C23"/>
    <w:rsid w:val="1AFF2A2E"/>
    <w:rsid w:val="1AFF5617"/>
    <w:rsid w:val="1B046F80"/>
    <w:rsid w:val="1B1107D6"/>
    <w:rsid w:val="1B2606DC"/>
    <w:rsid w:val="1B2908B7"/>
    <w:rsid w:val="1B2D735C"/>
    <w:rsid w:val="1B3267B5"/>
    <w:rsid w:val="1B3844EE"/>
    <w:rsid w:val="1B3F40A1"/>
    <w:rsid w:val="1B40161D"/>
    <w:rsid w:val="1B441859"/>
    <w:rsid w:val="1B6606B1"/>
    <w:rsid w:val="1B684130"/>
    <w:rsid w:val="1B6D18C5"/>
    <w:rsid w:val="1B733202"/>
    <w:rsid w:val="1B75684C"/>
    <w:rsid w:val="1B8B4E82"/>
    <w:rsid w:val="1B9709BC"/>
    <w:rsid w:val="1B9D672E"/>
    <w:rsid w:val="1BA50634"/>
    <w:rsid w:val="1BA979E5"/>
    <w:rsid w:val="1BB075FD"/>
    <w:rsid w:val="1BB92BDD"/>
    <w:rsid w:val="1BB93EB8"/>
    <w:rsid w:val="1BF105C9"/>
    <w:rsid w:val="1BF14125"/>
    <w:rsid w:val="1C0A168B"/>
    <w:rsid w:val="1C2344FA"/>
    <w:rsid w:val="1C2C421E"/>
    <w:rsid w:val="1C2D14AB"/>
    <w:rsid w:val="1C363C6B"/>
    <w:rsid w:val="1C4D2EEC"/>
    <w:rsid w:val="1C4F16D7"/>
    <w:rsid w:val="1C550800"/>
    <w:rsid w:val="1C5E7925"/>
    <w:rsid w:val="1C6030CE"/>
    <w:rsid w:val="1C7F42FD"/>
    <w:rsid w:val="1C927E45"/>
    <w:rsid w:val="1C99656B"/>
    <w:rsid w:val="1C9D0174"/>
    <w:rsid w:val="1CA66DBA"/>
    <w:rsid w:val="1CC23D13"/>
    <w:rsid w:val="1CCC0A20"/>
    <w:rsid w:val="1CCF709F"/>
    <w:rsid w:val="1CD032BA"/>
    <w:rsid w:val="1CD75A11"/>
    <w:rsid w:val="1CD7747E"/>
    <w:rsid w:val="1CE26164"/>
    <w:rsid w:val="1CFD070F"/>
    <w:rsid w:val="1D0E0D07"/>
    <w:rsid w:val="1D1F4CC2"/>
    <w:rsid w:val="1D202672"/>
    <w:rsid w:val="1D4A4435"/>
    <w:rsid w:val="1D5F6196"/>
    <w:rsid w:val="1D6132A5"/>
    <w:rsid w:val="1D67661D"/>
    <w:rsid w:val="1D6C357F"/>
    <w:rsid w:val="1D737D0F"/>
    <w:rsid w:val="1D875576"/>
    <w:rsid w:val="1D8A3BFB"/>
    <w:rsid w:val="1D8C1E01"/>
    <w:rsid w:val="1D8D2B80"/>
    <w:rsid w:val="1D8E56D5"/>
    <w:rsid w:val="1D90796E"/>
    <w:rsid w:val="1D9C497E"/>
    <w:rsid w:val="1DA06B03"/>
    <w:rsid w:val="1DB63459"/>
    <w:rsid w:val="1DB7139E"/>
    <w:rsid w:val="1DCC1D71"/>
    <w:rsid w:val="1DEB01B8"/>
    <w:rsid w:val="1DED6B6E"/>
    <w:rsid w:val="1DF0665E"/>
    <w:rsid w:val="1DF15FD0"/>
    <w:rsid w:val="1E0075F0"/>
    <w:rsid w:val="1E036392"/>
    <w:rsid w:val="1E162B7D"/>
    <w:rsid w:val="1E262080"/>
    <w:rsid w:val="1E2D1C4F"/>
    <w:rsid w:val="1E2F68D5"/>
    <w:rsid w:val="1E370533"/>
    <w:rsid w:val="1E621476"/>
    <w:rsid w:val="1E7101D1"/>
    <w:rsid w:val="1E747D2D"/>
    <w:rsid w:val="1E7A43DA"/>
    <w:rsid w:val="1E7C27E8"/>
    <w:rsid w:val="1E7D6144"/>
    <w:rsid w:val="1E9A6CF6"/>
    <w:rsid w:val="1EA731C1"/>
    <w:rsid w:val="1EA81514"/>
    <w:rsid w:val="1EC12AD3"/>
    <w:rsid w:val="1ED06A9D"/>
    <w:rsid w:val="1F225D43"/>
    <w:rsid w:val="1F2D0591"/>
    <w:rsid w:val="1F2D17F3"/>
    <w:rsid w:val="1F3B254F"/>
    <w:rsid w:val="1F4E622E"/>
    <w:rsid w:val="1F686DF4"/>
    <w:rsid w:val="1F78151A"/>
    <w:rsid w:val="1F881CE0"/>
    <w:rsid w:val="1F933643"/>
    <w:rsid w:val="1F9B25EB"/>
    <w:rsid w:val="1FAB284B"/>
    <w:rsid w:val="1FAC5C31"/>
    <w:rsid w:val="1FB355EB"/>
    <w:rsid w:val="1FB715AB"/>
    <w:rsid w:val="1FCD3B59"/>
    <w:rsid w:val="1FD04999"/>
    <w:rsid w:val="1FE7539E"/>
    <w:rsid w:val="1FEA3563"/>
    <w:rsid w:val="1FEF4E1F"/>
    <w:rsid w:val="1FFE0318"/>
    <w:rsid w:val="200F54C2"/>
    <w:rsid w:val="200F62AF"/>
    <w:rsid w:val="20390790"/>
    <w:rsid w:val="204727BE"/>
    <w:rsid w:val="2050776E"/>
    <w:rsid w:val="20573441"/>
    <w:rsid w:val="20671BE0"/>
    <w:rsid w:val="207558D8"/>
    <w:rsid w:val="20784E15"/>
    <w:rsid w:val="208732AA"/>
    <w:rsid w:val="209029D8"/>
    <w:rsid w:val="20963CB8"/>
    <w:rsid w:val="209E65E7"/>
    <w:rsid w:val="20A53730"/>
    <w:rsid w:val="20A81A1B"/>
    <w:rsid w:val="20A84338"/>
    <w:rsid w:val="20B07FB6"/>
    <w:rsid w:val="20B646FB"/>
    <w:rsid w:val="20C37B0C"/>
    <w:rsid w:val="20C7629D"/>
    <w:rsid w:val="20CA3197"/>
    <w:rsid w:val="20CE2C87"/>
    <w:rsid w:val="20D858B3"/>
    <w:rsid w:val="212E7BF8"/>
    <w:rsid w:val="21374CD0"/>
    <w:rsid w:val="21396E8B"/>
    <w:rsid w:val="213B2595"/>
    <w:rsid w:val="213B74B1"/>
    <w:rsid w:val="21527283"/>
    <w:rsid w:val="21537630"/>
    <w:rsid w:val="215417A8"/>
    <w:rsid w:val="215A2310"/>
    <w:rsid w:val="21603961"/>
    <w:rsid w:val="2160732D"/>
    <w:rsid w:val="217810BE"/>
    <w:rsid w:val="21A5198C"/>
    <w:rsid w:val="21B416CC"/>
    <w:rsid w:val="21BA320B"/>
    <w:rsid w:val="21D02A2F"/>
    <w:rsid w:val="21DA38AD"/>
    <w:rsid w:val="21DE318A"/>
    <w:rsid w:val="21DF4849"/>
    <w:rsid w:val="21E07D9A"/>
    <w:rsid w:val="21E2678B"/>
    <w:rsid w:val="21E7559A"/>
    <w:rsid w:val="21EF5B80"/>
    <w:rsid w:val="21FC6962"/>
    <w:rsid w:val="22235683"/>
    <w:rsid w:val="22456C39"/>
    <w:rsid w:val="224D3971"/>
    <w:rsid w:val="22511DC1"/>
    <w:rsid w:val="22576990"/>
    <w:rsid w:val="22645EEA"/>
    <w:rsid w:val="2272773F"/>
    <w:rsid w:val="228850B7"/>
    <w:rsid w:val="228A52D3"/>
    <w:rsid w:val="2298325A"/>
    <w:rsid w:val="22A25CBE"/>
    <w:rsid w:val="22C56F07"/>
    <w:rsid w:val="22CF0F38"/>
    <w:rsid w:val="22D319D0"/>
    <w:rsid w:val="22D510D2"/>
    <w:rsid w:val="22DB5B2F"/>
    <w:rsid w:val="22EE2033"/>
    <w:rsid w:val="22F47480"/>
    <w:rsid w:val="22F56643"/>
    <w:rsid w:val="22FA4207"/>
    <w:rsid w:val="22FB04DD"/>
    <w:rsid w:val="22FD1C51"/>
    <w:rsid w:val="23507F7E"/>
    <w:rsid w:val="2351421E"/>
    <w:rsid w:val="23733FB9"/>
    <w:rsid w:val="23763F4C"/>
    <w:rsid w:val="23865FE4"/>
    <w:rsid w:val="23985FD7"/>
    <w:rsid w:val="23993C5A"/>
    <w:rsid w:val="239F0AB2"/>
    <w:rsid w:val="23A81DAC"/>
    <w:rsid w:val="23B56380"/>
    <w:rsid w:val="23BB6BBF"/>
    <w:rsid w:val="23C71516"/>
    <w:rsid w:val="23D613AE"/>
    <w:rsid w:val="23DE1C48"/>
    <w:rsid w:val="23FF7385"/>
    <w:rsid w:val="240210CD"/>
    <w:rsid w:val="24526729"/>
    <w:rsid w:val="24613EA2"/>
    <w:rsid w:val="24681644"/>
    <w:rsid w:val="24747FE9"/>
    <w:rsid w:val="24773635"/>
    <w:rsid w:val="247753E3"/>
    <w:rsid w:val="247B0214"/>
    <w:rsid w:val="247C629F"/>
    <w:rsid w:val="247E3C8E"/>
    <w:rsid w:val="247E76DD"/>
    <w:rsid w:val="248D4EF2"/>
    <w:rsid w:val="249B7F2C"/>
    <w:rsid w:val="249C183C"/>
    <w:rsid w:val="24B13C82"/>
    <w:rsid w:val="24B91EA0"/>
    <w:rsid w:val="24BE3012"/>
    <w:rsid w:val="24BF09F7"/>
    <w:rsid w:val="24C74FB8"/>
    <w:rsid w:val="24D4041D"/>
    <w:rsid w:val="24D66E91"/>
    <w:rsid w:val="24FE5B05"/>
    <w:rsid w:val="2503311B"/>
    <w:rsid w:val="25174F24"/>
    <w:rsid w:val="251C178F"/>
    <w:rsid w:val="252D53FE"/>
    <w:rsid w:val="25351150"/>
    <w:rsid w:val="255B416F"/>
    <w:rsid w:val="25877244"/>
    <w:rsid w:val="25B17608"/>
    <w:rsid w:val="25B56323"/>
    <w:rsid w:val="25BD469F"/>
    <w:rsid w:val="25CB19DA"/>
    <w:rsid w:val="25DB28FA"/>
    <w:rsid w:val="25E76599"/>
    <w:rsid w:val="25EC2D81"/>
    <w:rsid w:val="26065BCC"/>
    <w:rsid w:val="260809E9"/>
    <w:rsid w:val="26145057"/>
    <w:rsid w:val="263C7598"/>
    <w:rsid w:val="263F7ABD"/>
    <w:rsid w:val="2657371E"/>
    <w:rsid w:val="265E2CFF"/>
    <w:rsid w:val="266059D5"/>
    <w:rsid w:val="26686113"/>
    <w:rsid w:val="266F72AB"/>
    <w:rsid w:val="2670627B"/>
    <w:rsid w:val="26757AAC"/>
    <w:rsid w:val="26C2534E"/>
    <w:rsid w:val="26CA0327"/>
    <w:rsid w:val="26CD1C32"/>
    <w:rsid w:val="26D11723"/>
    <w:rsid w:val="26D258EE"/>
    <w:rsid w:val="26D42FC1"/>
    <w:rsid w:val="26D5436F"/>
    <w:rsid w:val="26F251F5"/>
    <w:rsid w:val="270D0281"/>
    <w:rsid w:val="2711620C"/>
    <w:rsid w:val="2720370E"/>
    <w:rsid w:val="2742617D"/>
    <w:rsid w:val="274F0899"/>
    <w:rsid w:val="275119F2"/>
    <w:rsid w:val="275773C6"/>
    <w:rsid w:val="27633147"/>
    <w:rsid w:val="27663B81"/>
    <w:rsid w:val="277057A2"/>
    <w:rsid w:val="277420AE"/>
    <w:rsid w:val="27796570"/>
    <w:rsid w:val="279369D8"/>
    <w:rsid w:val="27B668BE"/>
    <w:rsid w:val="27BA2BD8"/>
    <w:rsid w:val="27BF5A1F"/>
    <w:rsid w:val="27DF1C1D"/>
    <w:rsid w:val="27FF0087"/>
    <w:rsid w:val="28013942"/>
    <w:rsid w:val="2804422C"/>
    <w:rsid w:val="280772B0"/>
    <w:rsid w:val="280E2503"/>
    <w:rsid w:val="282633A8"/>
    <w:rsid w:val="282F7010"/>
    <w:rsid w:val="28385106"/>
    <w:rsid w:val="283933A9"/>
    <w:rsid w:val="28414686"/>
    <w:rsid w:val="28550131"/>
    <w:rsid w:val="28694363"/>
    <w:rsid w:val="286E33A7"/>
    <w:rsid w:val="287F3925"/>
    <w:rsid w:val="288822B5"/>
    <w:rsid w:val="288B18E3"/>
    <w:rsid w:val="289A78F2"/>
    <w:rsid w:val="28A56F26"/>
    <w:rsid w:val="28B906C0"/>
    <w:rsid w:val="28F2659B"/>
    <w:rsid w:val="29153267"/>
    <w:rsid w:val="29206EB8"/>
    <w:rsid w:val="29332221"/>
    <w:rsid w:val="2939144B"/>
    <w:rsid w:val="2943504D"/>
    <w:rsid w:val="294978E1"/>
    <w:rsid w:val="29595666"/>
    <w:rsid w:val="295B3526"/>
    <w:rsid w:val="29622D86"/>
    <w:rsid w:val="29657F00"/>
    <w:rsid w:val="29874881"/>
    <w:rsid w:val="298C055B"/>
    <w:rsid w:val="299802D6"/>
    <w:rsid w:val="299A22A0"/>
    <w:rsid w:val="29AF138D"/>
    <w:rsid w:val="29B05F82"/>
    <w:rsid w:val="29D37560"/>
    <w:rsid w:val="29DD02BE"/>
    <w:rsid w:val="29E325E0"/>
    <w:rsid w:val="29F8703B"/>
    <w:rsid w:val="2A266AD9"/>
    <w:rsid w:val="2A2B114A"/>
    <w:rsid w:val="2A377BD6"/>
    <w:rsid w:val="2A3A0527"/>
    <w:rsid w:val="2A452503"/>
    <w:rsid w:val="2A4915D0"/>
    <w:rsid w:val="2A4F3BE0"/>
    <w:rsid w:val="2A582DE2"/>
    <w:rsid w:val="2A583058"/>
    <w:rsid w:val="2A5E4242"/>
    <w:rsid w:val="2A6102E1"/>
    <w:rsid w:val="2A7C0B78"/>
    <w:rsid w:val="2A7E3970"/>
    <w:rsid w:val="2A8E16D9"/>
    <w:rsid w:val="2A9C3E4A"/>
    <w:rsid w:val="2AAA5685"/>
    <w:rsid w:val="2AAB5DE7"/>
    <w:rsid w:val="2ABD7820"/>
    <w:rsid w:val="2AD96DF8"/>
    <w:rsid w:val="2AEF75E6"/>
    <w:rsid w:val="2AF676B8"/>
    <w:rsid w:val="2AFB4FC0"/>
    <w:rsid w:val="2AFF1807"/>
    <w:rsid w:val="2B010C4A"/>
    <w:rsid w:val="2B036FFA"/>
    <w:rsid w:val="2B0A6FB1"/>
    <w:rsid w:val="2B163DB4"/>
    <w:rsid w:val="2B3373BE"/>
    <w:rsid w:val="2B370D8D"/>
    <w:rsid w:val="2B4B1C94"/>
    <w:rsid w:val="2B867AF1"/>
    <w:rsid w:val="2B8A3EC7"/>
    <w:rsid w:val="2B940F71"/>
    <w:rsid w:val="2B9E594C"/>
    <w:rsid w:val="2BA56CDA"/>
    <w:rsid w:val="2BA936A8"/>
    <w:rsid w:val="2BAC7BFB"/>
    <w:rsid w:val="2BB71400"/>
    <w:rsid w:val="2BB73BF6"/>
    <w:rsid w:val="2BBC5615"/>
    <w:rsid w:val="2BC02037"/>
    <w:rsid w:val="2BC2788C"/>
    <w:rsid w:val="2BC96E6C"/>
    <w:rsid w:val="2BE71791"/>
    <w:rsid w:val="2BF605F9"/>
    <w:rsid w:val="2C0559CB"/>
    <w:rsid w:val="2C063C1D"/>
    <w:rsid w:val="2C0B2FE1"/>
    <w:rsid w:val="2C1E68CA"/>
    <w:rsid w:val="2C1E7C10"/>
    <w:rsid w:val="2C1F4CDE"/>
    <w:rsid w:val="2C275941"/>
    <w:rsid w:val="2C2E7758"/>
    <w:rsid w:val="2C315A5A"/>
    <w:rsid w:val="2C3E69A1"/>
    <w:rsid w:val="2C4B1C25"/>
    <w:rsid w:val="2C55425C"/>
    <w:rsid w:val="2C57338F"/>
    <w:rsid w:val="2C760D0B"/>
    <w:rsid w:val="2C7C7A3B"/>
    <w:rsid w:val="2C85655A"/>
    <w:rsid w:val="2C967313"/>
    <w:rsid w:val="2C994A91"/>
    <w:rsid w:val="2C9B105B"/>
    <w:rsid w:val="2CA972A9"/>
    <w:rsid w:val="2CBA6B82"/>
    <w:rsid w:val="2CBF1EDA"/>
    <w:rsid w:val="2CC13E88"/>
    <w:rsid w:val="2CCA30ED"/>
    <w:rsid w:val="2CCD4E38"/>
    <w:rsid w:val="2CDA7F1A"/>
    <w:rsid w:val="2CEF78CA"/>
    <w:rsid w:val="2CF00429"/>
    <w:rsid w:val="2CFC6DCE"/>
    <w:rsid w:val="2D012636"/>
    <w:rsid w:val="2D02277D"/>
    <w:rsid w:val="2D030432"/>
    <w:rsid w:val="2D233FE0"/>
    <w:rsid w:val="2D246F51"/>
    <w:rsid w:val="2D271494"/>
    <w:rsid w:val="2D2D51D9"/>
    <w:rsid w:val="2D2E06FF"/>
    <w:rsid w:val="2D4A7B39"/>
    <w:rsid w:val="2D4F60C0"/>
    <w:rsid w:val="2D542766"/>
    <w:rsid w:val="2D5664DE"/>
    <w:rsid w:val="2D6D1A79"/>
    <w:rsid w:val="2D7D6852"/>
    <w:rsid w:val="2D8172D3"/>
    <w:rsid w:val="2D9E56F5"/>
    <w:rsid w:val="2DA21723"/>
    <w:rsid w:val="2DAC7B67"/>
    <w:rsid w:val="2DB304BB"/>
    <w:rsid w:val="2DBF0527"/>
    <w:rsid w:val="2DC72F38"/>
    <w:rsid w:val="2DC828C4"/>
    <w:rsid w:val="2DDE0ED0"/>
    <w:rsid w:val="2DE75388"/>
    <w:rsid w:val="2E007139"/>
    <w:rsid w:val="2E075163"/>
    <w:rsid w:val="2E156399"/>
    <w:rsid w:val="2E315BC9"/>
    <w:rsid w:val="2E585DC2"/>
    <w:rsid w:val="2E5B2EA9"/>
    <w:rsid w:val="2E6115DE"/>
    <w:rsid w:val="2E6177F8"/>
    <w:rsid w:val="2E667F96"/>
    <w:rsid w:val="2E6A16CE"/>
    <w:rsid w:val="2E7045B0"/>
    <w:rsid w:val="2E8226AB"/>
    <w:rsid w:val="2E8D7F49"/>
    <w:rsid w:val="2E923DEF"/>
    <w:rsid w:val="2E933762"/>
    <w:rsid w:val="2E9E527E"/>
    <w:rsid w:val="2EA65243"/>
    <w:rsid w:val="2EA94D33"/>
    <w:rsid w:val="2EC5440E"/>
    <w:rsid w:val="2EC97183"/>
    <w:rsid w:val="2ECC04AD"/>
    <w:rsid w:val="2ECE479A"/>
    <w:rsid w:val="2EDC5AA0"/>
    <w:rsid w:val="2EFF2BA5"/>
    <w:rsid w:val="2F0568D7"/>
    <w:rsid w:val="2F3740ED"/>
    <w:rsid w:val="2F443C0A"/>
    <w:rsid w:val="2F4C0517"/>
    <w:rsid w:val="2F5F67F3"/>
    <w:rsid w:val="2F7E397D"/>
    <w:rsid w:val="2F827A5E"/>
    <w:rsid w:val="2F84187D"/>
    <w:rsid w:val="2F8D28EC"/>
    <w:rsid w:val="2F927575"/>
    <w:rsid w:val="2F956B59"/>
    <w:rsid w:val="2FA3568B"/>
    <w:rsid w:val="2FA61BBB"/>
    <w:rsid w:val="2FAE0FC6"/>
    <w:rsid w:val="2FB35E69"/>
    <w:rsid w:val="2FB61D31"/>
    <w:rsid w:val="2FD065E6"/>
    <w:rsid w:val="2FD96870"/>
    <w:rsid w:val="2FEF49C8"/>
    <w:rsid w:val="2FF97C4B"/>
    <w:rsid w:val="30021656"/>
    <w:rsid w:val="30124E78"/>
    <w:rsid w:val="30547245"/>
    <w:rsid w:val="30580BC9"/>
    <w:rsid w:val="306929CC"/>
    <w:rsid w:val="30A0640D"/>
    <w:rsid w:val="30A6777C"/>
    <w:rsid w:val="30AA5742"/>
    <w:rsid w:val="30B53D5A"/>
    <w:rsid w:val="30C020C1"/>
    <w:rsid w:val="30C23E8A"/>
    <w:rsid w:val="30C37274"/>
    <w:rsid w:val="30C61666"/>
    <w:rsid w:val="30E11B57"/>
    <w:rsid w:val="30E43759"/>
    <w:rsid w:val="30F379FC"/>
    <w:rsid w:val="30FD39D4"/>
    <w:rsid w:val="31066077"/>
    <w:rsid w:val="310B5831"/>
    <w:rsid w:val="310E38A4"/>
    <w:rsid w:val="311E2ED7"/>
    <w:rsid w:val="312309AC"/>
    <w:rsid w:val="31374DAA"/>
    <w:rsid w:val="31405FEE"/>
    <w:rsid w:val="31532D34"/>
    <w:rsid w:val="315619EE"/>
    <w:rsid w:val="315C449C"/>
    <w:rsid w:val="31821B16"/>
    <w:rsid w:val="31991D77"/>
    <w:rsid w:val="319C589C"/>
    <w:rsid w:val="31B732C3"/>
    <w:rsid w:val="31B82709"/>
    <w:rsid w:val="31CB34FB"/>
    <w:rsid w:val="31CF4AB1"/>
    <w:rsid w:val="31D05482"/>
    <w:rsid w:val="31D73465"/>
    <w:rsid w:val="31DD5420"/>
    <w:rsid w:val="31E011B9"/>
    <w:rsid w:val="31E96CA7"/>
    <w:rsid w:val="31F11DE1"/>
    <w:rsid w:val="31FD007E"/>
    <w:rsid w:val="31FE46EF"/>
    <w:rsid w:val="31FE65A8"/>
    <w:rsid w:val="321772A1"/>
    <w:rsid w:val="321D40D5"/>
    <w:rsid w:val="322E6E8A"/>
    <w:rsid w:val="323056F7"/>
    <w:rsid w:val="323E301A"/>
    <w:rsid w:val="32400B34"/>
    <w:rsid w:val="32485E37"/>
    <w:rsid w:val="32494863"/>
    <w:rsid w:val="324E146B"/>
    <w:rsid w:val="325E1462"/>
    <w:rsid w:val="326D3B9B"/>
    <w:rsid w:val="3279207D"/>
    <w:rsid w:val="327F4353"/>
    <w:rsid w:val="32815A6F"/>
    <w:rsid w:val="329E6876"/>
    <w:rsid w:val="32A80A7D"/>
    <w:rsid w:val="32B12408"/>
    <w:rsid w:val="32C75788"/>
    <w:rsid w:val="32D3412D"/>
    <w:rsid w:val="32DA195F"/>
    <w:rsid w:val="32FC2BC8"/>
    <w:rsid w:val="33032CB6"/>
    <w:rsid w:val="330973E9"/>
    <w:rsid w:val="33122395"/>
    <w:rsid w:val="33273196"/>
    <w:rsid w:val="332C4A18"/>
    <w:rsid w:val="33300E1E"/>
    <w:rsid w:val="333015F2"/>
    <w:rsid w:val="333252F7"/>
    <w:rsid w:val="334B6320"/>
    <w:rsid w:val="337124F0"/>
    <w:rsid w:val="33843610"/>
    <w:rsid w:val="33A60F4B"/>
    <w:rsid w:val="33AD2FC4"/>
    <w:rsid w:val="33AD64C3"/>
    <w:rsid w:val="33B94C82"/>
    <w:rsid w:val="33CD4A91"/>
    <w:rsid w:val="33D934D4"/>
    <w:rsid w:val="33F6261A"/>
    <w:rsid w:val="33FB3D4A"/>
    <w:rsid w:val="33FE2F6A"/>
    <w:rsid w:val="340824FC"/>
    <w:rsid w:val="340E07E5"/>
    <w:rsid w:val="341D61C9"/>
    <w:rsid w:val="341F1E29"/>
    <w:rsid w:val="34235BF7"/>
    <w:rsid w:val="34297C85"/>
    <w:rsid w:val="34396275"/>
    <w:rsid w:val="34576805"/>
    <w:rsid w:val="34AF19FC"/>
    <w:rsid w:val="34B556B5"/>
    <w:rsid w:val="34C37D1E"/>
    <w:rsid w:val="34CE54F3"/>
    <w:rsid w:val="34D01CEF"/>
    <w:rsid w:val="34D20A5B"/>
    <w:rsid w:val="34F32864"/>
    <w:rsid w:val="34F36D08"/>
    <w:rsid w:val="350047B4"/>
    <w:rsid w:val="35043AF2"/>
    <w:rsid w:val="35074ACE"/>
    <w:rsid w:val="355E0625"/>
    <w:rsid w:val="35763EBD"/>
    <w:rsid w:val="35782A6E"/>
    <w:rsid w:val="35817C74"/>
    <w:rsid w:val="358C5FA8"/>
    <w:rsid w:val="35AB07CE"/>
    <w:rsid w:val="35AE0533"/>
    <w:rsid w:val="35B77D36"/>
    <w:rsid w:val="35C15DF1"/>
    <w:rsid w:val="35CD57CD"/>
    <w:rsid w:val="35D22DC1"/>
    <w:rsid w:val="35D8162A"/>
    <w:rsid w:val="35E17369"/>
    <w:rsid w:val="35F25212"/>
    <w:rsid w:val="35F920FC"/>
    <w:rsid w:val="36074A7F"/>
    <w:rsid w:val="36214A2E"/>
    <w:rsid w:val="36333195"/>
    <w:rsid w:val="36394BEF"/>
    <w:rsid w:val="364F325A"/>
    <w:rsid w:val="365732C7"/>
    <w:rsid w:val="36582B23"/>
    <w:rsid w:val="367A7B72"/>
    <w:rsid w:val="367D03D7"/>
    <w:rsid w:val="3683427B"/>
    <w:rsid w:val="36923549"/>
    <w:rsid w:val="36974BA7"/>
    <w:rsid w:val="36A02F26"/>
    <w:rsid w:val="36B75FBF"/>
    <w:rsid w:val="36BB50CB"/>
    <w:rsid w:val="36BD0C45"/>
    <w:rsid w:val="36D47D18"/>
    <w:rsid w:val="36D81A68"/>
    <w:rsid w:val="36E022FF"/>
    <w:rsid w:val="36E32978"/>
    <w:rsid w:val="36FF7BE6"/>
    <w:rsid w:val="37001BE1"/>
    <w:rsid w:val="37040CD0"/>
    <w:rsid w:val="37080180"/>
    <w:rsid w:val="372E0CF4"/>
    <w:rsid w:val="372F77E4"/>
    <w:rsid w:val="373F696B"/>
    <w:rsid w:val="37610C2B"/>
    <w:rsid w:val="378305A9"/>
    <w:rsid w:val="37841E99"/>
    <w:rsid w:val="378A63DB"/>
    <w:rsid w:val="37902F95"/>
    <w:rsid w:val="37916D8F"/>
    <w:rsid w:val="37963E29"/>
    <w:rsid w:val="37976071"/>
    <w:rsid w:val="379C3687"/>
    <w:rsid w:val="37A71FAA"/>
    <w:rsid w:val="37CB0D10"/>
    <w:rsid w:val="37CB5724"/>
    <w:rsid w:val="37D20DA1"/>
    <w:rsid w:val="37D3697D"/>
    <w:rsid w:val="37E00298"/>
    <w:rsid w:val="38130C12"/>
    <w:rsid w:val="381476C1"/>
    <w:rsid w:val="38173AC6"/>
    <w:rsid w:val="383107CC"/>
    <w:rsid w:val="3833314B"/>
    <w:rsid w:val="383638C8"/>
    <w:rsid w:val="3837726B"/>
    <w:rsid w:val="385B0E4C"/>
    <w:rsid w:val="385C4BC4"/>
    <w:rsid w:val="387E3538"/>
    <w:rsid w:val="388A508E"/>
    <w:rsid w:val="38923516"/>
    <w:rsid w:val="38A650A1"/>
    <w:rsid w:val="38A722E3"/>
    <w:rsid w:val="38A8605B"/>
    <w:rsid w:val="38B11220"/>
    <w:rsid w:val="38B302F9"/>
    <w:rsid w:val="38B82EB4"/>
    <w:rsid w:val="38C033A5"/>
    <w:rsid w:val="38C2711D"/>
    <w:rsid w:val="38CA5FD2"/>
    <w:rsid w:val="38D155B2"/>
    <w:rsid w:val="38D60F9A"/>
    <w:rsid w:val="38DA1581"/>
    <w:rsid w:val="38E46126"/>
    <w:rsid w:val="38F12CD3"/>
    <w:rsid w:val="38F94775"/>
    <w:rsid w:val="390255C2"/>
    <w:rsid w:val="39114018"/>
    <w:rsid w:val="391F00CC"/>
    <w:rsid w:val="3925145A"/>
    <w:rsid w:val="392971ED"/>
    <w:rsid w:val="392C27E9"/>
    <w:rsid w:val="39325651"/>
    <w:rsid w:val="393A2BBF"/>
    <w:rsid w:val="393D4B4A"/>
    <w:rsid w:val="394F0285"/>
    <w:rsid w:val="39610C12"/>
    <w:rsid w:val="39695A15"/>
    <w:rsid w:val="396B5912"/>
    <w:rsid w:val="3977431A"/>
    <w:rsid w:val="39916AF0"/>
    <w:rsid w:val="39A44358"/>
    <w:rsid w:val="39C329C3"/>
    <w:rsid w:val="39CF468B"/>
    <w:rsid w:val="39D42485"/>
    <w:rsid w:val="39DB5260"/>
    <w:rsid w:val="39DE3610"/>
    <w:rsid w:val="39F34670"/>
    <w:rsid w:val="39F52A1B"/>
    <w:rsid w:val="39FD0783"/>
    <w:rsid w:val="39FE6173"/>
    <w:rsid w:val="3A184B1B"/>
    <w:rsid w:val="3A1C383B"/>
    <w:rsid w:val="3A2E7266"/>
    <w:rsid w:val="3A330E70"/>
    <w:rsid w:val="3A3F7873"/>
    <w:rsid w:val="3A410516"/>
    <w:rsid w:val="3A415444"/>
    <w:rsid w:val="3A452C42"/>
    <w:rsid w:val="3A825EC0"/>
    <w:rsid w:val="3A872856"/>
    <w:rsid w:val="3A97532C"/>
    <w:rsid w:val="3AAD7959"/>
    <w:rsid w:val="3AB40CE8"/>
    <w:rsid w:val="3AC01DBC"/>
    <w:rsid w:val="3ADB77F2"/>
    <w:rsid w:val="3AE43D43"/>
    <w:rsid w:val="3AE559A4"/>
    <w:rsid w:val="3AFC677B"/>
    <w:rsid w:val="3B0260D3"/>
    <w:rsid w:val="3B047826"/>
    <w:rsid w:val="3B1A14A3"/>
    <w:rsid w:val="3B1C0294"/>
    <w:rsid w:val="3B2C4D22"/>
    <w:rsid w:val="3B3763D1"/>
    <w:rsid w:val="3B413D54"/>
    <w:rsid w:val="3B427E5C"/>
    <w:rsid w:val="3B457B92"/>
    <w:rsid w:val="3B7010B2"/>
    <w:rsid w:val="3B742FF2"/>
    <w:rsid w:val="3B8567E1"/>
    <w:rsid w:val="3B934DA1"/>
    <w:rsid w:val="3BA23E01"/>
    <w:rsid w:val="3BB07701"/>
    <w:rsid w:val="3BBD0467"/>
    <w:rsid w:val="3BD3519D"/>
    <w:rsid w:val="3BDB3434"/>
    <w:rsid w:val="3BDD601C"/>
    <w:rsid w:val="3C0409F8"/>
    <w:rsid w:val="3C081B09"/>
    <w:rsid w:val="3C0B4DD9"/>
    <w:rsid w:val="3C1C0565"/>
    <w:rsid w:val="3C2F6E1E"/>
    <w:rsid w:val="3C3255A1"/>
    <w:rsid w:val="3C394C36"/>
    <w:rsid w:val="3C3C71E7"/>
    <w:rsid w:val="3C3D6ABB"/>
    <w:rsid w:val="3C406845"/>
    <w:rsid w:val="3C4B11D8"/>
    <w:rsid w:val="3C4D13F4"/>
    <w:rsid w:val="3C4F64BA"/>
    <w:rsid w:val="3C526A0A"/>
    <w:rsid w:val="3C6109FB"/>
    <w:rsid w:val="3C7324DC"/>
    <w:rsid w:val="3C771FCD"/>
    <w:rsid w:val="3C7B4680"/>
    <w:rsid w:val="3C90308E"/>
    <w:rsid w:val="3CAC4B61"/>
    <w:rsid w:val="3CBC3E83"/>
    <w:rsid w:val="3CD059C8"/>
    <w:rsid w:val="3CDA245A"/>
    <w:rsid w:val="3CF26C23"/>
    <w:rsid w:val="3CFD7124"/>
    <w:rsid w:val="3D02190C"/>
    <w:rsid w:val="3D0E7A18"/>
    <w:rsid w:val="3D1305E8"/>
    <w:rsid w:val="3D1E06B7"/>
    <w:rsid w:val="3D1E1A76"/>
    <w:rsid w:val="3D235CB1"/>
    <w:rsid w:val="3D2C1009"/>
    <w:rsid w:val="3D2F1E5D"/>
    <w:rsid w:val="3D4A4FA9"/>
    <w:rsid w:val="3D4C5A57"/>
    <w:rsid w:val="3D51281E"/>
    <w:rsid w:val="3D634693"/>
    <w:rsid w:val="3D7B789B"/>
    <w:rsid w:val="3D7F6BA9"/>
    <w:rsid w:val="3DA61A25"/>
    <w:rsid w:val="3DA83C1E"/>
    <w:rsid w:val="3DB42DAD"/>
    <w:rsid w:val="3DC93344"/>
    <w:rsid w:val="3DCB5E8A"/>
    <w:rsid w:val="3DDF7E2A"/>
    <w:rsid w:val="3DF11955"/>
    <w:rsid w:val="3DF323C8"/>
    <w:rsid w:val="3E0922D3"/>
    <w:rsid w:val="3E22661F"/>
    <w:rsid w:val="3E2B12C1"/>
    <w:rsid w:val="3E463134"/>
    <w:rsid w:val="3E546A69"/>
    <w:rsid w:val="3E7B6404"/>
    <w:rsid w:val="3E8A41C2"/>
    <w:rsid w:val="3E8E2DB7"/>
    <w:rsid w:val="3E9A33D1"/>
    <w:rsid w:val="3EA6303D"/>
    <w:rsid w:val="3EB53D7D"/>
    <w:rsid w:val="3EBE0387"/>
    <w:rsid w:val="3ECD5369"/>
    <w:rsid w:val="3ECF1F8D"/>
    <w:rsid w:val="3ED01E68"/>
    <w:rsid w:val="3EDA0523"/>
    <w:rsid w:val="3EDE4585"/>
    <w:rsid w:val="3EE940A2"/>
    <w:rsid w:val="3EF142B8"/>
    <w:rsid w:val="3EFA7FC6"/>
    <w:rsid w:val="3EFB0C93"/>
    <w:rsid w:val="3F0B0D36"/>
    <w:rsid w:val="3F0F3D1E"/>
    <w:rsid w:val="3F140532"/>
    <w:rsid w:val="3F147C7F"/>
    <w:rsid w:val="3F1D32FF"/>
    <w:rsid w:val="3F4C3337"/>
    <w:rsid w:val="3F88629F"/>
    <w:rsid w:val="3FAD4136"/>
    <w:rsid w:val="3FAE0059"/>
    <w:rsid w:val="3FB82EB6"/>
    <w:rsid w:val="3FBB2933"/>
    <w:rsid w:val="3FC63C13"/>
    <w:rsid w:val="3FD8425A"/>
    <w:rsid w:val="3FDC26AA"/>
    <w:rsid w:val="3FE77299"/>
    <w:rsid w:val="3FF81CEA"/>
    <w:rsid w:val="3FFE1D6B"/>
    <w:rsid w:val="400929E9"/>
    <w:rsid w:val="401526BF"/>
    <w:rsid w:val="401D7B2E"/>
    <w:rsid w:val="40244591"/>
    <w:rsid w:val="404A6C6C"/>
    <w:rsid w:val="405C176B"/>
    <w:rsid w:val="406171CB"/>
    <w:rsid w:val="4066403F"/>
    <w:rsid w:val="4071000B"/>
    <w:rsid w:val="40736F4F"/>
    <w:rsid w:val="407A6407"/>
    <w:rsid w:val="407D392A"/>
    <w:rsid w:val="4089597C"/>
    <w:rsid w:val="409741EB"/>
    <w:rsid w:val="409B0664"/>
    <w:rsid w:val="409D33F8"/>
    <w:rsid w:val="40A435AC"/>
    <w:rsid w:val="40A86BF9"/>
    <w:rsid w:val="40BB6C9A"/>
    <w:rsid w:val="40BE01CA"/>
    <w:rsid w:val="40C12153"/>
    <w:rsid w:val="40D3171C"/>
    <w:rsid w:val="40DC5260"/>
    <w:rsid w:val="40FC2287"/>
    <w:rsid w:val="40FF6EBE"/>
    <w:rsid w:val="41044264"/>
    <w:rsid w:val="41076015"/>
    <w:rsid w:val="410F0A26"/>
    <w:rsid w:val="4117496F"/>
    <w:rsid w:val="411A73CB"/>
    <w:rsid w:val="412A13B6"/>
    <w:rsid w:val="41354204"/>
    <w:rsid w:val="41421D5F"/>
    <w:rsid w:val="41452A7E"/>
    <w:rsid w:val="4147403D"/>
    <w:rsid w:val="41487C37"/>
    <w:rsid w:val="41687DA8"/>
    <w:rsid w:val="417B430D"/>
    <w:rsid w:val="41834359"/>
    <w:rsid w:val="41A872D6"/>
    <w:rsid w:val="41AB6823"/>
    <w:rsid w:val="41AE3607"/>
    <w:rsid w:val="41BB672F"/>
    <w:rsid w:val="41BF26DA"/>
    <w:rsid w:val="41D025F0"/>
    <w:rsid w:val="41E57306"/>
    <w:rsid w:val="41EF57BD"/>
    <w:rsid w:val="4200449D"/>
    <w:rsid w:val="4206515C"/>
    <w:rsid w:val="422229DB"/>
    <w:rsid w:val="422C63EB"/>
    <w:rsid w:val="42334BE8"/>
    <w:rsid w:val="423A3BCC"/>
    <w:rsid w:val="424219C4"/>
    <w:rsid w:val="424E57D2"/>
    <w:rsid w:val="42572AFB"/>
    <w:rsid w:val="425F3C2F"/>
    <w:rsid w:val="42672AE3"/>
    <w:rsid w:val="426E45CA"/>
    <w:rsid w:val="42703746"/>
    <w:rsid w:val="427712E5"/>
    <w:rsid w:val="42781771"/>
    <w:rsid w:val="42881AA6"/>
    <w:rsid w:val="429038F8"/>
    <w:rsid w:val="429852FF"/>
    <w:rsid w:val="429A7734"/>
    <w:rsid w:val="429C278D"/>
    <w:rsid w:val="429D0B3B"/>
    <w:rsid w:val="42A71CF6"/>
    <w:rsid w:val="42AE0BEF"/>
    <w:rsid w:val="42AE2BFA"/>
    <w:rsid w:val="42B26C49"/>
    <w:rsid w:val="42C052ED"/>
    <w:rsid w:val="42C2423B"/>
    <w:rsid w:val="42CE4911"/>
    <w:rsid w:val="42D5621B"/>
    <w:rsid w:val="42FB0106"/>
    <w:rsid w:val="433557CD"/>
    <w:rsid w:val="43394480"/>
    <w:rsid w:val="433A6FE6"/>
    <w:rsid w:val="43476CB6"/>
    <w:rsid w:val="43480868"/>
    <w:rsid w:val="434E3DD4"/>
    <w:rsid w:val="4350713C"/>
    <w:rsid w:val="4356566F"/>
    <w:rsid w:val="435F0C7D"/>
    <w:rsid w:val="436653E0"/>
    <w:rsid w:val="43716024"/>
    <w:rsid w:val="43730CC1"/>
    <w:rsid w:val="4396542E"/>
    <w:rsid w:val="439C7F9A"/>
    <w:rsid w:val="43AF32DF"/>
    <w:rsid w:val="43AF6E6A"/>
    <w:rsid w:val="43C339D2"/>
    <w:rsid w:val="43C4431A"/>
    <w:rsid w:val="43C95804"/>
    <w:rsid w:val="43E24223"/>
    <w:rsid w:val="44020D16"/>
    <w:rsid w:val="441647C1"/>
    <w:rsid w:val="442B6825"/>
    <w:rsid w:val="442D1C60"/>
    <w:rsid w:val="44330ECF"/>
    <w:rsid w:val="44370CBF"/>
    <w:rsid w:val="44437BC7"/>
    <w:rsid w:val="4454372B"/>
    <w:rsid w:val="445C6678"/>
    <w:rsid w:val="44715D6A"/>
    <w:rsid w:val="448E3D1D"/>
    <w:rsid w:val="449D459A"/>
    <w:rsid w:val="44B951CC"/>
    <w:rsid w:val="44CD14E0"/>
    <w:rsid w:val="44D47A4A"/>
    <w:rsid w:val="44E93A5D"/>
    <w:rsid w:val="44F168F2"/>
    <w:rsid w:val="44F20B0B"/>
    <w:rsid w:val="450E5003"/>
    <w:rsid w:val="4523044E"/>
    <w:rsid w:val="452E5F4C"/>
    <w:rsid w:val="45374A76"/>
    <w:rsid w:val="45417747"/>
    <w:rsid w:val="4543180A"/>
    <w:rsid w:val="45513FF2"/>
    <w:rsid w:val="455A0335"/>
    <w:rsid w:val="45612018"/>
    <w:rsid w:val="456908BB"/>
    <w:rsid w:val="4570698B"/>
    <w:rsid w:val="457E1CB3"/>
    <w:rsid w:val="45833790"/>
    <w:rsid w:val="458946E9"/>
    <w:rsid w:val="458D0AB3"/>
    <w:rsid w:val="458F5039"/>
    <w:rsid w:val="459B4B29"/>
    <w:rsid w:val="45A47C0E"/>
    <w:rsid w:val="45BE0C6C"/>
    <w:rsid w:val="45C80314"/>
    <w:rsid w:val="45CE175D"/>
    <w:rsid w:val="45E06E35"/>
    <w:rsid w:val="45E71912"/>
    <w:rsid w:val="45EB27C2"/>
    <w:rsid w:val="45EC43C4"/>
    <w:rsid w:val="46077168"/>
    <w:rsid w:val="46153825"/>
    <w:rsid w:val="46186134"/>
    <w:rsid w:val="46192BC4"/>
    <w:rsid w:val="46207231"/>
    <w:rsid w:val="46385EE9"/>
    <w:rsid w:val="464F5D68"/>
    <w:rsid w:val="46537E03"/>
    <w:rsid w:val="46562663"/>
    <w:rsid w:val="46577FD6"/>
    <w:rsid w:val="465A72B1"/>
    <w:rsid w:val="4669507C"/>
    <w:rsid w:val="46696E2A"/>
    <w:rsid w:val="46731974"/>
    <w:rsid w:val="467806FB"/>
    <w:rsid w:val="469770BD"/>
    <w:rsid w:val="46B42853"/>
    <w:rsid w:val="46D955A7"/>
    <w:rsid w:val="46DA3884"/>
    <w:rsid w:val="46E76A2A"/>
    <w:rsid w:val="46EC04F8"/>
    <w:rsid w:val="46FE4680"/>
    <w:rsid w:val="47094169"/>
    <w:rsid w:val="47133957"/>
    <w:rsid w:val="47137FAD"/>
    <w:rsid w:val="471D3996"/>
    <w:rsid w:val="472162E4"/>
    <w:rsid w:val="474358CD"/>
    <w:rsid w:val="474A246F"/>
    <w:rsid w:val="47541888"/>
    <w:rsid w:val="476B4E24"/>
    <w:rsid w:val="47712C01"/>
    <w:rsid w:val="477B5F15"/>
    <w:rsid w:val="478D6B48"/>
    <w:rsid w:val="479C322F"/>
    <w:rsid w:val="47A07E0C"/>
    <w:rsid w:val="47C4797F"/>
    <w:rsid w:val="47C5192B"/>
    <w:rsid w:val="47D66741"/>
    <w:rsid w:val="47D93B3C"/>
    <w:rsid w:val="47DC50FD"/>
    <w:rsid w:val="48030BB8"/>
    <w:rsid w:val="48110134"/>
    <w:rsid w:val="4813052E"/>
    <w:rsid w:val="48166B3E"/>
    <w:rsid w:val="482245B9"/>
    <w:rsid w:val="48235574"/>
    <w:rsid w:val="4870272E"/>
    <w:rsid w:val="487148FF"/>
    <w:rsid w:val="488E7654"/>
    <w:rsid w:val="48911A8A"/>
    <w:rsid w:val="48975774"/>
    <w:rsid w:val="489B0D10"/>
    <w:rsid w:val="489B5B0A"/>
    <w:rsid w:val="48A24875"/>
    <w:rsid w:val="48CC18F2"/>
    <w:rsid w:val="48DC100B"/>
    <w:rsid w:val="48E5096A"/>
    <w:rsid w:val="48E705C4"/>
    <w:rsid w:val="48F00CFF"/>
    <w:rsid w:val="48F549A5"/>
    <w:rsid w:val="49014AED"/>
    <w:rsid w:val="49117305"/>
    <w:rsid w:val="49137521"/>
    <w:rsid w:val="49320E3E"/>
    <w:rsid w:val="49374D83"/>
    <w:rsid w:val="497F0713"/>
    <w:rsid w:val="498530BE"/>
    <w:rsid w:val="498F38BE"/>
    <w:rsid w:val="49A85EBB"/>
    <w:rsid w:val="49B54BA8"/>
    <w:rsid w:val="49B67CA8"/>
    <w:rsid w:val="49D767A1"/>
    <w:rsid w:val="49D813F7"/>
    <w:rsid w:val="49DC7715"/>
    <w:rsid w:val="49E05097"/>
    <w:rsid w:val="49E95662"/>
    <w:rsid w:val="49EF5898"/>
    <w:rsid w:val="4A023139"/>
    <w:rsid w:val="4A3003C9"/>
    <w:rsid w:val="4A3D6020"/>
    <w:rsid w:val="4A5716F8"/>
    <w:rsid w:val="4A5A3051"/>
    <w:rsid w:val="4A743FEF"/>
    <w:rsid w:val="4A7B576F"/>
    <w:rsid w:val="4A8F4DF6"/>
    <w:rsid w:val="4A981C28"/>
    <w:rsid w:val="4A983CDB"/>
    <w:rsid w:val="4AB60164"/>
    <w:rsid w:val="4AE45B2B"/>
    <w:rsid w:val="4AF3760A"/>
    <w:rsid w:val="4AF55B4A"/>
    <w:rsid w:val="4AF561A9"/>
    <w:rsid w:val="4AFA031C"/>
    <w:rsid w:val="4AFC2B80"/>
    <w:rsid w:val="4B056603"/>
    <w:rsid w:val="4B0E78FD"/>
    <w:rsid w:val="4B1B446B"/>
    <w:rsid w:val="4B405562"/>
    <w:rsid w:val="4B425E94"/>
    <w:rsid w:val="4B4B2FA2"/>
    <w:rsid w:val="4B53129C"/>
    <w:rsid w:val="4B6422B6"/>
    <w:rsid w:val="4B6B49B0"/>
    <w:rsid w:val="4B6D2777"/>
    <w:rsid w:val="4B7A0E8F"/>
    <w:rsid w:val="4B894B82"/>
    <w:rsid w:val="4BB453FF"/>
    <w:rsid w:val="4BB862E6"/>
    <w:rsid w:val="4BCA036B"/>
    <w:rsid w:val="4BD415B0"/>
    <w:rsid w:val="4BDC5725"/>
    <w:rsid w:val="4BEC745B"/>
    <w:rsid w:val="4BEF39E7"/>
    <w:rsid w:val="4BF74ED8"/>
    <w:rsid w:val="4BF962AD"/>
    <w:rsid w:val="4C0F51A9"/>
    <w:rsid w:val="4C1E7726"/>
    <w:rsid w:val="4C210271"/>
    <w:rsid w:val="4C3A4765"/>
    <w:rsid w:val="4C4A0649"/>
    <w:rsid w:val="4C4F68C2"/>
    <w:rsid w:val="4C5B7727"/>
    <w:rsid w:val="4C7A26F4"/>
    <w:rsid w:val="4C7D53DD"/>
    <w:rsid w:val="4C7E5ECA"/>
    <w:rsid w:val="4C7F0446"/>
    <w:rsid w:val="4C854817"/>
    <w:rsid w:val="4C856040"/>
    <w:rsid w:val="4C876AA5"/>
    <w:rsid w:val="4CB50AC1"/>
    <w:rsid w:val="4CB71CDB"/>
    <w:rsid w:val="4CBC51DD"/>
    <w:rsid w:val="4CF57C64"/>
    <w:rsid w:val="4CF6725C"/>
    <w:rsid w:val="4CF829AE"/>
    <w:rsid w:val="4D035956"/>
    <w:rsid w:val="4D08244C"/>
    <w:rsid w:val="4D0E00FB"/>
    <w:rsid w:val="4D176606"/>
    <w:rsid w:val="4D2546D0"/>
    <w:rsid w:val="4D29163E"/>
    <w:rsid w:val="4D2D20A3"/>
    <w:rsid w:val="4D3D5F9A"/>
    <w:rsid w:val="4D6445F1"/>
    <w:rsid w:val="4D7367E0"/>
    <w:rsid w:val="4D77007F"/>
    <w:rsid w:val="4D886B44"/>
    <w:rsid w:val="4D9508EF"/>
    <w:rsid w:val="4D9F3131"/>
    <w:rsid w:val="4DAA338D"/>
    <w:rsid w:val="4DD059E1"/>
    <w:rsid w:val="4DEC4FB0"/>
    <w:rsid w:val="4DFA003E"/>
    <w:rsid w:val="4E075D8A"/>
    <w:rsid w:val="4E09200C"/>
    <w:rsid w:val="4E125518"/>
    <w:rsid w:val="4E157897"/>
    <w:rsid w:val="4E1E04FA"/>
    <w:rsid w:val="4E303306"/>
    <w:rsid w:val="4E3E294A"/>
    <w:rsid w:val="4E3E4D42"/>
    <w:rsid w:val="4E442054"/>
    <w:rsid w:val="4E473EF5"/>
    <w:rsid w:val="4E4D2213"/>
    <w:rsid w:val="4E4F2A50"/>
    <w:rsid w:val="4E6D3230"/>
    <w:rsid w:val="4E83397C"/>
    <w:rsid w:val="4E83548F"/>
    <w:rsid w:val="4E8A40BE"/>
    <w:rsid w:val="4E902622"/>
    <w:rsid w:val="4E9D724F"/>
    <w:rsid w:val="4EC00FAD"/>
    <w:rsid w:val="4EF52F4C"/>
    <w:rsid w:val="4F007B20"/>
    <w:rsid w:val="4F027A6E"/>
    <w:rsid w:val="4F6939F7"/>
    <w:rsid w:val="4F697814"/>
    <w:rsid w:val="4F876A67"/>
    <w:rsid w:val="4F927E37"/>
    <w:rsid w:val="4F9843DC"/>
    <w:rsid w:val="4FA26F09"/>
    <w:rsid w:val="4FA84938"/>
    <w:rsid w:val="4FAD422B"/>
    <w:rsid w:val="4FB96E6B"/>
    <w:rsid w:val="4FC62A8C"/>
    <w:rsid w:val="4FE20F0D"/>
    <w:rsid w:val="4FE51552"/>
    <w:rsid w:val="4FED4628"/>
    <w:rsid w:val="4FFA0AF3"/>
    <w:rsid w:val="4FFE509E"/>
    <w:rsid w:val="4FFE5101"/>
    <w:rsid w:val="501674B0"/>
    <w:rsid w:val="50245B70"/>
    <w:rsid w:val="502913D8"/>
    <w:rsid w:val="503374D0"/>
    <w:rsid w:val="503E5ED5"/>
    <w:rsid w:val="5040654F"/>
    <w:rsid w:val="5050433D"/>
    <w:rsid w:val="50504C4B"/>
    <w:rsid w:val="50662B74"/>
    <w:rsid w:val="50697A27"/>
    <w:rsid w:val="50826F9D"/>
    <w:rsid w:val="5083312A"/>
    <w:rsid w:val="50901457"/>
    <w:rsid w:val="509166B3"/>
    <w:rsid w:val="5099030C"/>
    <w:rsid w:val="509B22D6"/>
    <w:rsid w:val="509C6E7C"/>
    <w:rsid w:val="50B514C6"/>
    <w:rsid w:val="50CE392A"/>
    <w:rsid w:val="50FD540C"/>
    <w:rsid w:val="51002FBB"/>
    <w:rsid w:val="51157B6D"/>
    <w:rsid w:val="51164EBB"/>
    <w:rsid w:val="512C2345"/>
    <w:rsid w:val="513A7409"/>
    <w:rsid w:val="5140693D"/>
    <w:rsid w:val="5162104E"/>
    <w:rsid w:val="51624E1C"/>
    <w:rsid w:val="5165658D"/>
    <w:rsid w:val="51761FDE"/>
    <w:rsid w:val="517F6D7E"/>
    <w:rsid w:val="518279A9"/>
    <w:rsid w:val="51873098"/>
    <w:rsid w:val="5192537A"/>
    <w:rsid w:val="51972CF4"/>
    <w:rsid w:val="51976F41"/>
    <w:rsid w:val="51AA7A04"/>
    <w:rsid w:val="51AD6725"/>
    <w:rsid w:val="51BD0E90"/>
    <w:rsid w:val="51DC193F"/>
    <w:rsid w:val="51F003FF"/>
    <w:rsid w:val="52023DC5"/>
    <w:rsid w:val="52052D1F"/>
    <w:rsid w:val="52311D3F"/>
    <w:rsid w:val="52320A18"/>
    <w:rsid w:val="523C53F3"/>
    <w:rsid w:val="5249422C"/>
    <w:rsid w:val="524E4C50"/>
    <w:rsid w:val="5253273C"/>
    <w:rsid w:val="525F49CC"/>
    <w:rsid w:val="52694EC1"/>
    <w:rsid w:val="52907045"/>
    <w:rsid w:val="52A0301F"/>
    <w:rsid w:val="52AA2CA4"/>
    <w:rsid w:val="52B51504"/>
    <w:rsid w:val="52B96E6E"/>
    <w:rsid w:val="52D675F5"/>
    <w:rsid w:val="52E340AB"/>
    <w:rsid w:val="52F67C97"/>
    <w:rsid w:val="52F77B70"/>
    <w:rsid w:val="52FB3500"/>
    <w:rsid w:val="52FD03A7"/>
    <w:rsid w:val="52FD1026"/>
    <w:rsid w:val="52FE6B4C"/>
    <w:rsid w:val="532E0F86"/>
    <w:rsid w:val="532F30EC"/>
    <w:rsid w:val="5334256E"/>
    <w:rsid w:val="53390E17"/>
    <w:rsid w:val="534B068A"/>
    <w:rsid w:val="537B019D"/>
    <w:rsid w:val="539232B3"/>
    <w:rsid w:val="53A039CC"/>
    <w:rsid w:val="53A1505A"/>
    <w:rsid w:val="53A95FD1"/>
    <w:rsid w:val="53B822B2"/>
    <w:rsid w:val="53DA5AFE"/>
    <w:rsid w:val="54022FCE"/>
    <w:rsid w:val="54063E08"/>
    <w:rsid w:val="54181E8F"/>
    <w:rsid w:val="541A79B6"/>
    <w:rsid w:val="541C372E"/>
    <w:rsid w:val="54280325"/>
    <w:rsid w:val="54326EA4"/>
    <w:rsid w:val="54342435"/>
    <w:rsid w:val="543437E8"/>
    <w:rsid w:val="543C654A"/>
    <w:rsid w:val="54890159"/>
    <w:rsid w:val="549459BA"/>
    <w:rsid w:val="54A3212E"/>
    <w:rsid w:val="54A674F1"/>
    <w:rsid w:val="54B707B4"/>
    <w:rsid w:val="54B87E75"/>
    <w:rsid w:val="54CB4FB3"/>
    <w:rsid w:val="54DE2F24"/>
    <w:rsid w:val="54E2107C"/>
    <w:rsid w:val="54F621D1"/>
    <w:rsid w:val="54F70F79"/>
    <w:rsid w:val="54F73313"/>
    <w:rsid w:val="54F80955"/>
    <w:rsid w:val="54FF2AFB"/>
    <w:rsid w:val="550A7804"/>
    <w:rsid w:val="552E7C91"/>
    <w:rsid w:val="55361F11"/>
    <w:rsid w:val="553859B4"/>
    <w:rsid w:val="55474E28"/>
    <w:rsid w:val="55483836"/>
    <w:rsid w:val="554F7B33"/>
    <w:rsid w:val="555170A7"/>
    <w:rsid w:val="55574CCF"/>
    <w:rsid w:val="555E38D2"/>
    <w:rsid w:val="556E7FB9"/>
    <w:rsid w:val="558660AA"/>
    <w:rsid w:val="5587536D"/>
    <w:rsid w:val="558F7DC5"/>
    <w:rsid w:val="559B174B"/>
    <w:rsid w:val="559F4616"/>
    <w:rsid w:val="55A7171D"/>
    <w:rsid w:val="55BE254A"/>
    <w:rsid w:val="55CE0CF4"/>
    <w:rsid w:val="55E40DAC"/>
    <w:rsid w:val="55E738C7"/>
    <w:rsid w:val="55E73CE1"/>
    <w:rsid w:val="55F03B15"/>
    <w:rsid w:val="55F23FBB"/>
    <w:rsid w:val="56060BDC"/>
    <w:rsid w:val="56150435"/>
    <w:rsid w:val="56393B78"/>
    <w:rsid w:val="563E2BBB"/>
    <w:rsid w:val="56633896"/>
    <w:rsid w:val="56717635"/>
    <w:rsid w:val="567322BA"/>
    <w:rsid w:val="56755377"/>
    <w:rsid w:val="56884FC8"/>
    <w:rsid w:val="568B727B"/>
    <w:rsid w:val="569D6149"/>
    <w:rsid w:val="569E6823"/>
    <w:rsid w:val="569F1CFC"/>
    <w:rsid w:val="56AD10C8"/>
    <w:rsid w:val="56B22A9C"/>
    <w:rsid w:val="56BB13F5"/>
    <w:rsid w:val="56BB6C22"/>
    <w:rsid w:val="56BE087D"/>
    <w:rsid w:val="56D67B97"/>
    <w:rsid w:val="56E147BB"/>
    <w:rsid w:val="56E4757B"/>
    <w:rsid w:val="57011A7B"/>
    <w:rsid w:val="570A3D11"/>
    <w:rsid w:val="572340BB"/>
    <w:rsid w:val="572C3F3F"/>
    <w:rsid w:val="57352F44"/>
    <w:rsid w:val="5745493A"/>
    <w:rsid w:val="574F7505"/>
    <w:rsid w:val="5753390A"/>
    <w:rsid w:val="57563CB6"/>
    <w:rsid w:val="575E6FFD"/>
    <w:rsid w:val="57602988"/>
    <w:rsid w:val="576E3DB8"/>
    <w:rsid w:val="57863EE4"/>
    <w:rsid w:val="57982E9C"/>
    <w:rsid w:val="57AC24F0"/>
    <w:rsid w:val="57B72A76"/>
    <w:rsid w:val="57B7532A"/>
    <w:rsid w:val="57C3426C"/>
    <w:rsid w:val="57CE1F93"/>
    <w:rsid w:val="57D0621E"/>
    <w:rsid w:val="57D95BB1"/>
    <w:rsid w:val="57DD4959"/>
    <w:rsid w:val="57E14298"/>
    <w:rsid w:val="57F329F7"/>
    <w:rsid w:val="57FF139C"/>
    <w:rsid w:val="580A773B"/>
    <w:rsid w:val="580C3AB9"/>
    <w:rsid w:val="58160494"/>
    <w:rsid w:val="581B5AAA"/>
    <w:rsid w:val="586F5D6C"/>
    <w:rsid w:val="588743D1"/>
    <w:rsid w:val="5887701A"/>
    <w:rsid w:val="589D2963"/>
    <w:rsid w:val="58A8054E"/>
    <w:rsid w:val="58AE2DC2"/>
    <w:rsid w:val="58AF094F"/>
    <w:rsid w:val="58C114B4"/>
    <w:rsid w:val="58F96265"/>
    <w:rsid w:val="58FB75DE"/>
    <w:rsid w:val="58FF28DE"/>
    <w:rsid w:val="59030A26"/>
    <w:rsid w:val="590B22B6"/>
    <w:rsid w:val="590F7FA3"/>
    <w:rsid w:val="591C4E0E"/>
    <w:rsid w:val="59203EBC"/>
    <w:rsid w:val="592B4067"/>
    <w:rsid w:val="595B0854"/>
    <w:rsid w:val="59676679"/>
    <w:rsid w:val="59817DB2"/>
    <w:rsid w:val="59883613"/>
    <w:rsid w:val="598D6A8B"/>
    <w:rsid w:val="598E6955"/>
    <w:rsid w:val="599014A9"/>
    <w:rsid w:val="599B6EA3"/>
    <w:rsid w:val="59B2573B"/>
    <w:rsid w:val="59BB5797"/>
    <w:rsid w:val="59BD150F"/>
    <w:rsid w:val="59C0439F"/>
    <w:rsid w:val="59C55518"/>
    <w:rsid w:val="59D14FBA"/>
    <w:rsid w:val="59D36007"/>
    <w:rsid w:val="5A0A5FE9"/>
    <w:rsid w:val="5A1A3FE3"/>
    <w:rsid w:val="5A2151EA"/>
    <w:rsid w:val="5A221372"/>
    <w:rsid w:val="5A467CA8"/>
    <w:rsid w:val="5A4F5EDF"/>
    <w:rsid w:val="5A542060"/>
    <w:rsid w:val="5A5B363C"/>
    <w:rsid w:val="5A766A68"/>
    <w:rsid w:val="5A767910"/>
    <w:rsid w:val="5A781B28"/>
    <w:rsid w:val="5A816250"/>
    <w:rsid w:val="5A8E79AB"/>
    <w:rsid w:val="5A9E57BB"/>
    <w:rsid w:val="5AA846AB"/>
    <w:rsid w:val="5AB34587"/>
    <w:rsid w:val="5AB86ED3"/>
    <w:rsid w:val="5ABE2233"/>
    <w:rsid w:val="5AC1330B"/>
    <w:rsid w:val="5AC33FBE"/>
    <w:rsid w:val="5AD3413E"/>
    <w:rsid w:val="5AE139C7"/>
    <w:rsid w:val="5AE900E2"/>
    <w:rsid w:val="5AF00494"/>
    <w:rsid w:val="5AF0321E"/>
    <w:rsid w:val="5AFD593B"/>
    <w:rsid w:val="5B083913"/>
    <w:rsid w:val="5B18348D"/>
    <w:rsid w:val="5B1C1AF7"/>
    <w:rsid w:val="5B512782"/>
    <w:rsid w:val="5B5B3A25"/>
    <w:rsid w:val="5B7C6694"/>
    <w:rsid w:val="5B9D14DA"/>
    <w:rsid w:val="5BA32FE4"/>
    <w:rsid w:val="5BA655D1"/>
    <w:rsid w:val="5BAA7871"/>
    <w:rsid w:val="5BAF4E87"/>
    <w:rsid w:val="5BB478E2"/>
    <w:rsid w:val="5BB77E12"/>
    <w:rsid w:val="5BBD57F6"/>
    <w:rsid w:val="5BBF6F1B"/>
    <w:rsid w:val="5BC0241E"/>
    <w:rsid w:val="5BC07095"/>
    <w:rsid w:val="5BC1147D"/>
    <w:rsid w:val="5BC158FB"/>
    <w:rsid w:val="5BCC74AF"/>
    <w:rsid w:val="5BCF536E"/>
    <w:rsid w:val="5BDF5D95"/>
    <w:rsid w:val="5BFE7528"/>
    <w:rsid w:val="5C007CAF"/>
    <w:rsid w:val="5C0827EA"/>
    <w:rsid w:val="5C1B2D56"/>
    <w:rsid w:val="5C6E6AF1"/>
    <w:rsid w:val="5C7A49B3"/>
    <w:rsid w:val="5C7B120D"/>
    <w:rsid w:val="5C7D52E9"/>
    <w:rsid w:val="5C7D6D34"/>
    <w:rsid w:val="5CAC586B"/>
    <w:rsid w:val="5CB306AB"/>
    <w:rsid w:val="5CBB2094"/>
    <w:rsid w:val="5CBC5AAE"/>
    <w:rsid w:val="5CC36D1E"/>
    <w:rsid w:val="5CD61820"/>
    <w:rsid w:val="5CD943F7"/>
    <w:rsid w:val="5CDE7648"/>
    <w:rsid w:val="5CE61203"/>
    <w:rsid w:val="5D017965"/>
    <w:rsid w:val="5D0336DD"/>
    <w:rsid w:val="5D2101B1"/>
    <w:rsid w:val="5D270949"/>
    <w:rsid w:val="5D347D3A"/>
    <w:rsid w:val="5D3715D8"/>
    <w:rsid w:val="5D485594"/>
    <w:rsid w:val="5D4930BA"/>
    <w:rsid w:val="5D5418FE"/>
    <w:rsid w:val="5D5568DA"/>
    <w:rsid w:val="5D604B0B"/>
    <w:rsid w:val="5D606C47"/>
    <w:rsid w:val="5D7B180B"/>
    <w:rsid w:val="5D8875C1"/>
    <w:rsid w:val="5D980B8C"/>
    <w:rsid w:val="5DA16CAF"/>
    <w:rsid w:val="5DA402F0"/>
    <w:rsid w:val="5DB54270"/>
    <w:rsid w:val="5DB63794"/>
    <w:rsid w:val="5DBE76BD"/>
    <w:rsid w:val="5DD22096"/>
    <w:rsid w:val="5DD5494D"/>
    <w:rsid w:val="5DED1C97"/>
    <w:rsid w:val="5E004BFD"/>
    <w:rsid w:val="5E0C1350"/>
    <w:rsid w:val="5E0D40E7"/>
    <w:rsid w:val="5E195734"/>
    <w:rsid w:val="5E1F4A20"/>
    <w:rsid w:val="5E2467F1"/>
    <w:rsid w:val="5E2F64E9"/>
    <w:rsid w:val="5E3D49CC"/>
    <w:rsid w:val="5E435999"/>
    <w:rsid w:val="5E4D3610"/>
    <w:rsid w:val="5E602EAB"/>
    <w:rsid w:val="5E654344"/>
    <w:rsid w:val="5E804073"/>
    <w:rsid w:val="5E856BD1"/>
    <w:rsid w:val="5E8E347A"/>
    <w:rsid w:val="5EBB7FE7"/>
    <w:rsid w:val="5EC70711"/>
    <w:rsid w:val="5EE57575"/>
    <w:rsid w:val="5EFD5F0A"/>
    <w:rsid w:val="5F1527E7"/>
    <w:rsid w:val="5F153A04"/>
    <w:rsid w:val="5F1A2B43"/>
    <w:rsid w:val="5F322E09"/>
    <w:rsid w:val="5F323EEB"/>
    <w:rsid w:val="5F367F01"/>
    <w:rsid w:val="5F3C6B9F"/>
    <w:rsid w:val="5F3E3A9F"/>
    <w:rsid w:val="5F5A4BBD"/>
    <w:rsid w:val="5F6B7317"/>
    <w:rsid w:val="5F750471"/>
    <w:rsid w:val="5F8159E5"/>
    <w:rsid w:val="5F907B68"/>
    <w:rsid w:val="5F944AC0"/>
    <w:rsid w:val="5FA97E40"/>
    <w:rsid w:val="5FB76A00"/>
    <w:rsid w:val="5FB837BB"/>
    <w:rsid w:val="5FC16118"/>
    <w:rsid w:val="5FCF5AF8"/>
    <w:rsid w:val="5FD90725"/>
    <w:rsid w:val="5FE13A7D"/>
    <w:rsid w:val="6009355C"/>
    <w:rsid w:val="600E7F5D"/>
    <w:rsid w:val="602D281F"/>
    <w:rsid w:val="603718EF"/>
    <w:rsid w:val="603D01E4"/>
    <w:rsid w:val="607466A0"/>
    <w:rsid w:val="607923C2"/>
    <w:rsid w:val="60827C38"/>
    <w:rsid w:val="6099704E"/>
    <w:rsid w:val="609A4358"/>
    <w:rsid w:val="60A96349"/>
    <w:rsid w:val="60B052E1"/>
    <w:rsid w:val="60BC500A"/>
    <w:rsid w:val="60C70EC5"/>
    <w:rsid w:val="60CC028A"/>
    <w:rsid w:val="60CC405A"/>
    <w:rsid w:val="60DB6099"/>
    <w:rsid w:val="60DD778C"/>
    <w:rsid w:val="60FB691F"/>
    <w:rsid w:val="61025A59"/>
    <w:rsid w:val="611C2337"/>
    <w:rsid w:val="613146C1"/>
    <w:rsid w:val="61343CE2"/>
    <w:rsid w:val="61461DEA"/>
    <w:rsid w:val="614B3697"/>
    <w:rsid w:val="615158B3"/>
    <w:rsid w:val="616616D2"/>
    <w:rsid w:val="616E2D5E"/>
    <w:rsid w:val="61715597"/>
    <w:rsid w:val="61850577"/>
    <w:rsid w:val="6197270E"/>
    <w:rsid w:val="619A0388"/>
    <w:rsid w:val="61A11716"/>
    <w:rsid w:val="61BE0410"/>
    <w:rsid w:val="61CA0B1D"/>
    <w:rsid w:val="61D04CEA"/>
    <w:rsid w:val="61E215D8"/>
    <w:rsid w:val="61EF227D"/>
    <w:rsid w:val="61F74CC9"/>
    <w:rsid w:val="61F8684D"/>
    <w:rsid w:val="621B3775"/>
    <w:rsid w:val="622720EB"/>
    <w:rsid w:val="62364782"/>
    <w:rsid w:val="624A317C"/>
    <w:rsid w:val="625A2EEB"/>
    <w:rsid w:val="625A3B56"/>
    <w:rsid w:val="62625CF2"/>
    <w:rsid w:val="6263077A"/>
    <w:rsid w:val="62645BED"/>
    <w:rsid w:val="628202AE"/>
    <w:rsid w:val="62897021"/>
    <w:rsid w:val="628F5A13"/>
    <w:rsid w:val="629D0130"/>
    <w:rsid w:val="62A94EC9"/>
    <w:rsid w:val="62CB609F"/>
    <w:rsid w:val="62CB6B38"/>
    <w:rsid w:val="62D32401"/>
    <w:rsid w:val="62DA4EE0"/>
    <w:rsid w:val="62E619ED"/>
    <w:rsid w:val="62F87FB3"/>
    <w:rsid w:val="62FA10DE"/>
    <w:rsid w:val="62FB72E3"/>
    <w:rsid w:val="63247F09"/>
    <w:rsid w:val="632F0827"/>
    <w:rsid w:val="634A0DD6"/>
    <w:rsid w:val="634B1DCB"/>
    <w:rsid w:val="635D233B"/>
    <w:rsid w:val="6373518F"/>
    <w:rsid w:val="63835FBF"/>
    <w:rsid w:val="6394356A"/>
    <w:rsid w:val="63950E07"/>
    <w:rsid w:val="63977A57"/>
    <w:rsid w:val="639A05E4"/>
    <w:rsid w:val="63A4052C"/>
    <w:rsid w:val="63AF5C83"/>
    <w:rsid w:val="63C065F8"/>
    <w:rsid w:val="63C61B2C"/>
    <w:rsid w:val="63D40BE9"/>
    <w:rsid w:val="63D53B77"/>
    <w:rsid w:val="63D94EDB"/>
    <w:rsid w:val="63E63605"/>
    <w:rsid w:val="63E80775"/>
    <w:rsid w:val="63F11ECC"/>
    <w:rsid w:val="63FA72E8"/>
    <w:rsid w:val="64102431"/>
    <w:rsid w:val="64223BEF"/>
    <w:rsid w:val="642751A1"/>
    <w:rsid w:val="64301754"/>
    <w:rsid w:val="64357EF4"/>
    <w:rsid w:val="6445221C"/>
    <w:rsid w:val="6472739A"/>
    <w:rsid w:val="64815730"/>
    <w:rsid w:val="64831199"/>
    <w:rsid w:val="64971E0A"/>
    <w:rsid w:val="64A12DA7"/>
    <w:rsid w:val="64A347E8"/>
    <w:rsid w:val="64A5243A"/>
    <w:rsid w:val="64D8391C"/>
    <w:rsid w:val="64DA0943"/>
    <w:rsid w:val="64E57735"/>
    <w:rsid w:val="64F531DE"/>
    <w:rsid w:val="650376BA"/>
    <w:rsid w:val="6516562F"/>
    <w:rsid w:val="65181CEF"/>
    <w:rsid w:val="651A5A67"/>
    <w:rsid w:val="65256B3E"/>
    <w:rsid w:val="65373578"/>
    <w:rsid w:val="653A6768"/>
    <w:rsid w:val="65441FC3"/>
    <w:rsid w:val="654A67B3"/>
    <w:rsid w:val="655068C5"/>
    <w:rsid w:val="65624D19"/>
    <w:rsid w:val="656951D6"/>
    <w:rsid w:val="656E5DB3"/>
    <w:rsid w:val="656F460A"/>
    <w:rsid w:val="657F3B1C"/>
    <w:rsid w:val="65AE58D2"/>
    <w:rsid w:val="65B42E1D"/>
    <w:rsid w:val="65BD1F06"/>
    <w:rsid w:val="65D5198E"/>
    <w:rsid w:val="65E776A0"/>
    <w:rsid w:val="65E9368C"/>
    <w:rsid w:val="65F90E7C"/>
    <w:rsid w:val="65FA31A3"/>
    <w:rsid w:val="66020B4E"/>
    <w:rsid w:val="660C498C"/>
    <w:rsid w:val="660D2ED6"/>
    <w:rsid w:val="662E109F"/>
    <w:rsid w:val="662E277A"/>
    <w:rsid w:val="66415276"/>
    <w:rsid w:val="664D3C1B"/>
    <w:rsid w:val="667C1434"/>
    <w:rsid w:val="668A09CB"/>
    <w:rsid w:val="668B2FD9"/>
    <w:rsid w:val="66AD0763"/>
    <w:rsid w:val="66B141AA"/>
    <w:rsid w:val="66BF00F7"/>
    <w:rsid w:val="66D449CF"/>
    <w:rsid w:val="66E71A47"/>
    <w:rsid w:val="66E8359C"/>
    <w:rsid w:val="66E856F1"/>
    <w:rsid w:val="66E876DB"/>
    <w:rsid w:val="67002A3B"/>
    <w:rsid w:val="670E3995"/>
    <w:rsid w:val="671F124A"/>
    <w:rsid w:val="672D7213"/>
    <w:rsid w:val="6740022A"/>
    <w:rsid w:val="67446533"/>
    <w:rsid w:val="675016AD"/>
    <w:rsid w:val="676254A4"/>
    <w:rsid w:val="67713939"/>
    <w:rsid w:val="67727B30"/>
    <w:rsid w:val="677A33C6"/>
    <w:rsid w:val="67D363A2"/>
    <w:rsid w:val="67D95381"/>
    <w:rsid w:val="67E57B10"/>
    <w:rsid w:val="67E65BEA"/>
    <w:rsid w:val="67EB5240"/>
    <w:rsid w:val="67EF2937"/>
    <w:rsid w:val="67F45FB1"/>
    <w:rsid w:val="67F85E08"/>
    <w:rsid w:val="68025295"/>
    <w:rsid w:val="68026250"/>
    <w:rsid w:val="6817016F"/>
    <w:rsid w:val="681F6961"/>
    <w:rsid w:val="683A6742"/>
    <w:rsid w:val="68403D5F"/>
    <w:rsid w:val="68467AF2"/>
    <w:rsid w:val="685516C9"/>
    <w:rsid w:val="68594AF9"/>
    <w:rsid w:val="68610A2F"/>
    <w:rsid w:val="686F6420"/>
    <w:rsid w:val="68701E42"/>
    <w:rsid w:val="68805514"/>
    <w:rsid w:val="689C6793"/>
    <w:rsid w:val="68C83A2C"/>
    <w:rsid w:val="68E62D9B"/>
    <w:rsid w:val="68EE1667"/>
    <w:rsid w:val="68F14DB5"/>
    <w:rsid w:val="69070247"/>
    <w:rsid w:val="69140A20"/>
    <w:rsid w:val="691517E4"/>
    <w:rsid w:val="691F1760"/>
    <w:rsid w:val="691F3B13"/>
    <w:rsid w:val="692D19E3"/>
    <w:rsid w:val="69316E2F"/>
    <w:rsid w:val="6933534A"/>
    <w:rsid w:val="69414646"/>
    <w:rsid w:val="6946137B"/>
    <w:rsid w:val="694E2071"/>
    <w:rsid w:val="695A0B28"/>
    <w:rsid w:val="696475DC"/>
    <w:rsid w:val="696574CD"/>
    <w:rsid w:val="69766163"/>
    <w:rsid w:val="697802E0"/>
    <w:rsid w:val="697A3B33"/>
    <w:rsid w:val="699E714C"/>
    <w:rsid w:val="699F0B6B"/>
    <w:rsid w:val="69A43F48"/>
    <w:rsid w:val="69B0789B"/>
    <w:rsid w:val="69B50EEF"/>
    <w:rsid w:val="69C73CE4"/>
    <w:rsid w:val="69D44760"/>
    <w:rsid w:val="69E50B3A"/>
    <w:rsid w:val="69EB029B"/>
    <w:rsid w:val="6A0445F0"/>
    <w:rsid w:val="6A122BB1"/>
    <w:rsid w:val="6A403C07"/>
    <w:rsid w:val="6A4B7B6B"/>
    <w:rsid w:val="6A500FC6"/>
    <w:rsid w:val="6A520EC7"/>
    <w:rsid w:val="6A5710F3"/>
    <w:rsid w:val="6A68712F"/>
    <w:rsid w:val="6A8D05A0"/>
    <w:rsid w:val="6ABE4573"/>
    <w:rsid w:val="6AD94303"/>
    <w:rsid w:val="6AE8261D"/>
    <w:rsid w:val="6AF57C8C"/>
    <w:rsid w:val="6AF87E20"/>
    <w:rsid w:val="6AFC176B"/>
    <w:rsid w:val="6B0B1692"/>
    <w:rsid w:val="6B105BD0"/>
    <w:rsid w:val="6B166CD1"/>
    <w:rsid w:val="6B170F37"/>
    <w:rsid w:val="6B244679"/>
    <w:rsid w:val="6B256F14"/>
    <w:rsid w:val="6B2A63D6"/>
    <w:rsid w:val="6B322639"/>
    <w:rsid w:val="6B4C4AE6"/>
    <w:rsid w:val="6B535628"/>
    <w:rsid w:val="6B535D1B"/>
    <w:rsid w:val="6B61768B"/>
    <w:rsid w:val="6B664BE4"/>
    <w:rsid w:val="6B6D6D93"/>
    <w:rsid w:val="6B797C97"/>
    <w:rsid w:val="6B8F10C1"/>
    <w:rsid w:val="6B9D4CFC"/>
    <w:rsid w:val="6B9F6CC6"/>
    <w:rsid w:val="6BA51E03"/>
    <w:rsid w:val="6BAF228A"/>
    <w:rsid w:val="6BC472FA"/>
    <w:rsid w:val="6BC50FDA"/>
    <w:rsid w:val="6BCF02CD"/>
    <w:rsid w:val="6BD83F86"/>
    <w:rsid w:val="6BDF5315"/>
    <w:rsid w:val="6BE13EE2"/>
    <w:rsid w:val="6BE23291"/>
    <w:rsid w:val="6BFE0D5C"/>
    <w:rsid w:val="6C25069C"/>
    <w:rsid w:val="6C381594"/>
    <w:rsid w:val="6C636C38"/>
    <w:rsid w:val="6C9C2E87"/>
    <w:rsid w:val="6CA031C1"/>
    <w:rsid w:val="6CA248BD"/>
    <w:rsid w:val="6CBA1C8C"/>
    <w:rsid w:val="6CBA6410"/>
    <w:rsid w:val="6CBF1724"/>
    <w:rsid w:val="6CC268D7"/>
    <w:rsid w:val="6CC4275D"/>
    <w:rsid w:val="6CD23F50"/>
    <w:rsid w:val="6CFE4BF8"/>
    <w:rsid w:val="6D176D30"/>
    <w:rsid w:val="6D293E7A"/>
    <w:rsid w:val="6D2F7BD6"/>
    <w:rsid w:val="6D3451EC"/>
    <w:rsid w:val="6D374CDD"/>
    <w:rsid w:val="6D3D1DA9"/>
    <w:rsid w:val="6D4C4C2C"/>
    <w:rsid w:val="6DA2542F"/>
    <w:rsid w:val="6DA5026E"/>
    <w:rsid w:val="6DA95C7F"/>
    <w:rsid w:val="6DB34098"/>
    <w:rsid w:val="6DB545B6"/>
    <w:rsid w:val="6DD212A7"/>
    <w:rsid w:val="6DE02FB4"/>
    <w:rsid w:val="6DF24B25"/>
    <w:rsid w:val="6DF260F8"/>
    <w:rsid w:val="6DFA6436"/>
    <w:rsid w:val="6E1B015A"/>
    <w:rsid w:val="6E2E57DF"/>
    <w:rsid w:val="6E365DD7"/>
    <w:rsid w:val="6E3D4902"/>
    <w:rsid w:val="6E455F22"/>
    <w:rsid w:val="6E4B4084"/>
    <w:rsid w:val="6E514CED"/>
    <w:rsid w:val="6E6828A9"/>
    <w:rsid w:val="6E8D1D3F"/>
    <w:rsid w:val="6E9E061F"/>
    <w:rsid w:val="6EB45815"/>
    <w:rsid w:val="6EB563D5"/>
    <w:rsid w:val="6EBA4CB3"/>
    <w:rsid w:val="6EC73688"/>
    <w:rsid w:val="6EC9320D"/>
    <w:rsid w:val="6ECE251B"/>
    <w:rsid w:val="6ED5083E"/>
    <w:rsid w:val="6ED924EF"/>
    <w:rsid w:val="6ED92677"/>
    <w:rsid w:val="6EEB2223"/>
    <w:rsid w:val="6F0E0FA0"/>
    <w:rsid w:val="6F1156CC"/>
    <w:rsid w:val="6F214FC3"/>
    <w:rsid w:val="6F225983"/>
    <w:rsid w:val="6F2B261F"/>
    <w:rsid w:val="6F2C5207"/>
    <w:rsid w:val="6F2E288E"/>
    <w:rsid w:val="6F2E3CB5"/>
    <w:rsid w:val="6F3B2D3A"/>
    <w:rsid w:val="6F3C63C0"/>
    <w:rsid w:val="6F5F3EE0"/>
    <w:rsid w:val="6F6270CA"/>
    <w:rsid w:val="6F676472"/>
    <w:rsid w:val="6F6A28FA"/>
    <w:rsid w:val="6F6B4AB9"/>
    <w:rsid w:val="6F74473E"/>
    <w:rsid w:val="6F886237"/>
    <w:rsid w:val="6F8B154D"/>
    <w:rsid w:val="6F9E1043"/>
    <w:rsid w:val="6FA521ED"/>
    <w:rsid w:val="6FC0545D"/>
    <w:rsid w:val="6FD03FAE"/>
    <w:rsid w:val="6FEA4FEC"/>
    <w:rsid w:val="6FF3273E"/>
    <w:rsid w:val="6FF412F0"/>
    <w:rsid w:val="6FFC5590"/>
    <w:rsid w:val="700B4014"/>
    <w:rsid w:val="701C726D"/>
    <w:rsid w:val="70223A22"/>
    <w:rsid w:val="702D7E69"/>
    <w:rsid w:val="703462F3"/>
    <w:rsid w:val="703A0AFE"/>
    <w:rsid w:val="70423458"/>
    <w:rsid w:val="706D1DD0"/>
    <w:rsid w:val="707D2EED"/>
    <w:rsid w:val="70856B87"/>
    <w:rsid w:val="70860455"/>
    <w:rsid w:val="708E2E66"/>
    <w:rsid w:val="70A31314"/>
    <w:rsid w:val="70AD5763"/>
    <w:rsid w:val="70BB7EBB"/>
    <w:rsid w:val="70CD02BD"/>
    <w:rsid w:val="70CD659C"/>
    <w:rsid w:val="70D527EE"/>
    <w:rsid w:val="70DC68F1"/>
    <w:rsid w:val="70E129EA"/>
    <w:rsid w:val="70E94540"/>
    <w:rsid w:val="70FB17FE"/>
    <w:rsid w:val="71080E6A"/>
    <w:rsid w:val="710D6480"/>
    <w:rsid w:val="71155335"/>
    <w:rsid w:val="71162540"/>
    <w:rsid w:val="71574EC5"/>
    <w:rsid w:val="715B5300"/>
    <w:rsid w:val="715B7BFD"/>
    <w:rsid w:val="716562BC"/>
    <w:rsid w:val="71797903"/>
    <w:rsid w:val="717E2EDA"/>
    <w:rsid w:val="71916308"/>
    <w:rsid w:val="71956476"/>
    <w:rsid w:val="719D0AE2"/>
    <w:rsid w:val="71A91862"/>
    <w:rsid w:val="71C40F54"/>
    <w:rsid w:val="71C5446D"/>
    <w:rsid w:val="71C86406"/>
    <w:rsid w:val="71D27F8A"/>
    <w:rsid w:val="71D65C41"/>
    <w:rsid w:val="71E511AB"/>
    <w:rsid w:val="71E83933"/>
    <w:rsid w:val="71EF5B86"/>
    <w:rsid w:val="71F3502F"/>
    <w:rsid w:val="72093243"/>
    <w:rsid w:val="720D3028"/>
    <w:rsid w:val="720F447A"/>
    <w:rsid w:val="72287FD6"/>
    <w:rsid w:val="724A0CE9"/>
    <w:rsid w:val="72553024"/>
    <w:rsid w:val="72581B15"/>
    <w:rsid w:val="725B146D"/>
    <w:rsid w:val="72605A1C"/>
    <w:rsid w:val="726245AA"/>
    <w:rsid w:val="72677E12"/>
    <w:rsid w:val="727844F0"/>
    <w:rsid w:val="727C1AD4"/>
    <w:rsid w:val="727E6F0A"/>
    <w:rsid w:val="728A3B01"/>
    <w:rsid w:val="729A3797"/>
    <w:rsid w:val="729D55E2"/>
    <w:rsid w:val="729E0A00"/>
    <w:rsid w:val="72A071BC"/>
    <w:rsid w:val="72A81BF6"/>
    <w:rsid w:val="72AC5DEC"/>
    <w:rsid w:val="72B50B7E"/>
    <w:rsid w:val="72B55021"/>
    <w:rsid w:val="72BE1FC1"/>
    <w:rsid w:val="72BE77D6"/>
    <w:rsid w:val="72C37153"/>
    <w:rsid w:val="72E96A79"/>
    <w:rsid w:val="72EE5E3E"/>
    <w:rsid w:val="72F20A0A"/>
    <w:rsid w:val="73122968"/>
    <w:rsid w:val="731B42E8"/>
    <w:rsid w:val="731F5D5E"/>
    <w:rsid w:val="73260050"/>
    <w:rsid w:val="73364680"/>
    <w:rsid w:val="7339222D"/>
    <w:rsid w:val="7343262D"/>
    <w:rsid w:val="734816BB"/>
    <w:rsid w:val="7366593F"/>
    <w:rsid w:val="737E5715"/>
    <w:rsid w:val="738A6720"/>
    <w:rsid w:val="738F030F"/>
    <w:rsid w:val="7390017F"/>
    <w:rsid w:val="73A155A6"/>
    <w:rsid w:val="73A34A52"/>
    <w:rsid w:val="73A40BF2"/>
    <w:rsid w:val="73B372FF"/>
    <w:rsid w:val="73BD51B3"/>
    <w:rsid w:val="73C51AD5"/>
    <w:rsid w:val="73D62EFE"/>
    <w:rsid w:val="73D67F13"/>
    <w:rsid w:val="73E16E49"/>
    <w:rsid w:val="73EB45F0"/>
    <w:rsid w:val="740578E3"/>
    <w:rsid w:val="740B4F9D"/>
    <w:rsid w:val="740F6E0E"/>
    <w:rsid w:val="741E793C"/>
    <w:rsid w:val="742A27DA"/>
    <w:rsid w:val="743326A2"/>
    <w:rsid w:val="743F62BB"/>
    <w:rsid w:val="744065B0"/>
    <w:rsid w:val="74514836"/>
    <w:rsid w:val="745E3944"/>
    <w:rsid w:val="746731C5"/>
    <w:rsid w:val="746A386C"/>
    <w:rsid w:val="747646DB"/>
    <w:rsid w:val="748163B3"/>
    <w:rsid w:val="74842BFC"/>
    <w:rsid w:val="748A428C"/>
    <w:rsid w:val="748E414E"/>
    <w:rsid w:val="74985A20"/>
    <w:rsid w:val="7499627D"/>
    <w:rsid w:val="749A61FE"/>
    <w:rsid w:val="74B675E5"/>
    <w:rsid w:val="74CF0419"/>
    <w:rsid w:val="74DA48CB"/>
    <w:rsid w:val="74E05E61"/>
    <w:rsid w:val="74ED0B04"/>
    <w:rsid w:val="75046BAE"/>
    <w:rsid w:val="752E0831"/>
    <w:rsid w:val="753B54F0"/>
    <w:rsid w:val="754B72C9"/>
    <w:rsid w:val="75693EA1"/>
    <w:rsid w:val="756C0561"/>
    <w:rsid w:val="757D25B4"/>
    <w:rsid w:val="75800C68"/>
    <w:rsid w:val="75A923CE"/>
    <w:rsid w:val="75B42D5B"/>
    <w:rsid w:val="75BC41FA"/>
    <w:rsid w:val="75D05CCE"/>
    <w:rsid w:val="75EF20B7"/>
    <w:rsid w:val="75EF7FE9"/>
    <w:rsid w:val="75F75342"/>
    <w:rsid w:val="76114604"/>
    <w:rsid w:val="761A57F0"/>
    <w:rsid w:val="7635099D"/>
    <w:rsid w:val="763628A7"/>
    <w:rsid w:val="763B04FD"/>
    <w:rsid w:val="763C0D8D"/>
    <w:rsid w:val="763E2648"/>
    <w:rsid w:val="76583251"/>
    <w:rsid w:val="765A3416"/>
    <w:rsid w:val="76716610"/>
    <w:rsid w:val="76984DB9"/>
    <w:rsid w:val="76A16046"/>
    <w:rsid w:val="76A205C4"/>
    <w:rsid w:val="76A62EE0"/>
    <w:rsid w:val="76AE3269"/>
    <w:rsid w:val="76AF7FDA"/>
    <w:rsid w:val="76B25651"/>
    <w:rsid w:val="76BF3E0E"/>
    <w:rsid w:val="76CA6BC2"/>
    <w:rsid w:val="76D76D80"/>
    <w:rsid w:val="76ED2809"/>
    <w:rsid w:val="76F459ED"/>
    <w:rsid w:val="7703146D"/>
    <w:rsid w:val="770D1C71"/>
    <w:rsid w:val="77181CE9"/>
    <w:rsid w:val="771F416D"/>
    <w:rsid w:val="77222088"/>
    <w:rsid w:val="7723445D"/>
    <w:rsid w:val="774F4C86"/>
    <w:rsid w:val="775A02A9"/>
    <w:rsid w:val="775C443F"/>
    <w:rsid w:val="776D6D6F"/>
    <w:rsid w:val="77762421"/>
    <w:rsid w:val="777C7EBC"/>
    <w:rsid w:val="778D7494"/>
    <w:rsid w:val="77955421"/>
    <w:rsid w:val="77980A6E"/>
    <w:rsid w:val="77A10A1D"/>
    <w:rsid w:val="77B56B1F"/>
    <w:rsid w:val="77C17FC5"/>
    <w:rsid w:val="77C71A27"/>
    <w:rsid w:val="77C71BAD"/>
    <w:rsid w:val="77D01900"/>
    <w:rsid w:val="77D978CD"/>
    <w:rsid w:val="77E029D6"/>
    <w:rsid w:val="780F09F4"/>
    <w:rsid w:val="78146346"/>
    <w:rsid w:val="78147BBF"/>
    <w:rsid w:val="78160310"/>
    <w:rsid w:val="78206EB2"/>
    <w:rsid w:val="7824158D"/>
    <w:rsid w:val="78283BA0"/>
    <w:rsid w:val="78283E1B"/>
    <w:rsid w:val="782C48FF"/>
    <w:rsid w:val="78607C9D"/>
    <w:rsid w:val="78615304"/>
    <w:rsid w:val="786449EB"/>
    <w:rsid w:val="78986F77"/>
    <w:rsid w:val="78A90480"/>
    <w:rsid w:val="78AE7C3D"/>
    <w:rsid w:val="78CD7E33"/>
    <w:rsid w:val="78E26444"/>
    <w:rsid w:val="78F341AE"/>
    <w:rsid w:val="78F978E5"/>
    <w:rsid w:val="79125C43"/>
    <w:rsid w:val="79202912"/>
    <w:rsid w:val="79224A93"/>
    <w:rsid w:val="79233D2D"/>
    <w:rsid w:val="792478CA"/>
    <w:rsid w:val="79272AC6"/>
    <w:rsid w:val="792F71B0"/>
    <w:rsid w:val="794E6D4A"/>
    <w:rsid w:val="7975442E"/>
    <w:rsid w:val="798D58F3"/>
    <w:rsid w:val="79B0627E"/>
    <w:rsid w:val="79B5100C"/>
    <w:rsid w:val="79B577B4"/>
    <w:rsid w:val="79C8392B"/>
    <w:rsid w:val="79CF10DA"/>
    <w:rsid w:val="79D375E5"/>
    <w:rsid w:val="79D37644"/>
    <w:rsid w:val="79D70EA4"/>
    <w:rsid w:val="79F24465"/>
    <w:rsid w:val="79F3642F"/>
    <w:rsid w:val="79F5163C"/>
    <w:rsid w:val="7A02074E"/>
    <w:rsid w:val="7A044C7C"/>
    <w:rsid w:val="7A0B6A0F"/>
    <w:rsid w:val="7A0F01B1"/>
    <w:rsid w:val="7A1845EE"/>
    <w:rsid w:val="7A24370C"/>
    <w:rsid w:val="7A2544C3"/>
    <w:rsid w:val="7A2860D9"/>
    <w:rsid w:val="7A2C0B6E"/>
    <w:rsid w:val="7A364017"/>
    <w:rsid w:val="7A39347C"/>
    <w:rsid w:val="7A3A38FF"/>
    <w:rsid w:val="7A563F72"/>
    <w:rsid w:val="7A5A025C"/>
    <w:rsid w:val="7A604E8D"/>
    <w:rsid w:val="7A813A3B"/>
    <w:rsid w:val="7A8265E1"/>
    <w:rsid w:val="7AB21E46"/>
    <w:rsid w:val="7AC027B5"/>
    <w:rsid w:val="7ACC376D"/>
    <w:rsid w:val="7ADC6EC3"/>
    <w:rsid w:val="7AF012B8"/>
    <w:rsid w:val="7B0E374B"/>
    <w:rsid w:val="7B162E21"/>
    <w:rsid w:val="7B3A4316"/>
    <w:rsid w:val="7B4909FD"/>
    <w:rsid w:val="7B5061F9"/>
    <w:rsid w:val="7B512E8E"/>
    <w:rsid w:val="7B59095D"/>
    <w:rsid w:val="7B5A6766"/>
    <w:rsid w:val="7B686D42"/>
    <w:rsid w:val="7B841746"/>
    <w:rsid w:val="7B8C602F"/>
    <w:rsid w:val="7B94601E"/>
    <w:rsid w:val="7B965ED6"/>
    <w:rsid w:val="7BB36ED2"/>
    <w:rsid w:val="7BD5403F"/>
    <w:rsid w:val="7BF17930"/>
    <w:rsid w:val="7C1E6FCE"/>
    <w:rsid w:val="7C2E3131"/>
    <w:rsid w:val="7C34279E"/>
    <w:rsid w:val="7C49114F"/>
    <w:rsid w:val="7C624EA2"/>
    <w:rsid w:val="7C66650D"/>
    <w:rsid w:val="7C6B558A"/>
    <w:rsid w:val="7C6C5AC7"/>
    <w:rsid w:val="7C7B3F5E"/>
    <w:rsid w:val="7C8456D9"/>
    <w:rsid w:val="7CA87DEB"/>
    <w:rsid w:val="7CC06A9D"/>
    <w:rsid w:val="7CC21985"/>
    <w:rsid w:val="7CC6544B"/>
    <w:rsid w:val="7CCB1F54"/>
    <w:rsid w:val="7CD82038"/>
    <w:rsid w:val="7CE41794"/>
    <w:rsid w:val="7D0239FF"/>
    <w:rsid w:val="7D052A0C"/>
    <w:rsid w:val="7D0831F9"/>
    <w:rsid w:val="7D171AF4"/>
    <w:rsid w:val="7D1F73D2"/>
    <w:rsid w:val="7D28155C"/>
    <w:rsid w:val="7D35722D"/>
    <w:rsid w:val="7D3A4FDA"/>
    <w:rsid w:val="7D3D1598"/>
    <w:rsid w:val="7D4067C0"/>
    <w:rsid w:val="7D5D5C27"/>
    <w:rsid w:val="7D5E40CD"/>
    <w:rsid w:val="7D6438CC"/>
    <w:rsid w:val="7D6F6351"/>
    <w:rsid w:val="7D735F23"/>
    <w:rsid w:val="7D7B2B9E"/>
    <w:rsid w:val="7D823D52"/>
    <w:rsid w:val="7D8E0949"/>
    <w:rsid w:val="7D9D40C2"/>
    <w:rsid w:val="7DBB54B6"/>
    <w:rsid w:val="7DCD56F2"/>
    <w:rsid w:val="7DE411E5"/>
    <w:rsid w:val="7DE95B7F"/>
    <w:rsid w:val="7DF0493A"/>
    <w:rsid w:val="7DFC1A33"/>
    <w:rsid w:val="7E066731"/>
    <w:rsid w:val="7E09208C"/>
    <w:rsid w:val="7E1A01D8"/>
    <w:rsid w:val="7E2127BA"/>
    <w:rsid w:val="7E380949"/>
    <w:rsid w:val="7E4422CE"/>
    <w:rsid w:val="7E4A3282"/>
    <w:rsid w:val="7E5259DD"/>
    <w:rsid w:val="7E6873EC"/>
    <w:rsid w:val="7E780003"/>
    <w:rsid w:val="7E9A755F"/>
    <w:rsid w:val="7EA26FD4"/>
    <w:rsid w:val="7EAC5EA4"/>
    <w:rsid w:val="7EB31BE7"/>
    <w:rsid w:val="7EB97C47"/>
    <w:rsid w:val="7EBB27AA"/>
    <w:rsid w:val="7EE60311"/>
    <w:rsid w:val="7EFA6281"/>
    <w:rsid w:val="7F001CE7"/>
    <w:rsid w:val="7F1B445E"/>
    <w:rsid w:val="7F2738DA"/>
    <w:rsid w:val="7F583B5A"/>
    <w:rsid w:val="7F62208D"/>
    <w:rsid w:val="7F626C29"/>
    <w:rsid w:val="7F7E679B"/>
    <w:rsid w:val="7F840255"/>
    <w:rsid w:val="7F842003"/>
    <w:rsid w:val="7F8E2E82"/>
    <w:rsid w:val="7F8F09A8"/>
    <w:rsid w:val="7F91249E"/>
    <w:rsid w:val="7F9F1504"/>
    <w:rsid w:val="7FB16B71"/>
    <w:rsid w:val="7FBA2305"/>
    <w:rsid w:val="7FC71EF0"/>
    <w:rsid w:val="7FE47E50"/>
    <w:rsid w:val="7FEC0E6E"/>
    <w:rsid w:val="7FF60A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nhideWhenUsed="0" w:uiPriority="39" w:semiHidden="0" w:name="toc 2" w:locked="1"/>
    <w:lsdException w:qFormat="1"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0" w:semiHidden="0" w:name="Table Grid"/>
    <w:lsdException w:uiPriority="0" w:name="Table Theme" w:locked="1"/>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66"/>
    <w:autoRedefine/>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autoRedefine/>
    <w:semiHidden/>
    <w:unhideWhenUsed/>
    <w:qFormat/>
    <w:locked/>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33">
    <w:name w:val="Default Paragraph Font"/>
    <w:autoRedefine/>
    <w:semiHidden/>
    <w:unhideWhenUsed/>
    <w:qFormat/>
    <w:uiPriority w:val="1"/>
  </w:style>
  <w:style w:type="table" w:default="1" w:styleId="31">
    <w:name w:val="Normal Table"/>
    <w:autoRedefine/>
    <w:semiHidden/>
    <w:unhideWhenUsed/>
    <w:qFormat/>
    <w:uiPriority w:val="99"/>
    <w:tblPr>
      <w:tblCellMar>
        <w:top w:w="0" w:type="dxa"/>
        <w:left w:w="108" w:type="dxa"/>
        <w:bottom w:w="0" w:type="dxa"/>
        <w:right w:w="108" w:type="dxa"/>
      </w:tblCellMar>
    </w:tblPr>
  </w:style>
  <w:style w:type="paragraph" w:styleId="5">
    <w:name w:val="Note Heading"/>
    <w:basedOn w:val="1"/>
    <w:next w:val="1"/>
    <w:autoRedefine/>
    <w:qFormat/>
    <w:locked/>
    <w:uiPriority w:val="0"/>
    <w:pPr>
      <w:adjustRightInd w:val="0"/>
      <w:spacing w:line="360" w:lineRule="auto"/>
      <w:jc w:val="center"/>
    </w:pPr>
    <w:rPr>
      <w:szCs w:val="24"/>
    </w:rPr>
  </w:style>
  <w:style w:type="paragraph" w:styleId="6">
    <w:name w:val="Normal Indent"/>
    <w:basedOn w:val="1"/>
    <w:next w:val="1"/>
    <w:link w:val="64"/>
    <w:autoRedefine/>
    <w:qFormat/>
    <w:locked/>
    <w:uiPriority w:val="0"/>
    <w:pPr>
      <w:ind w:firstLine="420"/>
    </w:pPr>
    <w:rPr>
      <w:rFonts w:ascii="Calibri" w:hAnsi="Calibri"/>
      <w:szCs w:val="20"/>
    </w:rPr>
  </w:style>
  <w:style w:type="paragraph" w:styleId="7">
    <w:name w:val="caption"/>
    <w:basedOn w:val="1"/>
    <w:next w:val="1"/>
    <w:qFormat/>
    <w:locked/>
    <w:uiPriority w:val="0"/>
    <w:pPr>
      <w:widowControl/>
      <w:jc w:val="left"/>
    </w:pPr>
    <w:rPr>
      <w:rFonts w:ascii="Calibri" w:hAnsi="Calibri"/>
      <w:b/>
      <w:bCs/>
      <w:color w:val="2DA2BF"/>
      <w:kern w:val="0"/>
      <w:sz w:val="18"/>
      <w:szCs w:val="18"/>
    </w:rPr>
  </w:style>
  <w:style w:type="paragraph" w:styleId="8">
    <w:name w:val="annotation text"/>
    <w:basedOn w:val="1"/>
    <w:link w:val="46"/>
    <w:autoRedefine/>
    <w:qFormat/>
    <w:uiPriority w:val="0"/>
    <w:pPr>
      <w:jc w:val="left"/>
    </w:pPr>
    <w:rPr>
      <w:kern w:val="0"/>
      <w:sz w:val="24"/>
      <w:szCs w:val="20"/>
    </w:rPr>
  </w:style>
  <w:style w:type="paragraph" w:styleId="9">
    <w:name w:val="Body Text"/>
    <w:basedOn w:val="1"/>
    <w:link w:val="45"/>
    <w:autoRedefine/>
    <w:qFormat/>
    <w:uiPriority w:val="0"/>
    <w:pPr>
      <w:widowControl/>
      <w:snapToGrid w:val="0"/>
      <w:spacing w:before="60" w:after="160" w:line="259" w:lineRule="auto"/>
      <w:ind w:right="113"/>
    </w:pPr>
    <w:rPr>
      <w:kern w:val="0"/>
      <w:sz w:val="18"/>
      <w:szCs w:val="20"/>
    </w:rPr>
  </w:style>
  <w:style w:type="paragraph" w:styleId="10">
    <w:name w:val="Body Text Indent"/>
    <w:basedOn w:val="1"/>
    <w:next w:val="6"/>
    <w:link w:val="55"/>
    <w:autoRedefine/>
    <w:qFormat/>
    <w:uiPriority w:val="0"/>
    <w:pPr>
      <w:spacing w:after="120"/>
      <w:ind w:left="420" w:leftChars="200"/>
    </w:pPr>
    <w:rPr>
      <w:kern w:val="0"/>
      <w:sz w:val="24"/>
      <w:szCs w:val="20"/>
    </w:rPr>
  </w:style>
  <w:style w:type="paragraph" w:styleId="11">
    <w:name w:val="Block Text"/>
    <w:basedOn w:val="1"/>
    <w:autoRedefine/>
    <w:qFormat/>
    <w:locked/>
    <w:uiPriority w:val="0"/>
    <w:pPr>
      <w:spacing w:after="120"/>
      <w:ind w:left="1440" w:leftChars="700" w:right="1440" w:rightChars="700"/>
    </w:pPr>
    <w:rPr>
      <w:rFonts w:ascii="Calibri" w:hAnsi="Calibri"/>
      <w:szCs w:val="20"/>
    </w:rPr>
  </w:style>
  <w:style w:type="paragraph" w:styleId="12">
    <w:name w:val="toc 3"/>
    <w:basedOn w:val="1"/>
    <w:next w:val="1"/>
    <w:qFormat/>
    <w:locked/>
    <w:uiPriority w:val="0"/>
    <w:pPr>
      <w:ind w:left="840" w:leftChars="400"/>
    </w:pPr>
  </w:style>
  <w:style w:type="paragraph" w:styleId="13">
    <w:name w:val="Plain Text"/>
    <w:basedOn w:val="1"/>
    <w:link w:val="67"/>
    <w:autoRedefine/>
    <w:qFormat/>
    <w:locked/>
    <w:uiPriority w:val="0"/>
    <w:rPr>
      <w:rFonts w:ascii="宋体" w:hAnsi="Courier New"/>
      <w:szCs w:val="20"/>
    </w:rPr>
  </w:style>
  <w:style w:type="paragraph" w:styleId="14">
    <w:name w:val="List Bullet 5"/>
    <w:basedOn w:val="1"/>
    <w:autoRedefine/>
    <w:qFormat/>
    <w:locked/>
    <w:uiPriority w:val="0"/>
    <w:pPr>
      <w:numPr>
        <w:ilvl w:val="0"/>
        <w:numId w:val="1"/>
      </w:numPr>
    </w:pPr>
  </w:style>
  <w:style w:type="paragraph" w:styleId="15">
    <w:name w:val="Date"/>
    <w:basedOn w:val="1"/>
    <w:next w:val="1"/>
    <w:link w:val="41"/>
    <w:autoRedefine/>
    <w:qFormat/>
    <w:uiPriority w:val="0"/>
    <w:pPr>
      <w:ind w:left="100" w:leftChars="2500"/>
    </w:pPr>
    <w:rPr>
      <w:kern w:val="0"/>
      <w:sz w:val="24"/>
      <w:szCs w:val="20"/>
    </w:rPr>
  </w:style>
  <w:style w:type="paragraph" w:styleId="16">
    <w:name w:val="Body Text Indent 2"/>
    <w:basedOn w:val="1"/>
    <w:link w:val="68"/>
    <w:autoRedefine/>
    <w:qFormat/>
    <w:locked/>
    <w:uiPriority w:val="0"/>
    <w:pPr>
      <w:spacing w:line="500" w:lineRule="exact"/>
      <w:ind w:firstLine="480" w:firstLineChars="200"/>
    </w:pPr>
    <w:rPr>
      <w:rFonts w:ascii="宋体" w:hAnsi="Calibri"/>
      <w:bCs/>
      <w:sz w:val="24"/>
      <w:szCs w:val="20"/>
    </w:rPr>
  </w:style>
  <w:style w:type="paragraph" w:styleId="17">
    <w:name w:val="Balloon Text"/>
    <w:basedOn w:val="1"/>
    <w:link w:val="51"/>
    <w:autoRedefine/>
    <w:qFormat/>
    <w:uiPriority w:val="0"/>
    <w:rPr>
      <w:kern w:val="0"/>
      <w:sz w:val="18"/>
      <w:szCs w:val="20"/>
    </w:rPr>
  </w:style>
  <w:style w:type="paragraph" w:styleId="18">
    <w:name w:val="footer"/>
    <w:basedOn w:val="1"/>
    <w:link w:val="40"/>
    <w:autoRedefine/>
    <w:qFormat/>
    <w:uiPriority w:val="99"/>
    <w:pPr>
      <w:tabs>
        <w:tab w:val="center" w:pos="4153"/>
        <w:tab w:val="right" w:pos="8306"/>
      </w:tabs>
      <w:snapToGrid w:val="0"/>
      <w:jc w:val="left"/>
    </w:pPr>
    <w:rPr>
      <w:kern w:val="0"/>
      <w:sz w:val="18"/>
      <w:szCs w:val="20"/>
    </w:rPr>
  </w:style>
  <w:style w:type="paragraph" w:styleId="19">
    <w:name w:val="header"/>
    <w:basedOn w:val="1"/>
    <w:link w:val="53"/>
    <w:autoRedefine/>
    <w:qFormat/>
    <w:uiPriority w:val="0"/>
    <w:pPr>
      <w:tabs>
        <w:tab w:val="center" w:pos="4153"/>
        <w:tab w:val="right" w:pos="8306"/>
      </w:tabs>
      <w:snapToGrid w:val="0"/>
      <w:jc w:val="center"/>
    </w:pPr>
    <w:rPr>
      <w:kern w:val="0"/>
      <w:sz w:val="18"/>
      <w:szCs w:val="20"/>
    </w:rPr>
  </w:style>
  <w:style w:type="paragraph" w:styleId="20">
    <w:name w:val="toc 1"/>
    <w:basedOn w:val="1"/>
    <w:next w:val="1"/>
    <w:autoRedefine/>
    <w:qFormat/>
    <w:locked/>
    <w:uiPriority w:val="39"/>
    <w:pPr>
      <w:spacing w:before="120" w:after="120"/>
      <w:jc w:val="left"/>
    </w:pPr>
    <w:rPr>
      <w:rFonts w:ascii="Calibri" w:hAnsi="Calibri"/>
      <w:b/>
      <w:bCs/>
      <w:caps/>
      <w:sz w:val="20"/>
      <w:szCs w:val="20"/>
    </w:rPr>
  </w:style>
  <w:style w:type="paragraph" w:styleId="21">
    <w:name w:val="List"/>
    <w:basedOn w:val="1"/>
    <w:autoRedefine/>
    <w:qFormat/>
    <w:locked/>
    <w:uiPriority w:val="0"/>
    <w:pPr>
      <w:spacing w:line="320" w:lineRule="exact"/>
      <w:jc w:val="center"/>
    </w:pPr>
    <w:rPr>
      <w:sz w:val="20"/>
    </w:rPr>
  </w:style>
  <w:style w:type="paragraph" w:styleId="22">
    <w:name w:val="Body Text Indent 3"/>
    <w:basedOn w:val="1"/>
    <w:link w:val="69"/>
    <w:autoRedefine/>
    <w:qFormat/>
    <w:locked/>
    <w:uiPriority w:val="0"/>
    <w:pPr>
      <w:spacing w:line="360" w:lineRule="auto"/>
      <w:ind w:firstLine="471" w:firstLineChars="200"/>
    </w:pPr>
    <w:rPr>
      <w:rFonts w:ascii="宋体" w:hAnsi="宋体"/>
      <w:sz w:val="24"/>
      <w:szCs w:val="20"/>
    </w:rPr>
  </w:style>
  <w:style w:type="paragraph" w:styleId="23">
    <w:name w:val="toc 2"/>
    <w:basedOn w:val="1"/>
    <w:next w:val="1"/>
    <w:qFormat/>
    <w:locked/>
    <w:uiPriority w:val="39"/>
    <w:pPr>
      <w:widowControl/>
      <w:tabs>
        <w:tab w:val="left" w:pos="840"/>
        <w:tab w:val="right" w:leader="dot" w:pos="8511"/>
      </w:tabs>
      <w:spacing w:line="320" w:lineRule="exact"/>
      <w:ind w:left="210"/>
      <w:jc w:val="left"/>
    </w:pPr>
    <w:rPr>
      <w:rFonts w:ascii="Calibri" w:hAnsi="Calibri"/>
      <w:smallCaps/>
      <w:kern w:val="0"/>
      <w:sz w:val="24"/>
      <w:szCs w:val="22"/>
    </w:rPr>
  </w:style>
  <w:style w:type="paragraph" w:styleId="24">
    <w:name w:val="Body Text 2"/>
    <w:basedOn w:val="1"/>
    <w:link w:val="59"/>
    <w:autoRedefine/>
    <w:qFormat/>
    <w:locked/>
    <w:uiPriority w:val="0"/>
    <w:pPr>
      <w:spacing w:after="120" w:line="480" w:lineRule="auto"/>
    </w:pPr>
  </w:style>
  <w:style w:type="paragraph" w:styleId="25">
    <w:name w:val="Normal (Web)"/>
    <w:basedOn w:val="1"/>
    <w:link w:val="43"/>
    <w:autoRedefine/>
    <w:qFormat/>
    <w:uiPriority w:val="99"/>
    <w:pPr>
      <w:widowControl/>
      <w:spacing w:before="100" w:beforeAutospacing="1" w:after="100" w:afterAutospacing="1"/>
      <w:jc w:val="left"/>
    </w:pPr>
    <w:rPr>
      <w:rFonts w:ascii="宋体" w:hAnsi="宋体"/>
      <w:kern w:val="0"/>
      <w:sz w:val="24"/>
      <w:szCs w:val="20"/>
    </w:rPr>
  </w:style>
  <w:style w:type="paragraph" w:styleId="26">
    <w:name w:val="annotation subject"/>
    <w:basedOn w:val="8"/>
    <w:next w:val="8"/>
    <w:link w:val="52"/>
    <w:autoRedefine/>
    <w:qFormat/>
    <w:uiPriority w:val="0"/>
    <w:rPr>
      <w:b/>
    </w:rPr>
  </w:style>
  <w:style w:type="paragraph" w:styleId="27">
    <w:name w:val="Body Text First Indent"/>
    <w:basedOn w:val="9"/>
    <w:qFormat/>
    <w:locked/>
    <w:uiPriority w:val="0"/>
    <w:pPr>
      <w:ind w:firstLine="420" w:firstLineChars="100"/>
    </w:pPr>
    <w:rPr>
      <w:rFonts w:ascii="Calibri"/>
      <w:szCs w:val="22"/>
    </w:rPr>
  </w:style>
  <w:style w:type="paragraph" w:styleId="28">
    <w:name w:val="Body Text First Indent 2"/>
    <w:basedOn w:val="10"/>
    <w:next w:val="29"/>
    <w:link w:val="70"/>
    <w:autoRedefine/>
    <w:qFormat/>
    <w:locked/>
    <w:uiPriority w:val="0"/>
    <w:pPr>
      <w:ind w:firstLine="420" w:firstLineChars="200"/>
    </w:pPr>
    <w:rPr>
      <w:rFonts w:ascii="Calibri" w:hAnsi="Calibri" w:eastAsia="楷体_GB2312"/>
      <w:color w:val="000000"/>
      <w:kern w:val="2"/>
      <w:sz w:val="21"/>
    </w:rPr>
  </w:style>
  <w:style w:type="paragraph" w:customStyle="1" w:styleId="29">
    <w:name w:val="Default"/>
    <w:basedOn w:val="30"/>
    <w:autoRedefine/>
    <w:qFormat/>
    <w:uiPriority w:val="0"/>
    <w:pPr>
      <w:widowControl w:val="0"/>
      <w:autoSpaceDE w:val="0"/>
      <w:autoSpaceDN w:val="0"/>
      <w:adjustRightInd w:val="0"/>
    </w:pPr>
    <w:rPr>
      <w:rFonts w:ascii=".." w:hAnsi="Times New Roman" w:eastAsia=".." w:cs=".."/>
      <w:color w:val="000000"/>
      <w:sz w:val="24"/>
      <w:szCs w:val="24"/>
      <w:lang w:val="en-US" w:eastAsia="zh-CN" w:bidi="ar-SA"/>
    </w:rPr>
  </w:style>
  <w:style w:type="paragraph" w:customStyle="1" w:styleId="30">
    <w:name w:val="标题 段落4级"/>
    <w:autoRedefine/>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table" w:styleId="32">
    <w:name w:val="Table Grid"/>
    <w:basedOn w:val="31"/>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autoRedefine/>
    <w:qFormat/>
    <w:locked/>
    <w:uiPriority w:val="0"/>
    <w:rPr>
      <w:rFonts w:ascii="Times New Roman" w:hAnsi="Times New Roman" w:eastAsia="宋体" w:cs="Times New Roman"/>
      <w:b/>
      <w:bCs/>
    </w:rPr>
  </w:style>
  <w:style w:type="character" w:styleId="35">
    <w:name w:val="page number"/>
    <w:basedOn w:val="33"/>
    <w:autoRedefine/>
    <w:qFormat/>
    <w:locked/>
    <w:uiPriority w:val="0"/>
  </w:style>
  <w:style w:type="character" w:styleId="36">
    <w:name w:val="Emphasis"/>
    <w:basedOn w:val="33"/>
    <w:autoRedefine/>
    <w:qFormat/>
    <w:locked/>
    <w:uiPriority w:val="0"/>
    <w:rPr>
      <w:i/>
    </w:rPr>
  </w:style>
  <w:style w:type="character" w:styleId="37">
    <w:name w:val="Hyperlink"/>
    <w:basedOn w:val="33"/>
    <w:autoRedefine/>
    <w:unhideWhenUsed/>
    <w:qFormat/>
    <w:locked/>
    <w:uiPriority w:val="99"/>
    <w:rPr>
      <w:color w:val="0000FF"/>
      <w:u w:val="single"/>
    </w:rPr>
  </w:style>
  <w:style w:type="character" w:styleId="38">
    <w:name w:val="annotation reference"/>
    <w:autoRedefine/>
    <w:qFormat/>
    <w:uiPriority w:val="0"/>
    <w:rPr>
      <w:sz w:val="21"/>
    </w:rPr>
  </w:style>
  <w:style w:type="paragraph" w:customStyle="1" w:styleId="39">
    <w:name w:val="BlockQuote"/>
    <w:basedOn w:val="1"/>
    <w:autoRedefine/>
    <w:qFormat/>
    <w:uiPriority w:val="0"/>
    <w:pPr>
      <w:widowControl/>
      <w:spacing w:line="300" w:lineRule="exact"/>
      <w:ind w:left="-96" w:leftChars="-40" w:right="-16" w:firstLine="482" w:firstLineChars="200"/>
      <w:textAlignment w:val="baseline"/>
    </w:pPr>
    <w:rPr>
      <w:rFonts w:ascii="宋体" w:hAnsi="宋体" w:eastAsia="仿宋_GB2312"/>
      <w:sz w:val="28"/>
    </w:rPr>
  </w:style>
  <w:style w:type="character" w:customStyle="1" w:styleId="40">
    <w:name w:val="页脚 字符1"/>
    <w:link w:val="18"/>
    <w:autoRedefine/>
    <w:qFormat/>
    <w:locked/>
    <w:uiPriority w:val="99"/>
    <w:rPr>
      <w:sz w:val="18"/>
    </w:rPr>
  </w:style>
  <w:style w:type="character" w:customStyle="1" w:styleId="41">
    <w:name w:val="日期 字符1"/>
    <w:link w:val="15"/>
    <w:autoRedefine/>
    <w:qFormat/>
    <w:locked/>
    <w:uiPriority w:val="0"/>
    <w:rPr>
      <w:rFonts w:ascii="Times New Roman" w:hAnsi="Times New Roman" w:eastAsia="宋体"/>
      <w:sz w:val="24"/>
    </w:rPr>
  </w:style>
  <w:style w:type="character" w:customStyle="1" w:styleId="42">
    <w:name w:val="页脚 字符"/>
    <w:basedOn w:val="33"/>
    <w:autoRedefine/>
    <w:qFormat/>
    <w:uiPriority w:val="99"/>
  </w:style>
  <w:style w:type="character" w:customStyle="1" w:styleId="43">
    <w:name w:val="普通(网站) 字符"/>
    <w:link w:val="25"/>
    <w:autoRedefine/>
    <w:qFormat/>
    <w:locked/>
    <w:uiPriority w:val="0"/>
    <w:rPr>
      <w:rFonts w:ascii="宋体" w:hAnsi="宋体" w:eastAsia="宋体"/>
      <w:sz w:val="24"/>
    </w:rPr>
  </w:style>
  <w:style w:type="character" w:customStyle="1" w:styleId="44">
    <w:name w:val="正文文本 字符1"/>
    <w:autoRedefine/>
    <w:semiHidden/>
    <w:qFormat/>
    <w:uiPriority w:val="0"/>
    <w:rPr>
      <w:rFonts w:ascii="Times New Roman" w:hAnsi="Times New Roman" w:eastAsia="宋体"/>
      <w:sz w:val="24"/>
    </w:rPr>
  </w:style>
  <w:style w:type="character" w:customStyle="1" w:styleId="45">
    <w:name w:val="正文文本 字符"/>
    <w:link w:val="9"/>
    <w:autoRedefine/>
    <w:qFormat/>
    <w:locked/>
    <w:uiPriority w:val="0"/>
    <w:rPr>
      <w:sz w:val="18"/>
    </w:rPr>
  </w:style>
  <w:style w:type="character" w:customStyle="1" w:styleId="46">
    <w:name w:val="批注文字 字符"/>
    <w:link w:val="8"/>
    <w:autoRedefine/>
    <w:qFormat/>
    <w:locked/>
    <w:uiPriority w:val="0"/>
    <w:rPr>
      <w:rFonts w:ascii="Times New Roman" w:hAnsi="Times New Roman" w:eastAsia="宋体"/>
      <w:sz w:val="24"/>
    </w:rPr>
  </w:style>
  <w:style w:type="character" w:customStyle="1" w:styleId="47">
    <w:name w:val="表格 Char"/>
    <w:link w:val="48"/>
    <w:autoRedefine/>
    <w:qFormat/>
    <w:locked/>
    <w:uiPriority w:val="0"/>
    <w:rPr>
      <w:rFonts w:ascii="宋体"/>
      <w:sz w:val="21"/>
    </w:rPr>
  </w:style>
  <w:style w:type="paragraph" w:customStyle="1" w:styleId="48">
    <w:name w:val="表格"/>
    <w:basedOn w:val="49"/>
    <w:next w:val="1"/>
    <w:link w:val="47"/>
    <w:autoRedefine/>
    <w:qFormat/>
    <w:uiPriority w:val="0"/>
    <w:pPr>
      <w:adjustRightInd w:val="0"/>
      <w:snapToGrid w:val="0"/>
      <w:spacing w:beforeLines="10" w:afterLines="10" w:line="259" w:lineRule="auto"/>
      <w:jc w:val="center"/>
    </w:pPr>
    <w:rPr>
      <w:rFonts w:ascii="宋体"/>
      <w:kern w:val="0"/>
      <w:szCs w:val="20"/>
    </w:rPr>
  </w:style>
  <w:style w:type="paragraph" w:customStyle="1" w:styleId="49">
    <w:name w:val="表格文字"/>
    <w:basedOn w:val="16"/>
    <w:autoRedefine/>
    <w:qFormat/>
    <w:uiPriority w:val="0"/>
    <w:pPr>
      <w:adjustRightInd w:val="0"/>
      <w:snapToGrid w:val="0"/>
      <w:jc w:val="center"/>
    </w:pPr>
    <w:rPr>
      <w:rFonts w:ascii="仿宋_GB2312" w:hAnsi="Arial Black" w:eastAsia="仿宋_GB2312"/>
      <w:kern w:val="44"/>
      <w:sz w:val="24"/>
      <w:szCs w:val="20"/>
    </w:rPr>
  </w:style>
  <w:style w:type="character" w:customStyle="1" w:styleId="50">
    <w:name w:val="日期 字符"/>
    <w:autoRedefine/>
    <w:semiHidden/>
    <w:qFormat/>
    <w:uiPriority w:val="0"/>
    <w:rPr>
      <w:rFonts w:ascii="Times New Roman" w:hAnsi="Times New Roman" w:eastAsia="宋体"/>
      <w:sz w:val="24"/>
    </w:rPr>
  </w:style>
  <w:style w:type="character" w:customStyle="1" w:styleId="51">
    <w:name w:val="批注框文本 字符"/>
    <w:link w:val="17"/>
    <w:autoRedefine/>
    <w:semiHidden/>
    <w:qFormat/>
    <w:locked/>
    <w:uiPriority w:val="0"/>
    <w:rPr>
      <w:rFonts w:ascii="Times New Roman" w:hAnsi="Times New Roman" w:eastAsia="宋体"/>
      <w:sz w:val="18"/>
    </w:rPr>
  </w:style>
  <w:style w:type="character" w:customStyle="1" w:styleId="52">
    <w:name w:val="批注主题 字符"/>
    <w:link w:val="26"/>
    <w:autoRedefine/>
    <w:semiHidden/>
    <w:qFormat/>
    <w:locked/>
    <w:uiPriority w:val="0"/>
    <w:rPr>
      <w:rFonts w:ascii="Times New Roman" w:hAnsi="Times New Roman" w:eastAsia="宋体"/>
      <w:b/>
      <w:kern w:val="2"/>
      <w:sz w:val="24"/>
    </w:rPr>
  </w:style>
  <w:style w:type="character" w:customStyle="1" w:styleId="53">
    <w:name w:val="页眉 字符"/>
    <w:link w:val="19"/>
    <w:autoRedefine/>
    <w:qFormat/>
    <w:locked/>
    <w:uiPriority w:val="0"/>
    <w:rPr>
      <w:sz w:val="18"/>
    </w:rPr>
  </w:style>
  <w:style w:type="character" w:customStyle="1" w:styleId="54">
    <w:name w:val="批注文字 字符1"/>
    <w:autoRedefine/>
    <w:semiHidden/>
    <w:qFormat/>
    <w:uiPriority w:val="0"/>
    <w:rPr>
      <w:rFonts w:ascii="Times New Roman" w:hAnsi="Times New Roman" w:eastAsia="宋体"/>
      <w:sz w:val="24"/>
    </w:rPr>
  </w:style>
  <w:style w:type="character" w:customStyle="1" w:styleId="55">
    <w:name w:val="正文文本缩进 字符"/>
    <w:link w:val="10"/>
    <w:autoRedefine/>
    <w:semiHidden/>
    <w:qFormat/>
    <w:locked/>
    <w:uiPriority w:val="0"/>
    <w:rPr>
      <w:rFonts w:ascii="Times New Roman" w:hAnsi="Times New Roman" w:eastAsia="宋体"/>
      <w:sz w:val="24"/>
    </w:rPr>
  </w:style>
  <w:style w:type="paragraph" w:customStyle="1" w:styleId="56">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7">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58">
    <w:name w:val="表格内文字"/>
    <w:basedOn w:val="1"/>
    <w:autoRedefine/>
    <w:qFormat/>
    <w:uiPriority w:val="0"/>
    <w:pPr>
      <w:widowControl/>
      <w:tabs>
        <w:tab w:val="left" w:pos="0"/>
      </w:tabs>
      <w:snapToGrid w:val="0"/>
      <w:jc w:val="center"/>
    </w:pPr>
    <w:rPr>
      <w:rFonts w:ascii="仿宋_GB2312" w:hAnsi="宋体" w:eastAsia="仿宋_GB2312" w:cs="宋体"/>
      <w:w w:val="90"/>
      <w:kern w:val="18"/>
      <w:sz w:val="24"/>
    </w:rPr>
  </w:style>
  <w:style w:type="character" w:customStyle="1" w:styleId="59">
    <w:name w:val="正文文本 2 字符"/>
    <w:basedOn w:val="33"/>
    <w:link w:val="24"/>
    <w:autoRedefine/>
    <w:qFormat/>
    <w:uiPriority w:val="0"/>
    <w:rPr>
      <w:kern w:val="2"/>
      <w:sz w:val="21"/>
      <w:szCs w:val="24"/>
    </w:rPr>
  </w:style>
  <w:style w:type="character" w:customStyle="1" w:styleId="60">
    <w:name w:val="批注文字 Char"/>
    <w:basedOn w:val="33"/>
    <w:autoRedefine/>
    <w:qFormat/>
    <w:uiPriority w:val="0"/>
    <w:rPr>
      <w:rFonts w:ascii="Calibri" w:hAnsi="Calibri"/>
      <w:kern w:val="2"/>
      <w:sz w:val="21"/>
    </w:rPr>
  </w:style>
  <w:style w:type="paragraph" w:customStyle="1" w:styleId="61">
    <w:name w:val="Table Paragraph"/>
    <w:basedOn w:val="1"/>
    <w:autoRedefine/>
    <w:qFormat/>
    <w:uiPriority w:val="1"/>
    <w:pPr>
      <w:autoSpaceDE w:val="0"/>
      <w:autoSpaceDN w:val="0"/>
      <w:adjustRightInd w:val="0"/>
      <w:jc w:val="left"/>
    </w:pPr>
    <w:rPr>
      <w:rFonts w:ascii="Calibri" w:hAnsi="Calibri"/>
      <w:kern w:val="0"/>
      <w:sz w:val="24"/>
    </w:rPr>
  </w:style>
  <w:style w:type="paragraph" w:customStyle="1" w:styleId="62">
    <w:name w:val="图表文字"/>
    <w:basedOn w:val="1"/>
    <w:link w:val="65"/>
    <w:autoRedefine/>
    <w:qFormat/>
    <w:uiPriority w:val="0"/>
    <w:pPr>
      <w:spacing w:line="300" w:lineRule="exact"/>
      <w:jc w:val="center"/>
    </w:pPr>
    <w:rPr>
      <w:rFonts w:ascii="Calibri" w:hAnsi="Calibri"/>
      <w:bCs/>
      <w:szCs w:val="20"/>
    </w:rPr>
  </w:style>
  <w:style w:type="paragraph" w:customStyle="1" w:styleId="63">
    <w:name w:val="我的样式（正文）"/>
    <w:basedOn w:val="1"/>
    <w:autoRedefine/>
    <w:qFormat/>
    <w:uiPriority w:val="0"/>
    <w:pPr>
      <w:spacing w:line="440" w:lineRule="exact"/>
    </w:pPr>
    <w:rPr>
      <w:rFonts w:ascii="宋体" w:hAnsi="Calibri"/>
      <w:sz w:val="28"/>
    </w:rPr>
  </w:style>
  <w:style w:type="character" w:customStyle="1" w:styleId="64">
    <w:name w:val="正文缩进 字符"/>
    <w:basedOn w:val="33"/>
    <w:link w:val="6"/>
    <w:autoRedefine/>
    <w:qFormat/>
    <w:uiPriority w:val="0"/>
    <w:rPr>
      <w:rFonts w:ascii="Calibri" w:hAnsi="Calibri"/>
      <w:kern w:val="2"/>
      <w:sz w:val="21"/>
    </w:rPr>
  </w:style>
  <w:style w:type="character" w:customStyle="1" w:styleId="65">
    <w:name w:val="图表文字 Char"/>
    <w:link w:val="62"/>
    <w:autoRedefine/>
    <w:qFormat/>
    <w:uiPriority w:val="0"/>
    <w:rPr>
      <w:rFonts w:ascii="Calibri" w:hAnsi="Calibri"/>
      <w:bCs/>
      <w:kern w:val="2"/>
      <w:sz w:val="21"/>
    </w:rPr>
  </w:style>
  <w:style w:type="character" w:customStyle="1" w:styleId="66">
    <w:name w:val="标题 2 字符"/>
    <w:basedOn w:val="33"/>
    <w:link w:val="3"/>
    <w:autoRedefine/>
    <w:semiHidden/>
    <w:qFormat/>
    <w:uiPriority w:val="0"/>
    <w:rPr>
      <w:rFonts w:asciiTheme="majorHAnsi" w:hAnsiTheme="majorHAnsi" w:eastAsiaTheme="majorEastAsia" w:cstheme="majorBidi"/>
      <w:b/>
      <w:bCs/>
      <w:kern w:val="2"/>
      <w:sz w:val="32"/>
      <w:szCs w:val="32"/>
    </w:rPr>
  </w:style>
  <w:style w:type="character" w:customStyle="1" w:styleId="67">
    <w:name w:val="纯文本 字符"/>
    <w:basedOn w:val="33"/>
    <w:link w:val="13"/>
    <w:autoRedefine/>
    <w:qFormat/>
    <w:uiPriority w:val="0"/>
    <w:rPr>
      <w:rFonts w:ascii="宋体" w:hAnsi="Courier New"/>
      <w:kern w:val="2"/>
      <w:sz w:val="21"/>
    </w:rPr>
  </w:style>
  <w:style w:type="character" w:customStyle="1" w:styleId="68">
    <w:name w:val="正文文本缩进 2 字符"/>
    <w:basedOn w:val="33"/>
    <w:link w:val="16"/>
    <w:autoRedefine/>
    <w:qFormat/>
    <w:uiPriority w:val="0"/>
    <w:rPr>
      <w:rFonts w:ascii="宋体" w:hAnsi="Calibri"/>
      <w:bCs/>
      <w:kern w:val="2"/>
      <w:sz w:val="24"/>
    </w:rPr>
  </w:style>
  <w:style w:type="character" w:customStyle="1" w:styleId="69">
    <w:name w:val="正文文本缩进 3 字符"/>
    <w:basedOn w:val="33"/>
    <w:link w:val="22"/>
    <w:autoRedefine/>
    <w:qFormat/>
    <w:uiPriority w:val="0"/>
    <w:rPr>
      <w:rFonts w:ascii="宋体" w:hAnsi="宋体"/>
      <w:kern w:val="2"/>
      <w:sz w:val="24"/>
    </w:rPr>
  </w:style>
  <w:style w:type="character" w:customStyle="1" w:styleId="70">
    <w:name w:val="正文文本首行缩进 2 字符"/>
    <w:basedOn w:val="55"/>
    <w:link w:val="28"/>
    <w:autoRedefine/>
    <w:qFormat/>
    <w:uiPriority w:val="0"/>
    <w:rPr>
      <w:rFonts w:ascii="Calibri" w:hAnsi="Calibri" w:eastAsia="楷体_GB2312"/>
      <w:color w:val="000000"/>
      <w:kern w:val="2"/>
      <w:sz w:val="21"/>
    </w:rPr>
  </w:style>
  <w:style w:type="paragraph" w:customStyle="1" w:styleId="71">
    <w:name w:val="Body Text 21"/>
    <w:basedOn w:val="1"/>
    <w:autoRedefine/>
    <w:qFormat/>
    <w:uiPriority w:val="0"/>
    <w:pPr>
      <w:textAlignment w:val="baseline"/>
    </w:pPr>
    <w:rPr>
      <w:rFonts w:ascii="Calibri" w:hAnsi="Calibri"/>
      <w:color w:val="000000"/>
      <w:sz w:val="24"/>
      <w:szCs w:val="20"/>
    </w:rPr>
  </w:style>
  <w:style w:type="paragraph" w:customStyle="1" w:styleId="72">
    <w:name w:val="图文框"/>
    <w:basedOn w:val="1"/>
    <w:autoRedefine/>
    <w:qFormat/>
    <w:uiPriority w:val="0"/>
    <w:pPr>
      <w:adjustRightInd w:val="0"/>
      <w:snapToGrid w:val="0"/>
      <w:jc w:val="center"/>
    </w:pPr>
    <w:rPr>
      <w:rFonts w:ascii="宋体" w:hAnsi="宋体"/>
      <w:color w:val="000000"/>
      <w:sz w:val="18"/>
    </w:rPr>
  </w:style>
  <w:style w:type="paragraph" w:customStyle="1" w:styleId="73">
    <w:name w:val="表"/>
    <w:basedOn w:val="1"/>
    <w:autoRedefine/>
    <w:qFormat/>
    <w:uiPriority w:val="0"/>
    <w:pPr>
      <w:keepNext/>
      <w:keepLines/>
      <w:adjustRightInd w:val="0"/>
      <w:spacing w:before="60"/>
      <w:jc w:val="center"/>
    </w:pPr>
    <w:rPr>
      <w:rFonts w:ascii="Calibri" w:hAnsi="Calibri" w:eastAsia="仿宋_GB2312"/>
      <w:kern w:val="21"/>
      <w:sz w:val="24"/>
      <w:szCs w:val="20"/>
    </w:rPr>
  </w:style>
  <w:style w:type="paragraph" w:customStyle="1" w:styleId="74">
    <w:name w:val="p0"/>
    <w:basedOn w:val="1"/>
    <w:autoRedefine/>
    <w:qFormat/>
    <w:uiPriority w:val="0"/>
    <w:pPr>
      <w:widowControl/>
    </w:pPr>
    <w:rPr>
      <w:rFonts w:ascii="Calibri" w:hAnsi="Calibri"/>
      <w:kern w:val="0"/>
      <w:szCs w:val="21"/>
    </w:rPr>
  </w:style>
  <w:style w:type="paragraph" w:customStyle="1" w:styleId="75">
    <w:name w:val="表格标题"/>
    <w:basedOn w:val="1"/>
    <w:autoRedefine/>
    <w:qFormat/>
    <w:uiPriority w:val="0"/>
    <w:pPr>
      <w:adjustRightInd w:val="0"/>
      <w:spacing w:before="120" w:line="360" w:lineRule="auto"/>
      <w:jc w:val="center"/>
    </w:pPr>
    <w:rPr>
      <w:rFonts w:ascii="Calibri" w:hAnsi="Calibri" w:eastAsia="文鼎CS中宋"/>
      <w:kern w:val="0"/>
      <w:sz w:val="24"/>
      <w:szCs w:val="20"/>
    </w:rPr>
  </w:style>
  <w:style w:type="paragraph" w:customStyle="1" w:styleId="76">
    <w:name w:val="文本框样式"/>
    <w:basedOn w:val="1"/>
    <w:autoRedefine/>
    <w:qFormat/>
    <w:uiPriority w:val="0"/>
    <w:pPr>
      <w:jc w:val="center"/>
    </w:pPr>
    <w:rPr>
      <w:rFonts w:ascii="Calibri" w:hAnsi="Calibri"/>
      <w:szCs w:val="21"/>
    </w:rPr>
  </w:style>
  <w:style w:type="paragraph" w:customStyle="1" w:styleId="77">
    <w:name w:val="图标题"/>
    <w:basedOn w:val="1"/>
    <w:autoRedefine/>
    <w:qFormat/>
    <w:uiPriority w:val="0"/>
    <w:pPr>
      <w:spacing w:line="300" w:lineRule="exact"/>
    </w:pPr>
    <w:rPr>
      <w:rFonts w:ascii="仿宋_GB2312" w:hAnsi="Calibri" w:eastAsia="仿宋_GB2312"/>
      <w:b/>
      <w:bCs/>
      <w:sz w:val="24"/>
    </w:rPr>
  </w:style>
  <w:style w:type="character" w:customStyle="1" w:styleId="78">
    <w:name w:val="font11"/>
    <w:basedOn w:val="33"/>
    <w:autoRedefine/>
    <w:qFormat/>
    <w:uiPriority w:val="0"/>
    <w:rPr>
      <w:rFonts w:hint="eastAsia" w:ascii="宋体" w:hAnsi="宋体" w:eastAsia="宋体" w:cs="宋体"/>
      <w:color w:val="000000"/>
      <w:sz w:val="18"/>
      <w:szCs w:val="18"/>
      <w:u w:val="none"/>
    </w:rPr>
  </w:style>
  <w:style w:type="character" w:customStyle="1" w:styleId="79">
    <w:name w:val="font21"/>
    <w:basedOn w:val="33"/>
    <w:autoRedefine/>
    <w:qFormat/>
    <w:uiPriority w:val="0"/>
    <w:rPr>
      <w:rFonts w:hint="default" w:ascii="TimesNewRomanPSMT" w:hAnsi="TimesNewRomanPSMT" w:eastAsia="TimesNewRomanPSMT" w:cs="TimesNewRomanPSMT"/>
      <w:color w:val="000000"/>
      <w:sz w:val="18"/>
      <w:szCs w:val="18"/>
      <w:u w:val="none"/>
    </w:rPr>
  </w:style>
  <w:style w:type="paragraph" w:customStyle="1" w:styleId="80">
    <w:name w:val="xl2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rPr>
  </w:style>
  <w:style w:type="paragraph" w:customStyle="1" w:styleId="81">
    <w:name w:val="Other|1"/>
    <w:basedOn w:val="1"/>
    <w:autoRedefine/>
    <w:qFormat/>
    <w:uiPriority w:val="0"/>
    <w:rPr>
      <w:rFonts w:ascii="MingLiU" w:hAnsi="MingLiU" w:eastAsia="MingLiU" w:cs="MingLiU"/>
      <w:sz w:val="19"/>
      <w:szCs w:val="19"/>
      <w:lang w:val="zh-TW" w:eastAsia="zh-TW" w:bidi="zh-TW"/>
    </w:rPr>
  </w:style>
  <w:style w:type="paragraph" w:customStyle="1" w:styleId="82">
    <w:name w:val="Body text|1"/>
    <w:basedOn w:val="1"/>
    <w:autoRedefine/>
    <w:qFormat/>
    <w:uiPriority w:val="0"/>
    <w:pPr>
      <w:spacing w:after="180" w:line="413" w:lineRule="auto"/>
    </w:pPr>
    <w:rPr>
      <w:rFonts w:ascii="宋体" w:hAnsi="宋体" w:cs="宋体"/>
      <w:szCs w:val="20"/>
      <w:lang w:val="zh-TW" w:eastAsia="zh-TW" w:bidi="zh-TW"/>
    </w:rPr>
  </w:style>
  <w:style w:type="paragraph" w:customStyle="1" w:styleId="83">
    <w:name w:val="Table caption|1"/>
    <w:basedOn w:val="1"/>
    <w:autoRedefine/>
    <w:qFormat/>
    <w:uiPriority w:val="0"/>
    <w:rPr>
      <w:rFonts w:ascii="MingLiU" w:hAnsi="MingLiU" w:eastAsia="MingLiU" w:cs="MingLiU"/>
      <w:sz w:val="19"/>
      <w:szCs w:val="19"/>
      <w:lang w:val="zh-TW" w:eastAsia="zh-TW" w:bidi="zh-TW"/>
    </w:rPr>
  </w:style>
  <w:style w:type="character" w:customStyle="1" w:styleId="84">
    <w:name w:val="批注框文本 Char"/>
    <w:basedOn w:val="33"/>
    <w:autoRedefine/>
    <w:qFormat/>
    <w:uiPriority w:val="0"/>
    <w:rPr>
      <w:rFonts w:ascii="Calibri" w:hAnsi="Calibri"/>
      <w:kern w:val="2"/>
      <w:sz w:val="18"/>
      <w:szCs w:val="18"/>
    </w:rPr>
  </w:style>
  <w:style w:type="character" w:styleId="85">
    <w:name w:val="Placeholder Text"/>
    <w:basedOn w:val="33"/>
    <w:autoRedefine/>
    <w:unhideWhenUsed/>
    <w:qFormat/>
    <w:uiPriority w:val="99"/>
    <w:rPr>
      <w:color w:val="808080"/>
    </w:rPr>
  </w:style>
  <w:style w:type="paragraph" w:styleId="86">
    <w:name w:val="List Paragraph"/>
    <w:basedOn w:val="1"/>
    <w:autoRedefine/>
    <w:unhideWhenUsed/>
    <w:qFormat/>
    <w:uiPriority w:val="99"/>
    <w:pPr>
      <w:ind w:firstLine="420" w:firstLineChars="200"/>
    </w:pPr>
    <w:rPr>
      <w:rFonts w:ascii="Calibri" w:hAnsi="Calibri"/>
      <w:szCs w:val="20"/>
    </w:rPr>
  </w:style>
  <w:style w:type="character" w:customStyle="1" w:styleId="87">
    <w:name w:val="批注主题 Char"/>
    <w:basedOn w:val="60"/>
    <w:autoRedefine/>
    <w:qFormat/>
    <w:uiPriority w:val="0"/>
    <w:rPr>
      <w:rFonts w:ascii="Calibri" w:hAnsi="Calibri"/>
      <w:kern w:val="2"/>
      <w:sz w:val="21"/>
    </w:rPr>
  </w:style>
  <w:style w:type="character" w:customStyle="1" w:styleId="88">
    <w:name w:val="页眉 Char"/>
    <w:basedOn w:val="33"/>
    <w:autoRedefine/>
    <w:qFormat/>
    <w:uiPriority w:val="0"/>
    <w:rPr>
      <w:rFonts w:ascii="Calibri" w:hAnsi="Calibri"/>
      <w:kern w:val="2"/>
      <w:sz w:val="18"/>
      <w:szCs w:val="24"/>
    </w:rPr>
  </w:style>
  <w:style w:type="paragraph" w:customStyle="1" w:styleId="89">
    <w:name w:val="样式 自动设置"/>
    <w:basedOn w:val="1"/>
    <w:autoRedefine/>
    <w:qFormat/>
    <w:uiPriority w:val="0"/>
    <w:pPr>
      <w:autoSpaceDE w:val="0"/>
      <w:autoSpaceDN w:val="0"/>
      <w:adjustRightInd w:val="0"/>
      <w:snapToGrid w:val="0"/>
      <w:spacing w:beforeLines="50" w:line="288" w:lineRule="auto"/>
      <w:ind w:firstLine="200" w:firstLineChars="200"/>
    </w:pPr>
    <w:rPr>
      <w:rFonts w:cs="宋体"/>
      <w:sz w:val="24"/>
      <w:szCs w:val="20"/>
    </w:rPr>
  </w:style>
  <w:style w:type="paragraph" w:customStyle="1" w:styleId="90">
    <w:name w:val="+正文"/>
    <w:basedOn w:val="1"/>
    <w:autoRedefine/>
    <w:qFormat/>
    <w:uiPriority w:val="0"/>
    <w:pPr>
      <w:spacing w:line="360" w:lineRule="auto"/>
      <w:ind w:firstLine="200" w:firstLineChars="200"/>
    </w:pPr>
    <w:rPr>
      <w:sz w:val="24"/>
      <w:szCs w:val="22"/>
    </w:rPr>
  </w:style>
  <w:style w:type="paragraph" w:customStyle="1" w:styleId="91">
    <w:name w:val="1  正文"/>
    <w:basedOn w:val="1"/>
    <w:autoRedefine/>
    <w:qFormat/>
    <w:uiPriority w:val="0"/>
    <w:pPr>
      <w:spacing w:line="360" w:lineRule="auto"/>
      <w:ind w:firstLine="480" w:firstLineChars="200"/>
    </w:pPr>
    <w:rPr>
      <w:sz w:val="24"/>
    </w:rPr>
  </w:style>
  <w:style w:type="paragraph" w:customStyle="1" w:styleId="92">
    <w:name w:val="列出段落1"/>
    <w:basedOn w:val="1"/>
    <w:autoRedefine/>
    <w:qFormat/>
    <w:uiPriority w:val="0"/>
    <w:pPr>
      <w:ind w:firstLine="420" w:firstLineChars="200"/>
    </w:pPr>
    <w:rPr>
      <w:szCs w:val="20"/>
    </w:rPr>
  </w:style>
  <w:style w:type="paragraph" w:customStyle="1" w:styleId="93">
    <w:name w:val="表内文字"/>
    <w:basedOn w:val="1"/>
    <w:autoRedefine/>
    <w:qFormat/>
    <w:uiPriority w:val="0"/>
    <w:pPr>
      <w:jc w:val="center"/>
    </w:pPr>
    <w:rPr>
      <w:sz w:val="24"/>
    </w:rPr>
  </w:style>
  <w:style w:type="paragraph" w:customStyle="1" w:styleId="94">
    <w:name w:val="报告表正文"/>
    <w:basedOn w:val="95"/>
    <w:autoRedefine/>
    <w:qFormat/>
    <w:uiPriority w:val="0"/>
    <w:pPr>
      <w:ind w:firstLine="200" w:firstLineChars="200"/>
      <w:jc w:val="left"/>
    </w:pPr>
    <w:rPr>
      <w:rFonts w:ascii="Times New Roman" w:hAnsi="Times New Roman"/>
      <w:szCs w:val="24"/>
    </w:rPr>
  </w:style>
  <w:style w:type="paragraph" w:customStyle="1" w:styleId="95">
    <w:name w:val="列表1"/>
    <w:basedOn w:val="1"/>
    <w:autoRedefine/>
    <w:qFormat/>
    <w:uiPriority w:val="0"/>
    <w:pPr>
      <w:spacing w:line="400" w:lineRule="exact"/>
      <w:jc w:val="center"/>
    </w:pPr>
    <w:rPr>
      <w:rFonts w:ascii="宋体" w:hAnsi="宋体" w:eastAsia="仿宋_GB2312"/>
      <w:sz w:val="24"/>
      <w:szCs w:val="20"/>
    </w:rPr>
  </w:style>
  <w:style w:type="character" w:customStyle="1" w:styleId="96">
    <w:name w:val="font31"/>
    <w:basedOn w:val="33"/>
    <w:autoRedefine/>
    <w:qFormat/>
    <w:uiPriority w:val="0"/>
    <w:rPr>
      <w:rFonts w:hint="eastAsia" w:ascii="宋体" w:hAnsi="宋体" w:eastAsia="宋体" w:cs="宋体"/>
      <w:color w:val="000000"/>
      <w:sz w:val="24"/>
      <w:szCs w:val="24"/>
      <w:u w:val="none"/>
    </w:rPr>
  </w:style>
  <w:style w:type="paragraph" w:customStyle="1" w:styleId="97">
    <w:name w:val="3表格正文"/>
    <w:basedOn w:val="1"/>
    <w:autoRedefine/>
    <w:qFormat/>
    <w:uiPriority w:val="0"/>
    <w:pPr>
      <w:widowControl w:val="0"/>
      <w:adjustRightInd w:val="0"/>
      <w:snapToGrid w:val="0"/>
      <w:jc w:val="center"/>
    </w:pPr>
    <w:rPr>
      <w:rFonts w:ascii="Times New Roman" w:hAnsi="Times New Roman" w:eastAsia="宋体" w:cs="Times New Roman"/>
      <w:bCs/>
      <w:color w:val="FF0000"/>
      <w:kern w:val="2"/>
      <w:sz w:val="21"/>
      <w:szCs w:val="21"/>
    </w:rPr>
  </w:style>
  <w:style w:type="paragraph" w:customStyle="1" w:styleId="98">
    <w:name w:val="正文11"/>
    <w:basedOn w:val="1"/>
    <w:autoRedefine/>
    <w:qFormat/>
    <w:uiPriority w:val="0"/>
    <w:pPr>
      <w:widowControl w:val="0"/>
      <w:autoSpaceDE w:val="0"/>
      <w:autoSpaceDN w:val="0"/>
      <w:snapToGrid w:val="0"/>
      <w:spacing w:before="240" w:line="520" w:lineRule="atLeast"/>
      <w:ind w:firstLine="510"/>
      <w:jc w:val="both"/>
    </w:pPr>
    <w:rPr>
      <w:rFonts w:cs="Times New Roman"/>
      <w:szCs w:val="20"/>
    </w:rPr>
  </w:style>
  <w:style w:type="paragraph" w:customStyle="1" w:styleId="99">
    <w:name w:val="第一、五章 表格正文"/>
    <w:basedOn w:val="8"/>
    <w:autoRedefine/>
    <w:qFormat/>
    <w:uiPriority w:val="0"/>
    <w:pPr>
      <w:jc w:val="center"/>
    </w:pPr>
    <w:rPr>
      <w:rFonts w:eastAsia="仿宋_GB2312"/>
    </w:rPr>
  </w:style>
  <w:style w:type="paragraph" w:customStyle="1" w:styleId="100">
    <w:name w:val="Z嵌套表格内容"/>
    <w:basedOn w:val="1"/>
    <w:autoRedefine/>
    <w:qFormat/>
    <w:uiPriority w:val="0"/>
    <w:pPr>
      <w:jc w:val="center"/>
    </w:pPr>
  </w:style>
  <w:style w:type="paragraph" w:customStyle="1" w:styleId="101">
    <w:name w:val="Z表格标题"/>
    <w:basedOn w:val="1"/>
    <w:next w:val="1"/>
    <w:autoRedefine/>
    <w:qFormat/>
    <w:uiPriority w:val="0"/>
    <w:pPr>
      <w:widowControl/>
      <w:spacing w:line="490" w:lineRule="exact"/>
      <w:jc w:val="center"/>
    </w:pPr>
    <w:rPr>
      <w:rFonts w:ascii="Times New Roman" w:hAnsi="Times New Roman" w:cs="宋体"/>
      <w:b/>
      <w:kern w:val="0"/>
      <w:sz w:val="24"/>
      <w:szCs w:val="24"/>
    </w:rPr>
  </w:style>
  <w:style w:type="paragraph" w:customStyle="1" w:styleId="102">
    <w:name w:val="文本正文"/>
    <w:basedOn w:val="1"/>
    <w:autoRedefine/>
    <w:qFormat/>
    <w:uiPriority w:val="0"/>
    <w:pPr>
      <w:autoSpaceDE w:val="0"/>
      <w:autoSpaceDN w:val="0"/>
      <w:adjustRightInd w:val="0"/>
      <w:spacing w:line="360" w:lineRule="auto"/>
      <w:ind w:firstLine="200" w:firstLineChars="200"/>
      <w:textAlignment w:val="baseline"/>
    </w:pPr>
    <w:rPr>
      <w:rFonts w:ascii="宋体" w:hAnsi="宋体"/>
      <w:snapToGrid w:val="0"/>
      <w:color w:val="000000"/>
      <w:spacing w:val="4"/>
      <w:kern w:val="18"/>
      <w:sz w:val="24"/>
    </w:rPr>
  </w:style>
  <w:style w:type="paragraph" w:customStyle="1" w:styleId="103">
    <w:name w:val="无间隔11"/>
    <w:autoRedefine/>
    <w:qFormat/>
    <w:uiPriority w:val="0"/>
    <w:pPr>
      <w:widowControl w:val="0"/>
    </w:pPr>
    <w:rPr>
      <w:rFonts w:ascii="宋体" w:hAnsi="Courier New" w:eastAsia="仿宋_GB2312" w:cs="Times New Roman"/>
      <w:kern w:val="2"/>
      <w:sz w:val="24"/>
      <w:lang w:val="en-US" w:eastAsia="zh-CN" w:bidi="ar-SA"/>
    </w:rPr>
  </w:style>
  <w:style w:type="paragraph" w:customStyle="1" w:styleId="104">
    <w:name w:val="a四级标题"/>
    <w:basedOn w:val="1"/>
    <w:autoRedefine/>
    <w:qFormat/>
    <w:uiPriority w:val="0"/>
    <w:pPr>
      <w:spacing w:line="360" w:lineRule="auto"/>
    </w:pPr>
    <w:rPr>
      <w:rFonts w:ascii="Times New Roman"/>
      <w:b/>
    </w:rPr>
  </w:style>
  <w:style w:type="paragraph" w:customStyle="1" w:styleId="105">
    <w:name w:val="陈表格标题"/>
    <w:basedOn w:val="1"/>
    <w:autoRedefine/>
    <w:qFormat/>
    <w:uiPriority w:val="0"/>
    <w:pPr>
      <w:adjustRightInd w:val="0"/>
      <w:snapToGrid w:val="0"/>
      <w:spacing w:line="240" w:lineRule="auto"/>
      <w:ind w:firstLine="720"/>
      <w:jc w:val="center"/>
    </w:pPr>
    <w:rPr>
      <w:b/>
      <w:kern w:val="0"/>
      <w:szCs w:val="20"/>
    </w:rPr>
  </w:style>
  <w:style w:type="paragraph" w:customStyle="1" w:styleId="106">
    <w:name w:val="陈表格"/>
    <w:basedOn w:val="1"/>
    <w:autoRedefine/>
    <w:qFormat/>
    <w:uiPriority w:val="0"/>
    <w:pPr>
      <w:adjustRightInd w:val="0"/>
      <w:snapToGrid w:val="0"/>
      <w:spacing w:line="240" w:lineRule="auto"/>
      <w:ind w:firstLine="0" w:firstLineChars="0"/>
      <w:jc w:val="center"/>
    </w:pPr>
    <w:rPr>
      <w:kern w:val="0"/>
      <w:szCs w:val="20"/>
    </w:rPr>
  </w:style>
  <w:style w:type="paragraph" w:customStyle="1" w:styleId="107">
    <w:name w:val="表头"/>
    <w:basedOn w:val="108"/>
    <w:next w:val="1"/>
    <w:autoRedefine/>
    <w:qFormat/>
    <w:uiPriority w:val="0"/>
    <w:pPr>
      <w:adjustRightInd w:val="0"/>
      <w:spacing w:line="240" w:lineRule="auto"/>
      <w:ind w:firstLine="0" w:firstLineChars="0"/>
      <w:jc w:val="center"/>
    </w:pPr>
    <w:rPr>
      <w:b/>
    </w:rPr>
  </w:style>
  <w:style w:type="paragraph" w:customStyle="1" w:styleId="108">
    <w:name w:val="图表"/>
    <w:basedOn w:val="1"/>
    <w:qFormat/>
    <w:uiPriority w:val="0"/>
    <w:pPr>
      <w:adjustRightInd w:val="0"/>
      <w:snapToGrid w:val="0"/>
      <w:jc w:val="center"/>
    </w:pPr>
    <w:rPr>
      <w:color w:val="000000"/>
      <w:szCs w:val="22"/>
      <w:lang w:val="zh-CN"/>
    </w:rPr>
  </w:style>
  <w:style w:type="paragraph" w:customStyle="1" w:styleId="109">
    <w:name w:val="a表"/>
    <w:basedOn w:val="1"/>
    <w:autoRedefine/>
    <w:qFormat/>
    <w:uiPriority w:val="0"/>
    <w:pPr>
      <w:snapToGrid w:val="0"/>
      <w:spacing w:line="240" w:lineRule="auto"/>
      <w:ind w:firstLine="0" w:firstLineChars="0"/>
      <w:jc w:val="center"/>
    </w:pPr>
    <w:rPr>
      <w:spacing w:val="2"/>
      <w:szCs w:val="22"/>
    </w:rPr>
  </w:style>
  <w:style w:type="paragraph" w:customStyle="1" w:styleId="110">
    <w:name w:val="1表格"/>
    <w:basedOn w:val="1"/>
    <w:qFormat/>
    <w:uiPriority w:val="0"/>
    <w:pPr>
      <w:spacing w:line="160" w:lineRule="atLeast"/>
      <w:jc w:val="center"/>
    </w:pPr>
    <w:rPr>
      <w:rFonts w:ascii="Calibri" w:hAnsi="Calibri" w:eastAsia="仿宋_GB2312"/>
    </w:rPr>
  </w:style>
  <w:style w:type="paragraph" w:customStyle="1" w:styleId="111">
    <w:name w:val="表题"/>
    <w:basedOn w:val="21"/>
    <w:autoRedefine/>
    <w:qFormat/>
    <w:uiPriority w:val="0"/>
    <w:pPr>
      <w:spacing w:beforeLines="50" w:line="480" w:lineRule="exact"/>
    </w:pPr>
    <w:rPr>
      <w:rFonts w:ascii="Times New Roman" w:eastAsia="黑体"/>
      <w:szCs w:val="24"/>
    </w:rPr>
  </w:style>
  <w:style w:type="paragraph" w:customStyle="1" w:styleId="112">
    <w:name w:val="正文加粗"/>
    <w:basedOn w:val="94"/>
    <w:qFormat/>
    <w:uiPriority w:val="0"/>
    <w:pPr>
      <w:ind w:firstLine="482"/>
    </w:pPr>
    <w:rPr>
      <w:b/>
      <w:snapToGrid w:val="0"/>
    </w:rPr>
  </w:style>
  <w:style w:type="paragraph" w:customStyle="1" w:styleId="113">
    <w:name w:val="表格中文字"/>
    <w:basedOn w:val="1"/>
    <w:qFormat/>
    <w:uiPriority w:val="0"/>
    <w:pPr>
      <w:adjustRightInd w:val="0"/>
      <w:snapToGrid w:val="0"/>
      <w:jc w:val="center"/>
    </w:pPr>
    <w:rPr>
      <w:kern w:val="18"/>
      <w:szCs w:val="21"/>
    </w:rPr>
  </w:style>
  <w:style w:type="paragraph" w:customStyle="1" w:styleId="114">
    <w:name w:val="表格 首行文字"/>
    <w:qFormat/>
    <w:uiPriority w:val="0"/>
    <w:pPr>
      <w:adjustRightInd w:val="0"/>
      <w:snapToGrid w:val="0"/>
      <w:jc w:val="center"/>
    </w:pPr>
    <w:rPr>
      <w:rFonts w:ascii="Times New Roman" w:hAnsi="Times New Roman" w:eastAsia="仿宋_GB2312" w:cs="Times New Roman"/>
      <w:b/>
      <w:kern w:val="2"/>
      <w:sz w:val="21"/>
      <w:szCs w:val="22"/>
      <w:lang w:val="en-US" w:eastAsia="zh-CN" w:bidi="ar-SA"/>
    </w:rPr>
  </w:style>
  <w:style w:type="paragraph" w:customStyle="1" w:styleId="115">
    <w:name w:val="表格普通"/>
    <w:basedOn w:val="1"/>
    <w:qFormat/>
    <w:uiPriority w:val="0"/>
    <w:pPr>
      <w:jc w:val="center"/>
    </w:pPr>
    <w:rPr>
      <w:rFonts w:eastAsia="仿宋_GB2312"/>
      <w:szCs w:val="21"/>
    </w:rPr>
  </w:style>
  <w:style w:type="paragraph" w:customStyle="1" w:styleId="116">
    <w:name w:val="！表格文字"/>
    <w:basedOn w:val="117"/>
    <w:qFormat/>
    <w:uiPriority w:val="0"/>
    <w:pPr>
      <w:tabs>
        <w:tab w:val="left" w:pos="277"/>
        <w:tab w:val="left" w:pos="600"/>
        <w:tab w:val="left" w:pos="780"/>
        <w:tab w:val="left" w:pos="2517"/>
      </w:tabs>
    </w:pPr>
    <w:rPr>
      <w:bCs/>
    </w:rPr>
  </w:style>
  <w:style w:type="paragraph" w:customStyle="1" w:styleId="117">
    <w:name w:val="表格的文字"/>
    <w:basedOn w:val="118"/>
    <w:qFormat/>
    <w:uiPriority w:val="99"/>
    <w:pPr>
      <w:tabs>
        <w:tab w:val="left" w:pos="277"/>
        <w:tab w:val="left" w:pos="600"/>
        <w:tab w:val="left" w:pos="780"/>
        <w:tab w:val="left" w:pos="2517"/>
      </w:tabs>
      <w:spacing w:line="240" w:lineRule="auto"/>
      <w:ind w:firstLine="0" w:firstLineChars="0"/>
    </w:pPr>
  </w:style>
  <w:style w:type="paragraph" w:customStyle="1" w:styleId="118">
    <w:name w:val="表格文字2"/>
    <w:basedOn w:val="1"/>
    <w:qFormat/>
    <w:uiPriority w:val="99"/>
    <w:pPr>
      <w:widowControl w:val="0"/>
      <w:tabs>
        <w:tab w:val="left" w:pos="277"/>
        <w:tab w:val="left" w:pos="600"/>
        <w:tab w:val="left" w:pos="780"/>
        <w:tab w:val="left" w:pos="2517"/>
      </w:tabs>
      <w:adjustRightInd w:val="0"/>
      <w:snapToGrid w:val="0"/>
      <w:jc w:val="center"/>
      <w:textAlignment w:val="baseline"/>
    </w:pPr>
    <w:rPr>
      <w:sz w:val="21"/>
      <w:szCs w:val="21"/>
    </w:rPr>
  </w:style>
  <w:style w:type="paragraph" w:customStyle="1" w:styleId="119">
    <w:name w:val="验-表文"/>
    <w:basedOn w:val="120"/>
    <w:qFormat/>
    <w:uiPriority w:val="0"/>
    <w:pPr>
      <w:jc w:val="center"/>
    </w:pPr>
    <w:rPr>
      <w:rFonts w:ascii="Times New Roman" w:hAnsi="Times New Roman"/>
      <w:sz w:val="21"/>
    </w:rPr>
  </w:style>
  <w:style w:type="paragraph" w:customStyle="1" w:styleId="120">
    <w:name w:val="验-正文"/>
    <w:basedOn w:val="1"/>
    <w:qFormat/>
    <w:uiPriority w:val="0"/>
    <w:pPr>
      <w:spacing w:line="240" w:lineRule="auto"/>
      <w:ind w:firstLine="0" w:firstLineChars="0"/>
      <w:jc w:val="center"/>
    </w:pPr>
  </w:style>
  <w:style w:type="paragraph" w:customStyle="1" w:styleId="121">
    <w:name w:val="验-表题"/>
    <w:basedOn w:val="1"/>
    <w:qFormat/>
    <w:uiPriority w:val="0"/>
    <w:pPr>
      <w:spacing w:line="240" w:lineRule="auto"/>
      <w:ind w:firstLine="0" w:firstLineChars="0"/>
      <w:jc w:val="center"/>
    </w:pPr>
    <w:rPr>
      <w:rFonts w:ascii="Times New Roman" w:hAnsi="Times New Roman" w:eastAsia="宋体"/>
      <w:b/>
      <w:sz w:val="21"/>
    </w:rPr>
  </w:style>
  <w:style w:type="paragraph" w:customStyle="1" w:styleId="122">
    <w:name w:val="Char Char Char Char1"/>
    <w:basedOn w:val="1"/>
    <w:qFormat/>
    <w:uiPriority w:val="0"/>
    <w:pPr>
      <w:snapToGrid w:val="0"/>
      <w:spacing w:line="360" w:lineRule="auto"/>
      <w:ind w:firstLine="200" w:firstLineChars="200"/>
    </w:pPr>
    <w:rPr>
      <w:rFonts w:eastAsia="仿宋_GB2312"/>
      <w:sz w:val="24"/>
    </w:rPr>
  </w:style>
  <w:style w:type="paragraph" w:customStyle="1" w:styleId="123">
    <w:name w:val="表格内容"/>
    <w:basedOn w:val="1"/>
    <w:qFormat/>
    <w:uiPriority w:val="0"/>
    <w:pPr>
      <w:widowControl/>
      <w:snapToGrid/>
      <w:spacing w:line="240" w:lineRule="auto"/>
      <w:ind w:firstLine="0" w:firstLineChars="0"/>
      <w:jc w:val="center"/>
    </w:pPr>
    <w:rPr>
      <w:rFonts w:eastAsia="楷体" w:cs="宋体"/>
      <w:color w:val="000000"/>
      <w:kern w:val="0"/>
      <w:sz w:val="21"/>
      <w:szCs w:val="21"/>
    </w:rPr>
  </w:style>
  <w:style w:type="paragraph" w:customStyle="1" w:styleId="124">
    <w:name w:val="表格首行"/>
    <w:basedOn w:val="1"/>
    <w:autoRedefine/>
    <w:qFormat/>
    <w:uiPriority w:val="0"/>
    <w:pPr>
      <w:jc w:val="center"/>
    </w:pPr>
    <w:rPr>
      <w:rFonts w:eastAsia="仿宋_GB2312"/>
      <w:b/>
      <w:szCs w:val="21"/>
    </w:rPr>
  </w:style>
  <w:style w:type="paragraph" w:customStyle="1" w:styleId="125">
    <w:name w:val="0正文"/>
    <w:basedOn w:val="25"/>
    <w:qFormat/>
    <w:uiPriority w:val="0"/>
    <w:pPr>
      <w:adjustRightInd w:val="0"/>
      <w:snapToGrid w:val="0"/>
      <w:spacing w:before="0" w:beforeAutospacing="0" w:after="0" w:afterAutospacing="0" w:line="360" w:lineRule="auto"/>
      <w:ind w:firstLine="200" w:firstLineChars="200"/>
      <w:jc w:val="both"/>
    </w:pPr>
    <w:rPr>
      <w:rFonts w:ascii="Times New Roman" w:hAnsi="Times New Roman"/>
      <w:kern w:val="2"/>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header" Target="header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7.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d55badd1-9802-4a2e-8858-e7f27a8d32f1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6D919C24</paraID>
      <start>26</start>
      <end>27</end>
      <status>unmodified</status>
      <modifiedWord/>
      <trackRevisions>false</trackRevisions>
    </reviewItem>
    <reviewItem>
      <errorID>71df3afa-ec30-4a1d-8345-d8e4ae76c581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37AB5131</paraID>
      <start>0</start>
      <end>2</end>
      <status>unmodified</status>
      <modifiedWord/>
      <trackRevisions>false</trackRevisions>
    </reviewItem>
    <reviewItem>
      <errorID>10704cb0-e5a7-489b-afa9-a605eed90b0f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CC35797</paraID>
      <start>0</start>
      <end>2</end>
      <status>unmodified</status>
      <modifiedWord/>
      <trackRevisions>false</trackRevisions>
    </reviewItem>
    <reviewItem>
      <errorID>54d843e1-b9ce-4424-a200-5ce1fa62eaeb</errorID>
      <errorWord>污水厂</errorWord>
      <group>L1_Word</group>
      <groupName>字词问题</groupName>
      <ability>L2_Typo</ability>
      <abilityName>字词错误</abilityName>
      <candidateList>
        <item>污水处理厂</item>
      </candidateList>
      <explain/>
      <paraID>22E4570D</paraID>
      <start>68</start>
      <end>71</end>
      <status>unmodified</status>
      <modifiedWord/>
      <trackRevisions>false</trackRevisions>
    </reviewItem>
    <reviewItem>
      <errorID>e9b30633-61be-4222-9d9e-34c12422f1d0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24B800F7</paraID>
      <start>0</start>
      <end>2</end>
      <status>unmodified</status>
      <modifiedWord/>
      <trackRevisions>false</trackRevisions>
    </reviewItem>
    <reviewItem>
      <errorID>844a8d03-b3c1-4b3f-b8aa-efa824a40fa8</errorID>
      <errorWord>》</errorWord>
      <group>L1_Word</group>
      <groupName>字词问题</groupName>
      <ability>L2_Typo</ability>
      <abilityName>字词错误</abilityName>
      <candidateList>
        <item>》以</item>
      </candidateList>
      <explain/>
      <paraID>24B800F7</paraID>
      <start>38</start>
      <end>39</end>
      <status>unmodified</status>
      <modifiedWord/>
      <trackRevisions>false</trackRevisions>
    </reviewItem>
    <reviewItem>
      <errorID>4e0f577c-59d8-4be4-8921-2cd43c0038a6</errorID>
      <errorWord>》</errorWord>
      <group>L1_Word</group>
      <groupName>字词问题</groupName>
      <ability>L2_Typo</ability>
      <abilityName>字词错误</abilityName>
      <candidateList>
        <item>》以</item>
      </candidateList>
      <explain/>
      <paraID>39D9E5CC</paraID>
      <start>38</start>
      <end>39</end>
      <status>unmodified</status>
      <modifiedWord/>
      <trackRevisions>false</trackRevisions>
    </reviewItem>
    <reviewItem>
      <errorID>88d2f851-0b9a-4bd0-8d9d-be4a2c09969c</errorID>
      <errorWord>》</errorWord>
      <group>L1_Word</group>
      <groupName>字词问题</groupName>
      <ability>L2_Typo</ability>
      <abilityName>字词错误</abilityName>
      <candidateList>
        <item>》等</item>
      </candidateList>
      <explain/>
      <paraID>12F8BB55</paraID>
      <start>66</start>
      <end>67</end>
      <status>unmodified</status>
      <modifiedWord/>
      <trackRevisions>false</trackRevisions>
    </reviewItem>
    <reviewItem>
      <errorID>de63c21c-b4b5-4e34-8ec2-ec317228ffa6</errorID>
      <errorWord>胶粘剂</errorWord>
      <group>L1_Word</group>
      <groupName>字词问题</groupName>
      <ability>L2_Typo</ability>
      <abilityName>字词错误</abilityName>
      <candidateList>
        <item>胶黏剂</item>
      </candidateList>
      <explain/>
      <paraID>36D645EF</paraID>
      <start>39</start>
      <end>42</end>
      <status>unmodified</status>
      <modifiedWord/>
      <trackRevisions>false</trackRevisions>
    </reviewItem>
    <reviewItem>
      <errorID>040e2486-c899-4dbf-9089-401c3c8d170d</errorID>
      <errorWord>II级</errorWord>
      <group>L1_Knowledge</group>
      <groupName>知识性问题</groupName>
      <ability>L2_Knowledge</ability>
      <abilityName>其他知识</abilityName>
      <candidateList>
        <item>Ⅱ级</item>
      </candidateList>
      <explain/>
      <paraID>3B9790FF</paraID>
      <start>47</start>
      <end>50</end>
      <status>unmodified</status>
      <modifiedWord/>
      <trackRevisions>false</trackRevisions>
    </reviewItem>
    <reviewItem>
      <errorID>0d22975c-b56f-4c35-aa73-e144c2c90c99</errorID>
      <errorWord>II级</errorWord>
      <group>L1_Knowledge</group>
      <groupName>知识性问题</groupName>
      <ability>L2_Knowledge</ability>
      <abilityName>其他知识</abilityName>
      <candidateList>
        <item>Ⅱ级</item>
      </candidateList>
      <explain/>
      <paraID>5F29ABD2</paraID>
      <start>42</start>
      <end>45</end>
      <status>unmodified</status>
      <modifiedWord/>
      <trackRevisions>false</trackRevisions>
    </reviewItem>
    <reviewItem>
      <errorID>e92462c8-cdb2-46ec-9635-7cdcb74aa354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2E00DC6</paraID>
      <start>0</start>
      <end>2</end>
      <status>unmodified</status>
      <modifiedWord/>
      <trackRevisions>false</trackRevisions>
    </reviewItem>
    <reviewItem>
      <errorID>81cf096a-2001-41ac-85e1-c8b241ae86bd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11BA136</paraID>
      <start>0</start>
      <end>2</end>
      <status>unmodified</status>
      <modifiedWord/>
      <trackRevisions>false</trackRevisions>
    </reviewItem>
    <reviewItem>
      <errorID>39ac78d4-b703-4e10-880d-0bb8c2ed57f5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68BD6409</paraID>
      <start>30</start>
      <end>33</end>
      <status>unmodified</status>
      <modifiedWord/>
      <trackRevisions>false</trackRevisions>
    </reviewItem>
    <reviewItem>
      <errorID>98cd6ff6-31bf-4689-8c73-60c1e94fb873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64272F3D</paraID>
      <start>54</start>
      <end>57</end>
      <status>unmodified</status>
      <modifiedWord/>
      <trackRevisions>false</trackRevisions>
    </reviewItem>
    <reviewItem>
      <errorID>d29929b4-e5b5-42c6-8812-0ff67a93bd2b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621B1F73</paraID>
      <start>0</start>
      <end>2</end>
      <status>unmodified</status>
      <modifiedWord/>
      <trackRevisions>false</trackRevisions>
    </reviewItem>
    <reviewItem>
      <errorID>76eb2822-8f74-400e-8506-58fc9c34e99d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1E9DE2F1</paraID>
      <start>0</start>
      <end>2</end>
      <status>unmodified</status>
      <modifiedWord/>
      <trackRevisions>false</trackRevisions>
    </reviewItem>
    <reviewItem>
      <errorID>5cc021b0-b919-422f-9c28-034896df5a2f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4B8072FD</paraID>
      <start>0</start>
      <end>2</end>
      <status>unmodified</status>
      <modifiedWord/>
      <trackRevisions>false</trackRevisions>
    </reviewItem>
    <reviewItem>
      <errorID>27283f1f-fc48-46a2-ad39-0e4939250adf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6E0BBB23</paraID>
      <start>0</start>
      <end>2</end>
      <status>unmodified</status>
      <modifiedWord/>
      <trackRevisions>false</trackRevisions>
    </reviewItem>
    <reviewItem>
      <errorID>f775ebc6-722b-4d38-9936-05631d1b8874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6E0BBB23</paraID>
      <start>46</start>
      <end>47</end>
      <status>unmodified</status>
      <modifiedWord/>
      <trackRevisions>false</trackRevisions>
    </reviewItem>
    <reviewItem>
      <errorID>3e281746-4459-42bc-97c7-85fb4a10fabe</errorID>
      <errorWord>》</errorWord>
      <group>L1_Word</group>
      <groupName>字词问题</groupName>
      <ability>L2_Typo</ability>
      <abilityName>字词错误</abilityName>
      <candidateList>
        <item>》和</item>
      </candidateList>
      <explain/>
      <paraID>6E0BBB23</paraID>
      <start>53</start>
      <end>54</end>
      <status>unmodified</status>
      <modifiedWord/>
      <trackRevisions>false</trackRevisions>
    </reviewItem>
    <reviewItem>
      <errorID>eadc92bf-c2b8-4ed5-afb7-ff1a5595dcf7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6E0BBB23</paraID>
      <start>71</start>
      <end>72</end>
      <status>unmodified</status>
      <modifiedWord/>
      <trackRevisions>false</trackRevisions>
    </reviewItem>
    <reviewItem>
      <errorID>5e973647-b989-4550-b70f-1a34cffa1df6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4799FDC2</paraID>
      <start>0</start>
      <end>2</end>
      <status>unmodified</status>
      <modifiedWord/>
      <trackRevisions>false</trackRevisions>
    </reviewItem>
    <reviewItem>
      <errorID>40c0ef7e-0f27-40cd-928a-71648a17ada6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5E0500BC</paraID>
      <start>0</start>
      <end>2</end>
      <status>unmodified</status>
      <modifiedWord/>
      <trackRevisions>false</trackRevisions>
    </reviewItem>
    <reviewItem>
      <errorID>794ea990-abbe-43c7-bde2-e92b89313e0b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67F0E0D1</paraID>
      <start>0</start>
      <end>2</end>
      <status>unmodified</status>
      <modifiedWord/>
      <trackRevisions>false</trackRevisions>
    </reviewItem>
    <reviewItem>
      <errorID>d48c0c2b-8e24-4fff-b5dc-26b8de5c3df1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493FD279</paraID>
      <start>0</start>
      <end>2</end>
      <status>unmodified</status>
      <modifiedWord/>
      <trackRevisions>false</trackRevisions>
    </reviewItem>
    <reviewItem>
      <errorID>e20f2e16-bff5-4478-adc9-9462d3d9fd35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5E37FA32</paraID>
      <start>0</start>
      <end>2</end>
      <status>unmodified</status>
      <modifiedWord/>
      <trackRevisions>false</trackRevisions>
    </reviewItem>
    <reviewItem>
      <errorID>f0dc664e-0a67-42eb-b84d-b30ea3b1c7cb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168651D2</paraID>
      <start>0</start>
      <end>2</end>
      <status>unmodified</status>
      <modifiedWord/>
      <trackRevisions>false</trackRevisions>
    </reviewItem>
    <reviewItem>
      <errorID>866153b7-d288-43a2-be00-b7395da44da8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1A774586</paraID>
      <start>0</start>
      <end>2</end>
      <status>unmodified</status>
      <modifiedWord/>
      <trackRevisions>false</trackRevisions>
    </reviewItem>
    <reviewItem>
      <errorID>b21db751-2d73-4722-9b78-455e50cc20f6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25489068</paraID>
      <start>0</start>
      <end>2</end>
      <status>unmodified</status>
      <modifiedWord/>
      <trackRevisions>false</trackRevisions>
    </reviewItem>
    <reviewItem>
      <errorID>b829546e-e826-47c8-97b0-28e6411f4216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28071F4</paraID>
      <start>0</start>
      <end>2</end>
      <status>unmodified</status>
      <modifiedWord/>
      <trackRevisions>false</trackRevisions>
    </reviewItem>
    <reviewItem>
      <errorID>ea0953ce-410e-49d5-8f36-b96cddc36231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77C7B795</paraID>
      <start>0</start>
      <end>2</end>
      <status>unmodified</status>
      <modifiedWord/>
      <trackRevisions>false</trackRevisions>
    </reviewItem>
    <reviewItem>
      <errorID>5a2afa36-cbef-402b-a711-22c130b8d423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463D5488</paraID>
      <start>0</start>
      <end>2</end>
      <status>unmodified</status>
      <modifiedWord/>
      <trackRevisions>false</trackRevisions>
    </reviewItem>
    <reviewItem>
      <errorID>04b964f5-e842-426d-a2a0-1467e61565c2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837B610</paraID>
      <start>0</start>
      <end>2</end>
      <status>unmodified</status>
      <modifiedWord/>
      <trackRevisions>false</trackRevisions>
    </reviewItem>
    <reviewItem>
      <errorID>120c9a7f-2650-4d1c-bd8e-dddd763603a3</errorID>
      <errorWord>-</errorWord>
      <group>L1_Format</group>
      <groupName>格式问题</groupName>
      <ability>L2_HalfPunc</ability>
      <abilityName>全半角检查</abilityName>
      <candidateList>
        <item>－</item>
      </candidateList>
      <explain>文本全半角错误。</explain>
      <paraID> 797407D</paraID>
      <start>59</start>
      <end>60</end>
      <status>unmodified</status>
      <modifiedWord/>
      <trackRevisions>false</trackRevisions>
    </reviewItem>
    <reviewItem>
      <errorID>c11a2054-62ed-4896-95d0-918bed318aa3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1139C6C0</paraID>
      <start>0</start>
      <end>2</end>
      <status>unmodified</status>
      <modifiedWord/>
      <trackRevisions>false</trackRevisions>
    </reviewItem>
    <reviewItem>
      <errorID>adfece47-71a9-4776-ad12-fb510f23b2d0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7CE7359F</paraID>
      <start>0</start>
      <end>2</end>
      <status>unmodified</status>
      <modifiedWord/>
      <trackRevisions>false</trackRevisions>
    </reviewItem>
    <reviewItem>
      <errorID>bcaa65d7-05d5-4ebe-907b-b3019affb27c</errorID>
      <errorWord>法律、法规</errorWord>
      <group>L1_Word</group>
      <groupName>字词问题</groupName>
      <ability>L2_Typo</ability>
      <abilityName>字词错误</abilityName>
      <candidateList>
        <item>法律法规</item>
      </candidateList>
      <explain/>
      <paraID>596ECE39</paraID>
      <start>3</start>
      <end>8</end>
      <status>unmodified</status>
      <modifiedWord/>
      <trackRevisions>false</trackRevisions>
    </reviewItem>
    <reviewItem>
      <errorID>f232e2e3-a7b4-47ea-abb3-d425eb40d139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5CED9C0C</paraID>
      <start>0</start>
      <end>2</end>
      <status>unmodified</status>
      <modifiedWord/>
      <trackRevisions>false</trackRevisions>
    </reviewItem>
    <reviewItem>
      <errorID>78b711b0-77f0-452b-b5bc-fb8888282dd5</errorID>
      <errorWord>&lt;</errorWord>
      <group>L1_Format</group>
      <groupName>格式问题</groupName>
      <ability>L2_HalfPunc</ability>
      <abilityName>全半角检查</abilityName>
      <candidateList>
        <item>〈</item>
      </candidateList>
      <explain>文本全半角错误。</explain>
      <paraID>1FBAF975</paraID>
      <start>9</start>
      <end>10</end>
      <status>unmodified</status>
      <modifiedWord/>
      <trackRevisions>false</trackRevisions>
    </reviewItem>
    <reviewItem>
      <errorID>79a374cd-7011-4912-947e-479937819562</errorID>
      <errorWord>&gt;的通知》</errorWord>
      <group>L1_Punc</group>
      <groupName>标点问题</groupName>
      <ability>L2_Punc</ability>
      <abilityName>标点符号检查</abilityName>
      <candidateList>
        <item>〉的通知》</item>
      </candidateList>
      <explain/>
      <paraID>1FBAF975</paraID>
      <start>44</start>
      <end>49</end>
      <status>unmodified</status>
      <modifiedWord/>
      <trackRevisions>false</trackRevisions>
    </reviewItem>
    <reviewItem>
      <errorID>c354ca3e-125a-46c5-9907-2a6e2adf0c39</errorID>
      <errorWord>胶粘剂</errorWord>
      <group>L1_Word</group>
      <groupName>字词问题</groupName>
      <ability>L2_Typo</ability>
      <abilityName>字词错误</abilityName>
      <candidateList>
        <item>胶黏剂</item>
      </candidateList>
      <explain/>
      <paraID>2CB9C275</paraID>
      <start>42</start>
      <end>45</end>
      <status>unmodified</status>
      <modifiedWord/>
      <trackRevisions>false</trackRevisions>
    </reviewItem>
    <reviewItem>
      <errorID>8dbf56e0-11a0-4b67-80e1-440f0deeb0d1</errorID>
      <errorWord>胶粘剂</errorWord>
      <group>L1_Word</group>
      <groupName>字词问题</groupName>
      <ability>L2_Typo</ability>
      <abilityName>字词错误</abilityName>
      <candidateList>
        <item>胶黏剂</item>
      </candidateList>
      <explain/>
      <paraID>48219C95</paraID>
      <start>12</start>
      <end>15</end>
      <status>unmodified</status>
      <modifiedWord/>
      <trackRevisions>false</trackRevisions>
    </reviewItem>
    <reviewItem>
      <errorID>8547e986-0913-492d-8e55-821d830ae383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70E35D17</paraID>
      <start>37</start>
      <end>40</end>
      <status>unmodified</status>
      <modifiedWord/>
      <trackRevisions>false</trackRevisions>
    </reviewItem>
    <reviewItem>
      <errorID>19fec183-a36f-48f2-816d-6c90260ccef9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59FA95D6</paraID>
      <start>0</start>
      <end>2</end>
      <status>unmodified</status>
      <modifiedWord/>
      <trackRevisions>false</trackRevisions>
    </reviewItem>
    <reviewItem>
      <errorID>201f32f0-2980-4661-a466-867134eae428</errorID>
      <errorWord>&lt;</errorWord>
      <group>L1_Format</group>
      <groupName>格式问题</groupName>
      <ability>L2_HalfPunc</ability>
      <abilityName>全半角检查</abilityName>
      <candidateList>
        <item>〈</item>
      </candidateList>
      <explain>文本全半角错误。</explain>
      <paraID>45F58617</paraID>
      <start>5</start>
      <end>6</end>
      <status>unmodified</status>
      <modifiedWord/>
      <trackRevisions>false</trackRevisions>
    </reviewItem>
    <reviewItem>
      <errorID>1f6d5841-7bf6-469e-b1c9-a5803dda94ba</errorID>
      <errorWord>&gt;的通知》</errorWord>
      <group>L1_Punc</group>
      <groupName>标点问题</groupName>
      <ability>L2_Punc</ability>
      <abilityName>标点符号检查</abilityName>
      <candidateList>
        <item>〉的通知》</item>
      </candidateList>
      <explain/>
      <paraID>45F58617</paraID>
      <start>30</start>
      <end>35</end>
      <status>unmodified</status>
      <modifiedWord/>
      <trackRevisions>false</trackRevisions>
    </reviewItem>
    <reviewItem>
      <errorID>5ce3e7d6-f7cc-4850-b348-260175c6b1d1</errorID>
      <errorWord>(</errorWord>
      <group>L1_Format</group>
      <groupName>格式问题</groupName>
      <ability>L2_HalfPunc</ability>
      <abilityName>全半角检查</abilityName>
      <candidateList>
        <item>（</item>
      </candidateList>
      <explain>文本全半角错误。</explain>
      <paraID>45F58617</paraID>
      <start>35</start>
      <end>36</end>
      <status>unmodified</status>
      <modifiedWord/>
      <trackRevisions>false</trackRevisions>
    </reviewItem>
    <reviewItem>
      <errorID>72caf875-ce2f-4031-8f1a-1166fe55e56f</errorID>
      <errorWord>)</errorWord>
      <group>L1_Format</group>
      <groupName>格式问题</groupName>
      <ability>L2_HalfPunc</ability>
      <abilityName>全半角检查</abilityName>
      <candidateList>
        <item>）</item>
      </candidateList>
      <explain>文本全半角错误。</explain>
      <paraID>45F58617</paraID>
      <start>48</start>
      <end>49</end>
      <status>unmodified</status>
      <modifiedWord/>
      <trackRevisions>false</trackRevisions>
    </reviewItem>
    <reviewItem>
      <errorID>6c83075e-57ce-4821-943d-3d97268f148f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A5AA6E</paraID>
      <start>0</start>
      <end>3</end>
      <status>unmodified</status>
      <modifiedWord/>
      <trackRevisions>false</trackRevisions>
    </reviewItem>
    <reviewItem>
      <errorID>fdcfadd0-91f9-4fb6-99b8-c97afc3ddffc</errorID>
      <errorWord>(</errorWord>
      <group>L1_Format</group>
      <groupName>格式问题</groupName>
      <ability>L2_HalfPunc</ability>
      <abilityName>全半角检查</abilityName>
      <candidateList>
        <item>（</item>
      </candidateList>
      <explain>文本全半角错误。</explain>
      <paraID>  A5AA6E</paraID>
      <start>54</start>
      <end>55</end>
      <status>unmodified</status>
      <modifiedWord/>
      <trackRevisions>false</trackRevisions>
    </reviewItem>
    <reviewItem>
      <errorID>feb1784a-0768-4c5a-b646-7603442635d7</errorID>
      <errorWord>)</errorWord>
      <group>L1_Format</group>
      <groupName>格式问题</groupName>
      <ability>L2_HalfPunc</ability>
      <abilityName>全半角检查</abilityName>
      <candidateList>
        <item>）</item>
      </candidateList>
      <explain>文本全半角错误。</explain>
      <paraID>  A5AA6E</paraID>
      <start>56</start>
      <end>57</end>
      <status>unmodified</status>
      <modifiedWord/>
      <trackRevisions>false</trackRevisions>
    </reviewItem>
    <reviewItem>
      <errorID>41f1a0e3-73d8-4389-afb1-e849254e0d64</errorID>
      <errorWord>(</errorWord>
      <group>L1_Format</group>
      <groupName>格式问题</groupName>
      <ability>L2_HalfPunc</ability>
      <abilityName>全半角检查</abilityName>
      <candidateList>
        <item>（</item>
      </candidateList>
      <explain>文本全半角错误。</explain>
      <paraID>  A5AA6E</paraID>
      <start>140</start>
      <end>141</end>
      <status>unmodified</status>
      <modifiedWord/>
      <trackRevisions>false</trackRevisions>
    </reviewItem>
    <reviewItem>
      <errorID>aef8c710-d968-438c-80e0-b4a12b03e22a</errorID>
      <errorWord>)</errorWord>
      <group>L1_Format</group>
      <groupName>格式问题</groupName>
      <ability>L2_HalfPunc</ability>
      <abilityName>全半角检查</abilityName>
      <candidateList>
        <item>）</item>
      </candidateList>
      <explain>文本全半角错误。</explain>
      <paraID>  A5AA6E</paraID>
      <start>142</start>
      <end>143</end>
      <status>unmodified</status>
      <modifiedWord/>
      <trackRevisions>false</trackRevisions>
    </reviewItem>
    <reviewItem>
      <errorID>b10bd738-8fa2-48fe-b55d-7caea0a0d6b4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47356ED5</paraID>
      <start>0</start>
      <end>3</end>
      <status>unmodified</status>
      <modifiedWord/>
      <trackRevisions>false</trackRevisions>
    </reviewItem>
    <reviewItem>
      <errorID>9b119df0-cd2c-448a-9327-6d57495268af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1D72DDB</paraID>
      <start>0</start>
      <end>3</end>
      <status>unmodified</status>
      <modifiedWord/>
      <trackRevisions>false</trackRevisions>
    </reviewItem>
    <reviewItem>
      <errorID>a66a58f4-aa62-41d8-b889-28f7edb162de</errorID>
      <errorWord>(</errorWord>
      <group>L1_Format</group>
      <groupName>格式问题</groupName>
      <ability>L2_HalfPunc</ability>
      <abilityName>全半角检查</abilityName>
      <candidateList>
        <item>（</item>
      </candidateList>
      <explain>文本全半角错误。</explain>
      <paraID>426BA3C7</paraID>
      <start>30</start>
      <end>31</end>
      <status>unmodified</status>
      <modifiedWord/>
      <trackRevisions>false</trackRevisions>
    </reviewItem>
    <reviewItem>
      <errorID>b06214db-f1f5-4688-8116-a1423cbaf607</errorID>
      <errorWord>)</errorWord>
      <group>L1_Format</group>
      <groupName>格式问题</groupName>
      <ability>L2_HalfPunc</ability>
      <abilityName>全半角检查</abilityName>
      <candidateList>
        <item>）</item>
      </candidateList>
      <explain>文本全半角错误。</explain>
      <paraID>426BA3C7</paraID>
      <start>42</start>
      <end>43</end>
      <status>unmodified</status>
      <modifiedWord/>
      <trackRevisions>false</trackRevisions>
    </reviewItem>
    <reviewItem>
      <errorID>6c717202-d1f4-42cc-82ee-fda70f990a6d</errorID>
      <errorWord>(</errorWord>
      <group>L1_Format</group>
      <groupName>格式问题</groupName>
      <ability>L2_HalfPunc</ability>
      <abilityName>全半角检查</abilityName>
      <candidateList>
        <item>（</item>
      </candidateList>
      <explain>文本全半角错误。</explain>
      <paraID>124A78D8</paraID>
      <start>26</start>
      <end>27</end>
      <status>unmodified</status>
      <modifiedWord/>
      <trackRevisions>false</trackRevisions>
    </reviewItem>
    <reviewItem>
      <errorID>90a9f8c0-8027-49c1-af2d-743f8cdcb9c6</errorID>
      <errorWord>)</errorWord>
      <group>L1_Format</group>
      <groupName>格式问题</groupName>
      <ability>L2_HalfPunc</ability>
      <abilityName>全半角检查</abilityName>
      <candidateList>
        <item>）</item>
      </candidateList>
      <explain>文本全半角错误。</explain>
      <paraID>124A78D8</paraID>
      <start>39</start>
      <end>40</end>
      <status>unmodified</status>
      <modifiedWord/>
      <trackRevisions>false</trackRevisions>
    </reviewItem>
    <reviewItem>
      <errorID>67175e5d-4c2e-46aa-acd0-49a581b30377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2B3D975</paraID>
      <start>0</start>
      <end>2</end>
      <status>unmodified</status>
      <modifiedWord/>
      <trackRevisions>false</trackRevisions>
    </reviewItem>
    <reviewItem>
      <errorID>781cc785-0c39-4480-a740-4d7217a96a84</errorID>
      <errorWord>（</errorWord>
      <group>L1_Punc</group>
      <groupName>标点问题</groupName>
      <ability>L2_Punc</ability>
      <abilityName>标点符号检查</abilityName>
      <candidateList/>
      <explain>同一形式括号套用。</explain>
      <paraID>5CFD8C42</paraID>
      <start>410</start>
      <end>411</end>
      <status>unmodified</status>
      <modifiedWord/>
      <trackRevisions>false</trackRevisions>
    </reviewItem>
    <reviewItem>
      <errorID>aacd13eb-7a3d-4315-abb0-5bb82cad0c9f</errorID>
      <errorWord>）</errorWord>
      <group>L1_Punc</group>
      <groupName>标点问题</groupName>
      <ability>L2_Punc</ability>
      <abilityName>标点符号检查</abilityName>
      <candidateList/>
      <explain>同一形式括号套用。</explain>
      <paraID>5CFD8C42</paraID>
      <start>418</start>
      <end>419</end>
      <status>unmodified</status>
      <modifiedWord/>
      <trackRevisions>false</trackRevisions>
    </reviewItem>
    <reviewItem>
      <errorID>0546ad7c-553b-4450-a51c-046ed1fb7045</errorID>
      <errorWord>-</errorWord>
      <group>L1_Format</group>
      <groupName>格式问题</groupName>
      <ability>L2_HalfPunc</ability>
      <abilityName>全半角检查</abilityName>
      <candidateList>
        <item>－</item>
      </candidateList>
      <explain>文本全半角错误。</explain>
      <paraID>19CA6A9A</paraID>
      <start>124</start>
      <end>125</end>
      <status>unmodified</status>
      <modifiedWord/>
      <trackRevisions>false</trackRevisions>
    </reviewItem>
    <reviewItem>
      <errorID>b3243372-4566-42a1-ae2d-25383e218fa3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4065D2BB</paraID>
      <start>0</start>
      <end>2</end>
      <status>unmodified</status>
      <modifiedWord/>
      <trackRevisions>false</trackRevisions>
    </reviewItem>
    <reviewItem>
      <errorID>59531164-70c9-4b7c-b0a9-20fbe484b67b</errorID>
      <errorWord>紫外光</errorWord>
      <group>L1_Word</group>
      <groupName>字词问题</groupName>
      <ability>L2_Typo</ability>
      <abilityName>字词错误</abilityName>
      <candidateList>
        <item>紫外线</item>
      </candidateList>
      <explain/>
      <paraID> AA21AF2</paraID>
      <start>1</start>
      <end>4</end>
      <status>unmodified</status>
      <modifiedWord/>
      <trackRevisions>false</trackRevisions>
    </reviewItem>
    <reviewItem>
      <errorID>a87b0544-d17a-4c8b-8420-371a25ddf4b0</errorID>
      <errorWord>紫外光</errorWord>
      <group>L1_Word</group>
      <groupName>字词问题</groupName>
      <ability>L2_Typo</ability>
      <abilityName>字词错误</abilityName>
      <candidateList>
        <item>紫外线</item>
      </candidateList>
      <explain/>
      <paraID>4AFDD190</paraID>
      <start>1</start>
      <end>4</end>
      <status>unmodified</status>
      <modifiedWord/>
      <trackRevisions>false</trackRevisions>
    </reviewItem>
    <reviewItem>
      <errorID>ed3e9db7-241f-41bd-8f39-cd8c5d606e83</errorID>
      <errorWord>紫外光</errorWord>
      <group>L1_Word</group>
      <groupName>字词问题</groupName>
      <ability>L2_Typo</ability>
      <abilityName>字词错误</abilityName>
      <candidateList>
        <item>紫外线</item>
      </candidateList>
      <explain/>
      <paraID>5E2D157E</paraID>
      <start>1</start>
      <end>4</end>
      <status>unmodified</status>
      <modifiedWord/>
      <trackRevisions>false</trackRevisions>
    </reviewItem>
    <reviewItem>
      <errorID>884f3503-0c37-4428-bd58-0e6ae5de4813</errorID>
      <errorWord>紫外光</errorWord>
      <group>L1_Word</group>
      <groupName>字词问题</groupName>
      <ability>L2_Typo</ability>
      <abilityName>字词错误</abilityName>
      <candidateList>
        <item>紫外线</item>
      </candidateList>
      <explain/>
      <paraID>5DCA2FA4</paraID>
      <start>1</start>
      <end>4</end>
      <status>unmodified</status>
      <modifiedWord/>
      <trackRevisions>false</trackRevisions>
    </reviewItem>
    <reviewItem>
      <errorID>f86eaf2e-3006-4ebf-98cf-fb9a20b067bd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7E3867F4</paraID>
      <start>0</start>
      <end>2</end>
      <status>unmodified</status>
      <modifiedWord/>
      <trackRevisions>false</trackRevisions>
    </reviewItem>
    <reviewItem>
      <errorID>f3ef677f-ce0d-4186-82b9-5b04e866a412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78F10EB4</paraID>
      <start>0</start>
      <end>2</end>
      <status>unmodified</status>
      <modifiedWord/>
      <trackRevisions>false</trackRevisions>
    </reviewItem>
    <reviewItem>
      <errorID>77dda29d-7aee-48b1-9151-15a90928e485</errorID>
      <errorWord>建</errorWord>
      <group>L1_Word</group>
      <groupName>字词问题</groupName>
      <ability>L2_Typo</ability>
      <abilityName>字词错误</abilityName>
      <candidateList>
        <item>建成</item>
      </candidateList>
      <explain/>
      <paraID>1B0F545A</paraID>
      <start>1</start>
      <end>2</end>
      <status>unmodified</status>
      <modifiedWord/>
      <trackRevisions>false</trackRevisions>
    </reviewItem>
    <reviewItem>
      <errorID>b7302c43-a175-43fa-a080-e85fc270e97a</errorID>
      <errorWord>建</errorWord>
      <group>L1_Word</group>
      <groupName>字词问题</groupName>
      <ability>L2_Typo</ability>
      <abilityName>字词错误</abilityName>
      <candidateList>
        <item>建成</item>
      </candidateList>
      <explain/>
      <paraID>205C9108</paraID>
      <start>1</start>
      <end>2</end>
      <status>unmodified</status>
      <modifiedWord/>
      <trackRevisions>false</trackRevisions>
    </reviewItem>
    <reviewItem>
      <errorID>74830523-688a-4276-be5a-ae1696a115cf</errorID>
      <errorWord>建</errorWord>
      <group>L1_Word</group>
      <groupName>字词问题</groupName>
      <ability>L2_Typo</ability>
      <abilityName>字词错误</abilityName>
      <candidateList>
        <item>建成</item>
      </candidateList>
      <explain/>
      <paraID>469D1AC9</paraID>
      <start>1</start>
      <end>2</end>
      <status>unmodified</status>
      <modifiedWord/>
      <trackRevisions>false</trackRevisions>
    </reviewItem>
    <reviewItem>
      <errorID>77d845bd-ae4e-4660-b124-56979de37093</errorID>
      <errorWord>(</errorWord>
      <group>L1_Format</group>
      <groupName>格式问题</groupName>
      <ability>L2_HalfPunc</ability>
      <abilityName>全半角检查</abilityName>
      <candidateList>
        <item>（</item>
      </candidateList>
      <explain>文本全半角错误。</explain>
      <paraID>7347DB88</paraID>
      <start>20</start>
      <end>21</end>
      <status>unmodified</status>
      <modifiedWord/>
      <trackRevisions>false</trackRevisions>
    </reviewItem>
    <reviewItem>
      <errorID>ea1c752a-bd86-4dcd-86bf-4e1e207f8a8b</errorID>
      <errorWord>)</errorWord>
      <group>L1_Format</group>
      <groupName>格式问题</groupName>
      <ability>L2_HalfPunc</ability>
      <abilityName>全半角检查</abilityName>
      <candidateList>
        <item>）</item>
      </candidateList>
      <explain>文本全半角错误。</explain>
      <paraID>7347DB88</paraID>
      <start>26</start>
      <end>27</end>
      <status>unmodified</status>
      <modifiedWord/>
      <trackRevisions>false</trackRevisions>
    </reviewItem>
    <reviewItem>
      <errorID>b377460b-d428-4e0d-b081-cae9f2c2807f</errorID>
      <errorWord>(</errorWord>
      <group>L1_Format</group>
      <groupName>格式问题</groupName>
      <ability>L2_HalfPunc</ability>
      <abilityName>全半角检查</abilityName>
      <candidateList>
        <item>（</item>
      </candidateList>
      <explain>文本全半角错误。</explain>
      <paraID>7347DB88</paraID>
      <start>41</start>
      <end>42</end>
      <status>unmodified</status>
      <modifiedWord/>
      <trackRevisions>false</trackRevisions>
    </reviewItem>
    <reviewItem>
      <errorID>a5225316-f791-4895-aff9-5c23ac4fa30e</errorID>
      <errorWord>)</errorWord>
      <group>L1_Format</group>
      <groupName>格式问题</groupName>
      <ability>L2_HalfPunc</ability>
      <abilityName>全半角检查</abilityName>
      <candidateList>
        <item>）</item>
      </candidateList>
      <explain>文本全半角错误。</explain>
      <paraID>7347DB88</paraID>
      <start>47</start>
      <end>48</end>
      <status>unmodified</status>
      <modifiedWord/>
      <trackRevisions>false</trackRevisions>
    </reviewItem>
    <reviewItem>
      <errorID>0974e20c-37a9-4015-b784-57fb053def49</errorID>
      <errorWord>,</errorWord>
      <group>L1_Format</group>
      <groupName>格式问题</groupName>
      <ability>L2_HalfPunc</ability>
      <abilityName>全半角检查</abilityName>
      <candidateList>
        <item>，</item>
      </candidateList>
      <explain>文本全半角错误。</explain>
      <paraID>52F215EF</paraID>
      <start>8</start>
      <end>9</end>
      <status>unmodified</status>
      <modifiedWord/>
      <trackRevisions>false</trackRevisions>
    </reviewItem>
    <reviewItem>
      <errorID>ea708cc9-646e-4383-a7a5-70c5139ce071</errorID>
      <errorWord>,</errorWord>
      <group>L1_Format</group>
      <groupName>格式问题</groupName>
      <ability>L2_HalfPunc</ability>
      <abilityName>全半角检查</abilityName>
      <candidateList>
        <item>，</item>
      </candidateList>
      <explain>文本全半角错误。</explain>
      <paraID>3FDE45BC</paraID>
      <start>8</start>
      <end>9</end>
      <status>unmodified</status>
      <modifiedWord/>
      <trackRevisions>false</trackRevisions>
    </reviewItem>
    <reviewItem>
      <errorID>a4d2e4e3-c3ca-424b-a7b3-8c68f20f37d2</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79CB1269</paraID>
      <start>0</start>
      <end>2</end>
      <status>unmodified</status>
      <modifiedWord/>
      <trackRevisions>false</trackRevisions>
    </reviewItem>
    <reviewItem>
      <errorID>00fa73f1-644e-4edd-a080-04211dd64b43</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4EC28C7E</paraID>
      <start>0</start>
      <end>2</end>
      <status>unmodified</status>
      <modifiedWord/>
      <trackRevisions>false</trackRevisions>
    </reviewItem>
    <reviewItem>
      <errorID>effceac7-62fd-4d57-8aa1-4e7e745dbc36</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5AA14F23</paraID>
      <start>0</start>
      <end>2</end>
      <status>unmodified</status>
      <modifiedWord/>
      <trackRevisions>false</trackRevisions>
    </reviewItem>
    <reviewItem>
      <errorID>5c8cdb2d-8bc4-4695-b2e2-81ba02ce8484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62EA5EFC</paraID>
      <start>0</start>
      <end>2</end>
      <status>unmodified</status>
      <modifiedWord/>
      <trackRevisions>false</trackRevisions>
    </reviewItem>
    <reviewItem>
      <errorID>02594dbf-4b96-4832-925d-2c1005db405f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6D52F997</paraID>
      <start>0</start>
      <end>2</end>
      <status>unmodified</status>
      <modifiedWord/>
      <trackRevisions>false</trackRevisions>
    </reviewItem>
    <reviewItem>
      <errorID>8974ca12-ed58-499c-b014-bcc382b57971</errorID>
      <errorWord>程</errorWord>
      <group>L1_Word</group>
      <groupName>字词问题</groupName>
      <ability>L2_Typo</ability>
      <abilityName>字词错误</abilityName>
      <candidateList>
        <item>程中</item>
      </candidateList>
      <explain/>
      <paraID>1784B793</paraID>
      <start>58</start>
      <end>59</end>
      <status>unmodified</status>
      <modifiedWord/>
      <trackRevisions>false</trackRevisions>
    </reviewItem>
    <reviewItem>
      <errorID>2a1353bd-4b0f-486d-8f40-7c2418d136e7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77F7BEEF</paraID>
      <start>0</start>
      <end>2</end>
      <status>unmodified</status>
      <modifiedWord/>
      <trackRevisions>false</trackRevisions>
    </reviewItem>
    <reviewItem>
      <errorID>7396eec5-876d-4a5e-b79e-f60b78c1033f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1AC33C32</paraID>
      <start>38</start>
      <end>39</end>
      <status>unmodified</status>
      <modifiedWord/>
      <trackRevisions>false</trackRevisions>
    </reviewItem>
    <reviewItem>
      <errorID>4a0520ae-6d63-498e-8d5d-65b03a6ec6b4</errorID>
      <errorWord>（</errorWord>
      <group>L1_Word</group>
      <groupName>字词问题</groupName>
      <ability>L2_Typo</ability>
      <abilityName>字词错误</abilityName>
      <candidateList>
        <item>（生</item>
      </candidateList>
      <explain/>
      <paraID>4BA51E6C</paraID>
      <start>30</start>
      <end>31</end>
      <status>unmodified</status>
      <modifiedWord/>
      <trackRevisions>false</trackRevisions>
    </reviewItem>
    <reviewItem>
      <errorID>81328175-9f4d-4007-85ef-76859d063a1a</errorID>
      <errorWord>(</errorWord>
      <group>L1_Format</group>
      <groupName>格式问题</groupName>
      <ability>L2_HalfPunc</ability>
      <abilityName>全半角检查</abilityName>
      <candidateList>
        <item>（</item>
      </candidateList>
      <explain>文本全半角错误。</explain>
      <paraID>7774C55C</paraID>
      <start>58</start>
      <end>59</end>
      <status>unmodified</status>
      <modifiedWord/>
      <trackRevisions>false</trackRevisions>
    </reviewItem>
    <reviewItem>
      <errorID>0918acbd-48c2-46b7-9b52-97b0349ebb7b</errorID>
      <errorWord>)</errorWord>
      <group>L1_Format</group>
      <groupName>格式问题</groupName>
      <ability>L2_HalfPunc</ability>
      <abilityName>全半角检查</abilityName>
      <candidateList>
        <item>）</item>
      </candidateList>
      <explain>文本全半角错误。</explain>
      <paraID>7774C55C</paraID>
      <start>61</start>
      <end>62</end>
      <status>unmodified</status>
      <modifiedWord/>
      <trackRevisions>false</trackRevisions>
    </reviewItem>
    <reviewItem>
      <errorID>0a58649f-779f-44d4-82ae-c58168185bba</errorID>
      <errorWord>(</errorWord>
      <group>L1_Format</group>
      <groupName>格式问题</groupName>
      <ability>L2_HalfPunc</ability>
      <abilityName>全半角检查</abilityName>
      <candidateList>
        <item>（</item>
      </candidateList>
      <explain>文本全半角错误。</explain>
      <paraID>7774C55C</paraID>
      <start>175</start>
      <end>176</end>
      <status>unmodified</status>
      <modifiedWord/>
      <trackRevisions>false</trackRevisions>
    </reviewItem>
    <reviewItem>
      <errorID>fed8114d-8a02-48b8-a4db-8933e4ce3f35</errorID>
      <errorWord>(</errorWord>
      <group>L1_Format</group>
      <groupName>格式问题</groupName>
      <ability>L2_HalfPunc</ability>
      <abilityName>全半角检查</abilityName>
      <candidateList>
        <item>（</item>
      </candidateList>
      <explain>文本全半角错误。</explain>
      <paraID>7774C55C</paraID>
      <start>239</start>
      <end>240</end>
      <status>unmodified</status>
      <modifiedWord/>
      <trackRevisions>false</trackRevisions>
    </reviewItem>
    <reviewItem>
      <errorID>a302f07c-b49c-43d7-a9c2-4881d8c5104e</errorID>
      <errorWord>(</errorWord>
      <group>L1_Format</group>
      <groupName>格式问题</groupName>
      <ability>L2_HalfPunc</ability>
      <abilityName>全半角检查</abilityName>
      <candidateList>
        <item>（</item>
      </candidateList>
      <explain>文本全半角错误。</explain>
      <paraID>7774C55C</paraID>
      <start>298</start>
      <end>299</end>
      <status>unmodified</status>
      <modifiedWord/>
      <trackRevisions>false</trackRevisions>
    </reviewItem>
    <reviewItem>
      <errorID>cfca15d2-e744-4e5a-b5a1-48e493d9e333</errorID>
      <errorWord>,</errorWord>
      <group>L1_Format</group>
      <groupName>格式问题</groupName>
      <ability>L2_HalfPunc</ability>
      <abilityName>全半角检查</abilityName>
      <candidateList>
        <item>，</item>
      </candidateList>
      <explain>文本全半角错误。</explain>
      <paraID>70A825AF</paraID>
      <start>29</start>
      <end>30</end>
      <status>unmodified</status>
      <modifiedWord/>
      <trackRevisions>false</trackRevisions>
    </reviewItem>
    <reviewItem>
      <errorID>053865ff-b31e-4c85-a2fb-0391552c3f5c</errorID>
      <errorWord>(</errorWord>
      <group>L1_Format</group>
      <groupName>格式问题</groupName>
      <ability>L2_HalfPunc</ability>
      <abilityName>全半角检查</abilityName>
      <candidateList>
        <item>（</item>
      </candidateList>
      <explain>文本全半角错误。</explain>
      <paraID>6FE606D0</paraID>
      <start>65</start>
      <end>66</end>
      <status>unmodified</status>
      <modifiedWord/>
      <trackRevisions>false</trackRevisions>
    </reviewItem>
    <reviewItem>
      <errorID>136f021b-f414-4841-a679-5088968e9264</errorID>
      <errorWord>)</errorWord>
      <group>L1_Format</group>
      <groupName>格式问题</groupName>
      <ability>L2_HalfPunc</ability>
      <abilityName>全半角检查</abilityName>
      <candidateList>
        <item>）</item>
      </candidateList>
      <explain>文本全半角错误。</explain>
      <paraID>6FE606D0</paraID>
      <start>74</start>
      <end>75</end>
      <status>unmodified</status>
      <modifiedWord/>
      <trackRevisions>false</trackRevisions>
    </reviewItem>
    <reviewItem>
      <errorID>bb3e086c-6753-4cce-82ab-fc59f0bae2e3</errorID>
      <errorWord>(</errorWord>
      <group>L1_Format</group>
      <groupName>格式问题</groupName>
      <ability>L2_HalfPunc</ability>
      <abilityName>全半角检查</abilityName>
      <candidateList>
        <item>（</item>
      </candidateList>
      <explain>文本全半角错误。</explain>
      <paraID>651B0527</paraID>
      <start>170</start>
      <end>171</end>
      <status>unmodified</status>
      <modifiedWord/>
      <trackRevisions>false</trackRevisions>
    </reviewItem>
    <reviewItem>
      <errorID>eeac8b5d-4b3c-4b25-bd35-dc17dc61d0e1</errorID>
      <errorWord>)</errorWord>
      <group>L1_Format</group>
      <groupName>格式问题</groupName>
      <ability>L2_HalfPunc</ability>
      <abilityName>全半角检查</abilityName>
      <candidateList>
        <item>）</item>
      </candidateList>
      <explain>文本全半角错误。</explain>
      <paraID>651B0527</paraID>
      <start>185</start>
      <end>186</end>
      <status>unmodified</status>
      <modifiedWord/>
      <trackRevisions>false</trackRevisions>
    </reviewItem>
    <reviewItem>
      <errorID>0048afdf-4f61-462c-ac4c-04e9aa69704d</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649BF529</paraID>
      <start>0</start>
      <end>2</end>
      <status>unmodified</status>
      <modifiedWord/>
      <trackRevisions>false</trackRevisions>
    </reviewItem>
    <reviewItem>
      <errorID>296db3b2-7602-4501-b2eb-7546e58a170b</errorID>
      <errorWord>(</errorWord>
      <group>L1_Format</group>
      <groupName>格式问题</groupName>
      <ability>L2_HalfPunc</ability>
      <abilityName>全半角检查</abilityName>
      <candidateList>
        <item>（</item>
      </candidateList>
      <explain>文本全半角错误。</explain>
      <paraID>606ED73D</paraID>
      <start>52</start>
      <end>53</end>
      <status>unmodified</status>
      <modifiedWord/>
      <trackRevisions>false</trackRevisions>
    </reviewItem>
    <reviewItem>
      <errorID>d25420a0-996c-4110-b534-3b02d016ad36</errorID>
      <errorWord>)</errorWord>
      <group>L1_Format</group>
      <groupName>格式问题</groupName>
      <ability>L2_HalfPunc</ability>
      <abilityName>全半角检查</abilityName>
      <candidateList>
        <item>）</item>
      </candidateList>
      <explain>文本全半角错误。</explain>
      <paraID>606ED73D</paraID>
      <start>55</start>
      <end>56</end>
      <status>unmodified</status>
      <modifiedWord/>
      <trackRevisions>false</trackRevisions>
    </reviewItem>
    <reviewItem>
      <errorID>2a4b979e-3b1f-4f26-a125-cdc9177db41a</errorID>
      <errorWord>(</errorWord>
      <group>L1_Format</group>
      <groupName>格式问题</groupName>
      <ability>L2_HalfPunc</ability>
      <abilityName>全半角检查</abilityName>
      <candidateList>
        <item>（</item>
      </candidateList>
      <explain>文本全半角错误。</explain>
      <paraID>606ED73D</paraID>
      <start>104</start>
      <end>105</end>
      <status>unmodified</status>
      <modifiedWord/>
      <trackRevisions>false</trackRevisions>
    </reviewItem>
    <reviewItem>
      <errorID>089f2086-0d79-42fc-bae4-da552bd92192</errorID>
      <errorWord>)</errorWord>
      <group>L1_Format</group>
      <groupName>格式问题</groupName>
      <ability>L2_HalfPunc</ability>
      <abilityName>全半角检查</abilityName>
      <candidateList>
        <item>）</item>
      </candidateList>
      <explain>文本全半角错误。</explain>
      <paraID>606ED73D</paraID>
      <start>107</start>
      <end>108</end>
      <status>unmodified</status>
      <modifiedWord/>
      <trackRevisions>false</trackRevisions>
    </reviewItem>
    <reviewItem>
      <errorID>c87e6ec9-2b5f-4a78-a965-280139b3d35b</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1CA0262C</paraID>
      <start>0</start>
      <end>2</end>
      <status>unmodified</status>
      <modifiedWord/>
      <trackRevisions>false</trackRevisions>
    </reviewItem>
    <reviewItem>
      <errorID>1807f310-0abe-43a5-b3be-425c5f0b8a8a</errorID>
      <errorWord>(</errorWord>
      <group>L1_Format</group>
      <groupName>格式问题</groupName>
      <ability>L2_HalfPunc</ability>
      <abilityName>全半角检查</abilityName>
      <candidateList>
        <item>（</item>
      </candidateList>
      <explain>文本全半角错误。</explain>
      <paraID>6850B6B3</paraID>
      <start>49</start>
      <end>50</end>
      <status>unmodified</status>
      <modifiedWord/>
      <trackRevisions>false</trackRevisions>
    </reviewItem>
    <reviewItem>
      <errorID>e2740ce2-d881-417e-9c92-3f9724c67513</errorID>
      <errorWord>)</errorWord>
      <group>L1_Format</group>
      <groupName>格式问题</groupName>
      <ability>L2_HalfPunc</ability>
      <abilityName>全半角检查</abilityName>
      <candidateList>
        <item>）</item>
      </candidateList>
      <explain>文本全半角错误。</explain>
      <paraID>6850B6B3</paraID>
      <start>52</start>
      <end>53</end>
      <status>unmodified</status>
      <modifiedWord/>
      <trackRevisions>false</trackRevisions>
    </reviewItem>
    <reviewItem>
      <errorID>814ab3a8-eeb9-46a7-a6b4-754bf41676b5</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6E202B73</paraID>
      <start>0</start>
      <end>2</end>
      <status>unmodified</status>
      <modifiedWord/>
      <trackRevisions>false</trackRevisions>
    </reviewItem>
    <reviewItem>
      <errorID>12d15f18-7ed3-4e7c-ad5b-acfdb592ee0b</errorID>
      <errorWord>(</errorWord>
      <group>L1_Format</group>
      <groupName>格式问题</groupName>
      <ability>L2_HalfPunc</ability>
      <abilityName>全半角检查</abilityName>
      <candidateList>
        <item>（</item>
      </candidateList>
      <explain>文本全半角错误。</explain>
      <paraID>47E5BD60</paraID>
      <start>82</start>
      <end>83</end>
      <status>unmodified</status>
      <modifiedWord/>
      <trackRevisions>false</trackRevisions>
    </reviewItem>
    <reviewItem>
      <errorID>28a34b12-98ba-4d04-abcb-5412e0606b1d</errorID>
      <errorWord>)</errorWord>
      <group>L1_Format</group>
      <groupName>格式问题</groupName>
      <ability>L2_HalfPunc</ability>
      <abilityName>全半角检查</abilityName>
      <candidateList>
        <item>）</item>
      </candidateList>
      <explain>文本全半角错误。</explain>
      <paraID>47E5BD60</paraID>
      <start>85</start>
      <end>86</end>
      <status>unmodified</status>
      <modifiedWord/>
      <trackRevisions>false</trackRevisions>
    </reviewItem>
    <reviewItem>
      <errorID>03dbacac-2f21-4e3b-8c21-721da1b00c5c</errorID>
      <errorWord>(</errorWord>
      <group>L1_Format</group>
      <groupName>格式问题</groupName>
      <ability>L2_HalfPunc</ability>
      <abilityName>全半角检查</abilityName>
      <candidateList>
        <item>（</item>
      </candidateList>
      <explain>文本全半角错误。</explain>
      <paraID>128D629F</paraID>
      <start>13</start>
      <end>14</end>
      <status>unmodified</status>
      <modifiedWord/>
      <trackRevisions>false</trackRevisions>
    </reviewItem>
    <reviewItem>
      <errorID>906cca64-f3fb-479b-ae42-1eebaaf8100d</errorID>
      <errorWord>)</errorWord>
      <group>L1_Format</group>
      <groupName>格式问题</groupName>
      <ability>L2_HalfPunc</ability>
      <abilityName>全半角检查</abilityName>
      <candidateList>
        <item>）</item>
      </candidateList>
      <explain>文本全半角错误。</explain>
      <paraID>128D629F</paraID>
      <start>16</start>
      <end>17</end>
      <status>unmodified</status>
      <modifiedWord/>
      <trackRevisions>false</trackRevisions>
    </reviewItem>
    <reviewItem>
      <errorID>3e97af86-8445-4a52-8092-f406aa5f15eb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390BC301</paraID>
      <start>68</start>
      <end>71</end>
      <status>unmodified</status>
      <modifiedWord/>
      <trackRevisions>false</trackRevisions>
    </reviewItem>
    <reviewItem>
      <errorID>e215c76c-4af2-468b-a34f-58453a8c612f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D429D0C</paraID>
      <start>0</start>
      <end>2</end>
      <status>unmodified</status>
      <modifiedWord/>
      <trackRevisions>false</trackRevisions>
    </reviewItem>
    <reviewItem>
      <errorID>b376bd47-de2b-4f4a-aebf-aa9e50888d55</errorID>
      <errorWord>IV</errorWord>
      <group>L1_Knowledge</group>
      <groupName>知识性问题</groupName>
      <ability>L2_Knowledge</ability>
      <abilityName>其他知识</abilityName>
      <candidateList>
        <item>Ⅳ</item>
      </candidateList>
      <explain/>
      <paraID>5BD503ED</paraID>
      <start>500</start>
      <end>502</end>
      <status>unmodified</status>
      <modifiedWord/>
      <trackRevisions>false</trackRevisions>
    </reviewItem>
    <reviewItem>
      <errorID>42eded26-6d76-4e4b-8fb7-f054f6e9b41b</errorID>
      <errorWord>有效地</errorWord>
      <group>L1_Word</group>
      <groupName>字词问题</groupName>
      <ability>L2_Typo</ability>
      <abilityName>字词错误</abilityName>
      <candidateList>
        <item>有效</item>
      </candidateList>
      <explain/>
      <paraID> C47FD1D</paraID>
      <start>39</start>
      <end>41</end>
      <status>modified</status>
      <modifiedWord>有效</modifiedWord>
      <trackRevisions>false</trackRevisions>
    </reviewItem>
    <reviewItem>
      <errorID>c56834f5-918d-4a38-ad30-003b9e46831a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16B8E0A4</paraID>
      <start>72</start>
      <end>73</end>
      <status>unmodified</status>
      <modifiedWord/>
      <trackRevisions>false</trackRevisions>
    </reviewItem>
    <reviewItem>
      <errorID>7b887478-c3fc-4c2e-80bc-da9adc031c63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6E9BD6FE</paraID>
      <start>38</start>
      <end>39</end>
      <status>unmodified</status>
      <modifiedWord/>
      <trackRevisions>false</trackRevisions>
    </reviewItem>
    <reviewItem>
      <errorID>e965b4fb-ef0f-4758-b23f-f81ae4967015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6B2701D8</paraID>
      <start>0</start>
      <end>2</end>
      <status>unmodified</status>
      <modifiedWord/>
      <trackRevisions>false</trackRevisions>
    </reviewItem>
    <reviewItem>
      <errorID>c142c862-aff9-46ba-bc68-4366a54ff8da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3781CD0C</paraID>
      <start>84</start>
      <end>85</end>
      <status>unmodified</status>
      <modifiedWord/>
      <trackRevisions>false</trackRevisions>
    </reviewItem>
    <reviewItem>
      <errorID>21c3d7fc-07f1-434c-bdc9-7bd8026f71e2</errorID>
      <errorWord>～</errorWord>
      <group>L1_Format</group>
      <groupName>格式问题</groupName>
      <ability>L2_HalfPunc</ability>
      <abilityName>全半角检查</abilityName>
      <candidateList>
        <item>~</item>
      </candidateList>
      <explain>文本全半角错误。</explain>
      <paraID>17C7F68A</paraID>
      <start>1</start>
      <end>2</end>
      <status>unmodified</status>
      <modifiedWord/>
      <trackRevisions>false</trackRevisions>
    </reviewItem>
    <reviewItem>
      <errorID>e7bf3127-26f0-44bf-a408-9f7a7b807f47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1A0F3445</paraID>
      <start>32</start>
      <end>33</end>
      <status>unmodified</status>
      <modifiedWord/>
      <trackRevisions>false</trackRevisions>
    </reviewItem>
    <reviewItem>
      <errorID>85e332f0-3721-43c6-a142-3cace55fe720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72504F3E</paraID>
      <start>0</start>
      <end>2</end>
      <status>unmodified</status>
      <modifiedWord/>
      <trackRevisions>false</trackRevisions>
    </reviewItem>
    <reviewItem>
      <errorID>b76816eb-b133-4e4d-9b3c-28e476ddfae8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86ADC4D</paraID>
      <start>0</start>
      <end>2</end>
      <status>unmodified</status>
      <modifiedWord/>
      <trackRevisions>false</trackRevisions>
    </reviewItem>
    <reviewItem>
      <errorID>124ef1c2-717a-4054-a91e-af81df700457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66C569C</paraID>
      <start>0</start>
      <end>2</end>
      <status>unmodified</status>
      <modifiedWord/>
      <trackRevisions>false</trackRevisions>
    </reviewItem>
    <reviewItem>
      <errorID>88ded146-858c-40d1-8217-68172909cc8f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BE1B561</paraID>
      <start>0</start>
      <end>2</end>
      <status>unmodified</status>
      <modifiedWord/>
      <trackRevisions>false</trackRevisions>
    </reviewItem>
    <reviewItem>
      <errorID>edc91d7c-da77-47fc-9bc6-1ed2ff8f22b7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39CF740E</paraID>
      <start>0</start>
      <end>2</end>
      <status>unmodified</status>
      <modifiedWord/>
      <trackRevisions>false</trackRevisions>
    </reviewItem>
    <reviewItem>
      <errorID>a1f00c6a-3afd-478a-a37d-84895b6ecc4d</errorID>
      <errorWord>(</errorWord>
      <group>L1_Format</group>
      <groupName>格式问题</groupName>
      <ability>L2_HalfPunc</ability>
      <abilityName>全半角检查</abilityName>
      <candidateList>
        <item>（</item>
      </candidateList>
      <explain>文本全半角错误。</explain>
      <paraID>59322F48</paraID>
      <start>6</start>
      <end>7</end>
      <status>unmodified</status>
      <modifiedWord/>
      <trackRevisions>false</trackRevisions>
    </reviewItem>
    <reviewItem>
      <errorID>3a1cb4ef-6667-4bec-b9a3-8e21d67b4cdc</errorID>
      <errorWord>)</errorWord>
      <group>L1_Format</group>
      <groupName>格式问题</groupName>
      <ability>L2_HalfPunc</ability>
      <abilityName>全半角检查</abilityName>
      <candidateList>
        <item>）</item>
      </candidateList>
      <explain>文本全半角错误。</explain>
      <paraID>59322F48</paraID>
      <start>12</start>
      <end>13</end>
      <status>unmodified</status>
      <modifiedWord/>
      <trackRevisions>false</trackRevisions>
    </reviewItem>
    <reviewItem>
      <errorID>38f68706-f6e7-4c73-994a-ae5cb0475e25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5BD6058C</paraID>
      <start>0</start>
      <end>2</end>
      <status>unmodified</status>
      <modifiedWord/>
      <trackRevisions>false</trackRevisions>
    </reviewItem>
    <reviewItem>
      <errorID>650b12dc-4249-4e19-a848-5db04d1886ae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4CC50580</paraID>
      <start>0</start>
      <end>2</end>
      <status>unmodified</status>
      <modifiedWord/>
      <trackRevisions>false</trackRevisions>
    </reviewItem>
    <reviewItem>
      <errorID>8a5f2b7c-c0b1-46ee-8261-7998e8186637</errorID>
      <errorWord>（</errorWord>
      <group>L1_Format</group>
      <groupName>格式问题</groupName>
      <ability>L2_HalfPunc</ability>
      <abilityName>全半角检查</abilityName>
      <candidateList>
        <item>(</item>
      </candidateList>
      <explain>文本全半角错误。</explain>
      <paraID>44CD738B</paraID>
      <start>5</start>
      <end>6</end>
      <status>unmodified</status>
      <modifiedWord/>
      <trackRevisions>false</trackRevisions>
    </reviewItem>
    <reviewItem>
      <errorID>ef50574e-89a5-471c-9aa0-76423de2551f</errorID>
      <errorWord>）</errorWord>
      <group>L1_Format</group>
      <groupName>格式问题</groupName>
      <ability>L2_HalfPunc</ability>
      <abilityName>全半角检查</abilityName>
      <candidateList>
        <item>)</item>
      </candidateList>
      <explain>文本全半角错误。</explain>
      <paraID>44CD738B</paraID>
      <start>7</start>
      <end>8</end>
      <status>unmodified</status>
      <modifiedWord/>
      <trackRevisions>false</trackRevisions>
    </reviewItem>
    <reviewItem>
      <errorID>91cfb0f6-cee4-42d8-9c24-8e78564503fe</errorID>
      <errorWord>（</errorWord>
      <group>L1_Format</group>
      <groupName>格式问题</groupName>
      <ability>L2_HalfPunc</ability>
      <abilityName>全半角检查</abilityName>
      <candidateList>
        <item>(</item>
      </candidateList>
      <explain>文本全半角错误。</explain>
      <paraID>48610CBE</paraID>
      <start>5</start>
      <end>6</end>
      <status>unmodified</status>
      <modifiedWord/>
      <trackRevisions>false</trackRevisions>
    </reviewItem>
    <reviewItem>
      <errorID>b6d3e88c-85ec-4173-8c85-dd160c3738e4</errorID>
      <errorWord>）</errorWord>
      <group>L1_Format</group>
      <groupName>格式问题</groupName>
      <ability>L2_HalfPunc</ability>
      <abilityName>全半角检查</abilityName>
      <candidateList>
        <item>)</item>
      </candidateList>
      <explain>文本全半角错误。</explain>
      <paraID>48610CBE</paraID>
      <start>7</start>
      <end>8</end>
      <status>unmodified</status>
      <modifiedWord/>
      <trackRevisions>false</trackRevisions>
    </reviewItem>
    <reviewItem>
      <errorID>2652d4d7-dce7-423a-96bb-d8cf88baba38</errorID>
      <errorWord>（</errorWord>
      <group>L1_Format</group>
      <groupName>格式问题</groupName>
      <ability>L2_HalfPunc</ability>
      <abilityName>全半角检查</abilityName>
      <candidateList>
        <item>(</item>
      </candidateList>
      <explain>文本全半角错误。</explain>
      <paraID>4B026B53</paraID>
      <start>5</start>
      <end>6</end>
      <status>unmodified</status>
      <modifiedWord/>
      <trackRevisions>false</trackRevisions>
    </reviewItem>
    <reviewItem>
      <errorID>59db6cf9-8d0e-4a89-b364-290bbf4a0291</errorID>
      <errorWord>）</errorWord>
      <group>L1_Format</group>
      <groupName>格式问题</groupName>
      <ability>L2_HalfPunc</ability>
      <abilityName>全半角检查</abilityName>
      <candidateList>
        <item>)</item>
      </candidateList>
      <explain>文本全半角错误。</explain>
      <paraID>4B026B53</paraID>
      <start>7</start>
      <end>8</end>
      <status>unmodified</status>
      <modifiedWord/>
      <trackRevisions>false</trackRevisions>
    </reviewItem>
    <reviewItem>
      <errorID>67e7b8ef-604a-4750-ae31-e32eb77486bb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137F2B53</paraID>
      <start>0</start>
      <end>2</end>
      <status>unmodified</status>
      <modifiedWord/>
      <trackRevisions>false</trackRevisions>
    </reviewItem>
    <reviewItem>
      <errorID>2c67d48c-1964-4c6f-ae9d-7afce61e9690</errorID>
      <errorWord>&lt;</errorWord>
      <group>L1_Format</group>
      <groupName>格式问题</groupName>
      <ability>L2_HalfPunc</ability>
      <abilityName>全半角检查</abilityName>
      <candidateList>
        <item>〈</item>
      </candidateList>
      <explain>文本全半角错误。</explain>
      <paraID> 59D6F3E</paraID>
      <start>47</start>
      <end>48</end>
      <status>unmodified</status>
      <modifiedWord/>
      <trackRevisions>false</trackRevisions>
    </reviewItem>
    <reviewItem>
      <errorID>b1d32fc2-cc53-4bd2-bd4c-2c755f1c0675</errorID>
      <errorWord>&gt;的通知》</errorWord>
      <group>L1_Punc</group>
      <groupName>标点问题</groupName>
      <ability>L2_Punc</ability>
      <abilityName>标点符号检查</abilityName>
      <candidateList>
        <item>〉的通知》</item>
      </candidateList>
      <explain/>
      <paraID> 59D6F3E</paraID>
      <start>66</start>
      <end>71</end>
      <status>unmodified</status>
      <modifiedWord/>
      <trackRevisions>false</trackRevisions>
    </reviewItem>
    <reviewItem>
      <errorID>f5b1daca-7d5b-4b30-b0d4-542a5b02af5e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34E3293C</paraID>
      <start>0</start>
      <end>2</end>
      <status>unmodified</status>
      <modifiedWord/>
      <trackRevisions>false</trackRevisions>
    </reviewItem>
    <reviewItem>
      <errorID>2dd40904-aefa-4bea-a91d-3483f960b520</errorID>
      <errorWord>(</errorWord>
      <group>L1_Format</group>
      <groupName>格式问题</groupName>
      <ability>L2_HalfPunc</ability>
      <abilityName>全半角检查</abilityName>
      <candidateList>
        <item>（</item>
      </candidateList>
      <explain>文本全半角错误。</explain>
      <paraID>53061C32</paraID>
      <start>19</start>
      <end>20</end>
      <status>unmodified</status>
      <modifiedWord/>
      <trackRevisions>false</trackRevisions>
    </reviewItem>
    <reviewItem>
      <errorID>10a644be-65c3-47f9-9028-63a6ab1b5cf1</errorID>
      <errorWord>)</errorWord>
      <group>L1_Format</group>
      <groupName>格式问题</groupName>
      <ability>L2_HalfPunc</ability>
      <abilityName>全半角检查</abilityName>
      <candidateList>
        <item>）</item>
      </candidateList>
      <explain>文本全半角错误。</explain>
      <paraID>53061C32</paraID>
      <start>23</start>
      <end>24</end>
      <status>unmodified</status>
      <modifiedWord/>
      <trackRevisions>false</trackRevisions>
    </reviewItem>
    <reviewItem>
      <errorID>5e806b42-3048-4375-8407-8733065b8082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7425CF2D</paraID>
      <start>0</start>
      <end>2</end>
      <status>unmodified</status>
      <modifiedWord/>
      <trackRevisions>false</trackRevisions>
    </reviewItem>
    <reviewItem>
      <errorID>6f9f99e8-8a9f-43cc-aba5-99acc8c57397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41DB4294</paraID>
      <start>0</start>
      <end>2</end>
      <status>unmodified</status>
      <modifiedWord/>
      <trackRevisions>false</trackRevisions>
    </reviewItem>
    <reviewItem>
      <errorID>d1ba9912-c7ea-410e-9ec6-606e73773d0c</errorID>
      <errorWord>紫外光</errorWord>
      <group>L1_Word</group>
      <groupName>字词问题</groupName>
      <ability>L2_Typo</ability>
      <abilityName>字词错误</abilityName>
      <candidateList>
        <item>紫外线</item>
      </candidateList>
      <explain/>
      <paraID>77B44A29</paraID>
      <start>168</start>
      <end>171</end>
      <status>unmodified</status>
      <modifiedWord/>
      <trackRevisions>false</trackRevisions>
    </reviewItem>
    <reviewItem>
      <errorID>371c18da-d9af-4eb8-abe5-d51ac2ae8799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5805EF4D</paraID>
      <start>0</start>
      <end>2</end>
      <status>unmodified</status>
      <modifiedWord/>
      <trackRevisions>false</trackRevisions>
    </reviewItem>
    <reviewItem>
      <errorID>ae45d494-f47b-4685-9e04-e6f67b4e0be3</errorID>
      <errorWord>(</errorWord>
      <group>L1_Format</group>
      <groupName>格式问题</groupName>
      <ability>L2_HalfPunc</ability>
      <abilityName>全半角检查</abilityName>
      <candidateList>
        <item>（</item>
      </candidateList>
      <explain>文本全半角错误。</explain>
      <paraID>4FB62599</paraID>
      <start>102</start>
      <end>103</end>
      <status>unmodified</status>
      <modifiedWord/>
      <trackRevisions>false</trackRevisions>
    </reviewItem>
    <reviewItem>
      <errorID>f6d0d6ef-d048-4323-a4f0-972b87c6a11f</errorID>
      <errorWord>)</errorWord>
      <group>L1_Format</group>
      <groupName>格式问题</groupName>
      <ability>L2_HalfPunc</ability>
      <abilityName>全半角检查</abilityName>
      <candidateList>
        <item>）</item>
      </candidateList>
      <explain>文本全半角错误。</explain>
      <paraID>4FB62599</paraID>
      <start>106</start>
      <end>107</end>
      <status>unmodified</status>
      <modifiedWord/>
      <trackRevisions>false</trackRevisions>
    </reviewItem>
    <reviewItem>
      <errorID>1bb20dc8-69ad-4d9d-ab7d-45863aab2be1</errorID>
      <errorWord>~</errorWord>
      <group>L1_Format</group>
      <groupName>格式问题</groupName>
      <ability>L2_HalfPunc</ability>
      <abilityName>全半角检查</abilityName>
      <candidateList>
        <item>～</item>
      </candidateList>
      <explain>文本全半角错误。</explain>
      <paraID>444FB5EA</paraID>
      <start>22</start>
      <end>23</end>
      <status>unmodified</status>
      <modifiedWord/>
      <trackRevisions>false</trackRevisions>
    </reviewItem>
    <reviewItem>
      <errorID>acb1c578-3df5-4670-8222-bc2aa5b4377e</errorID>
      <errorWord>（</errorWord>
      <group>L1_Format</group>
      <groupName>格式问题</groupName>
      <ability>L2_HalfPunc</ability>
      <abilityName>全半角检查</abilityName>
      <candidateList>
        <item>(</item>
      </candidateList>
      <explain>文本全半角错误。</explain>
      <paraID>593B69AC</paraID>
      <start>1</start>
      <end>2</end>
      <status>unmodified</status>
      <modifiedWord/>
      <trackRevisions>false</trackRevisions>
    </reviewItem>
    <reviewItem>
      <errorID>afa2466f-7555-4e4f-812f-fc9d13a405dc</errorID>
      <errorWord>）</errorWord>
      <group>L1_Format</group>
      <groupName>格式问题</groupName>
      <ability>L2_HalfPunc</ability>
      <abilityName>全半角检查</abilityName>
      <candidateList>
        <item>)</item>
      </candidateList>
      <explain>文本全半角错误。</explain>
      <paraID>593B69AC</paraID>
      <start>3</start>
      <end>4</end>
      <status>unmodified</status>
      <modifiedWord/>
      <trackRevisions>false</trackRevisions>
    </reviewItem>
    <reviewItem>
      <errorID>4d6a0e4c-b014-4f6e-a642-1e023d05754f</errorID>
      <errorWord>罩口</errorWord>
      <group>L1_Word</group>
      <groupName>字词问题</groupName>
      <ability>L2_Typo</ability>
      <abilityName>字词错误</abilityName>
      <candidateList>
        <item>口罩</item>
      </candidateList>
      <explain/>
      <paraID>3147675B</paraID>
      <start>0</start>
      <end>2</end>
      <status>unmodified</status>
      <modifiedWord/>
      <trackRevisions>false</trackRevisions>
    </reviewItem>
    <reviewItem>
      <errorID>bcb562fa-6942-4534-b0ef-c513e874029b</errorID>
      <errorWord>（</errorWord>
      <group>L1_Format</group>
      <groupName>格式问题</groupName>
      <ability>L2_HalfPunc</ability>
      <abilityName>全半角检查</abilityName>
      <candidateList>
        <item>(</item>
      </candidateList>
      <explain>文本全半角错误。</explain>
      <paraID> C04DD2E</paraID>
      <start>2</start>
      <end>3</end>
      <status>unmodified</status>
      <modifiedWord/>
      <trackRevisions>false</trackRevisions>
    </reviewItem>
    <reviewItem>
      <errorID>ad373197-ec6f-4735-be77-848b43c27c1d</errorID>
      <errorWord>）</errorWord>
      <group>L1_Format</group>
      <groupName>格式问题</groupName>
      <ability>L2_HalfPunc</ability>
      <abilityName>全半角检查</abilityName>
      <candidateList>
        <item>)</item>
      </candidateList>
      <explain>文本全半角错误。</explain>
      <paraID> C04DD2E</paraID>
      <start>6</start>
      <end>7</end>
      <status>unmodified</status>
      <modifiedWord/>
      <trackRevisions>false</trackRevisions>
    </reviewItem>
    <reviewItem>
      <errorID>257ce3f4-af18-4db7-a247-59688f934731</errorID>
      <errorWord>（</errorWord>
      <group>L1_Format</group>
      <groupName>格式问题</groupName>
      <ability>L2_HalfPunc</ability>
      <abilityName>全半角检查</abilityName>
      <candidateList>
        <item>(</item>
      </candidateList>
      <explain>文本全半角错误。</explain>
      <paraID>70C7EBD3</paraID>
      <start>1</start>
      <end>2</end>
      <status>unmodified</status>
      <modifiedWord/>
      <trackRevisions>false</trackRevisions>
    </reviewItem>
    <reviewItem>
      <errorID>8bee634b-02d1-41aa-964e-7813728e17ad</errorID>
      <errorWord>）</errorWord>
      <group>L1_Format</group>
      <groupName>格式问题</groupName>
      <ability>L2_HalfPunc</ability>
      <abilityName>全半角检查</abilityName>
      <candidateList>
        <item>)</item>
      </candidateList>
      <explain>文本全半角错误。</explain>
      <paraID>70C7EBD3</paraID>
      <start>6</start>
      <end>7</end>
      <status>unmodified</status>
      <modifiedWord/>
      <trackRevisions>false</trackRevisions>
    </reviewItem>
    <reviewItem>
      <errorID>afee3723-a5e0-4b07-921d-243eed5f9fb4</errorID>
      <errorWord>（</errorWord>
      <group>L1_Format</group>
      <groupName>格式问题</groupName>
      <ability>L2_HalfPunc</ability>
      <abilityName>全半角检查</abilityName>
      <candidateList>
        <item>(</item>
      </candidateList>
      <explain>文本全半角错误。</explain>
      <paraID>38CC5456</paraID>
      <start>1</start>
      <end>2</end>
      <status>unmodified</status>
      <modifiedWord/>
      <trackRevisions>false</trackRevisions>
    </reviewItem>
    <reviewItem>
      <errorID>5ef1917b-93a2-45e3-8b42-52481ff6ff9f</errorID>
      <errorWord>）</errorWord>
      <group>L1_Format</group>
      <groupName>格式问题</groupName>
      <ability>L2_HalfPunc</ability>
      <abilityName>全半角检查</abilityName>
      <candidateList>
        <item>)</item>
      </candidateList>
      <explain>文本全半角错误。</explain>
      <paraID>38CC5456</paraID>
      <start>3</start>
      <end>4</end>
      <status>unmodified</status>
      <modifiedWord/>
      <trackRevisions>false</trackRevisions>
    </reviewItem>
    <reviewItem>
      <errorID>b5432bc2-1083-4727-a4d3-4a0292547fa1</errorID>
      <errorWord>(</errorWord>
      <group>L1_Format</group>
      <groupName>格式问题</groupName>
      <ability>L2_HalfPunc</ability>
      <abilityName>全半角检查</abilityName>
      <candidateList>
        <item>（</item>
      </candidateList>
      <explain>文本全半角错误。</explain>
      <paraID> 5BF762D</paraID>
      <start>65</start>
      <end>66</end>
      <status>unmodified</status>
      <modifiedWord/>
      <trackRevisions>false</trackRevisions>
    </reviewItem>
    <reviewItem>
      <errorID>96b5e732-8de0-4bf7-9000-6b69cfcdcaff</errorID>
      <errorWord>)</errorWord>
      <group>L1_Format</group>
      <groupName>格式问题</groupName>
      <ability>L2_HalfPunc</ability>
      <abilityName>全半角检查</abilityName>
      <candidateList>
        <item>）</item>
      </candidateList>
      <explain>文本全半角错误。</explain>
      <paraID> 5BF762D</paraID>
      <start>68</start>
      <end>69</end>
      <status>unmodified</status>
      <modifiedWord/>
      <trackRevisions>false</trackRevisions>
    </reviewItem>
    <reviewItem>
      <errorID>c6b17c44-81ad-4a9a-a140-494bfa79061c</errorID>
      <errorWord>,,</errorWord>
      <group>L1_Punc</group>
      <groupName>标点问题</groupName>
      <ability>L2_Punc</ability>
      <abilityName>标点符号检查</abilityName>
      <candidateList>
        <item>,</item>
      </candidateList>
      <explain/>
      <paraID> 5BF762D</paraID>
      <start>71</start>
      <end>73</end>
      <status>unmodified</status>
      <modifiedWord/>
      <trackRevisions>false</trackRevisions>
    </reviewItem>
    <reviewItem>
      <errorID>9f1bf9de-3467-4872-8ea7-395a28631d73</errorID>
      <errorWord>）中</errorWord>
      <group>L1_Word</group>
      <groupName>字词问题</groupName>
      <ability>L2_Typo</ability>
      <abilityName>字词错误</abilityName>
      <candidateList>
        <item>）</item>
      </candidateList>
      <explain/>
      <paraID>45F2349A</paraID>
      <start>109</start>
      <end>111</end>
      <status>unmodified</status>
      <modifiedWord/>
      <trackRevisions>false</trackRevisions>
    </reviewItem>
    <reviewItem>
      <errorID>b8d8b8f8-a090-4497-89da-ee486cbdb255</errorID>
      <errorWord>（</errorWord>
      <group>L1_Format</group>
      <groupName>格式问题</groupName>
      <ability>L2_HalfPunc</ability>
      <abilityName>全半角检查</abilityName>
      <candidateList>
        <item>(</item>
      </candidateList>
      <explain>文本全半角错误。</explain>
      <paraID>34BF766C</paraID>
      <start>2</start>
      <end>3</end>
      <status>unmodified</status>
      <modifiedWord/>
      <trackRevisions>false</trackRevisions>
    </reviewItem>
    <reviewItem>
      <errorID>76e1e9f5-67aa-40a8-a6e1-ca11907aa5fe</errorID>
      <errorWord>）</errorWord>
      <group>L1_Format</group>
      <groupName>格式问题</groupName>
      <ability>L2_HalfPunc</ability>
      <abilityName>全半角检查</abilityName>
      <candidateList>
        <item>)</item>
      </candidateList>
      <explain>文本全半角错误。</explain>
      <paraID>34BF766C</paraID>
      <start>19</start>
      <end>20</end>
      <status>unmodified</status>
      <modifiedWord/>
      <trackRevisions>false</trackRevisions>
    </reviewItem>
    <reviewItem>
      <errorID>c238636d-2a8a-48e5-a075-92ca28c43a65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6733B8F2</paraID>
      <start>0</start>
      <end>2</end>
      <status>unmodified</status>
      <modifiedWord/>
      <trackRevisions>false</trackRevisions>
    </reviewItem>
    <reviewItem>
      <errorID>dc82c406-cf26-45a1-a58e-474f308642c1</errorID>
      <errorWord>(</errorWord>
      <group>L1_Format</group>
      <groupName>格式问题</groupName>
      <ability>L2_HalfPunc</ability>
      <abilityName>全半角检查</abilityName>
      <candidateList>
        <item>（</item>
      </candidateList>
      <explain>文本全半角错误。</explain>
      <paraID>5139BDD8</paraID>
      <start>4</start>
      <end>5</end>
      <status>unmodified</status>
      <modifiedWord/>
      <trackRevisions>false</trackRevisions>
    </reviewItem>
    <reviewItem>
      <errorID>71f91c99-965e-4ee8-b18a-1151fc84077d</errorID>
      <errorWord>)</errorWord>
      <group>L1_Format</group>
      <groupName>格式问题</groupName>
      <ability>L2_HalfPunc</ability>
      <abilityName>全半角检查</abilityName>
      <candidateList>
        <item>）</item>
      </candidateList>
      <explain>文本全半角错误。</explain>
      <paraID>5139BDD8</paraID>
      <start>6</start>
      <end>7</end>
      <status>unmodified</status>
      <modifiedWord/>
      <trackRevisions>false</trackRevisions>
    </reviewItem>
    <reviewItem>
      <errorID>17df5715-6318-4e88-bf8f-c4b1b9eb3579</errorID>
      <errorWord>(</errorWord>
      <group>L1_Format</group>
      <groupName>格式问题</groupName>
      <ability>L2_HalfPunc</ability>
      <abilityName>全半角检查</abilityName>
      <candidateList>
        <item>（</item>
      </candidateList>
      <explain>文本全半角错误。</explain>
      <paraID>5386B0D1</paraID>
      <start>4</start>
      <end>5</end>
      <status>unmodified</status>
      <modifiedWord/>
      <trackRevisions>false</trackRevisions>
    </reviewItem>
    <reviewItem>
      <errorID>cfed5582-deeb-44c0-808c-47a0cf028d11</errorID>
      <errorWord>)</errorWord>
      <group>L1_Format</group>
      <groupName>格式问题</groupName>
      <ability>L2_HalfPunc</ability>
      <abilityName>全半角检查</abilityName>
      <candidateList>
        <item>）</item>
      </candidateList>
      <explain>文本全半角错误。</explain>
      <paraID>5386B0D1</paraID>
      <start>6</start>
      <end>7</end>
      <status>unmodified</status>
      <modifiedWord/>
      <trackRevisions>false</trackRevisions>
    </reviewItem>
    <reviewItem>
      <errorID>bddfff9b-8631-4625-9a9a-f2df6c885a11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126EF1BC</paraID>
      <start>0</start>
      <end>2</end>
      <status>unmodified</status>
      <modifiedWord/>
      <trackRevisions>false</trackRevisions>
    </reviewItem>
    <reviewItem>
      <errorID>ad4dbf31-8b9f-487d-91a0-dcf2efe98225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722F3470</paraID>
      <start>0</start>
      <end>2</end>
      <status>unmodified</status>
      <modifiedWord/>
      <trackRevisions>false</trackRevisions>
    </reviewItem>
    <reviewItem>
      <errorID>02646e6d-6cab-457c-b489-7d9787ef2d6f</errorID>
      <errorWord>(</errorWord>
      <group>L1_Format</group>
      <groupName>格式问题</groupName>
      <ability>L2_HalfPunc</ability>
      <abilityName>全半角检查</abilityName>
      <candidateList>
        <item>（</item>
      </candidateList>
      <explain>文本全半角错误。</explain>
      <paraID>49518466</paraID>
      <start>2</start>
      <end>3</end>
      <status>unmodified</status>
      <modifiedWord/>
      <trackRevisions>false</trackRevisions>
    </reviewItem>
    <reviewItem>
      <errorID>f1add0b8-7378-481d-a491-7b22ddf1cf8b</errorID>
      <errorWord>)</errorWord>
      <group>L1_Format</group>
      <groupName>格式问题</groupName>
      <ability>L2_HalfPunc</ability>
      <abilityName>全半角检查</abilityName>
      <candidateList>
        <item>）</item>
      </candidateList>
      <explain>文本全半角错误。</explain>
      <paraID>49518466</paraID>
      <start>8</start>
      <end>9</end>
      <status>unmodified</status>
      <modifiedWord/>
      <trackRevisions>false</trackRevisions>
    </reviewItem>
    <reviewItem>
      <errorID>7cdd7730-31be-4f3f-98e7-489a5a30f677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C7E1305</paraID>
      <start>0</start>
      <end>2</end>
      <status>unmodified</status>
      <modifiedWord/>
      <trackRevisions>false</trackRevisions>
    </reviewItem>
    <reviewItem>
      <errorID>a98bb1c8-10fd-47ba-a0ae-afc8b43a7f4d</errorID>
      <errorWord>(</errorWord>
      <group>L1_Format</group>
      <groupName>格式问题</groupName>
      <ability>L2_HalfPunc</ability>
      <abilityName>全半角检查</abilityName>
      <candidateList>
        <item>（</item>
      </candidateList>
      <explain>文本全半角错误。</explain>
      <paraID>190A1351</paraID>
      <start>27</start>
      <end>28</end>
      <status>unmodified</status>
      <modifiedWord/>
      <trackRevisions>false</trackRevisions>
    </reviewItem>
    <reviewItem>
      <errorID>f19cfe0b-1783-46b0-b1ea-b464bdf56c48</errorID>
      <errorWord>)</errorWord>
      <group>L1_Format</group>
      <groupName>格式问题</groupName>
      <ability>L2_HalfPunc</ability>
      <abilityName>全半角检查</abilityName>
      <candidateList>
        <item>）</item>
      </candidateList>
      <explain>文本全半角错误。</explain>
      <paraID>190A1351</paraID>
      <start>42</start>
      <end>43</end>
      <status>unmodified</status>
      <modifiedWord/>
      <trackRevisions>false</trackRevisions>
    </reviewItem>
    <reviewItem>
      <errorID>79603686-1398-46b7-958f-925c0876f14a</errorID>
      <errorWord>(</errorWord>
      <group>L1_Format</group>
      <groupName>格式问题</groupName>
      <ability>L2_HalfPunc</ability>
      <abilityName>全半角检查</abilityName>
      <candidateList>
        <item>（</item>
      </candidateList>
      <explain>文本全半角错误。</explain>
      <paraID>511682DE</paraID>
      <start>30</start>
      <end>31</end>
      <status>unmodified</status>
      <modifiedWord/>
      <trackRevisions>false</trackRevisions>
    </reviewItem>
    <reviewItem>
      <errorID>fb5094d4-622b-48de-b3ba-1d870c7c25ed</errorID>
      <errorWord>)</errorWord>
      <group>L1_Format</group>
      <groupName>格式问题</groupName>
      <ability>L2_HalfPunc</ability>
      <abilityName>全半角检查</abilityName>
      <candidateList>
        <item>）</item>
      </candidateList>
      <explain>文本全半角错误。</explain>
      <paraID>511682DE</paraID>
      <start>36</start>
      <end>37</end>
      <status>unmodified</status>
      <modifiedWord/>
      <trackRevisions>false</trackRevisions>
    </reviewItem>
    <reviewItem>
      <errorID>f84f1758-ac92-4700-9bc3-d683c1de12f2</errorID>
      <errorWord>(</errorWord>
      <group>L1_Format</group>
      <groupName>格式问题</groupName>
      <ability>L2_HalfPunc</ability>
      <abilityName>全半角检查</abilityName>
      <candidateList>
        <item>（</item>
      </candidateList>
      <explain>文本全半角错误。</explain>
      <paraID>30189841</paraID>
      <start>21</start>
      <end>22</end>
      <status>unmodified</status>
      <modifiedWord/>
      <trackRevisions>false</trackRevisions>
    </reviewItem>
    <reviewItem>
      <errorID>e3b3da39-17a5-4a70-9c78-6dcedf708663</errorID>
      <errorWord>)</errorWord>
      <group>L1_Format</group>
      <groupName>格式问题</groupName>
      <ability>L2_HalfPunc</ability>
      <abilityName>全半角检查</abilityName>
      <candidateList>
        <item>）</item>
      </candidateList>
      <explain>文本全半角错误。</explain>
      <paraID>30189841</paraID>
      <start>23</start>
      <end>24</end>
      <status>unmodified</status>
      <modifiedWord/>
      <trackRevisions>false</trackRevisions>
    </reviewItem>
    <reviewItem>
      <errorID>b90be48f-feb1-4b80-8877-80a063d230b1</errorID>
      <errorWord>(</errorWord>
      <group>L1_Format</group>
      <groupName>格式问题</groupName>
      <ability>L2_HalfPunc</ability>
      <abilityName>全半角检查</abilityName>
      <candidateList>
        <item>（</item>
      </candidateList>
      <explain>文本全半角错误。</explain>
      <paraID>261779D5</paraID>
      <start>30</start>
      <end>31</end>
      <status>unmodified</status>
      <modifiedWord/>
      <trackRevisions>false</trackRevisions>
    </reviewItem>
    <reviewItem>
      <errorID>8d562656-5871-4a6c-973e-1e27250cb85e</errorID>
      <errorWord>)</errorWord>
      <group>L1_Format</group>
      <groupName>格式问题</groupName>
      <ability>L2_HalfPunc</ability>
      <abilityName>全半角检查</abilityName>
      <candidateList>
        <item>）</item>
      </candidateList>
      <explain>文本全半角错误。</explain>
      <paraID>261779D5</paraID>
      <start>32</start>
      <end>33</end>
      <status>unmodified</status>
      <modifiedWord/>
      <trackRevisions>false</trackRevisions>
    </reviewItem>
    <reviewItem>
      <errorID>68b1bc65-0ca1-41c3-a798-aa04eb5d9820</errorID>
      <errorWord>、</errorWord>
      <group>L1_Punc</group>
      <groupName>标点问题</groupName>
      <ability>L2_Punc</ability>
      <abilityName>标点符号检查</abilityName>
      <candidateList>
        <item>.</item>
      </candidateList>
      <explain/>
      <paraID>27C5A59C</paraID>
      <start>1</start>
      <end>2</end>
      <status>unmodified</status>
      <modifiedWord/>
      <trackRevisions>false</trackRevisions>
    </reviewItem>
    <reviewItem>
      <errorID>a5dd4284-15fa-4fca-a74f-babf7033f459</errorID>
      <errorWord>～</errorWord>
      <group>L1_Format</group>
      <groupName>格式问题</groupName>
      <ability>L2_HalfPunc</ability>
      <abilityName>全半角检查</abilityName>
      <candidateList>
        <item>~</item>
      </candidateList>
      <explain>文本全半角错误。</explain>
      <paraID>2176161C</paraID>
      <start>1</start>
      <end>2</end>
      <status>unmodified</status>
      <modifiedWord/>
      <trackRevisions>false</trackRevisions>
    </reviewItem>
    <reviewItem>
      <errorID>70afad58-d4c9-4f55-8cba-6dbfb910258b</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7F858A5E</paraID>
      <start>0</start>
      <end>2</end>
      <status>unmodified</status>
      <modifiedWord/>
      <trackRevisions>false</trackRevisions>
    </reviewItem>
    <reviewItem>
      <errorID>d9752e89-06eb-4c62-abb2-236e93dd3a03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2C857580</paraID>
      <start>0</start>
      <end>2</end>
      <status>unmodified</status>
      <modifiedWord/>
      <trackRevisions>false</trackRevisions>
    </reviewItem>
    <reviewItem>
      <errorID>e82f2349-0877-45ae-884b-1388ffcdb1c9</errorID>
      <errorWord>)</errorWord>
      <group>L1_Format</group>
      <groupName>格式问题</groupName>
      <ability>L2_HalfPunc</ability>
      <abilityName>全半角检查</abilityName>
      <candidateList>
        <item>）</item>
      </candidateList>
      <explain>文本全半角错误。</explain>
      <paraID>1DC5F195</paraID>
      <start>51</start>
      <end>52</end>
      <status>unmodified</status>
      <modifiedWord/>
      <trackRevisions>false</trackRevisions>
    </reviewItem>
    <reviewItem>
      <errorID>bc49db6b-42f2-45ae-a5e9-af1d21357fea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22F6A87</paraID>
      <start>0</start>
      <end>2</end>
      <status>unmodified</status>
      <modifiedWord/>
      <trackRevisions>false</trackRevisions>
    </reviewItem>
    <reviewItem>
      <errorID>7e0e3df1-7667-46af-895e-cef0e4668f13</errorID>
      <errorWord>(</errorWord>
      <group>L1_Format</group>
      <groupName>格式问题</groupName>
      <ability>L2_HalfPunc</ability>
      <abilityName>全半角检查</abilityName>
      <candidateList>
        <item>（</item>
      </candidateList>
      <explain>文本全半角错误。</explain>
      <paraID>1CD53798</paraID>
      <start>2</start>
      <end>3</end>
      <status>unmodified</status>
      <modifiedWord/>
      <trackRevisions>false</trackRevisions>
    </reviewItem>
    <reviewItem>
      <errorID>35225822-1bba-48c1-9987-32489f21ec5e</errorID>
      <errorWord>(</errorWord>
      <group>L1_Punc</group>
      <groupName>标点问题</groupName>
      <ability>L2_Punc</ability>
      <abilityName>标点符号检查</abilityName>
      <candidateList/>
      <explain>同一形式括号套用。</explain>
      <paraID>1CD53798</paraID>
      <start>5</start>
      <end>6</end>
      <status>unmodified</status>
      <modifiedWord/>
      <trackRevisions>false</trackRevisions>
    </reviewItem>
    <reviewItem>
      <errorID>2c3cc1e8-16d0-4fba-91f4-331d13da7e73</errorID>
      <errorWord>)</errorWord>
      <group>L1_Punc</group>
      <groupName>标点问题</groupName>
      <ability>L2_Punc</ability>
      <abilityName>标点符号检查</abilityName>
      <candidateList/>
      <explain>同一形式括号套用。</explain>
      <paraID>1CD53798</paraID>
      <start>7</start>
      <end>8</end>
      <status>unmodified</status>
      <modifiedWord/>
      <trackRevisions>false</trackRevisions>
    </reviewItem>
    <reviewItem>
      <errorID>3a1e1b87-109d-49e7-9673-420bb18ac811</errorID>
      <errorWord>(</errorWord>
      <group>L1_Format</group>
      <groupName>格式问题</groupName>
      <ability>L2_HalfPunc</ability>
      <abilityName>全半角检查</abilityName>
      <candidateList>
        <item>（</item>
      </candidateList>
      <explain>文本全半角错误。</explain>
      <paraID>35683EA0</paraID>
      <start>2</start>
      <end>3</end>
      <status>unmodified</status>
      <modifiedWord/>
      <trackRevisions>false</trackRevisions>
    </reviewItem>
    <reviewItem>
      <errorID>59611e4b-c9fd-4838-8de9-fbad91e6f814</errorID>
      <errorWord>(</errorWord>
      <group>L1_Punc</group>
      <groupName>标点问题</groupName>
      <ability>L2_Punc</ability>
      <abilityName>标点符号检查</abilityName>
      <candidateList/>
      <explain>同一形式括号套用。</explain>
      <paraID>35683EA0</paraID>
      <start>5</start>
      <end>6</end>
      <status>unmodified</status>
      <modifiedWord/>
      <trackRevisions>false</trackRevisions>
    </reviewItem>
    <reviewItem>
      <errorID>f0abec4d-41e8-41a4-930b-a6f57da8bac0</errorID>
      <errorWord>)</errorWord>
      <group>L1_Punc</group>
      <groupName>标点问题</groupName>
      <ability>L2_Punc</ability>
      <abilityName>标点符号检查</abilityName>
      <candidateList/>
      <explain>同一形式括号套用。</explain>
      <paraID>35683EA0</paraID>
      <start>7</start>
      <end>8</end>
      <status>unmodified</status>
      <modifiedWord/>
      <trackRevisions>false</trackRevisions>
    </reviewItem>
    <reviewItem>
      <errorID>3941fc7d-3a4b-426a-9828-63ab9b02726c</errorID>
      <errorWord>)</errorWord>
      <group>L1_Format</group>
      <groupName>格式问题</groupName>
      <ability>L2_HalfPunc</ability>
      <abilityName>全半角检查</abilityName>
      <candidateList>
        <item>）</item>
      </candidateList>
      <explain>文本全半角错误。</explain>
      <paraID>20A9D9D7</paraID>
      <start>16</start>
      <end>17</end>
      <status>unmodified</status>
      <modifiedWord/>
      <trackRevisions>false</trackRevisions>
    </reviewItem>
    <reviewItem>
      <errorID>9d7e9489-9913-4cd2-8703-23af8d2089ea</errorID>
      <errorWord>)</errorWord>
      <group>L1_Format</group>
      <groupName>格式问题</groupName>
      <ability>L2_HalfPunc</ability>
      <abilityName>全半角检查</abilityName>
      <candidateList>
        <item>）</item>
      </candidateList>
      <explain>文本全半角错误。</explain>
      <paraID>42BB719F</paraID>
      <start>16</start>
      <end>17</end>
      <status>unmodified</status>
      <modifiedWord/>
      <trackRevisions>false</trackRevisions>
    </reviewItem>
    <reviewItem>
      <errorID>78361d68-e977-40a1-8102-fa0fcc81b973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71BE1A1F</paraID>
      <start>0</start>
      <end>2</end>
      <status>unmodified</status>
      <modifiedWord/>
      <trackRevisions>false</trackRevisions>
    </reviewItem>
    <reviewItem>
      <errorID>c9b57317-4d61-485f-a3e4-4dd8555d7bcf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3EA6D888</paraID>
      <start>0</start>
      <end>2</end>
      <status>unmodified</status>
      <modifiedWord/>
      <trackRevisions>false</trackRevisions>
    </reviewItem>
    <reviewItem>
      <errorID>b1ecfb43-4e13-4f14-8ea8-7b2fba13aecc</errorID>
      <errorWord>程</errorWord>
      <group>L1_Word</group>
      <groupName>字词问题</groupName>
      <ability>L2_Typo</ability>
      <abilityName>字词错误</abilityName>
      <candidateList>
        <item>程中</item>
      </candidateList>
      <explain/>
      <paraID>17487D0D</paraID>
      <start>32</start>
      <end>33</end>
      <status>unmodified</status>
      <modifiedWord/>
      <trackRevisions>false</trackRevisions>
    </reviewItem>
    <reviewItem>
      <errorID>2009436a-a304-4794-85d0-779dae682c65</errorID>
      <errorWord>:</errorWord>
      <group>L1_Format</group>
      <groupName>格式问题</groupName>
      <ability>L2_HalfPunc</ability>
      <abilityName>全半角检查</abilityName>
      <candidateList>
        <item>：</item>
      </candidateList>
      <explain>文本全半角错误。</explain>
      <paraID>22A573A6</paraID>
      <start>1</start>
      <end>2</end>
      <status>unmodified</status>
      <modifiedWord/>
      <trackRevisions>false</trackRevisions>
    </reviewItem>
    <reviewItem>
      <errorID>70bc3845-b68b-4297-aa15-d8968e924d8f</errorID>
      <errorWord>(</errorWord>
      <group>L1_Format</group>
      <groupName>格式问题</groupName>
      <ability>L2_HalfPunc</ability>
      <abilityName>全半角检查</abilityName>
      <candidateList>
        <item>（</item>
      </candidateList>
      <explain>文本全半角错误。</explain>
      <paraID>791597FE</paraID>
      <start>3</start>
      <end>4</end>
      <status>unmodified</status>
      <modifiedWord/>
      <trackRevisions>false</trackRevisions>
    </reviewItem>
    <reviewItem>
      <errorID>941d4dd4-0040-4eb1-92ee-1a2bf0d75fcd</errorID>
      <errorWord>)</errorWord>
      <group>L1_Format</group>
      <groupName>格式问题</groupName>
      <ability>L2_HalfPunc</ability>
      <abilityName>全半角检查</abilityName>
      <candidateList>
        <item>）</item>
      </candidateList>
      <explain>文本全半角错误。</explain>
      <paraID>791597FE</paraID>
      <start>6</start>
      <end>7</end>
      <status>unmodified</status>
      <modifiedWord/>
      <trackRevisions>false</trackRevisions>
    </reviewItem>
    <reviewItem>
      <errorID>3ab184e0-62cf-468a-933b-801760497a22</errorID>
      <errorWord>(</errorWord>
      <group>L1_Format</group>
      <groupName>格式问题</groupName>
      <ability>L2_HalfPunc</ability>
      <abilityName>全半角检查</abilityName>
      <candidateList>
        <item>（</item>
      </candidateList>
      <explain>文本全半角错误。</explain>
      <paraID>591CED9C</paraID>
      <start>3</start>
      <end>4</end>
      <status>unmodified</status>
      <modifiedWord/>
      <trackRevisions>false</trackRevisions>
    </reviewItem>
    <reviewItem>
      <errorID>449816d1-523a-48cc-95fa-176bde4a47c5</errorID>
      <errorWord>)</errorWord>
      <group>L1_Format</group>
      <groupName>格式问题</groupName>
      <ability>L2_HalfPunc</ability>
      <abilityName>全半角检查</abilityName>
      <candidateList>
        <item>）</item>
      </candidateList>
      <explain>文本全半角错误。</explain>
      <paraID>591CED9C</paraID>
      <start>6</start>
      <end>7</end>
      <status>unmodified</status>
      <modifiedWord/>
      <trackRevisions>false</trackRevisions>
    </reviewItem>
    <reviewItem>
      <errorID>2acc3190-70ce-4045-bf9d-3f3832040fc3</errorID>
      <errorWord>，</errorWord>
      <group>L1_Format</group>
      <groupName>格式问题</groupName>
      <ability>L2_HalfPunc</ability>
      <abilityName>全半角检查</abilityName>
      <candidateList>
        <item>, </item>
      </candidateList>
      <explain>文本全半角错误。</explain>
      <paraID>5C4FF7E2</paraID>
      <start>1</start>
      <end>2</end>
      <status>unmodified</status>
      <modifiedWord/>
      <trackRevisions>false</trackRevisions>
    </reviewItem>
    <reviewItem>
      <errorID>4854f0e4-78e9-4af1-ad50-03a9649ead2f</errorID>
      <errorWord>，</errorWord>
      <group>L1_Format</group>
      <groupName>格式问题</groupName>
      <ability>L2_HalfPunc</ability>
      <abilityName>全半角检查</abilityName>
      <candidateList>
        <item>, </item>
      </candidateList>
      <explain>文本全半角错误。</explain>
      <paraID>48E7A58D</paraID>
      <start>1</start>
      <end>2</end>
      <status>unmodified</status>
      <modifiedWord/>
      <trackRevisions>false</trackRevisions>
    </reviewItem>
    <reviewItem>
      <errorID>a679bb22-d5cb-4932-9ada-591a09310046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277EB1A6</paraID>
      <start>0</start>
      <end>2</end>
      <status>unmodified</status>
      <modifiedWord/>
      <trackRevisions>false</trackRevisions>
    </reviewItem>
    <reviewItem>
      <errorID>3f1f30ec-79e3-4ee4-b8bd-347de9ee41fa</errorID>
      <errorWord>，</errorWord>
      <group>L1_Format</group>
      <groupName>格式问题</groupName>
      <ability>L2_HalfPunc</ability>
      <abilityName>全半角检查</abilityName>
      <candidateList>
        <item>, </item>
      </candidateList>
      <explain>文本全半角错误。</explain>
      <paraID>31A8B998</paraID>
      <start>1</start>
      <end>2</end>
      <status>unmodified</status>
      <modifiedWord/>
      <trackRevisions>false</trackRevisions>
    </reviewItem>
    <reviewItem>
      <errorID>e34db928-4b86-4879-bcd1-74cb0d84b654</errorID>
      <errorWord>，</errorWord>
      <group>L1_Format</group>
      <groupName>格式问题</groupName>
      <ability>L2_HalfPunc</ability>
      <abilityName>全半角检查</abilityName>
      <candidateList>
        <item>, </item>
      </candidateList>
      <explain>文本全半角错误。</explain>
      <paraID>4A178DC3</paraID>
      <start>1</start>
      <end>2</end>
      <status>unmodified</status>
      <modifiedWord/>
      <trackRevisions>false</trackRevisions>
    </reviewItem>
    <reviewItem>
      <errorID>24f469fa-9f04-4bc6-a245-2845e4aca19f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746A7F92</paraID>
      <start>0</start>
      <end>2</end>
      <status>unmodified</status>
      <modifiedWord/>
      <trackRevisions>false</trackRevisions>
    </reviewItem>
    <reviewItem>
      <errorID>ec08515c-17eb-43c5-a673-c63e5ced55cb</errorID>
      <errorWord>-</errorWord>
      <group>L1_Format</group>
      <groupName>格式问题</groupName>
      <ability>L2_HalfPunc</ability>
      <abilityName>全半角检查</abilityName>
      <candidateList>
        <item>－</item>
      </candidateList>
      <explain>文本全半角错误。</explain>
      <paraID>72AABA52</paraID>
      <start>145</start>
      <end>146</end>
      <status>unmodified</status>
      <modifiedWord/>
      <trackRevisions>false</trackRevisions>
    </reviewItem>
    <reviewItem>
      <errorID>5f77fcf5-d6af-4b51-a02e-987c27ce05ea</errorID>
      <errorWord>(</errorWord>
      <group>L1_Format</group>
      <groupName>格式问题</groupName>
      <ability>L2_HalfPunc</ability>
      <abilityName>全半角检查</abilityName>
      <candidateList>
        <item>（</item>
      </candidateList>
      <explain>文本全半角错误。</explain>
      <paraID> 57E6D31</paraID>
      <start>71</start>
      <end>72</end>
      <status>unmodified</status>
      <modifiedWord/>
      <trackRevisions>false</trackRevisions>
    </reviewItem>
    <reviewItem>
      <errorID>6da78ec9-5f09-4d46-8df2-5b867ebd857c</errorID>
      <errorWord>)</errorWord>
      <group>L1_Format</group>
      <groupName>格式问题</groupName>
      <ability>L2_HalfPunc</ability>
      <abilityName>全半角检查</abilityName>
      <candidateList>
        <item>）</item>
      </candidateList>
      <explain>文本全半角错误。</explain>
      <paraID> 57E6D31</paraID>
      <start>324</start>
      <end>325</end>
      <status>unmodified</status>
      <modifiedWord/>
      <trackRevisions>false</trackRevisions>
    </reviewItem>
    <reviewItem>
      <errorID>7b2b9479-3e71-4a57-965a-7f26d0ff7d70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3D25CC1B</paraID>
      <start>0</start>
      <end>2</end>
      <status>unmodified</status>
      <modifiedWord/>
      <trackRevisions>false</trackRevisions>
    </reviewItem>
    <reviewItem>
      <errorID>66faa89c-930c-4f88-8268-95c7c0038788</errorID>
      <errorWord>(</errorWord>
      <group>L1_Format</group>
      <groupName>格式问题</groupName>
      <ability>L2_HalfPunc</ability>
      <abilityName>全半角检查</abilityName>
      <candidateList>
        <item>（</item>
      </candidateList>
      <explain>文本全半角错误。</explain>
      <paraID>2202AF7A</paraID>
      <start>25</start>
      <end>26</end>
      <status>unmodified</status>
      <modifiedWord/>
      <trackRevisions>false</trackRevisions>
    </reviewItem>
    <reviewItem>
      <errorID>484f855d-8316-492d-8741-7ea26166aa0a</errorID>
      <errorWord>)</errorWord>
      <group>L1_Format</group>
      <groupName>格式问题</groupName>
      <ability>L2_HalfPunc</ability>
      <abilityName>全半角检查</abilityName>
      <candidateList>
        <item>）</item>
      </candidateList>
      <explain>文本全半角错误。</explain>
      <paraID>2202AF7A</paraID>
      <start>38</start>
      <end>39</end>
      <status>unmodified</status>
      <modifiedWord/>
      <trackRevisions>false</trackRevisions>
    </reviewItem>
    <reviewItem>
      <errorID>3abd9302-c301-4496-bf09-62c16100d137</errorID>
      <errorWord>;</errorWord>
      <group>L1_Format</group>
      <groupName>格式问题</groupName>
      <ability>L2_HalfPunc</ability>
      <abilityName>全半角检查</abilityName>
      <candidateList>
        <item>；</item>
      </candidateList>
      <explain>文本全半角错误。</explain>
      <paraID>2202AF7A</paraID>
      <start>85</start>
      <end>86</end>
      <status>unmodified</status>
      <modifiedWord/>
      <trackRevisions>false</trackRevisions>
    </reviewItem>
    <reviewItem>
      <errorID>49058bfe-8c77-41fa-88b4-ade5db55ff15</errorID>
      <errorWord>(</errorWord>
      <group>L1_Format</group>
      <groupName>格式问题</groupName>
      <ability>L2_HalfPunc</ability>
      <abilityName>全半角检查</abilityName>
      <candidateList>
        <item>（</item>
      </candidateList>
      <explain>文本全半角错误。</explain>
      <paraID>2202AF7A</paraID>
      <start>147</start>
      <end>148</end>
      <status>unmodified</status>
      <modifiedWord/>
      <trackRevisions>false</trackRevisions>
    </reviewItem>
    <reviewItem>
      <errorID>daa40735-7e4a-4754-bf4e-267e21222fc0</errorID>
      <errorWord>)</errorWord>
      <group>L1_Format</group>
      <groupName>格式问题</groupName>
      <ability>L2_HalfPunc</ability>
      <abilityName>全半角检查</abilityName>
      <candidateList>
        <item>）</item>
      </candidateList>
      <explain>文本全半角错误。</explain>
      <paraID>2202AF7A</paraID>
      <start>150</start>
      <end>151</end>
      <status>unmodified</status>
      <modifiedWord/>
      <trackRevisions>false</trackRevisions>
    </reviewItem>
    <reviewItem>
      <errorID>b73f3e92-f880-40d4-b3ae-7a3baa136c6e</errorID>
      <errorWord>(</errorWord>
      <group>L1_Format</group>
      <groupName>格式问题</groupName>
      <ability>L2_HalfPunc</ability>
      <abilityName>全半角检查</abilityName>
      <candidateList>
        <item>（</item>
      </candidateList>
      <explain>文本全半角错误。</explain>
      <paraID>2202AF7A</paraID>
      <start>152</start>
      <end>153</end>
      <status>unmodified</status>
      <modifiedWord/>
      <trackRevisions>false</trackRevisions>
    </reviewItem>
    <reviewItem>
      <errorID>e5041191-7c36-4a0d-b495-6802a729ca38</errorID>
      <errorWord>)</errorWord>
      <group>L1_Format</group>
      <groupName>格式问题</groupName>
      <ability>L2_HalfPunc</ability>
      <abilityName>全半角检查</abilityName>
      <candidateList>
        <item>）</item>
      </candidateList>
      <explain>文本全半角错误。</explain>
      <paraID>2202AF7A</paraID>
      <start>166</start>
      <end>167</end>
      <status>unmodified</status>
      <modifiedWord/>
      <trackRevisions>false</trackRevisions>
    </reviewItem>
    <reviewItem>
      <errorID>3a2e88ee-d418-4152-be67-301c3db295aa</errorID>
      <errorWord>II级</errorWord>
      <group>L1_Knowledge</group>
      <groupName>知识性问题</groupName>
      <ability>L2_Knowledge</ability>
      <abilityName>其他知识</abilityName>
      <candidateList>
        <item>Ⅱ级</item>
      </candidateList>
      <explain/>
      <paraID>2202AF7A</paraID>
      <start>185</start>
      <end>188</end>
      <status>unmodified</status>
      <modifiedWord/>
      <trackRevisions>false</trackRevisions>
    </reviewItem>
    <reviewItem>
      <errorID>069469b7-a8d3-4022-8900-aed9370bcb97</errorID>
      <errorWord>III级</errorWord>
      <group>L1_Knowledge</group>
      <groupName>知识性问题</groupName>
      <ability>L2_Knowledge</ability>
      <abilityName>其他知识</abilityName>
      <candidateList>
        <item>Ⅲ级</item>
      </candidateList>
      <explain/>
      <paraID>2202AF7A</paraID>
      <start>220</start>
      <end>224</end>
      <status>unmodified</status>
      <modifiedWord/>
      <trackRevisions>false</trackRevisions>
    </reviewItem>
    <reviewItem>
      <errorID>03c2381b-5526-42f9-994b-225666863535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588E5683</paraID>
      <start>0</start>
      <end>2</end>
      <status>unmodified</status>
      <modifiedWord/>
      <trackRevisions>false</trackRevisions>
    </reviewItem>
    <reviewItem>
      <errorID>93d35342-b61d-4486-a4e6-3775b107a96f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583A6AD6</paraID>
      <start>0</start>
      <end>2</end>
      <status>unmodified</status>
      <modifiedWord/>
      <trackRevisions>false</trackRevisions>
    </reviewItem>
    <reviewItem>
      <errorID>565d7481-e2e9-42a5-8288-7fa1fbf40541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E1899F1</paraID>
      <start>78</start>
      <end>79</end>
      <status>unmodified</status>
      <modifiedWord/>
      <trackRevisions>false</trackRevisions>
    </reviewItem>
    <reviewItem>
      <errorID>0c138551-3cfb-447a-bd80-2603861809cd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FD704D8</paraID>
      <start>0</start>
      <end>2</end>
      <status>unmodified</status>
      <modifiedWord/>
      <trackRevisions>false</trackRevisions>
    </reviewItem>
    <reviewItem>
      <errorID>03c74c33-8090-46ae-a4ff-f829aa98fd8b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54EBC1E5</paraID>
      <start>0</start>
      <end>2</end>
      <status>unmodified</status>
      <modifiedWord/>
      <trackRevisions>false</trackRevisions>
    </reviewItem>
    <reviewItem>
      <errorID>9bcccc1a-64a7-4eba-add5-c6e7ebd3729a</errorID>
      <errorWord>并且</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explain>
      <paraID>722A4BC4</paraID>
      <start>26</start>
      <end>28</end>
      <status>unmodified</status>
      <modifiedWord/>
      <trackRevisions>false</trackRevisions>
    </reviewItem>
    <reviewItem>
      <errorID>ad98f95b-a944-4688-acb4-b5955dbbaa25</errorID>
      <errorWord>作</errorWord>
      <group>L1_Word</group>
      <groupName>字词问题</groupName>
      <ability>L2_Typo</ability>
      <abilityName>字词错误</abilityName>
      <candidateList>
        <item>做</item>
      </candidateList>
      <explain>存在发音相同字词的误用。</explain>
      <paraID>722A4BC4</paraID>
      <start>30</start>
      <end>31</end>
      <status>unmodified</status>
      <modifiedWord/>
      <trackRevisions>false</trackRevisions>
    </reviewItem>
    <reviewItem>
      <errorID>4e920e35-d671-4df2-9a35-6331dae4a17d</errorID>
      <errorWord>(</errorWord>
      <group>L1_Format</group>
      <groupName>格式问题</groupName>
      <ability>L2_HalfPunc</ability>
      <abilityName>全半角检查</abilityName>
      <candidateList>
        <item>（</item>
      </candidateList>
      <explain>文本全半角错误。</explain>
      <paraID>4E6F87DF</paraID>
      <start>3</start>
      <end>4</end>
      <status>unmodified</status>
      <modifiedWord/>
      <trackRevisions>false</trackRevisions>
    </reviewItem>
    <reviewItem>
      <errorID>61fe2735-bc22-4f51-8fe6-106d13eb0a43</errorID>
      <errorWord>)</errorWord>
      <group>L1_Format</group>
      <groupName>格式问题</groupName>
      <ability>L2_HalfPunc</ability>
      <abilityName>全半角检查</abilityName>
      <candidateList>
        <item>）</item>
      </candidateList>
      <explain>文本全半角错误。</explain>
      <paraID>4E6F87DF</paraID>
      <start>12</start>
      <end>13</end>
      <status>unmodified</status>
      <modifiedWord/>
      <trackRevisions>false</trackRevisions>
    </reviewItem>
    <reviewItem>
      <errorID>47ea9d3b-d836-46a9-9372-b7585d51990b</errorID>
      <errorWord>。]</errorWord>
      <group>L1_Punc</group>
      <groupName>标点问题</groupName>
      <ability>L2_Punc</ability>
      <abilityName>标点符号检查</abilityName>
      <candidateList>
        <item>]</item>
      </candidateList>
      <explain/>
      <paraID>4E6F87DF</paraID>
      <start>52</start>
      <end>54</end>
      <status>unmodified</status>
      <modifiedWord/>
      <trackRevisions>false</trackRevisions>
    </reviewItem>
    <reviewItem>
      <errorID>49ef5959-9d2a-42b6-b88b-460dbae5a950</errorID>
      <errorWord>转输</errorWord>
      <group>L1_Word</group>
      <groupName>字词问题</groupName>
      <ability>L2_Typo</ability>
      <abilityName>字词错误</abilityName>
      <candidateList>
        <item>传输</item>
      </candidateList>
      <explain>存在发音相同字词的误用。</explain>
      <paraID> EF76FAD</paraID>
      <start>8</start>
      <end>10</end>
      <status>unmodified</status>
      <modifiedWord/>
      <trackRevisions>false</trackRevisions>
    </reviewItem>
    <reviewItem>
      <errorID>92633625-e6bb-479c-80eb-5ef0df48fab5</errorID>
      <errorWord>(</errorWord>
      <group>L1_Format</group>
      <groupName>格式问题</groupName>
      <ability>L2_HalfPunc</ability>
      <abilityName>全半角检查</abilityName>
      <candidateList>
        <item>（</item>
      </candidateList>
      <explain>文本全半角错误。</explain>
      <paraID>3626C3BA</paraID>
      <start>15</start>
      <end>16</end>
      <status>unmodified</status>
      <modifiedWord/>
      <trackRevisions>false</trackRevisions>
    </reviewItem>
    <reviewItem>
      <errorID>854ce7da-6ac5-4d57-bf0b-572b0f2c1f8d</errorID>
      <errorWord>)</errorWord>
      <group>L1_Format</group>
      <groupName>格式问题</groupName>
      <ability>L2_HalfPunc</ability>
      <abilityName>全半角检查</abilityName>
      <candidateList>
        <item>）</item>
      </candidateList>
      <explain>文本全半角错误。</explain>
      <paraID>3626C3BA</paraID>
      <start>28</start>
      <end>29</end>
      <status>unmodified</status>
      <modifiedWord/>
      <trackRevisions>false</trackRevisions>
    </reviewItem>
    <reviewItem>
      <errorID>caa8b707-6dc0-4394-bf00-c4d6907393ea</errorID>
      <errorWord>q：</errorWord>
      <group>L1_Format</group>
      <groupName>格式问题</groupName>
      <ability>L2_Ordinal</ability>
      <abilityName>序号格式</abilityName>
      <candidateList>
        <item>q.</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4A91CFCC</paraID>
      <start>0</start>
      <end>2</end>
      <status>unmodified</status>
      <modifiedWord/>
      <trackRevisions>false</trackRevisions>
    </reviewItem>
    <reviewItem>
      <errorID>4784b3dc-49ae-40f4-8050-4730359aa2d1</errorID>
      <errorWord>n：</errorWord>
      <group>L1_Format</group>
      <groupName>格式问题</groupName>
      <ability>L2_Ordinal</ability>
      <abilityName>序号格式</abilityName>
      <candidateList>
        <item>n.</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4D7C7320</paraID>
      <start>0</start>
      <end>2</end>
      <status>unmodified</status>
      <modifiedWord/>
      <trackRevisions>false</trackRevisions>
    </reviewItem>
    <reviewItem>
      <errorID>35c2bc04-02a2-47c8-8935-186665dc807c</errorID>
      <errorWord>(</errorWord>
      <group>L1_Format</group>
      <groupName>格式问题</groupName>
      <ability>L2_HalfPunc</ability>
      <abilityName>全半角检查</abilityName>
      <candidateList>
        <item>（</item>
      </candidateList>
      <explain>文本全半角错误。</explain>
      <paraID>2DF3678C</paraID>
      <start>28</start>
      <end>29</end>
      <status>unmodified</status>
      <modifiedWord/>
      <trackRevisions>false</trackRevisions>
    </reviewItem>
    <reviewItem>
      <errorID>3a5d63c9-c916-4c88-a14c-7bd0f3d1887f</errorID>
      <errorWord>)</errorWord>
      <group>L1_Format</group>
      <groupName>格式问题</groupName>
      <ability>L2_HalfPunc</ability>
      <abilityName>全半角检查</abilityName>
      <candidateList>
        <item>）</item>
      </candidateList>
      <explain>文本全半角错误。</explain>
      <paraID>2DF3678C</paraID>
      <start>41</start>
      <end>42</end>
      <status>unmodified</status>
      <modifiedWord/>
      <trackRevisions>false</trackRevisions>
    </reviewItem>
    <reviewItem>
      <errorID>0901fded-e34c-4e62-b331-5b91be8f3a32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519B58C5</paraID>
      <start>0</start>
      <end>2</end>
      <status>unmodified</status>
      <modifiedWord/>
      <trackRevisions>false</trackRevisions>
    </reviewItem>
    <reviewItem>
      <errorID>1b8cb4ae-94ac-4578-bd97-8f7ae7e0aba6</errorID>
      <errorWord>(</errorWord>
      <group>L1_Format</group>
      <groupName>格式问题</groupName>
      <ability>L2_HalfPunc</ability>
      <abilityName>全半角检查</abilityName>
      <candidateList>
        <item>（</item>
      </candidateList>
      <explain>文本全半角错误。</explain>
      <paraID>6BFA05AF</paraID>
      <start>3</start>
      <end>4</end>
      <status>unmodified</status>
      <modifiedWord/>
      <trackRevisions>false</trackRevisions>
    </reviewItem>
    <reviewItem>
      <errorID>c33dc2d7-c68d-4fb7-948d-e6a2d61e34e7</errorID>
      <errorWord>)</errorWord>
      <group>L1_Format</group>
      <groupName>格式问题</groupName>
      <ability>L2_HalfPunc</ability>
      <abilityName>全半角检查</abilityName>
      <candidateList>
        <item>）</item>
      </candidateList>
      <explain>文本全半角错误。</explain>
      <paraID>6BFA05AF</paraID>
      <start>9</start>
      <end>10</end>
      <status>unmodified</status>
      <modifiedWord/>
      <trackRevisions>false</trackRevisions>
    </reviewItem>
    <reviewItem>
      <errorID>ba51a642-448e-4c59-9f9f-ae8c9aea3ada</errorID>
      <errorWord>(</errorWord>
      <group>L1_Format</group>
      <groupName>格式问题</groupName>
      <ability>L2_HalfPunc</ability>
      <abilityName>全半角检查</abilityName>
      <candidateList>
        <item>（</item>
      </candidateList>
      <explain>文本全半角错误。</explain>
      <paraID>4ABC4E76</paraID>
      <start>89</start>
      <end>90</end>
      <status>unmodified</status>
      <modifiedWord/>
      <trackRevisions>false</trackRevisions>
    </reviewItem>
    <reviewItem>
      <errorID>3f807873-cc1e-4cca-ba65-f0db7a616597</errorID>
      <errorWord>)</errorWord>
      <group>L1_Format</group>
      <groupName>格式问题</groupName>
      <ability>L2_HalfPunc</ability>
      <abilityName>全半角检查</abilityName>
      <candidateList>
        <item>）</item>
      </candidateList>
      <explain>文本全半角错误。</explain>
      <paraID>4ABC4E76</paraID>
      <start>104</start>
      <end>105</end>
      <status>unmodified</status>
      <modifiedWord/>
      <trackRevisions>false</trackRevisions>
    </reviewItem>
    <reviewItem>
      <errorID>b587cc86-2da5-4976-b0fc-3b97e5451e12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597E604A</paraID>
      <start>0</start>
      <end>2</end>
      <status>unmodified</status>
      <modifiedWord/>
      <trackRevisions>false</trackRevisions>
    </reviewItem>
    <reviewItem>
      <errorID>c843751d-ba22-455b-93fb-48eff9985088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3A399AEC</paraID>
      <start>0</start>
      <end>2</end>
      <status>unmodified</status>
      <modifiedWord/>
      <trackRevisions>false</trackRevisions>
    </reviewItem>
    <reviewItem>
      <errorID>9e4c7a23-ab88-4d32-9a14-475ff47e6ea2</errorID>
      <errorWord>，</errorWord>
      <group>L1_Word</group>
      <groupName>字词问题</groupName>
      <ability>L2_Typo</ability>
      <abilityName>字词错误</abilityName>
      <candidateList>
        <item>，对</item>
      </candidateList>
      <explain/>
      <paraID>3A399AEC</paraID>
      <start>35</start>
      <end>36</end>
      <status>unmodified</status>
      <modifiedWord/>
      <trackRevisions>false</trackRevisions>
    </reviewItem>
    <reviewItem>
      <errorID>4248b44c-71b0-4baa-927f-b97cfd2042a0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439FD297</paraID>
      <start>0</start>
      <end>2</end>
      <status>unmodified</status>
      <modifiedWord/>
      <trackRevisions>false</trackRevisions>
    </reviewItem>
    <reviewItem>
      <errorID>8b03c4af-e113-4f2f-afaf-41301904c094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55F6D6A</paraID>
      <start>0</start>
      <end>2</end>
      <status>unmodified</status>
      <modifiedWord/>
      <trackRevisions>false</trackRevisions>
    </reviewItem>
    <reviewItem>
      <errorID>7d8955c4-788d-48af-93a1-15aff78b3e32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5474D9D4</paraID>
      <start>0</start>
      <end>2</end>
      <status>unmodified</status>
      <modifiedWord/>
      <trackRevisions>false</trackRevisions>
    </reviewItem>
    <reviewItem>
      <errorID>199e465c-e811-401a-be19-4e3907bdeaa5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70FE037A</paraID>
      <start>0</start>
      <end>2</end>
      <status>unmodified</status>
      <modifiedWord/>
      <trackRevisions>false</trackRevisions>
    </reviewItem>
    <reviewItem>
      <errorID>7156d87e-b101-4a4d-b789-4a954af098a8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6F7EF63</paraID>
      <start>0</start>
      <end>2</end>
      <status>unmodified</status>
      <modifiedWord/>
      <trackRevisions>false</trackRevisions>
    </reviewItem>
    <reviewItem>
      <errorID>bb1a5b5b-4f39-4f6a-908b-3b25ea27e835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14B1F3BD</paraID>
      <start>0</start>
      <end>2</end>
      <status>unmodified</status>
      <modifiedWord/>
      <trackRevisions>false</trackRevisions>
    </reviewItem>
    <reviewItem>
      <errorID>6532a097-6b4c-4123-aedb-381939bcb962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3A260656</paraID>
      <start>0</start>
      <end>2</end>
      <status>unmodified</status>
      <modifiedWord/>
      <trackRevisions>false</trackRevisions>
    </reviewItem>
    <reviewItem>
      <errorID>d1ff8814-4a38-429a-b62f-23c904cde87e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1C26433</paraID>
      <start>0</start>
      <end>2</end>
      <status>unmodified</status>
      <modifiedWord/>
      <trackRevisions>false</trackRevisions>
    </reviewItem>
    <reviewItem>
      <errorID>ad6948a9-d6c3-475f-bf6e-d36cece75e1a</errorID>
      <errorWord>报告表</errorWord>
      <group>L1_Word</group>
      <groupName>字词问题</groupName>
      <ability>L2_Typo</ability>
      <abilityName>字词错误</abilityName>
      <candidateList>
        <item>报告</item>
      </candidateList>
      <explain>❶〈动〉把事情或意见正式告诉上级或群众：你应当把事情的经过向领导～｜大会主席～了开会宗旨。❷〈名〉用口头或书面的形式向上级或群众所做的正式陈述：总结～｜动员～。</explain>
      <paraID>30B9B77D</paraID>
      <start>18</start>
      <end>21</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a025fb-2f5e-4be8-9b00-4b7c8fcfbea0}">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71</Pages>
  <Words>10041</Words>
  <Characters>10753</Characters>
  <Lines>393</Lines>
  <Paragraphs>110</Paragraphs>
  <TotalTime>0</TotalTime>
  <ScaleCrop>false</ScaleCrop>
  <LinksUpToDate>false</LinksUpToDate>
  <CharactersWithSpaces>10831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2021-04-26T02:29:00Z</dcterms:created>
  <dc:creator>lhj</dc:creator>
  <cp:lastModifiedBy>球球</cp:lastModifiedBy>
  <cp:lastPrinted>2025-12-05T01:19:00Z</cp:lastPrinted>
  <dcterms:modified xsi:type="dcterms:W3CDTF">2026-04-15T05:47:06Z</dcterms:modified>
  <dc:title>附件2</dc:title>
  <cp:revision>958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55890C15BDD647239AE8F86BFB75E25B</vt:lpwstr>
  </property>
  <property fmtid="{D5CDD505-2E9C-101B-9397-08002B2CF9AE}" pid="4" name="KSOTemplateDocerSaveRecord">
    <vt:lpwstr>eyJoZGlkIjoiYWZhMzA0MTE2MGQ3ODcwOTgyMWY3NzY0ZDhkYzQxODciLCJ1c2VySWQiOiIzODk2NzQyOTcifQ==</vt:lpwstr>
  </property>
</Properties>
</file>